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1EF62" w14:textId="77777777" w:rsidR="001C127A" w:rsidRDefault="00000000">
      <w:pPr>
        <w:pStyle w:val="a3"/>
        <w:spacing w:after="0"/>
        <w:jc w:val="center"/>
        <w:rPr>
          <w:b/>
          <w:sz w:val="36"/>
          <w:szCs w:val="36"/>
        </w:rPr>
      </w:pPr>
      <w:bookmarkStart w:id="0" w:name="_gjdgxs" w:colFirst="0" w:colLast="0"/>
      <w:bookmarkEnd w:id="0"/>
      <w:r>
        <w:rPr>
          <w:noProof/>
        </w:rPr>
        <w:drawing>
          <wp:anchor distT="114300" distB="114300" distL="114300" distR="114300" simplePos="0" relativeHeight="251658240" behindDoc="0" locked="0" layoutInCell="1" allowOverlap="1" wp14:anchorId="2187D339" wp14:editId="2F681850">
            <wp:simplePos x="0" y="0"/>
            <wp:positionH relativeFrom="column">
              <wp:posOffset>3573780</wp:posOffset>
            </wp:positionH>
            <wp:positionV relativeFrom="paragraph">
              <wp:posOffset>-60960</wp:posOffset>
            </wp:positionV>
            <wp:extent cx="2225040" cy="822960"/>
            <wp:effectExtent l="0" t="0" r="3810" b="0"/>
            <wp:wrapNone/>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7"/>
                    <a:stretch>
                      <a:fillRect/>
                    </a:stretch>
                  </pic:blipFill>
                  <pic:spPr>
                    <a:xfrm>
                      <a:off x="0" y="0"/>
                      <a:ext cx="2225040" cy="822960"/>
                    </a:xfrm>
                    <a:prstGeom prst="rect">
                      <a:avLst/>
                    </a:prstGeom>
                  </pic:spPr>
                </pic:pic>
              </a:graphicData>
            </a:graphic>
            <wp14:sizeRelH relativeFrom="margin">
              <wp14:pctWidth>0</wp14:pctWidth>
            </wp14:sizeRelH>
            <wp14:sizeRelV relativeFrom="margin">
              <wp14:pctHeight>0</wp14:pctHeight>
            </wp14:sizeRelV>
          </wp:anchor>
        </w:drawing>
      </w:r>
    </w:p>
    <w:p w14:paraId="5D293075" w14:textId="77777777" w:rsidR="001C127A" w:rsidRDefault="001C127A">
      <w:pPr>
        <w:pStyle w:val="a3"/>
        <w:spacing w:after="0"/>
        <w:jc w:val="center"/>
        <w:rPr>
          <w:b/>
          <w:sz w:val="36"/>
          <w:szCs w:val="36"/>
        </w:rPr>
      </w:pPr>
      <w:bookmarkStart w:id="1" w:name="_30j0zll" w:colFirst="0" w:colLast="0"/>
      <w:bookmarkEnd w:id="1"/>
    </w:p>
    <w:p w14:paraId="1034D8A4" w14:textId="77777777" w:rsidR="001C127A" w:rsidRDefault="001C127A">
      <w:pPr>
        <w:pStyle w:val="a3"/>
        <w:spacing w:after="0"/>
        <w:jc w:val="center"/>
        <w:rPr>
          <w:b/>
          <w:sz w:val="36"/>
          <w:szCs w:val="36"/>
        </w:rPr>
      </w:pPr>
      <w:bookmarkStart w:id="2" w:name="_1fob9te" w:colFirst="0" w:colLast="0"/>
      <w:bookmarkEnd w:id="2"/>
    </w:p>
    <w:p w14:paraId="5667C0C7" w14:textId="77777777" w:rsidR="001C127A" w:rsidRDefault="001C127A">
      <w:pPr>
        <w:pStyle w:val="a3"/>
        <w:spacing w:after="0"/>
        <w:jc w:val="center"/>
        <w:rPr>
          <w:b/>
          <w:sz w:val="36"/>
          <w:szCs w:val="36"/>
        </w:rPr>
      </w:pPr>
      <w:bookmarkStart w:id="3" w:name="_3znysh7" w:colFirst="0" w:colLast="0"/>
      <w:bookmarkEnd w:id="3"/>
    </w:p>
    <w:p w14:paraId="655B6AC8" w14:textId="77777777" w:rsidR="001C127A" w:rsidRDefault="001C127A">
      <w:pPr>
        <w:pStyle w:val="a3"/>
        <w:spacing w:after="0"/>
        <w:jc w:val="center"/>
        <w:rPr>
          <w:b/>
          <w:sz w:val="36"/>
          <w:szCs w:val="36"/>
        </w:rPr>
      </w:pPr>
      <w:bookmarkStart w:id="4" w:name="_2et92p0" w:colFirst="0" w:colLast="0"/>
      <w:bookmarkEnd w:id="4"/>
    </w:p>
    <w:p w14:paraId="7F1C6859" w14:textId="77777777" w:rsidR="001C127A" w:rsidRDefault="001C127A">
      <w:pPr>
        <w:pStyle w:val="a3"/>
        <w:spacing w:after="0"/>
        <w:jc w:val="center"/>
        <w:rPr>
          <w:b/>
          <w:sz w:val="36"/>
          <w:szCs w:val="36"/>
        </w:rPr>
      </w:pPr>
      <w:bookmarkStart w:id="5" w:name="_tyjcwt" w:colFirst="0" w:colLast="0"/>
      <w:bookmarkEnd w:id="5"/>
    </w:p>
    <w:p w14:paraId="7FDC1B89" w14:textId="77777777" w:rsidR="001C127A" w:rsidRDefault="001C127A">
      <w:pPr>
        <w:pStyle w:val="a3"/>
        <w:spacing w:after="0"/>
        <w:jc w:val="center"/>
        <w:rPr>
          <w:b/>
          <w:sz w:val="36"/>
          <w:szCs w:val="36"/>
        </w:rPr>
      </w:pPr>
      <w:bookmarkStart w:id="6" w:name="_3dy6vkm" w:colFirst="0" w:colLast="0"/>
      <w:bookmarkEnd w:id="6"/>
    </w:p>
    <w:p w14:paraId="3A1944B1" w14:textId="77777777" w:rsidR="001C127A" w:rsidRDefault="001C127A">
      <w:pPr>
        <w:pStyle w:val="a3"/>
        <w:spacing w:after="0"/>
        <w:jc w:val="center"/>
        <w:rPr>
          <w:b/>
          <w:sz w:val="36"/>
          <w:szCs w:val="36"/>
        </w:rPr>
      </w:pPr>
      <w:bookmarkStart w:id="7" w:name="_1t3h5sf" w:colFirst="0" w:colLast="0"/>
      <w:bookmarkEnd w:id="7"/>
    </w:p>
    <w:p w14:paraId="7AABCBF6" w14:textId="2BBC92AE" w:rsidR="001238AF" w:rsidRPr="001238AF" w:rsidRDefault="001238AF" w:rsidP="001238AF">
      <w:pPr>
        <w:pStyle w:val="a3"/>
        <w:spacing w:after="0"/>
        <w:jc w:val="center"/>
        <w:rPr>
          <w:b/>
          <w:sz w:val="36"/>
          <w:szCs w:val="36"/>
        </w:rPr>
      </w:pPr>
      <w:bookmarkStart w:id="8" w:name="_4d34og8" w:colFirst="0" w:colLast="0"/>
      <w:bookmarkEnd w:id="8"/>
      <w:r>
        <w:rPr>
          <w:b/>
          <w:sz w:val="36"/>
          <w:szCs w:val="36"/>
        </w:rPr>
        <w:t xml:space="preserve">Module </w:t>
      </w:r>
      <w:proofErr w:type="spellStart"/>
      <w:proofErr w:type="gramStart"/>
      <w:r>
        <w:rPr>
          <w:b/>
          <w:sz w:val="36"/>
          <w:szCs w:val="36"/>
        </w:rPr>
        <w:t>name:Accounting</w:t>
      </w:r>
      <w:proofErr w:type="spellEnd"/>
      <w:proofErr w:type="gramEnd"/>
      <w:r>
        <w:rPr>
          <w:b/>
          <w:sz w:val="36"/>
          <w:szCs w:val="36"/>
        </w:rPr>
        <w:t xml:space="preserve"> Fundamentals</w:t>
      </w:r>
    </w:p>
    <w:p w14:paraId="792F2DE2" w14:textId="7C53EFDA" w:rsidR="001238AF" w:rsidRDefault="001238AF" w:rsidP="001238AF">
      <w:pPr>
        <w:pStyle w:val="a4"/>
        <w:spacing w:after="0"/>
        <w:jc w:val="center"/>
        <w:rPr>
          <w:rFonts w:ascii="Times New Roman" w:eastAsia="Times New Roman" w:hAnsi="Times New Roman" w:cs="Times New Roman"/>
          <w:b/>
          <w:color w:val="000000"/>
          <w:sz w:val="36"/>
          <w:szCs w:val="36"/>
        </w:rPr>
      </w:pPr>
      <w:bookmarkStart w:id="9" w:name="_2s8eyo1" w:colFirst="0" w:colLast="0"/>
      <w:bookmarkEnd w:id="9"/>
      <w:r>
        <w:rPr>
          <w:rFonts w:ascii="Times New Roman" w:eastAsia="Times New Roman" w:hAnsi="Times New Roman" w:cs="Times New Roman"/>
          <w:b/>
          <w:color w:val="000000"/>
          <w:sz w:val="36"/>
          <w:szCs w:val="36"/>
        </w:rPr>
        <w:t xml:space="preserve">Module </w:t>
      </w:r>
      <w:proofErr w:type="gramStart"/>
      <w:r>
        <w:rPr>
          <w:rFonts w:ascii="Times New Roman" w:eastAsia="Times New Roman" w:hAnsi="Times New Roman" w:cs="Times New Roman"/>
          <w:b/>
          <w:color w:val="000000"/>
          <w:sz w:val="36"/>
          <w:szCs w:val="36"/>
        </w:rPr>
        <w:t>code:LCBB</w:t>
      </w:r>
      <w:proofErr w:type="gramEnd"/>
      <w:r>
        <w:rPr>
          <w:rFonts w:ascii="Times New Roman" w:eastAsia="Times New Roman" w:hAnsi="Times New Roman" w:cs="Times New Roman"/>
          <w:b/>
          <w:color w:val="000000"/>
          <w:sz w:val="36"/>
          <w:szCs w:val="36"/>
        </w:rPr>
        <w:t>4001</w:t>
      </w:r>
    </w:p>
    <w:p w14:paraId="3B258BCF" w14:textId="785974B2" w:rsidR="001238AF" w:rsidRDefault="001238AF" w:rsidP="001238AF">
      <w:pPr>
        <w:pStyle w:val="Normal1"/>
        <w:jc w:val="center"/>
        <w:rPr>
          <w:b/>
          <w:bCs/>
          <w:sz w:val="36"/>
          <w:szCs w:val="36"/>
        </w:rPr>
      </w:pPr>
      <w:r w:rsidRPr="001238AF">
        <w:rPr>
          <w:b/>
          <w:bCs/>
          <w:sz w:val="36"/>
          <w:szCs w:val="36"/>
        </w:rPr>
        <w:t xml:space="preserve">Student: </w:t>
      </w:r>
      <w:proofErr w:type="spellStart"/>
      <w:r w:rsidRPr="001238AF">
        <w:rPr>
          <w:b/>
          <w:bCs/>
          <w:sz w:val="36"/>
          <w:szCs w:val="36"/>
        </w:rPr>
        <w:t>Ceapa</w:t>
      </w:r>
      <w:proofErr w:type="spellEnd"/>
      <w:r w:rsidRPr="001238AF">
        <w:rPr>
          <w:b/>
          <w:bCs/>
          <w:sz w:val="36"/>
          <w:szCs w:val="36"/>
        </w:rPr>
        <w:t xml:space="preserve"> Sorina</w:t>
      </w:r>
    </w:p>
    <w:p w14:paraId="1ADEB8F8" w14:textId="57C2F755" w:rsidR="001238AF" w:rsidRPr="001238AF" w:rsidRDefault="001238AF" w:rsidP="001238AF">
      <w:pPr>
        <w:pStyle w:val="Normal1"/>
        <w:jc w:val="center"/>
        <w:rPr>
          <w:b/>
          <w:bCs/>
          <w:sz w:val="36"/>
          <w:szCs w:val="36"/>
        </w:rPr>
      </w:pPr>
      <w:r>
        <w:rPr>
          <w:b/>
          <w:bCs/>
          <w:sz w:val="36"/>
          <w:szCs w:val="36"/>
        </w:rPr>
        <w:t>Student ID: 2123039</w:t>
      </w:r>
    </w:p>
    <w:p w14:paraId="26A748E5" w14:textId="2FCB4851" w:rsidR="001C127A" w:rsidRDefault="00000000">
      <w:pPr>
        <w:pStyle w:val="Normal1"/>
      </w:pPr>
      <w:bookmarkStart w:id="10" w:name="_7lyaxkcaaxqr" w:colFirst="0" w:colLast="0"/>
      <w:bookmarkEnd w:id="10"/>
      <w:r>
        <w:br w:type="page"/>
      </w:r>
    </w:p>
    <w:p w14:paraId="7AA43B80" w14:textId="77777777" w:rsidR="001C127A" w:rsidRDefault="00000000">
      <w:pPr>
        <w:pStyle w:val="1"/>
      </w:pPr>
      <w:bookmarkStart w:id="11" w:name="_3rdcrjn" w:colFirst="0" w:colLast="0"/>
      <w:bookmarkEnd w:id="11"/>
      <w:r>
        <w:lastRenderedPageBreak/>
        <w:t>Introduction</w:t>
      </w:r>
    </w:p>
    <w:p w14:paraId="098B9431" w14:textId="77777777" w:rsidR="001C127A" w:rsidRDefault="00000000">
      <w:pPr>
        <w:pStyle w:val="Normal1"/>
      </w:pPr>
      <w:r>
        <w:t>This essay will be all about the analysis of several kinds of statements of accounting. In simpler words, in this essay, the evaluation of the accounting concepts and reports will be done. The essay will be divided into three major questions. The first major question will be meant to analyze the truth behind the provided statements. For that reason, every concept of this question will be thoroughly discussed. After that in the 2nd major question, the preparation of the income statement of the business will be presented. The statement will be prepared from the financial details of the given company. In the third major question, the evaluation of the ratio of the given company will be completed.</w:t>
      </w:r>
    </w:p>
    <w:p w14:paraId="4AC0C47D" w14:textId="77777777" w:rsidR="001C127A" w:rsidRDefault="00000000">
      <w:pPr>
        <w:pStyle w:val="1"/>
      </w:pPr>
      <w:bookmarkStart w:id="12" w:name="_g6n3whsrbres" w:colFirst="0" w:colLast="0"/>
      <w:bookmarkEnd w:id="12"/>
      <w:r>
        <w:t>Question 1.</w:t>
      </w:r>
    </w:p>
    <w:p w14:paraId="603EBB16" w14:textId="77777777" w:rsidR="001C127A" w:rsidRDefault="00000000">
      <w:pPr>
        <w:pStyle w:val="Normal1"/>
      </w:pPr>
      <w:r>
        <w:rPr>
          <w:b/>
        </w:rPr>
        <w:t>Statement 1</w:t>
      </w:r>
      <w:r>
        <w:t xml:space="preserve">:- The financial position statement is meant for categorizing the different financial accounts in the assets and liability section. In other terms, the analysis of the financial position account is done to understand and provide a snapshot of all the year-ending balances of the company accounts. Because of that reason, this statement is widely called a balance sheet account. This statement focuses on all the different accounts of an organization such as fixed assets, liabilities (current), and much more. However, this report is not meant to show the value change of cash over a financial period. An accountant creates a cash flow account to understand the flow of cash resources in the business. It also indicates the amount of cash resources expenses and income within a financial year (Schmidt, 2023). Because of these cases, the given statement is false. </w:t>
      </w:r>
    </w:p>
    <w:p w14:paraId="619C265D" w14:textId="0305BD8E" w:rsidR="001C127A" w:rsidRDefault="00000000">
      <w:pPr>
        <w:pStyle w:val="Normal1"/>
      </w:pPr>
      <w:r>
        <w:rPr>
          <w:b/>
        </w:rPr>
        <w:t>Statement 2</w:t>
      </w:r>
      <w:r>
        <w:t xml:space="preserve">:- In business terms, there are many different kinds of assets in an organization. </w:t>
      </w:r>
      <w:r w:rsidR="000701EC">
        <w:t>Those</w:t>
      </w:r>
      <w:r>
        <w:t xml:space="preserve"> assets are shown in the right sight of the financial position account of a company. On the other hand, those assets are categorized in two different ways. One of them is the fixed or non-current assets, and the other one is the current assets. The current resources are the resources that have to be consumed in a financial year. Those assets that </w:t>
      </w:r>
      <w:r w:rsidR="000701EC">
        <w:t>cannot</w:t>
      </w:r>
      <w:r>
        <w:t xml:space="preserve"> be consumed in a financial year are called non-current assets. Because of that businesses have to hold this kind of </w:t>
      </w:r>
      <w:r w:rsidR="000701EC">
        <w:t>asset</w:t>
      </w:r>
      <w:r>
        <w:t xml:space="preserve"> for a long period. The key non-current assets of a business are land, motor cars, buildings, brand names, investments, machines, and much more (Indeed, 2023). Some of those assets are easily movable and the other ones are not easily movable. Because of that fact, the provided statement is not completely true. </w:t>
      </w:r>
    </w:p>
    <w:p w14:paraId="3E78A2CA" w14:textId="77777777" w:rsidR="001C127A" w:rsidRDefault="00000000">
      <w:pPr>
        <w:pStyle w:val="Normal1"/>
      </w:pPr>
      <w:r>
        <w:rPr>
          <w:b/>
        </w:rPr>
        <w:t>Statement 3</w:t>
      </w:r>
      <w:r>
        <w:t xml:space="preserve">:- A company is formed by the support of many different kinds of stakeholders. Such as creditors, investors, shareholders, and many more. For satisfying the needs of the </w:t>
      </w:r>
      <w:r>
        <w:lastRenderedPageBreak/>
        <w:t>stakeholders a company has to show its financial statements at the accounting period of an accounting year. The financial statements are the only source of information about the financial performance of a business organization for external stakeholders (Luca, 2008). For that cause, organizations have to disclose their financial condition to their external and internal business stakeholders. For example, investors of a business can analyze the business's financial performance before considering making their investments in the business. The employees of the business can also analyze the accounting statement to understand the financial stability of the business, which can also affect their job stability (Tamplin, 2023a). Therefore, the statement of this section is also false.</w:t>
      </w:r>
    </w:p>
    <w:p w14:paraId="3509F387" w14:textId="1054C0CF" w:rsidR="001C127A" w:rsidRDefault="00000000">
      <w:pPr>
        <w:pStyle w:val="Normal1"/>
      </w:pPr>
      <w:r>
        <w:rPr>
          <w:b/>
        </w:rPr>
        <w:t>Statement 4</w:t>
      </w:r>
      <w:r>
        <w:t xml:space="preserve">:- The method of accrual is a process of business transaction recording. This method aims to record the transactions on the occurrence date. In this method, the cash income or expenses have no relation to the recording of the transactions. It means whether or not the payments are made in the same period the accountants have to record the transactions on the date they occurred (Tiron-Tudor, 2017). The primary importance of this method is to reduce the complexity of accounting. In simpler terms, companies can sell their products on credit in the long term. As a result of that, the companies have to record their income on credit for a similar period. If a company fails to do so, then it can inaccurately interpret its financial condition for the year </w:t>
      </w:r>
      <w:r w:rsidR="000701EC">
        <w:t>end</w:t>
      </w:r>
      <w:r>
        <w:t>. This process is also essential for the revenue recognition process (Team, 2023). Therefore, the statement of this section is also false.</w:t>
      </w:r>
    </w:p>
    <w:p w14:paraId="59D05B35" w14:textId="77777777" w:rsidR="001C127A" w:rsidRDefault="00000000">
      <w:pPr>
        <w:pStyle w:val="Normal1"/>
      </w:pPr>
      <w:r>
        <w:rPr>
          <w:b/>
        </w:rPr>
        <w:t>Statement 5</w:t>
      </w:r>
      <w:r>
        <w:t>:- The primary need of the accounting statements is to analyze the financial condition of a company. However, if different companies try to maintain different methods of accounting then it can create inconsistency and incomparability in the possession of financial statement preparation. Due to that cause, the accounting method follows a standardized method of accounting, which is known as accounting standards (Baudot, 2013). The objective of those standards is to maintain a safe and sound process of preparing accounting statements, which can also be utilized for protecting customers. Due to this cause, analyzing and preparing the financial reports of an organization has to follow the accounting standards to properly understand the financial position of the business (Central Bank, 2023). Therefore, the statement of this section is also false.</w:t>
      </w:r>
    </w:p>
    <w:p w14:paraId="2947DFF0" w14:textId="7851C0D5" w:rsidR="001C127A" w:rsidRDefault="00000000">
      <w:pPr>
        <w:pStyle w:val="Normal1"/>
      </w:pPr>
      <w:r>
        <w:rPr>
          <w:b/>
        </w:rPr>
        <w:t>Statement 6</w:t>
      </w:r>
      <w:r>
        <w:t xml:space="preserve">:- The final account is responsible for showing the financial position of a business at the end of a financial year. However, the process can be infected with different kinds of financial errors. Due to that fact, the reparation of the ledger and trial balance accounts are done to understand the purity of the calculations. The preparation of the general ledger is done to </w:t>
      </w:r>
      <w:r w:rsidR="000701EC">
        <w:t>organize</w:t>
      </w:r>
      <w:r>
        <w:t xml:space="preserve"> all the journal entries of a company. For that reason, the process divides the accounts </w:t>
      </w:r>
      <w:r>
        <w:lastRenderedPageBreak/>
        <w:t>in the journal into separate entries. After that, the preparation of the trial balance is done. The aim of this is to understand the accounting purity of recording the primary book of accounts. This statement utilizes the Dr=Cr equation to understand the purity of accounting so far (Indeed, 2022). Because of that the accountants are utilizing those accounts before preparing the final accounting reports, such as P&amp;L statement, cash flow, and balance sheet. Therefore, the command of this section is not false.</w:t>
      </w:r>
    </w:p>
    <w:p w14:paraId="4566D24E" w14:textId="77777777" w:rsidR="001C127A" w:rsidRDefault="00000000">
      <w:pPr>
        <w:pStyle w:val="1"/>
      </w:pPr>
      <w:bookmarkStart w:id="13" w:name="_8dikfaclsvc6" w:colFirst="0" w:colLast="0"/>
      <w:bookmarkEnd w:id="13"/>
      <w:r>
        <w:t>Question 2.</w:t>
      </w:r>
    </w:p>
    <w:p w14:paraId="149EC531" w14:textId="1B5899E2" w:rsidR="001C127A" w:rsidRDefault="00000000">
      <w:pPr>
        <w:pStyle w:val="Normal1"/>
      </w:pPr>
      <w:r>
        <w:t xml:space="preserve">This part aims to analyze the </w:t>
      </w:r>
      <w:r>
        <w:rPr>
          <w:b/>
        </w:rPr>
        <w:t>income statement</w:t>
      </w:r>
      <w:r>
        <w:t xml:space="preserve"> of Wales plc in the given year </w:t>
      </w:r>
      <w:r w:rsidR="000701EC">
        <w:t>end</w:t>
      </w:r>
      <w:r>
        <w:t>. The presentation of this statement is done for understanding the financial results of a business. In other terms, this statement is prepared for analyzing the results of the financial activities of a business over a financial period. The users of this statement can understand how much a company has been able to generate revenue from selling their products or services in the market (Naim, 2022). The users can also be able to observe the total amount of cost generated by the company for accruing the revenue. The analysis also contains the process where the revenue is deducted from the cost to determine the profit for the year. This statement of finance is also called by many different names such as earnings statement, P&amp;L statement, and operational statement (Tally Solutions, 2022). Some of the common components for preparing this statement are revenue, cost of sales, gross income, operational overheads, and much more. The calculation of this report contains one particular and two amounts columns. The statement is also one of the easy indicators of the business profit over a selected period. The analysis of this account for Wales company is completed below.</w:t>
      </w:r>
    </w:p>
    <w:p w14:paraId="29FFADE3" w14:textId="77777777" w:rsidR="001C127A" w:rsidRDefault="00000000">
      <w:pPr>
        <w:pStyle w:val="Normal1"/>
      </w:pPr>
      <w:r>
        <w:rPr>
          <w:noProof/>
        </w:rPr>
        <w:lastRenderedPageBreak/>
        <w:drawing>
          <wp:inline distT="114300" distB="114300" distL="114300" distR="114300" wp14:anchorId="2400047E" wp14:editId="2FB924F9">
            <wp:extent cx="5731200" cy="3441700"/>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13" name="image11.png"/>
                    <pic:cNvPicPr/>
                  </pic:nvPicPr>
                  <pic:blipFill>
                    <a:blip r:embed="rId8"/>
                    <a:stretch>
                      <a:fillRect/>
                    </a:stretch>
                  </pic:blipFill>
                  <pic:spPr>
                    <a:xfrm>
                      <a:off x="0" y="0"/>
                      <a:ext cx="5731200" cy="3441700"/>
                    </a:xfrm>
                    <a:prstGeom prst="rect">
                      <a:avLst/>
                    </a:prstGeom>
                  </pic:spPr>
                </pic:pic>
              </a:graphicData>
            </a:graphic>
          </wp:inline>
        </w:drawing>
      </w:r>
    </w:p>
    <w:p w14:paraId="50BEA313" w14:textId="77777777" w:rsidR="001C127A" w:rsidRDefault="00000000">
      <w:pPr>
        <w:pStyle w:val="Normal1"/>
      </w:pPr>
      <w:r>
        <w:t>From this above-created figure, the estimation of the total income or loss generated by the business in the 2022 year-end is estimated. The analysis of stages of the report is analyzed below.</w:t>
      </w:r>
    </w:p>
    <w:p w14:paraId="3C82DFED" w14:textId="77777777" w:rsidR="001C127A" w:rsidRDefault="00000000">
      <w:pPr>
        <w:pStyle w:val="Normal1"/>
      </w:pPr>
      <w:r>
        <w:rPr>
          <w:b/>
        </w:rPr>
        <w:t>Gross income analysis</w:t>
      </w:r>
      <w:r>
        <w:t>:- The estimation of the gross income is the first stage of the analysis of the income statement. The primary way to calculate this is by (Sales-direct costs of production) (Bragg, 2023). The direct cost includes the value of opening, and closing stocks, purchase, purchase return, and much more. In this calculation, the value of the sales is about 900,000 pounds, which is on the credit side of the statement. The amount of the sales cost is recorded as 578,650 pounds. So, the calculation of gross income is done by (900,000 - 578,650) pounds = 321,350 pounds.</w:t>
      </w:r>
    </w:p>
    <w:p w14:paraId="03D560A4" w14:textId="77777777" w:rsidR="001C127A" w:rsidRDefault="00000000">
      <w:pPr>
        <w:pStyle w:val="Normal1"/>
      </w:pPr>
      <w:r>
        <w:rPr>
          <w:b/>
        </w:rPr>
        <w:t>Operating expenditure calculation</w:t>
      </w:r>
      <w:r>
        <w:t xml:space="preserve">:- The analysis of the total operating expenses is one of the largest segments in the calculation of the income statement. This segment includes the expenses that are categorized as administrative, selling and other such expenditures. In this case, the total of the operating costs are recorded as 291,000 pounds, which is recorded on the left side of the statement. </w:t>
      </w:r>
    </w:p>
    <w:p w14:paraId="2BE92961" w14:textId="77777777" w:rsidR="001C127A" w:rsidRDefault="00000000">
      <w:pPr>
        <w:pStyle w:val="Normal1"/>
      </w:pPr>
      <w:r>
        <w:rPr>
          <w:b/>
        </w:rPr>
        <w:t>Net income calculation</w:t>
      </w:r>
      <w:r>
        <w:t>:- The calculation of the net income is the end goal of the calculation of the income statement. This goal is achieved by (Gross income - Operational overheads). From the analysis of the above table, the amount of income is recorded as 322,350 pounds and the operational cost is stated as 291,000 pounds. So, the amount of the net profit of the company for this given financial year is about (322,350-291,000) = 31,350 pounds.</w:t>
      </w:r>
    </w:p>
    <w:p w14:paraId="2AE531C0" w14:textId="77777777" w:rsidR="001C127A" w:rsidRDefault="00000000">
      <w:pPr>
        <w:pStyle w:val="1"/>
      </w:pPr>
      <w:bookmarkStart w:id="14" w:name="_d4eck43nm1lh" w:colFirst="0" w:colLast="0"/>
      <w:bookmarkEnd w:id="14"/>
      <w:r>
        <w:lastRenderedPageBreak/>
        <w:t>Question 3.</w:t>
      </w:r>
    </w:p>
    <w:p w14:paraId="35B25F7A" w14:textId="77777777" w:rsidR="001C127A" w:rsidRDefault="00000000">
      <w:pPr>
        <w:pStyle w:val="Normal1"/>
      </w:pPr>
      <w:r>
        <w:t>This segment is meant to analyze the ratios of Sweet Company for both of the given years. The estimation of the ratios is completed below.</w:t>
      </w:r>
    </w:p>
    <w:p w14:paraId="1705A52A" w14:textId="77777777" w:rsidR="001C127A" w:rsidRDefault="00000000">
      <w:pPr>
        <w:pStyle w:val="Normal1"/>
        <w:numPr>
          <w:ilvl w:val="0"/>
          <w:numId w:val="1"/>
        </w:numPr>
        <w:rPr>
          <w:b/>
        </w:rPr>
      </w:pPr>
      <w:r>
        <w:rPr>
          <w:b/>
        </w:rPr>
        <w:t>ROCE.</w:t>
      </w:r>
    </w:p>
    <w:p w14:paraId="4E9DE791" w14:textId="77777777" w:rsidR="001C127A" w:rsidRDefault="00000000">
      <w:pPr>
        <w:pStyle w:val="Normal1"/>
      </w:pPr>
      <w:r>
        <w:rPr>
          <w:noProof/>
        </w:rPr>
        <w:drawing>
          <wp:inline distT="114300" distB="114300" distL="114300" distR="114300" wp14:anchorId="6CCC3E12" wp14:editId="72761BAB">
            <wp:extent cx="5731200" cy="2006600"/>
            <wp:effectExtent l="0" t="0" r="0" b="0"/>
            <wp:docPr id="4" name="image13.png"/>
            <wp:cNvGraphicFramePr/>
            <a:graphic xmlns:a="http://schemas.openxmlformats.org/drawingml/2006/main">
              <a:graphicData uri="http://schemas.openxmlformats.org/drawingml/2006/picture">
                <pic:pic xmlns:pic="http://schemas.openxmlformats.org/drawingml/2006/picture">
                  <pic:nvPicPr>
                    <pic:cNvPr id="4" name="image13.png"/>
                    <pic:cNvPicPr/>
                  </pic:nvPicPr>
                  <pic:blipFill>
                    <a:blip r:embed="rId9"/>
                    <a:stretch>
                      <a:fillRect/>
                    </a:stretch>
                  </pic:blipFill>
                  <pic:spPr>
                    <a:xfrm>
                      <a:off x="0" y="0"/>
                      <a:ext cx="5731200" cy="2006600"/>
                    </a:xfrm>
                    <a:prstGeom prst="rect">
                      <a:avLst/>
                    </a:prstGeom>
                  </pic:spPr>
                </pic:pic>
              </a:graphicData>
            </a:graphic>
          </wp:inline>
        </w:drawing>
      </w:r>
    </w:p>
    <w:p w14:paraId="1AC97F11" w14:textId="77777777" w:rsidR="001C127A" w:rsidRDefault="00000000">
      <w:pPr>
        <w:pStyle w:val="Normal1"/>
      </w:pPr>
      <w:r>
        <w:t xml:space="preserve">In this figure, the analysis of the </w:t>
      </w:r>
      <w:r>
        <w:rPr>
          <w:b/>
        </w:rPr>
        <w:t xml:space="preserve">ROCE </w:t>
      </w:r>
      <w:r>
        <w:t xml:space="preserve">is estimated. In simpler words, this calculation aims to understand the efficiency of the business in using the capital of the company. For that reason, this analysis can indicate the long-term profit of the business. By doing that a company can ensure a proper allocation of capital in the different segments of the business (Wall Street Prep, 2023). By doing that an organization can secure a sufficient return. In the calculation, the rate is higher in 2022. </w:t>
      </w:r>
    </w:p>
    <w:p w14:paraId="3F1C7D67" w14:textId="77777777" w:rsidR="001C127A" w:rsidRDefault="00000000">
      <w:pPr>
        <w:pStyle w:val="Normal1"/>
        <w:numPr>
          <w:ilvl w:val="0"/>
          <w:numId w:val="1"/>
        </w:numPr>
        <w:rPr>
          <w:b/>
        </w:rPr>
      </w:pPr>
      <w:r>
        <w:rPr>
          <w:b/>
        </w:rPr>
        <w:t>ROE.</w:t>
      </w:r>
    </w:p>
    <w:p w14:paraId="4303A42C" w14:textId="77777777" w:rsidR="001C127A" w:rsidRDefault="00000000">
      <w:pPr>
        <w:pStyle w:val="Normal1"/>
      </w:pPr>
      <w:r>
        <w:rPr>
          <w:noProof/>
        </w:rPr>
        <w:drawing>
          <wp:inline distT="114300" distB="114300" distL="114300" distR="114300" wp14:anchorId="381054F3" wp14:editId="6597C26B">
            <wp:extent cx="5731200" cy="1524000"/>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7" name="image10.png"/>
                    <pic:cNvPicPr/>
                  </pic:nvPicPr>
                  <pic:blipFill>
                    <a:blip r:embed="rId10"/>
                    <a:stretch>
                      <a:fillRect/>
                    </a:stretch>
                  </pic:blipFill>
                  <pic:spPr>
                    <a:xfrm>
                      <a:off x="0" y="0"/>
                      <a:ext cx="5731200" cy="1524000"/>
                    </a:xfrm>
                    <a:prstGeom prst="rect">
                      <a:avLst/>
                    </a:prstGeom>
                  </pic:spPr>
                </pic:pic>
              </a:graphicData>
            </a:graphic>
          </wp:inline>
        </w:drawing>
      </w:r>
    </w:p>
    <w:p w14:paraId="7DBDF7F5" w14:textId="629E2553" w:rsidR="001C127A" w:rsidRDefault="00000000">
      <w:pPr>
        <w:pStyle w:val="Normal1"/>
      </w:pPr>
      <w:r>
        <w:t xml:space="preserve">The analysis of the </w:t>
      </w:r>
      <w:r>
        <w:rPr>
          <w:b/>
        </w:rPr>
        <w:t xml:space="preserve">ROE </w:t>
      </w:r>
      <w:r>
        <w:t xml:space="preserve">is a valuable estimation for the business investors of a company. This estimation aims to </w:t>
      </w:r>
      <w:r w:rsidR="000701EC">
        <w:t>highlight</w:t>
      </w:r>
      <w:r>
        <w:t xml:space="preserve"> the relationship between the investor's return and the profit earned by an organization. In other words, this calculation is meant to show the efficiency of an organization to utilize the share capital to generate profit. The calculation method for this is (Net profit/ Equity) (Bernstein, 2018). In the above calculation, the company has a greater ROE in 2022, which indicates a higher efficiency of using capital than last year. </w:t>
      </w:r>
    </w:p>
    <w:p w14:paraId="7BDE793F" w14:textId="77777777" w:rsidR="001C127A" w:rsidRDefault="00000000">
      <w:pPr>
        <w:pStyle w:val="Normal1"/>
        <w:numPr>
          <w:ilvl w:val="0"/>
          <w:numId w:val="1"/>
        </w:numPr>
        <w:rPr>
          <w:b/>
        </w:rPr>
      </w:pPr>
      <w:r>
        <w:rPr>
          <w:b/>
        </w:rPr>
        <w:t>Earnings per share.</w:t>
      </w:r>
    </w:p>
    <w:p w14:paraId="20DE60D9" w14:textId="77777777" w:rsidR="001C127A" w:rsidRDefault="00000000">
      <w:pPr>
        <w:pStyle w:val="Normal1"/>
      </w:pPr>
      <w:r>
        <w:rPr>
          <w:noProof/>
        </w:rPr>
        <w:lastRenderedPageBreak/>
        <w:drawing>
          <wp:inline distT="114300" distB="114300" distL="114300" distR="114300" wp14:anchorId="0A0A8267" wp14:editId="503962BD">
            <wp:extent cx="5731200" cy="14986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1"/>
                    <a:stretch>
                      <a:fillRect/>
                    </a:stretch>
                  </pic:blipFill>
                  <pic:spPr>
                    <a:xfrm>
                      <a:off x="0" y="0"/>
                      <a:ext cx="5731200" cy="1498600"/>
                    </a:xfrm>
                    <a:prstGeom prst="rect">
                      <a:avLst/>
                    </a:prstGeom>
                  </pic:spPr>
                </pic:pic>
              </a:graphicData>
            </a:graphic>
          </wp:inline>
        </w:drawing>
      </w:r>
    </w:p>
    <w:p w14:paraId="0E361B29" w14:textId="77777777" w:rsidR="001C127A" w:rsidRDefault="00000000">
      <w:pPr>
        <w:pStyle w:val="Normal1"/>
      </w:pPr>
      <w:r>
        <w:t xml:space="preserve">The evaluation of </w:t>
      </w:r>
      <w:r>
        <w:rPr>
          <w:b/>
        </w:rPr>
        <w:t xml:space="preserve">EPS </w:t>
      </w:r>
      <w:r>
        <w:t xml:space="preserve">is a key analysis for the investors of a company. The calculation is made to evaluate the profit value, which is distributed among the shareholders. The calculation process of this is to estimate the total allocated profit of a company, which can be distributed on a per-share basis (Schwab, 2023). The formula for this estimation is (net profit/ average outstanding share). In this calculation, the EPS value is larger in 2022. It indicates a higher value of income per share.  </w:t>
      </w:r>
    </w:p>
    <w:p w14:paraId="4CBC9B75" w14:textId="77777777" w:rsidR="001C127A" w:rsidRDefault="00000000">
      <w:pPr>
        <w:pStyle w:val="Normal1"/>
        <w:numPr>
          <w:ilvl w:val="0"/>
          <w:numId w:val="1"/>
        </w:numPr>
        <w:rPr>
          <w:b/>
        </w:rPr>
      </w:pPr>
      <w:r>
        <w:rPr>
          <w:b/>
        </w:rPr>
        <w:t>Net profit margin.</w:t>
      </w:r>
    </w:p>
    <w:p w14:paraId="7AA4ADBE" w14:textId="77777777" w:rsidR="001C127A" w:rsidRDefault="00000000">
      <w:pPr>
        <w:pStyle w:val="Normal1"/>
      </w:pPr>
      <w:r>
        <w:rPr>
          <w:noProof/>
        </w:rPr>
        <w:drawing>
          <wp:inline distT="114300" distB="114300" distL="114300" distR="114300" wp14:anchorId="448DC4C7" wp14:editId="0DC2D126">
            <wp:extent cx="5731200" cy="15367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1" name="image9.png"/>
                    <pic:cNvPicPr/>
                  </pic:nvPicPr>
                  <pic:blipFill>
                    <a:blip r:embed="rId12"/>
                    <a:stretch>
                      <a:fillRect/>
                    </a:stretch>
                  </pic:blipFill>
                  <pic:spPr>
                    <a:xfrm>
                      <a:off x="0" y="0"/>
                      <a:ext cx="5731200" cy="1536700"/>
                    </a:xfrm>
                    <a:prstGeom prst="rect">
                      <a:avLst/>
                    </a:prstGeom>
                  </pic:spPr>
                </pic:pic>
              </a:graphicData>
            </a:graphic>
          </wp:inline>
        </w:drawing>
      </w:r>
    </w:p>
    <w:p w14:paraId="1AAA54DA" w14:textId="77777777" w:rsidR="001C127A" w:rsidRDefault="00000000">
      <w:pPr>
        <w:pStyle w:val="Normal1"/>
      </w:pPr>
      <w:r>
        <w:t xml:space="preserve">The estimation of </w:t>
      </w:r>
      <w:r>
        <w:rPr>
          <w:b/>
        </w:rPr>
        <w:t>net profit margin</w:t>
      </w:r>
      <w:r>
        <w:t xml:space="preserve"> is a method of analyzing the capability of a business to earn profit for the business. In easier terms, the calculation is prepared to estimate the efficiency of a company in generating income from its revenue after paying all the debts and overheads (Alvian and Munandar, 2022). This calculation has two main components. These are net income after tax and interest and the revenue for the period (Tamplin, 2023b). In the above calculation, the net profit margin will increase in 2022. Due to that, the profit-earning capability of the company has improved this year. </w:t>
      </w:r>
    </w:p>
    <w:p w14:paraId="1385E85E" w14:textId="77777777" w:rsidR="001C127A" w:rsidRDefault="00000000">
      <w:pPr>
        <w:pStyle w:val="Normal1"/>
        <w:numPr>
          <w:ilvl w:val="0"/>
          <w:numId w:val="1"/>
        </w:numPr>
        <w:rPr>
          <w:b/>
        </w:rPr>
      </w:pPr>
      <w:r>
        <w:rPr>
          <w:b/>
        </w:rPr>
        <w:t>Asset turnover</w:t>
      </w:r>
    </w:p>
    <w:p w14:paraId="13302855" w14:textId="77777777" w:rsidR="001C127A" w:rsidRDefault="00000000">
      <w:pPr>
        <w:pStyle w:val="Normal1"/>
      </w:pPr>
      <w:r>
        <w:rPr>
          <w:noProof/>
        </w:rPr>
        <w:drawing>
          <wp:inline distT="114300" distB="114300" distL="114300" distR="114300" wp14:anchorId="05DE63E4" wp14:editId="3FAAE770">
            <wp:extent cx="5731200" cy="15113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13"/>
                    <a:stretch>
                      <a:fillRect/>
                    </a:stretch>
                  </pic:blipFill>
                  <pic:spPr>
                    <a:xfrm>
                      <a:off x="0" y="0"/>
                      <a:ext cx="5731200" cy="1511300"/>
                    </a:xfrm>
                    <a:prstGeom prst="rect">
                      <a:avLst/>
                    </a:prstGeom>
                  </pic:spPr>
                </pic:pic>
              </a:graphicData>
            </a:graphic>
          </wp:inline>
        </w:drawing>
      </w:r>
    </w:p>
    <w:p w14:paraId="3987F19D" w14:textId="77777777" w:rsidR="001C127A" w:rsidRDefault="00000000">
      <w:pPr>
        <w:pStyle w:val="Normal1"/>
      </w:pPr>
      <w:r>
        <w:lastRenderedPageBreak/>
        <w:t xml:space="preserve">The estimation of asset turnover is one of the key analyses in the efficiency ratios. This ratio aims to analyze the revenue-generating efficiency by using the assets and resources of a business. The primary process to calculate this is to compare the value of the total revenue with the value of average assets. The average assets can be calculated by (Σ opening assets +Σ of closing assets)/2 (Luther, 2022). In this analysis, the company will have a higher ratio in 2022. It indicates a higher efficiency of utilizing assets. </w:t>
      </w:r>
    </w:p>
    <w:p w14:paraId="2F4CD85F" w14:textId="77777777" w:rsidR="001C127A" w:rsidRDefault="00000000">
      <w:pPr>
        <w:pStyle w:val="Normal1"/>
        <w:numPr>
          <w:ilvl w:val="0"/>
          <w:numId w:val="1"/>
        </w:numPr>
        <w:rPr>
          <w:b/>
        </w:rPr>
      </w:pPr>
      <w:r>
        <w:rPr>
          <w:b/>
        </w:rPr>
        <w:t>Stock holding days.</w:t>
      </w:r>
    </w:p>
    <w:p w14:paraId="3215812A" w14:textId="77777777" w:rsidR="001C127A" w:rsidRDefault="00000000">
      <w:pPr>
        <w:pStyle w:val="Normal1"/>
      </w:pPr>
      <w:r>
        <w:rPr>
          <w:noProof/>
        </w:rPr>
        <w:drawing>
          <wp:inline distT="114300" distB="114300" distL="114300" distR="114300" wp14:anchorId="1A7D83B7" wp14:editId="5C32B6A8">
            <wp:extent cx="5731200" cy="15367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4"/>
                    <a:stretch>
                      <a:fillRect/>
                    </a:stretch>
                  </pic:blipFill>
                  <pic:spPr>
                    <a:xfrm>
                      <a:off x="0" y="0"/>
                      <a:ext cx="5731200" cy="1536700"/>
                    </a:xfrm>
                    <a:prstGeom prst="rect">
                      <a:avLst/>
                    </a:prstGeom>
                  </pic:spPr>
                </pic:pic>
              </a:graphicData>
            </a:graphic>
          </wp:inline>
        </w:drawing>
      </w:r>
    </w:p>
    <w:p w14:paraId="7E08FB20" w14:textId="037B0E04" w:rsidR="001C127A" w:rsidRDefault="00000000">
      <w:pPr>
        <w:pStyle w:val="Normal1"/>
      </w:pPr>
      <w:r>
        <w:t xml:space="preserve">This calculation is made for tracking the efficiency of a business in clearing its stocks. In easier terms, this calculation is done by the business stakeholders to understand the time required by an organization to clear its stocks by selling them. Higher days in the calculation suggested that a company has a slow selling rate. The formula for this is (Stock/ COGS) (Luther, 2022). In the above estimation, the company has </w:t>
      </w:r>
      <w:r w:rsidR="000701EC">
        <w:t>an average</w:t>
      </w:r>
      <w:r>
        <w:t xml:space="preserve"> </w:t>
      </w:r>
      <w:r w:rsidR="000701EC">
        <w:t>number of days</w:t>
      </w:r>
      <w:r>
        <w:t xml:space="preserve"> of clearing its inventory is about 79.88 days. </w:t>
      </w:r>
    </w:p>
    <w:p w14:paraId="3996F6C8" w14:textId="77777777" w:rsidR="001C127A" w:rsidRDefault="00000000">
      <w:pPr>
        <w:pStyle w:val="Normal1"/>
        <w:numPr>
          <w:ilvl w:val="0"/>
          <w:numId w:val="1"/>
        </w:numPr>
        <w:rPr>
          <w:b/>
        </w:rPr>
      </w:pPr>
      <w:r>
        <w:rPr>
          <w:b/>
        </w:rPr>
        <w:t>Debtors collection period.</w:t>
      </w:r>
    </w:p>
    <w:p w14:paraId="6F862FBE" w14:textId="77777777" w:rsidR="001C127A" w:rsidRDefault="00000000">
      <w:pPr>
        <w:pStyle w:val="Normal1"/>
      </w:pPr>
      <w:r>
        <w:rPr>
          <w:noProof/>
        </w:rPr>
        <w:drawing>
          <wp:inline distT="114300" distB="114300" distL="114300" distR="114300" wp14:anchorId="20962732" wp14:editId="3B6A6CAD">
            <wp:extent cx="5731200" cy="1549400"/>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8" name="image12.png"/>
                    <pic:cNvPicPr/>
                  </pic:nvPicPr>
                  <pic:blipFill>
                    <a:blip r:embed="rId15"/>
                    <a:stretch>
                      <a:fillRect/>
                    </a:stretch>
                  </pic:blipFill>
                  <pic:spPr>
                    <a:xfrm>
                      <a:off x="0" y="0"/>
                      <a:ext cx="5731200" cy="1549400"/>
                    </a:xfrm>
                    <a:prstGeom prst="rect">
                      <a:avLst/>
                    </a:prstGeom>
                  </pic:spPr>
                </pic:pic>
              </a:graphicData>
            </a:graphic>
          </wp:inline>
        </w:drawing>
      </w:r>
    </w:p>
    <w:p w14:paraId="09E28B1B" w14:textId="77777777" w:rsidR="001C127A" w:rsidRDefault="00000000">
      <w:pPr>
        <w:pStyle w:val="Normal1"/>
      </w:pPr>
      <w:r>
        <w:t xml:space="preserve">The days of average receivable are also a part of the efficiency ratios. This ratio aims to estimate the average period of a business receiving payments from its debtors. In other terms, this calculation is done to understand the average period that is required by a company to receive their payment from their debtors. The method for this is (Tread debtors/ Credit sales)*365 (Corporate Finance Institute, 2023). In 2022 Wales Plc is required about 67.66 days on average for receiving payments from their debtors, which is lower than the previous year’s record. </w:t>
      </w:r>
    </w:p>
    <w:p w14:paraId="52FF40AE" w14:textId="77777777" w:rsidR="001C127A" w:rsidRDefault="00000000">
      <w:pPr>
        <w:pStyle w:val="Normal1"/>
        <w:numPr>
          <w:ilvl w:val="0"/>
          <w:numId w:val="1"/>
        </w:numPr>
        <w:rPr>
          <w:b/>
        </w:rPr>
      </w:pPr>
      <w:r>
        <w:rPr>
          <w:b/>
        </w:rPr>
        <w:t>Current ratio.</w:t>
      </w:r>
    </w:p>
    <w:p w14:paraId="2561440E" w14:textId="77777777" w:rsidR="001C127A" w:rsidRDefault="00000000">
      <w:pPr>
        <w:pStyle w:val="Normal1"/>
      </w:pPr>
      <w:r>
        <w:rPr>
          <w:noProof/>
        </w:rPr>
        <w:lastRenderedPageBreak/>
        <w:drawing>
          <wp:inline distT="114300" distB="114300" distL="114300" distR="114300" wp14:anchorId="7CD7F592" wp14:editId="03F4E23F">
            <wp:extent cx="5731200" cy="1524000"/>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11" name="image8.png"/>
                    <pic:cNvPicPr/>
                  </pic:nvPicPr>
                  <pic:blipFill>
                    <a:blip r:embed="rId16"/>
                    <a:stretch>
                      <a:fillRect/>
                    </a:stretch>
                  </pic:blipFill>
                  <pic:spPr>
                    <a:xfrm>
                      <a:off x="0" y="0"/>
                      <a:ext cx="5731200" cy="1524000"/>
                    </a:xfrm>
                    <a:prstGeom prst="rect">
                      <a:avLst/>
                    </a:prstGeom>
                  </pic:spPr>
                </pic:pic>
              </a:graphicData>
            </a:graphic>
          </wp:inline>
        </w:drawing>
      </w:r>
    </w:p>
    <w:p w14:paraId="1F7C95B2" w14:textId="77777777" w:rsidR="001C127A" w:rsidRDefault="00000000">
      <w:pPr>
        <w:pStyle w:val="Normal1"/>
      </w:pPr>
      <w:r>
        <w:t xml:space="preserve">The estimation of the current ratio is also a key analysis of a company. The goal of this analysis is to determine the current liquidity position of an organization (Janie and Rosyati, 2022). This is done by (Current assets/ Current liabilities and debts) (Rochim and Ghoniyah, 2017). By estimating this ratio by using this formula a company can understand how much liquidity a company has compared to its current debts. In this estimation, Wales Plc has a current ratio is 0.92:1 in 2022, which is higher than in 2021. </w:t>
      </w:r>
    </w:p>
    <w:p w14:paraId="09878185" w14:textId="77777777" w:rsidR="001C127A" w:rsidRDefault="00000000">
      <w:pPr>
        <w:pStyle w:val="Normal1"/>
        <w:numPr>
          <w:ilvl w:val="0"/>
          <w:numId w:val="1"/>
        </w:numPr>
        <w:rPr>
          <w:b/>
        </w:rPr>
      </w:pPr>
      <w:r>
        <w:rPr>
          <w:b/>
        </w:rPr>
        <w:t>Gearing ratio.</w:t>
      </w:r>
    </w:p>
    <w:p w14:paraId="2E80731B" w14:textId="77777777" w:rsidR="001C127A" w:rsidRDefault="00000000">
      <w:pPr>
        <w:pStyle w:val="Normal1"/>
      </w:pPr>
      <w:r>
        <w:rPr>
          <w:noProof/>
        </w:rPr>
        <w:drawing>
          <wp:inline distT="114300" distB="114300" distL="114300" distR="114300" wp14:anchorId="64983645" wp14:editId="3E66D56D">
            <wp:extent cx="5731200" cy="15494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7"/>
                    <a:stretch>
                      <a:fillRect/>
                    </a:stretch>
                  </pic:blipFill>
                  <pic:spPr>
                    <a:xfrm>
                      <a:off x="0" y="0"/>
                      <a:ext cx="5731200" cy="1549400"/>
                    </a:xfrm>
                    <a:prstGeom prst="rect">
                      <a:avLst/>
                    </a:prstGeom>
                  </pic:spPr>
                </pic:pic>
              </a:graphicData>
            </a:graphic>
          </wp:inline>
        </w:drawing>
      </w:r>
    </w:p>
    <w:p w14:paraId="10CC9799" w14:textId="0115D888" w:rsidR="001C127A" w:rsidRDefault="00000000">
      <w:pPr>
        <w:pStyle w:val="Normal1"/>
      </w:pPr>
      <w:r>
        <w:t xml:space="preserve">The gearing ratio is a way to understand the total amount of </w:t>
      </w:r>
      <w:r w:rsidR="000701EC">
        <w:t>debt</w:t>
      </w:r>
      <w:r>
        <w:t xml:space="preserve"> in a company. In easier terms, this calculation is made to determine the value of debts compared to the value of equity in the business. This analysis can provide insight into the financing process of a company. A lower rate of gearing is always desirable to the shareholders of a business (Lion Trust, 2023). Because it indicates less amount of financial risk in the business. In this estimation, the company has </w:t>
      </w:r>
      <w:r w:rsidR="000701EC">
        <w:t>the</w:t>
      </w:r>
      <w:r>
        <w:t xml:space="preserve"> same gearing ratio in both years. </w:t>
      </w:r>
    </w:p>
    <w:p w14:paraId="13E07252" w14:textId="77777777" w:rsidR="001C127A" w:rsidRDefault="00000000">
      <w:pPr>
        <w:pStyle w:val="Normal1"/>
        <w:numPr>
          <w:ilvl w:val="0"/>
          <w:numId w:val="1"/>
        </w:numPr>
        <w:rPr>
          <w:b/>
        </w:rPr>
      </w:pPr>
      <w:r>
        <w:rPr>
          <w:b/>
        </w:rPr>
        <w:t>Interest cover.</w:t>
      </w:r>
    </w:p>
    <w:p w14:paraId="248E6DEF" w14:textId="77777777" w:rsidR="001C127A" w:rsidRDefault="00000000">
      <w:pPr>
        <w:pStyle w:val="Normal1"/>
      </w:pPr>
      <w:r>
        <w:rPr>
          <w:noProof/>
        </w:rPr>
        <w:drawing>
          <wp:inline distT="114300" distB="114300" distL="114300" distR="114300" wp14:anchorId="0A1680B5" wp14:editId="1C544585">
            <wp:extent cx="5731200" cy="153670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18"/>
                    <a:stretch>
                      <a:fillRect/>
                    </a:stretch>
                  </pic:blipFill>
                  <pic:spPr>
                    <a:xfrm>
                      <a:off x="0" y="0"/>
                      <a:ext cx="5731200" cy="1536700"/>
                    </a:xfrm>
                    <a:prstGeom prst="rect">
                      <a:avLst/>
                    </a:prstGeom>
                  </pic:spPr>
                </pic:pic>
              </a:graphicData>
            </a:graphic>
          </wp:inline>
        </w:drawing>
      </w:r>
    </w:p>
    <w:p w14:paraId="071C41DE" w14:textId="1B73F26C" w:rsidR="001C127A" w:rsidRDefault="00000000">
      <w:pPr>
        <w:pStyle w:val="Normal1"/>
      </w:pPr>
      <w:r>
        <w:lastRenderedPageBreak/>
        <w:t xml:space="preserve">As the name suggested this is </w:t>
      </w:r>
      <w:r w:rsidR="000701EC">
        <w:t>done</w:t>
      </w:r>
      <w:r>
        <w:t xml:space="preserve"> for analyzing the capability of a business to provide interest for its outstanding overheads. Due to that this ratio is utilized by the investors to understand the financial health of a business. This analysis can also indicate the ability of a company to </w:t>
      </w:r>
      <w:r w:rsidR="000701EC">
        <w:t>oversee</w:t>
      </w:r>
      <w:r>
        <w:t xml:space="preserve"> a decline in income. The formula of this ratio is (EBIT/ Interest on debts) (Accounting Superpowers, 2021). From the above ratio, the ability to pay interest in Wales has declined in 2022. </w:t>
      </w:r>
    </w:p>
    <w:p w14:paraId="6217A588" w14:textId="77777777" w:rsidR="001C127A" w:rsidRDefault="00000000">
      <w:pPr>
        <w:pStyle w:val="Normal1"/>
        <w:rPr>
          <w:b/>
        </w:rPr>
      </w:pPr>
      <w:r>
        <w:rPr>
          <w:b/>
        </w:rPr>
        <w:t>Comparison of ratios</w:t>
      </w:r>
    </w:p>
    <w:p w14:paraId="403641FA" w14:textId="77777777" w:rsidR="001C127A" w:rsidRDefault="00000000">
      <w:pPr>
        <w:pStyle w:val="Normal1"/>
        <w:jc w:val="center"/>
      </w:pPr>
      <w:r>
        <w:rPr>
          <w:noProof/>
        </w:rPr>
        <w:drawing>
          <wp:inline distT="114300" distB="114300" distL="114300" distR="114300" wp14:anchorId="67FBC7C5" wp14:editId="412BC335">
            <wp:extent cx="5731200" cy="21209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9"/>
                    <a:stretch>
                      <a:fillRect/>
                    </a:stretch>
                  </pic:blipFill>
                  <pic:spPr>
                    <a:xfrm>
                      <a:off x="0" y="0"/>
                      <a:ext cx="5731200" cy="2120900"/>
                    </a:xfrm>
                    <a:prstGeom prst="rect">
                      <a:avLst/>
                    </a:prstGeom>
                  </pic:spPr>
                </pic:pic>
              </a:graphicData>
            </a:graphic>
          </wp:inline>
        </w:drawing>
      </w:r>
    </w:p>
    <w:p w14:paraId="7C8DD90D" w14:textId="77777777" w:rsidR="001C127A" w:rsidRDefault="00000000">
      <w:pPr>
        <w:pStyle w:val="Normal1"/>
      </w:pPr>
      <w:r>
        <w:t xml:space="preserve">The given figure represents the summary of the change in the financial condition of the organization. From the analysis of this statement, the ability to use assets to generate income for the company has reduced in 2022. The ability of the company to sell its goods in a short period is also reduced in 2022. This estimation is done by understanding the analysis of the inventory ratio of the business. However, other ratios of the organization have improved in 2022 compared to 2021. For example, the position of liquidity of the business improved in 2022. </w:t>
      </w:r>
    </w:p>
    <w:p w14:paraId="68CCC1A1" w14:textId="77777777" w:rsidR="001C127A" w:rsidRDefault="00000000">
      <w:pPr>
        <w:pStyle w:val="1"/>
      </w:pPr>
      <w:bookmarkStart w:id="15" w:name="_zbrnvg4snacp" w:colFirst="0" w:colLast="0"/>
      <w:bookmarkEnd w:id="15"/>
      <w:r>
        <w:t>Conclusion</w:t>
      </w:r>
    </w:p>
    <w:p w14:paraId="122D2BB6" w14:textId="7B4AF947" w:rsidR="001C127A" w:rsidRDefault="00000000">
      <w:pPr>
        <w:pStyle w:val="Normal1"/>
      </w:pPr>
      <w:r>
        <w:t xml:space="preserve">This essay </w:t>
      </w:r>
      <w:r w:rsidR="000701EC">
        <w:t>summarized</w:t>
      </w:r>
      <w:r>
        <w:t xml:space="preserve"> the estimation of the provided statements was prepared in the first segment. In the process of the financial statement preparation, it can be observed that Wales' company earned a net profit worth 31,350 pounds in the provided accounting period. The analysis of ratios was also conducted in the third question. From that, the overall financial condition of Sweet plc has increased in 2022. However, the inventory turnover and assets turnover efficiency of the company have decreased in 2022. </w:t>
      </w:r>
    </w:p>
    <w:p w14:paraId="69F2A002" w14:textId="77777777" w:rsidR="001C127A" w:rsidRDefault="00000000">
      <w:pPr>
        <w:pStyle w:val="Normal1"/>
      </w:pPr>
      <w:r>
        <w:br w:type="page"/>
      </w:r>
    </w:p>
    <w:p w14:paraId="1BF16417" w14:textId="77777777" w:rsidR="001C127A" w:rsidRDefault="00000000">
      <w:pPr>
        <w:pStyle w:val="1"/>
      </w:pPr>
      <w:bookmarkStart w:id="16" w:name="_qc57c6v9ix" w:colFirst="0" w:colLast="0"/>
      <w:bookmarkEnd w:id="16"/>
      <w:r>
        <w:lastRenderedPageBreak/>
        <w:t>References</w:t>
      </w:r>
    </w:p>
    <w:p w14:paraId="0377F684" w14:textId="77777777" w:rsidR="00FC10F8" w:rsidRDefault="00FC10F8">
      <w:pPr>
        <w:pStyle w:val="Normal1"/>
        <w:spacing w:before="240" w:after="240"/>
      </w:pPr>
      <w:r>
        <w:t xml:space="preserve">Accounting Superpowers. (2021) </w:t>
      </w:r>
      <w:r>
        <w:rPr>
          <w:i/>
        </w:rPr>
        <w:t>Interest coverage ratio</w:t>
      </w:r>
      <w:r>
        <w:t xml:space="preserve">, </w:t>
      </w:r>
      <w:r>
        <w:rPr>
          <w:i/>
        </w:rPr>
        <w:t>Accounting Superpowers</w:t>
      </w:r>
      <w:r>
        <w:t xml:space="preserve">. Available at: https://accountingsuperpowers.com/financial-statements/ratio-analysis/interest-coverage-ratio/ (Accessed: 11 December 2023). </w:t>
      </w:r>
    </w:p>
    <w:p w14:paraId="2C38D802" w14:textId="6448F966" w:rsidR="00FC10F8" w:rsidRDefault="00FC10F8">
      <w:pPr>
        <w:pStyle w:val="Normal1"/>
      </w:pPr>
      <w:r>
        <w:t xml:space="preserve">Alvian, R. and Munandar, A., (2022). The influence of </w:t>
      </w:r>
      <w:r w:rsidR="000701EC">
        <w:t>debt-to-equity</w:t>
      </w:r>
      <w:r>
        <w:t xml:space="preserve"> ratio, net profit margin, and cash ratio on firm value. </w:t>
      </w:r>
      <w:r>
        <w:rPr>
          <w:i/>
        </w:rPr>
        <w:t>Fair Value: Jurnal Ilmiah Akuntansi Dan Keuangan</w:t>
      </w:r>
      <w:r>
        <w:t xml:space="preserve">, </w:t>
      </w:r>
      <w:r>
        <w:rPr>
          <w:i/>
        </w:rPr>
        <w:t>4</w:t>
      </w:r>
      <w:r>
        <w:t xml:space="preserve">(7), pp.2682-2690. </w:t>
      </w:r>
      <w:hyperlink r:id="rId20">
        <w:r>
          <w:rPr>
            <w:color w:val="1155CC"/>
            <w:u w:val="single"/>
          </w:rPr>
          <w:t>http://journal.ikopin.ac.id/index.php/fairvalue/article/view/1204</w:t>
        </w:r>
      </w:hyperlink>
      <w:r>
        <w:t>.</w:t>
      </w:r>
    </w:p>
    <w:p w14:paraId="1BC38518" w14:textId="77777777" w:rsidR="00FC10F8" w:rsidRDefault="00FC10F8">
      <w:pPr>
        <w:pStyle w:val="Normal1"/>
      </w:pPr>
      <w:r>
        <w:t xml:space="preserve">Baudot, L., (2013). Perspectives on the role of and need for accounting regulation. In </w:t>
      </w:r>
      <w:r>
        <w:rPr>
          <w:i/>
        </w:rPr>
        <w:t>The Routledge Companion to Accounting, Reporting and Regulation</w:t>
      </w:r>
      <w:r>
        <w:t xml:space="preserve"> (pp. 207-227). Routledge. </w:t>
      </w:r>
      <w:hyperlink r:id="rId21">
        <w:r>
          <w:rPr>
            <w:color w:val="1155CC"/>
            <w:u w:val="single"/>
          </w:rPr>
          <w:t>https://api.taylorfrancis.com/content/chapters/edit/download?identifierName=doi&amp;identifierValue=10.4324/</w:t>
        </w:r>
      </w:hyperlink>
      <w:hyperlink r:id="rId22">
        <w:r>
          <w:rPr>
            <w:color w:val="1155CC"/>
            <w:u w:val="single"/>
          </w:rPr>
          <w:t>9780203103203-14&amp;type</w:t>
        </w:r>
      </w:hyperlink>
      <w:hyperlink r:id="rId23">
        <w:r>
          <w:rPr>
            <w:color w:val="1155CC"/>
            <w:u w:val="single"/>
          </w:rPr>
          <w:t>=</w:t>
        </w:r>
      </w:hyperlink>
      <w:hyperlink r:id="rId24">
        <w:r>
          <w:rPr>
            <w:color w:val="1155CC"/>
            <w:u w:val="single"/>
          </w:rPr>
          <w:t>chapterpdf</w:t>
        </w:r>
      </w:hyperlink>
      <w:r>
        <w:t>.</w:t>
      </w:r>
    </w:p>
    <w:p w14:paraId="36D59E52" w14:textId="77777777" w:rsidR="00FC10F8" w:rsidRDefault="00FC10F8">
      <w:pPr>
        <w:pStyle w:val="Normal1"/>
        <w:spacing w:before="240" w:after="240"/>
      </w:pPr>
      <w:r>
        <w:t xml:space="preserve">Bernstein, C. (2018) </w:t>
      </w:r>
      <w:r>
        <w:rPr>
          <w:i/>
        </w:rPr>
        <w:t>What is the return on equity (roe)?: Definition from TechTarget</w:t>
      </w:r>
      <w:r>
        <w:t xml:space="preserve">, </w:t>
      </w:r>
      <w:r>
        <w:rPr>
          <w:i/>
        </w:rPr>
        <w:t>WhatIs</w:t>
      </w:r>
      <w:r>
        <w:t xml:space="preserve">. Available at: https://www.techtarget.com/whatis/definition/return-on-equity-ROE (Accessed: 11 December 2023). </w:t>
      </w:r>
    </w:p>
    <w:p w14:paraId="3C2776E6" w14:textId="77777777" w:rsidR="00FC10F8" w:rsidRDefault="00FC10F8">
      <w:pPr>
        <w:pStyle w:val="Normal1"/>
        <w:spacing w:before="240" w:after="240"/>
      </w:pPr>
      <w:r>
        <w:t xml:space="preserve">Bragg, S. (2023) </w:t>
      </w:r>
      <w:r>
        <w:rPr>
          <w:i/>
        </w:rPr>
        <w:t>Income statement definition</w:t>
      </w:r>
      <w:r>
        <w:t xml:space="preserve">, </w:t>
      </w:r>
      <w:r>
        <w:rPr>
          <w:i/>
        </w:rPr>
        <w:t>AccountingTools</w:t>
      </w:r>
      <w:r>
        <w:t xml:space="preserve">. Available at: https://www.accountingtools.com/articles/the-income-statement (Accessed: 11 December 2023). </w:t>
      </w:r>
    </w:p>
    <w:p w14:paraId="5109177E" w14:textId="77777777" w:rsidR="00FC10F8" w:rsidRDefault="00FC10F8">
      <w:pPr>
        <w:pStyle w:val="Normal1"/>
        <w:spacing w:before="240" w:after="240"/>
      </w:pPr>
      <w:r>
        <w:t xml:space="preserve">Central Bank. (2023) </w:t>
      </w:r>
      <w:r>
        <w:rPr>
          <w:i/>
        </w:rPr>
        <w:t>Explainer - what is financial regulation and why does it matter?</w:t>
      </w:r>
      <w:r>
        <w:t xml:space="preserve">, </w:t>
      </w:r>
      <w:r>
        <w:rPr>
          <w:i/>
        </w:rPr>
        <w:t>Central Bank of Ireland</w:t>
      </w:r>
      <w:r>
        <w:t xml:space="preserve">. Available at: https://www.centralbank.ie/consumer-hub/explainers/what-is-financial-regulation-and-why-does-it-matter#:~:text=A%20well%2Dfunctioning%20financial%20system,financial%20system%20and%20protecting%20consumers. (Accessed: 11 December 2023). </w:t>
      </w:r>
    </w:p>
    <w:p w14:paraId="64D7109E" w14:textId="77777777" w:rsidR="00FC10F8" w:rsidRDefault="00FC10F8">
      <w:pPr>
        <w:pStyle w:val="Normal1"/>
        <w:spacing w:before="240" w:after="240"/>
      </w:pPr>
      <w:r>
        <w:t xml:space="preserve">Corporate Finance Institute. (2023) </w:t>
      </w:r>
      <w:r>
        <w:rPr>
          <w:i/>
        </w:rPr>
        <w:t>Efficiency ratios</w:t>
      </w:r>
      <w:r>
        <w:t xml:space="preserve">, </w:t>
      </w:r>
      <w:r>
        <w:rPr>
          <w:i/>
        </w:rPr>
        <w:t>Corporate Finance Institute</w:t>
      </w:r>
      <w:r>
        <w:t xml:space="preserve">. Available at: https://corporatefinanceinstitute.com/resources/accounting/efficiency-ratios/ (Accessed: 11 December 2023). </w:t>
      </w:r>
    </w:p>
    <w:p w14:paraId="29A5610E" w14:textId="70082C11" w:rsidR="00FC10F8" w:rsidRDefault="00FC10F8">
      <w:pPr>
        <w:pStyle w:val="Normal1"/>
        <w:spacing w:before="240" w:after="240"/>
      </w:pPr>
      <w:r>
        <w:t xml:space="preserve">Indeed. (2022) </w:t>
      </w:r>
      <w:r>
        <w:rPr>
          <w:i/>
        </w:rPr>
        <w:t xml:space="preserve">General Ledger vs. trial balance: </w:t>
      </w:r>
      <w:r w:rsidR="000701EC">
        <w:rPr>
          <w:i/>
        </w:rPr>
        <w:t>What is</w:t>
      </w:r>
      <w:r>
        <w:rPr>
          <w:i/>
        </w:rPr>
        <w:t xml:space="preserve"> the difference?</w:t>
      </w:r>
      <w:r>
        <w:t xml:space="preserve"> Available at: https://www.indeed.com/career-advice/career-development/general-ledger-vs-trial-balance (Accessed: 11 December 2023). </w:t>
      </w:r>
    </w:p>
    <w:p w14:paraId="48891FE4" w14:textId="77777777" w:rsidR="00FC10F8" w:rsidRDefault="00FC10F8">
      <w:pPr>
        <w:pStyle w:val="Normal1"/>
        <w:spacing w:before="240" w:after="240"/>
      </w:pPr>
      <w:r>
        <w:lastRenderedPageBreak/>
        <w:t xml:space="preserve">Indeed. (2023). </w:t>
      </w:r>
      <w:r>
        <w:rPr>
          <w:i/>
        </w:rPr>
        <w:t>What is a non-current asset? definition and examples - indeed</w:t>
      </w:r>
      <w:r>
        <w:t xml:space="preserve">. Available at: https://www.indeed.com/career-advice/career-development/non-current-assets (Accessed: 11 December 2023). </w:t>
      </w:r>
    </w:p>
    <w:p w14:paraId="4F994472" w14:textId="77777777" w:rsidR="00FC10F8" w:rsidRDefault="00FC10F8">
      <w:pPr>
        <w:pStyle w:val="Normal1"/>
      </w:pPr>
      <w:r>
        <w:t xml:space="preserve">Janie, D.N.A. and Rosyati, R., (2022). The Financial Ratios Impact on Earnings Growth of The Consumer Goods Companies Listed on IDX in 2015-2020. </w:t>
      </w:r>
      <w:r>
        <w:rPr>
          <w:i/>
        </w:rPr>
        <w:t>The Accounting Journal of Binaniaga</w:t>
      </w:r>
      <w:r>
        <w:t xml:space="preserve">, </w:t>
      </w:r>
      <w:r>
        <w:rPr>
          <w:i/>
        </w:rPr>
        <w:t>7</w:t>
      </w:r>
      <w:r>
        <w:t xml:space="preserve">(1), pp.17-30. </w:t>
      </w:r>
      <w:hyperlink r:id="rId25">
        <w:r>
          <w:rPr>
            <w:color w:val="1155CC"/>
            <w:u w:val="single"/>
          </w:rPr>
          <w:t>https://www.academia.edu/download/106119928/490-1177-2-PB.pdf</w:t>
        </w:r>
      </w:hyperlink>
      <w:r>
        <w:t>.</w:t>
      </w:r>
    </w:p>
    <w:p w14:paraId="45E3A25B" w14:textId="77777777" w:rsidR="00FC10F8" w:rsidRDefault="00FC10F8">
      <w:pPr>
        <w:pStyle w:val="Normal1"/>
        <w:spacing w:before="240" w:after="240"/>
      </w:pPr>
      <w:r>
        <w:t xml:space="preserve">Lion Trust. (2023) </w:t>
      </w:r>
      <w:r>
        <w:rPr>
          <w:i/>
        </w:rPr>
        <w:t>Gearing ratio: Definition, examples and how to calculate a gearing ratio</w:t>
      </w:r>
      <w:r>
        <w:t xml:space="preserve">, </w:t>
      </w:r>
      <w:r>
        <w:rPr>
          <w:i/>
        </w:rPr>
        <w:t>Insights | Lion Trust Asset Management PLC</w:t>
      </w:r>
      <w:r>
        <w:t xml:space="preserve">. Available at: https://www.liontrust.co.uk/learning/gearing-ratio-definition-examples-and-how-to-calculate-a-gearing-ratio (Accessed: 11 December 2023). </w:t>
      </w:r>
    </w:p>
    <w:p w14:paraId="48D847D6" w14:textId="77777777" w:rsidR="00FC10F8" w:rsidRDefault="00FC10F8">
      <w:pPr>
        <w:pStyle w:val="Normal1"/>
      </w:pPr>
      <w:r>
        <w:t xml:space="preserve">Luca, M., (2008). Regarding the users of financial statements and their information needs. </w:t>
      </w:r>
      <w:r>
        <w:rPr>
          <w:i/>
        </w:rPr>
        <w:t>Studies and Scientific Research. Economics Edition</w:t>
      </w:r>
      <w:r>
        <w:t xml:space="preserve">, (13), pp.49-55. </w:t>
      </w:r>
      <w:hyperlink r:id="rId26">
        <w:r>
          <w:rPr>
            <w:color w:val="1155CC"/>
            <w:u w:val="single"/>
          </w:rPr>
          <w:t>http://sceco.ub.ro/index.php/SCECO/article/view/17</w:t>
        </w:r>
      </w:hyperlink>
      <w:r>
        <w:t>.</w:t>
      </w:r>
    </w:p>
    <w:p w14:paraId="2C48C139" w14:textId="77777777" w:rsidR="00FC10F8" w:rsidRDefault="00FC10F8">
      <w:pPr>
        <w:pStyle w:val="Normal1"/>
        <w:spacing w:before="240" w:after="240"/>
      </w:pPr>
      <w:r>
        <w:t xml:space="preserve">Luther, D. (2022) </w:t>
      </w:r>
      <w:r>
        <w:rPr>
          <w:i/>
        </w:rPr>
        <w:t>Top efficiency ratios: Operational, asset, inventory and more</w:t>
      </w:r>
      <w:r>
        <w:t xml:space="preserve">, </w:t>
      </w:r>
      <w:r>
        <w:rPr>
          <w:i/>
        </w:rPr>
        <w:t>Oracle NetSuite</w:t>
      </w:r>
      <w:r>
        <w:t xml:space="preserve">. Available at: https://www.netsuite.com/portal/resource/articles/accounting/efficiency-ratios.shtml (Accessed: 11 December 2023). </w:t>
      </w:r>
    </w:p>
    <w:p w14:paraId="7E29716F" w14:textId="77777777" w:rsidR="00FC10F8" w:rsidRDefault="00FC10F8">
      <w:pPr>
        <w:pStyle w:val="Normal1"/>
      </w:pPr>
      <w:r>
        <w:t xml:space="preserve">Naim, A., (2022). Role of Accounting And Finance in Performance Appraisal. </w:t>
      </w:r>
      <w:r>
        <w:rPr>
          <w:i/>
        </w:rPr>
        <w:t>American Journal of Sociology, Economics and Tourism</w:t>
      </w:r>
      <w:r>
        <w:t xml:space="preserve">, </w:t>
      </w:r>
      <w:r>
        <w:rPr>
          <w:i/>
        </w:rPr>
        <w:t>1</w:t>
      </w:r>
      <w:r>
        <w:t xml:space="preserve">, pp.1-17. </w:t>
      </w:r>
      <w:hyperlink r:id="rId27">
        <w:r>
          <w:rPr>
            <w:color w:val="1155CC"/>
            <w:u w:val="single"/>
          </w:rPr>
          <w:t>https://www.americanjournal.org/index.php/ajset/article/view/9</w:t>
        </w:r>
      </w:hyperlink>
      <w:r>
        <w:t>.</w:t>
      </w:r>
    </w:p>
    <w:p w14:paraId="16F1A557" w14:textId="77777777" w:rsidR="00FC10F8" w:rsidRDefault="00FC10F8">
      <w:pPr>
        <w:pStyle w:val="Normal1"/>
      </w:pPr>
      <w:r>
        <w:t xml:space="preserve">Rochim, R. and Ghoniyah, N., (2017). Analysis of the effect of current ratio, cash flow from operation to debt, firm size and return on equity on stock return. </w:t>
      </w:r>
      <w:r>
        <w:rPr>
          <w:i/>
        </w:rPr>
        <w:t>IJIBE (International Journal of Islamic Business Ethics)</w:t>
      </w:r>
      <w:r>
        <w:t xml:space="preserve">, </w:t>
      </w:r>
      <w:r>
        <w:rPr>
          <w:i/>
        </w:rPr>
        <w:t>2</w:t>
      </w:r>
      <w:r>
        <w:t xml:space="preserve">(3), pp.41-51. </w:t>
      </w:r>
      <w:hyperlink r:id="rId28">
        <w:r>
          <w:rPr>
            <w:color w:val="1155CC"/>
            <w:u w:val="single"/>
          </w:rPr>
          <w:t>http://jurnal.unissula.ac.id/index.php/ijibe/article/view/4302</w:t>
        </w:r>
      </w:hyperlink>
      <w:r>
        <w:t>.</w:t>
      </w:r>
    </w:p>
    <w:p w14:paraId="4F60B161" w14:textId="77777777" w:rsidR="00FC10F8" w:rsidRDefault="00FC10F8">
      <w:pPr>
        <w:pStyle w:val="Normal1"/>
        <w:spacing w:before="240" w:after="240"/>
      </w:pPr>
      <w:r>
        <w:t xml:space="preserve">Schmidt, J. (2023). </w:t>
      </w:r>
      <w:r>
        <w:rPr>
          <w:i/>
        </w:rPr>
        <w:t>Three financial statements</w:t>
      </w:r>
      <w:r>
        <w:t xml:space="preserve">, </w:t>
      </w:r>
      <w:r>
        <w:rPr>
          <w:i/>
        </w:rPr>
        <w:t>Corporate Finance Institute</w:t>
      </w:r>
      <w:r>
        <w:t xml:space="preserve">. Available at: https://corporatefinanceinstitute.com/resources/accounting/three-financial-statements/ (Accessed: 11 December 2023). </w:t>
      </w:r>
    </w:p>
    <w:p w14:paraId="4B81A79C" w14:textId="77777777" w:rsidR="00FC10F8" w:rsidRDefault="00FC10F8">
      <w:pPr>
        <w:pStyle w:val="Normal1"/>
        <w:spacing w:before="240" w:after="240"/>
      </w:pPr>
      <w:r>
        <w:lastRenderedPageBreak/>
        <w:t xml:space="preserve">Schwab, B. (2023) </w:t>
      </w:r>
      <w:r>
        <w:rPr>
          <w:i/>
        </w:rPr>
        <w:t>What is EPS?</w:t>
      </w:r>
      <w:r>
        <w:t xml:space="preserve">, </w:t>
      </w:r>
      <w:r>
        <w:rPr>
          <w:i/>
        </w:rPr>
        <w:t>Schwab Brokerage</w:t>
      </w:r>
      <w:r>
        <w:t xml:space="preserve">. Available at: https://www.schwab.com/learn/story/what-is-eps (Accessed: 11 December 2023). </w:t>
      </w:r>
    </w:p>
    <w:p w14:paraId="4807EF8D" w14:textId="77777777" w:rsidR="00FC10F8" w:rsidRDefault="00FC10F8">
      <w:pPr>
        <w:pStyle w:val="Normal1"/>
        <w:spacing w:before="240" w:after="240"/>
      </w:pPr>
      <w:r>
        <w:t xml:space="preserve">Tally Solutions. (2022) </w:t>
      </w:r>
      <w:r>
        <w:rPr>
          <w:i/>
        </w:rPr>
        <w:t>Income statement – definition, format, and example</w:t>
      </w:r>
      <w:r>
        <w:t xml:space="preserve">, </w:t>
      </w:r>
      <w:r>
        <w:rPr>
          <w:i/>
        </w:rPr>
        <w:t>Tally Solutions</w:t>
      </w:r>
      <w:r>
        <w:t xml:space="preserve">. Available at: https://tallysolutions.com/accounting/income-statement/#gref (Accessed: 11 December 2023). </w:t>
      </w:r>
    </w:p>
    <w:p w14:paraId="737DD2EE" w14:textId="77777777" w:rsidR="00FC10F8" w:rsidRDefault="00FC10F8">
      <w:pPr>
        <w:pStyle w:val="Normal1"/>
        <w:spacing w:before="240" w:after="240"/>
      </w:pPr>
      <w:r>
        <w:t xml:space="preserve">Tamplin, T. (2023a) </w:t>
      </w:r>
      <w:r>
        <w:rPr>
          <w:i/>
        </w:rPr>
        <w:t>Users of Accounting Information: External &amp; Internal Users</w:t>
      </w:r>
      <w:r>
        <w:t xml:space="preserve">, </w:t>
      </w:r>
      <w:r>
        <w:rPr>
          <w:i/>
        </w:rPr>
        <w:t>Finance Strategists</w:t>
      </w:r>
      <w:r>
        <w:t xml:space="preserve">. Available at: https://www.financestrategists.com/accounting/introduction-to-accounting/users-accounting-information/ (Accessed: 11 December 2023). </w:t>
      </w:r>
    </w:p>
    <w:p w14:paraId="3D11E514" w14:textId="77777777" w:rsidR="00FC10F8" w:rsidRDefault="00FC10F8">
      <w:pPr>
        <w:pStyle w:val="Normal1"/>
        <w:spacing w:before="240" w:after="240"/>
      </w:pPr>
      <w:r>
        <w:t xml:space="preserve">Tamplin, T. (2023b) </w:t>
      </w:r>
      <w:r>
        <w:rPr>
          <w:i/>
        </w:rPr>
        <w:t>Net profit ratio: Formula, calculation, and example</w:t>
      </w:r>
      <w:r>
        <w:t xml:space="preserve">, </w:t>
      </w:r>
      <w:r>
        <w:rPr>
          <w:i/>
        </w:rPr>
        <w:t>Finance Strategists</w:t>
      </w:r>
      <w:r>
        <w:t xml:space="preserve">. Available at: https://www.financestrategists.com/accounting/accounting-ratios/net-profit-ratio/ (Accessed: 11 December 2023). </w:t>
      </w:r>
    </w:p>
    <w:p w14:paraId="728E0A67" w14:textId="77777777" w:rsidR="00FC10F8" w:rsidRDefault="00FC10F8">
      <w:pPr>
        <w:pStyle w:val="Normal1"/>
        <w:spacing w:before="240" w:after="240"/>
      </w:pPr>
      <w:r>
        <w:t xml:space="preserve">Team, C.F.I. (2023) </w:t>
      </w:r>
      <w:r>
        <w:rPr>
          <w:i/>
        </w:rPr>
        <w:t>Accrual principle</w:t>
      </w:r>
      <w:r>
        <w:t xml:space="preserve">, </w:t>
      </w:r>
      <w:r>
        <w:rPr>
          <w:i/>
        </w:rPr>
        <w:t>Corporate Finance Institute</w:t>
      </w:r>
      <w:r>
        <w:t xml:space="preserve">. Available at: https://corporatefinanceinstitute.com/resources/accounting/accrual-principle/ (Accessed: 11 December 2023). </w:t>
      </w:r>
    </w:p>
    <w:p w14:paraId="4E31FEF6" w14:textId="77777777" w:rsidR="00FC10F8" w:rsidRDefault="00FC10F8">
      <w:pPr>
        <w:pStyle w:val="Normal1"/>
      </w:pPr>
      <w:r>
        <w:t xml:space="preserve">Tiron-Tudor, A., (2017). Accrual accounting. </w:t>
      </w:r>
      <w:r>
        <w:rPr>
          <w:i/>
        </w:rPr>
        <w:t>Global Encyclopedia of Public Administration, Public Policy, and Governance</w:t>
      </w:r>
      <w:r>
        <w:t xml:space="preserve">, pp.1-6. </w:t>
      </w:r>
      <w:hyperlink r:id="rId29">
        <w:r>
          <w:rPr>
            <w:color w:val="1155CC"/>
            <w:u w:val="single"/>
          </w:rPr>
          <w:t>https://www.researchgate.net/profile/Adriana-Tiron-Tudor/publication/315831286_Accrual_Accounting/links/622eeed697401151d218df6a/Accrual-Accounting.pdf</w:t>
        </w:r>
      </w:hyperlink>
      <w:r>
        <w:t>.</w:t>
      </w:r>
    </w:p>
    <w:p w14:paraId="6F0F12C8" w14:textId="77777777" w:rsidR="00FC10F8" w:rsidRDefault="00FC10F8">
      <w:pPr>
        <w:pStyle w:val="Normal1"/>
        <w:spacing w:before="240" w:after="240"/>
      </w:pPr>
      <w:r>
        <w:t xml:space="preserve">Wall Street Prep. (2023) </w:t>
      </w:r>
      <w:r>
        <w:rPr>
          <w:i/>
        </w:rPr>
        <w:t>Return on capital employed (ROCE)</w:t>
      </w:r>
      <w:r>
        <w:t xml:space="preserve">, </w:t>
      </w:r>
      <w:r>
        <w:rPr>
          <w:i/>
        </w:rPr>
        <w:t>Wall Street Prep</w:t>
      </w:r>
      <w:r>
        <w:t xml:space="preserve">. Available at: https://www.wallstreetprep.com/knowledge/roce-return-on-capital-employed/ (Accessed: 11 December 2023). </w:t>
      </w:r>
    </w:p>
    <w:p w14:paraId="48593660" w14:textId="77777777" w:rsidR="001C127A" w:rsidRDefault="001C127A">
      <w:pPr>
        <w:pStyle w:val="Normal1"/>
      </w:pPr>
    </w:p>
    <w:sectPr w:rsidR="001C127A" w:rsidSect="00FC10F8">
      <w:footerReference w:type="default" r:id="rId30"/>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3F4DF" w14:textId="77777777" w:rsidR="006E09BB" w:rsidRDefault="006E09BB">
      <w:pPr>
        <w:spacing w:line="240" w:lineRule="auto"/>
      </w:pPr>
      <w:r>
        <w:separator/>
      </w:r>
    </w:p>
  </w:endnote>
  <w:endnote w:type="continuationSeparator" w:id="0">
    <w:p w14:paraId="0F9C109F" w14:textId="77777777" w:rsidR="006E09BB" w:rsidRDefault="006E09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5BCAE" w14:textId="77777777" w:rsidR="001C127A" w:rsidRDefault="00000000">
    <w:pPr>
      <w:pStyle w:val="Normal1"/>
      <w:jc w:val="right"/>
    </w:pPr>
    <w:r>
      <w:fldChar w:fldCharType="begin"/>
    </w:r>
    <w:r>
      <w:instrText>PAGE</w:instrText>
    </w:r>
    <w:r>
      <w:fldChar w:fldCharType="separate"/>
    </w:r>
    <w:r w:rsidR="00FC10F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17FAA" w14:textId="77777777" w:rsidR="006E09BB" w:rsidRDefault="006E09BB">
      <w:pPr>
        <w:spacing w:line="240" w:lineRule="auto"/>
      </w:pPr>
      <w:r>
        <w:separator/>
      </w:r>
    </w:p>
  </w:footnote>
  <w:footnote w:type="continuationSeparator" w:id="0">
    <w:p w14:paraId="1A4F20B6" w14:textId="77777777" w:rsidR="006E09BB" w:rsidRDefault="006E09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ABB447"/>
    <w:multiLevelType w:val="hybridMultilevel"/>
    <w:tmpl w:val="00000000"/>
    <w:lvl w:ilvl="0" w:tplc="F6408300">
      <w:start w:val="1"/>
      <w:numFmt w:val="decimal"/>
      <w:lvlText w:val="%1."/>
      <w:lvlJc w:val="left"/>
      <w:pPr>
        <w:ind w:left="720" w:hanging="360"/>
      </w:pPr>
      <w:rPr>
        <w:u w:val="none"/>
      </w:rPr>
    </w:lvl>
    <w:lvl w:ilvl="1" w:tplc="18502326">
      <w:start w:val="1"/>
      <w:numFmt w:val="lowerLetter"/>
      <w:lvlText w:val="%2."/>
      <w:lvlJc w:val="left"/>
      <w:pPr>
        <w:ind w:left="1440" w:hanging="360"/>
      </w:pPr>
      <w:rPr>
        <w:u w:val="none"/>
      </w:rPr>
    </w:lvl>
    <w:lvl w:ilvl="2" w:tplc="C128B05E">
      <w:start w:val="1"/>
      <w:numFmt w:val="lowerRoman"/>
      <w:lvlText w:val="%3."/>
      <w:lvlJc w:val="right"/>
      <w:pPr>
        <w:ind w:left="2160" w:hanging="360"/>
      </w:pPr>
      <w:rPr>
        <w:u w:val="none"/>
      </w:rPr>
    </w:lvl>
    <w:lvl w:ilvl="3" w:tplc="735AA638">
      <w:start w:val="1"/>
      <w:numFmt w:val="decimal"/>
      <w:lvlText w:val="%4."/>
      <w:lvlJc w:val="left"/>
      <w:pPr>
        <w:ind w:left="2880" w:hanging="360"/>
      </w:pPr>
      <w:rPr>
        <w:u w:val="none"/>
      </w:rPr>
    </w:lvl>
    <w:lvl w:ilvl="4" w:tplc="2EEA1B46">
      <w:start w:val="1"/>
      <w:numFmt w:val="lowerLetter"/>
      <w:lvlText w:val="%5."/>
      <w:lvlJc w:val="left"/>
      <w:pPr>
        <w:ind w:left="3600" w:hanging="360"/>
      </w:pPr>
      <w:rPr>
        <w:u w:val="none"/>
      </w:rPr>
    </w:lvl>
    <w:lvl w:ilvl="5" w:tplc="CBE80794">
      <w:start w:val="1"/>
      <w:numFmt w:val="lowerRoman"/>
      <w:lvlText w:val="%6."/>
      <w:lvlJc w:val="right"/>
      <w:pPr>
        <w:ind w:left="4320" w:hanging="360"/>
      </w:pPr>
      <w:rPr>
        <w:u w:val="none"/>
      </w:rPr>
    </w:lvl>
    <w:lvl w:ilvl="6" w:tplc="1980C982">
      <w:start w:val="1"/>
      <w:numFmt w:val="decimal"/>
      <w:lvlText w:val="%7."/>
      <w:lvlJc w:val="left"/>
      <w:pPr>
        <w:ind w:left="5040" w:hanging="360"/>
      </w:pPr>
      <w:rPr>
        <w:u w:val="none"/>
      </w:rPr>
    </w:lvl>
    <w:lvl w:ilvl="7" w:tplc="078E5012">
      <w:start w:val="1"/>
      <w:numFmt w:val="lowerLetter"/>
      <w:lvlText w:val="%8."/>
      <w:lvlJc w:val="left"/>
      <w:pPr>
        <w:ind w:left="5760" w:hanging="360"/>
      </w:pPr>
      <w:rPr>
        <w:u w:val="none"/>
      </w:rPr>
    </w:lvl>
    <w:lvl w:ilvl="8" w:tplc="256C0164">
      <w:start w:val="1"/>
      <w:numFmt w:val="lowerRoman"/>
      <w:lvlText w:val="%9."/>
      <w:lvlJc w:val="right"/>
      <w:pPr>
        <w:ind w:left="6480" w:hanging="360"/>
      </w:pPr>
      <w:rPr>
        <w:u w:val="none"/>
      </w:rPr>
    </w:lvl>
  </w:abstractNum>
  <w:num w:numId="1" w16cid:durableId="1640915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127A"/>
    <w:rsid w:val="000701EC"/>
    <w:rsid w:val="001238AF"/>
    <w:rsid w:val="00154175"/>
    <w:rsid w:val="001C127A"/>
    <w:rsid w:val="006D0B3C"/>
    <w:rsid w:val="006E09BB"/>
    <w:rsid w:val="00A70B48"/>
    <w:rsid w:val="00FC10F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A95C6A"/>
  <w15:docId w15:val="{190CD452-5EE4-4D36-AC87-B073745B2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pPr>
      <w:keepNext/>
      <w:keepLines/>
      <w:spacing w:before="200" w:after="200"/>
      <w:outlineLvl w:val="0"/>
    </w:pPr>
    <w:rPr>
      <w:b/>
      <w:u w:val="single"/>
    </w:rPr>
  </w:style>
  <w:style w:type="paragraph" w:styleId="2">
    <w:name w:val="heading 2"/>
    <w:basedOn w:val="Normal1"/>
    <w:next w:val="Normal1"/>
    <w:pPr>
      <w:keepNext/>
      <w:keepLines/>
      <w:spacing w:before="360" w:after="120"/>
      <w:outlineLvl w:val="1"/>
    </w:pPr>
    <w:rPr>
      <w:sz w:val="32"/>
      <w:szCs w:val="32"/>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rPr>
  </w:style>
  <w:style w:type="paragraph" w:styleId="5">
    <w:name w:val="heading 5"/>
    <w:basedOn w:val="Normal1"/>
    <w:next w:val="Normal1"/>
    <w:pPr>
      <w:keepNext/>
      <w:keepLines/>
      <w:spacing w:before="240" w:after="80"/>
      <w:outlineLvl w:val="4"/>
    </w:pPr>
    <w:rPr>
      <w:color w:val="666666"/>
      <w:sz w:val="22"/>
      <w:szCs w:val="22"/>
    </w:rPr>
  </w:style>
  <w:style w:type="paragraph" w:styleId="6">
    <w:name w:val="heading 6"/>
    <w:basedOn w:val="Normal1"/>
    <w:next w:val="Normal1"/>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ceco.ub.ro/index.php/SCECO/article/view/17" TargetMode="External"/><Relationship Id="rId3" Type="http://schemas.openxmlformats.org/officeDocument/2006/relationships/settings" Target="settings.xml"/><Relationship Id="rId21" Type="http://schemas.openxmlformats.org/officeDocument/2006/relationships/hyperlink" Target="https://api.taylorfrancis.com/content/chapters/edit/download?identifierName=doi&amp;identifierValue=10.4324/9780203103203-14&amp;type=chapter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academia.edu/download/106119928/490-1177-2-PB.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journal.ikopin.ac.id/index.php/fairvalue/article/view/1204" TargetMode="External"/><Relationship Id="rId29" Type="http://schemas.openxmlformats.org/officeDocument/2006/relationships/hyperlink" Target="https://www.researchgate.net/profile/Adriana-Tiron-Tudor/publication/315831286_Accrual_Accounting/links/622eeed697401151d218df6a/Accrual-Accounting.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pi.taylorfrancis.com/content/chapters/edit/download?identifierName=doi&amp;identifierValue=10.4324/9780203103203-14&amp;type=chapter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api.taylorfrancis.com/content/chapters/edit/download?identifierName=doi&amp;identifierValue=10.4324/9780203103203-14&amp;type=chapterpdf" TargetMode="External"/><Relationship Id="rId28" Type="http://schemas.openxmlformats.org/officeDocument/2006/relationships/hyperlink" Target="http://jurnal.unissula.ac.id/index.php/ijibe/article/view/4302"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api.taylorfrancis.com/content/chapters/edit/download?identifierName=doi&amp;identifierValue=10.4324/9780203103203-14&amp;type=chapterpdf" TargetMode="External"/><Relationship Id="rId27" Type="http://schemas.openxmlformats.org/officeDocument/2006/relationships/hyperlink" Target="https://www.americanjournal.org/index.php/ajset/article/view/9"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13</Pages>
  <Words>3357</Words>
  <Characters>19137</Characters>
  <Application>Microsoft Office Word</Application>
  <DocSecurity>0</DocSecurity>
  <Lines>159</Lines>
  <Paragraphs>44</Paragraphs>
  <ScaleCrop>false</ScaleCrop>
  <Company/>
  <LinksUpToDate>false</LinksUpToDate>
  <CharactersWithSpaces>22450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Пользователь</cp:lastModifiedBy>
  <cp:revision>5</cp:revision>
  <dcterms:created xsi:type="dcterms:W3CDTF">2023-12-11T13:32:00Z</dcterms:created>
  <dcterms:modified xsi:type="dcterms:W3CDTF">2023-12-18T20:41:00Z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d95e78cc4774a961daaca025fad94fe3226a1378387f1b16c91a2682d4f32cd3</vt:lpwstr>
  </property>
</Properties>
</file>