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4D356" w14:textId="77777777" w:rsidR="00111BCC" w:rsidRDefault="00AA03CC" w:rsidP="00111BCC">
      <w:pPr>
        <w:pStyle w:val="Default"/>
      </w:pPr>
      <w:r w:rsidRPr="00AA03CC">
        <w:rPr>
          <w:noProof/>
        </w:rPr>
        <w:drawing>
          <wp:inline distT="0" distB="0" distL="0" distR="0" wp14:anchorId="27732503" wp14:editId="60CACFD2">
            <wp:extent cx="1018794" cy="400050"/>
            <wp:effectExtent l="0" t="0" r="0" b="0"/>
            <wp:docPr id="1818202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1349" cy="401053"/>
                    </a:xfrm>
                    <a:prstGeom prst="rect">
                      <a:avLst/>
                    </a:prstGeom>
                    <a:noFill/>
                    <a:ln>
                      <a:noFill/>
                    </a:ln>
                  </pic:spPr>
                </pic:pic>
              </a:graphicData>
            </a:graphic>
          </wp:inline>
        </w:drawing>
      </w:r>
      <w:r>
        <w:t xml:space="preserve">                                                                                    </w:t>
      </w:r>
    </w:p>
    <w:p w14:paraId="6BA1530C" w14:textId="493C7CCF" w:rsidR="00AA03CC" w:rsidRDefault="00111BCC" w:rsidP="00111BCC">
      <w:pPr>
        <w:pStyle w:val="Default"/>
        <w:jc w:val="right"/>
      </w:pPr>
      <w:r>
        <w:t xml:space="preserve"> </w:t>
      </w:r>
      <w:r>
        <w:rPr>
          <w:b/>
          <w:bCs/>
          <w:sz w:val="28"/>
          <w:szCs w:val="28"/>
        </w:rPr>
        <w:t>APPENDIX GA36d</w:t>
      </w:r>
    </w:p>
    <w:p w14:paraId="26FBF3B7" w14:textId="7D30D566" w:rsidR="00AA03CC" w:rsidRDefault="00AA03CC" w:rsidP="00AA03CC">
      <w:pPr>
        <w:pStyle w:val="Default"/>
        <w:jc w:val="right"/>
        <w:rPr>
          <w:sz w:val="28"/>
          <w:szCs w:val="28"/>
        </w:rPr>
      </w:pPr>
    </w:p>
    <w:p w14:paraId="0D76DEFF" w14:textId="6D1B83B3" w:rsidR="00E02386" w:rsidRDefault="00AA03CC" w:rsidP="00111BCC">
      <w:r w:rsidRPr="00AA03CC">
        <w:drawing>
          <wp:inline distT="0" distB="0" distL="0" distR="0" wp14:anchorId="539869EE" wp14:editId="4FA60048">
            <wp:extent cx="6257925" cy="504825"/>
            <wp:effectExtent l="0" t="0" r="9525" b="9525"/>
            <wp:docPr id="1902426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26457" name=""/>
                    <pic:cNvPicPr/>
                  </pic:nvPicPr>
                  <pic:blipFill>
                    <a:blip r:embed="rId9"/>
                    <a:stretch>
                      <a:fillRect/>
                    </a:stretch>
                  </pic:blipFill>
                  <pic:spPr>
                    <a:xfrm>
                      <a:off x="0" y="0"/>
                      <a:ext cx="6258794" cy="504895"/>
                    </a:xfrm>
                    <a:prstGeom prst="rect">
                      <a:avLst/>
                    </a:prstGeom>
                  </pic:spPr>
                </pic:pic>
              </a:graphicData>
            </a:graphic>
          </wp:inline>
        </w:drawing>
      </w:r>
    </w:p>
    <w:p w14:paraId="639AD0F6" w14:textId="77777777" w:rsidR="00AA03CC" w:rsidRDefault="00AA03CC" w:rsidP="00AA03CC">
      <w:pPr>
        <w:pStyle w:val="Default"/>
      </w:pPr>
    </w:p>
    <w:tbl>
      <w:tblPr>
        <w:tblW w:w="9714"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428"/>
        <w:gridCol w:w="2429"/>
        <w:gridCol w:w="2428"/>
        <w:gridCol w:w="2429"/>
      </w:tblGrid>
      <w:tr w:rsidR="00AA03CC" w14:paraId="796ECF6B" w14:textId="77777777" w:rsidTr="00797266">
        <w:tblPrEx>
          <w:tblCellMar>
            <w:top w:w="0" w:type="dxa"/>
            <w:bottom w:w="0" w:type="dxa"/>
          </w:tblCellMar>
        </w:tblPrEx>
        <w:trPr>
          <w:trHeight w:val="103"/>
        </w:trPr>
        <w:tc>
          <w:tcPr>
            <w:tcW w:w="4857" w:type="dxa"/>
            <w:gridSpan w:val="2"/>
            <w:tcBorders>
              <w:top w:val="none" w:sz="6" w:space="0" w:color="auto"/>
              <w:bottom w:val="none" w:sz="6" w:space="0" w:color="auto"/>
              <w:right w:val="none" w:sz="6" w:space="0" w:color="auto"/>
            </w:tcBorders>
          </w:tcPr>
          <w:p w14:paraId="454F609B" w14:textId="77777777" w:rsidR="00AA03CC" w:rsidRDefault="00AA03CC">
            <w:pPr>
              <w:pStyle w:val="Default"/>
              <w:rPr>
                <w:sz w:val="22"/>
                <w:szCs w:val="22"/>
              </w:rPr>
            </w:pPr>
            <w:r>
              <w:t xml:space="preserve"> </w:t>
            </w:r>
            <w:r>
              <w:rPr>
                <w:b/>
                <w:bCs/>
                <w:sz w:val="22"/>
                <w:szCs w:val="22"/>
              </w:rPr>
              <w:t xml:space="preserve">Programme: </w:t>
            </w:r>
          </w:p>
        </w:tc>
        <w:tc>
          <w:tcPr>
            <w:tcW w:w="4857" w:type="dxa"/>
            <w:gridSpan w:val="2"/>
            <w:tcBorders>
              <w:top w:val="none" w:sz="6" w:space="0" w:color="auto"/>
              <w:left w:val="none" w:sz="6" w:space="0" w:color="auto"/>
              <w:bottom w:val="none" w:sz="6" w:space="0" w:color="auto"/>
            </w:tcBorders>
          </w:tcPr>
          <w:p w14:paraId="113A0216" w14:textId="77777777" w:rsidR="00AA03CC" w:rsidRDefault="00AA03CC">
            <w:pPr>
              <w:pStyle w:val="Default"/>
              <w:rPr>
                <w:sz w:val="22"/>
                <w:szCs w:val="22"/>
              </w:rPr>
            </w:pPr>
            <w:r>
              <w:rPr>
                <w:b/>
                <w:bCs/>
                <w:sz w:val="22"/>
                <w:szCs w:val="22"/>
              </w:rPr>
              <w:t xml:space="preserve">Master of Business Administration </w:t>
            </w:r>
          </w:p>
        </w:tc>
      </w:tr>
      <w:tr w:rsidR="00AA03CC" w14:paraId="7A7F4639" w14:textId="77777777" w:rsidTr="00797266">
        <w:tblPrEx>
          <w:tblCellMar>
            <w:top w:w="0" w:type="dxa"/>
            <w:bottom w:w="0" w:type="dxa"/>
          </w:tblCellMar>
        </w:tblPrEx>
        <w:trPr>
          <w:trHeight w:val="103"/>
        </w:trPr>
        <w:tc>
          <w:tcPr>
            <w:tcW w:w="4857" w:type="dxa"/>
            <w:gridSpan w:val="2"/>
            <w:tcBorders>
              <w:top w:val="none" w:sz="6" w:space="0" w:color="auto"/>
              <w:bottom w:val="none" w:sz="6" w:space="0" w:color="auto"/>
              <w:right w:val="none" w:sz="6" w:space="0" w:color="auto"/>
            </w:tcBorders>
          </w:tcPr>
          <w:p w14:paraId="2B183C60" w14:textId="77777777" w:rsidR="00AA03CC" w:rsidRDefault="00AA03CC">
            <w:pPr>
              <w:pStyle w:val="Default"/>
              <w:rPr>
                <w:sz w:val="22"/>
                <w:szCs w:val="22"/>
              </w:rPr>
            </w:pPr>
            <w:r>
              <w:rPr>
                <w:b/>
                <w:bCs/>
                <w:sz w:val="22"/>
                <w:szCs w:val="22"/>
              </w:rPr>
              <w:t xml:space="preserve">Module: </w:t>
            </w:r>
          </w:p>
        </w:tc>
        <w:tc>
          <w:tcPr>
            <w:tcW w:w="4857" w:type="dxa"/>
            <w:gridSpan w:val="2"/>
            <w:tcBorders>
              <w:top w:val="none" w:sz="6" w:space="0" w:color="auto"/>
              <w:left w:val="none" w:sz="6" w:space="0" w:color="auto"/>
              <w:bottom w:val="none" w:sz="6" w:space="0" w:color="auto"/>
            </w:tcBorders>
          </w:tcPr>
          <w:p w14:paraId="5BD0F621" w14:textId="77777777" w:rsidR="00AA03CC" w:rsidRDefault="00AA03CC">
            <w:pPr>
              <w:pStyle w:val="Default"/>
              <w:rPr>
                <w:sz w:val="22"/>
                <w:szCs w:val="22"/>
              </w:rPr>
            </w:pPr>
            <w:r>
              <w:rPr>
                <w:b/>
                <w:bCs/>
                <w:sz w:val="22"/>
                <w:szCs w:val="22"/>
              </w:rPr>
              <w:t xml:space="preserve">International Business Concepts </w:t>
            </w:r>
          </w:p>
        </w:tc>
      </w:tr>
      <w:tr w:rsidR="00AA03CC" w14:paraId="0ADD315F" w14:textId="77777777" w:rsidTr="00797266">
        <w:tblPrEx>
          <w:tblCellMar>
            <w:top w:w="0" w:type="dxa"/>
            <w:bottom w:w="0" w:type="dxa"/>
          </w:tblCellMar>
        </w:tblPrEx>
        <w:trPr>
          <w:trHeight w:val="358"/>
        </w:trPr>
        <w:tc>
          <w:tcPr>
            <w:tcW w:w="2428" w:type="dxa"/>
            <w:tcBorders>
              <w:top w:val="none" w:sz="6" w:space="0" w:color="auto"/>
              <w:bottom w:val="none" w:sz="6" w:space="0" w:color="auto"/>
              <w:right w:val="none" w:sz="6" w:space="0" w:color="auto"/>
            </w:tcBorders>
          </w:tcPr>
          <w:p w14:paraId="7FB5EAAB" w14:textId="77777777" w:rsidR="00AA03CC" w:rsidRDefault="00AA03CC">
            <w:pPr>
              <w:pStyle w:val="Default"/>
              <w:rPr>
                <w:sz w:val="22"/>
                <w:szCs w:val="22"/>
              </w:rPr>
            </w:pPr>
            <w:r>
              <w:rPr>
                <w:b/>
                <w:bCs/>
                <w:sz w:val="22"/>
                <w:szCs w:val="22"/>
              </w:rPr>
              <w:t xml:space="preserve">Module code: </w:t>
            </w:r>
          </w:p>
        </w:tc>
        <w:tc>
          <w:tcPr>
            <w:tcW w:w="2429" w:type="dxa"/>
            <w:tcBorders>
              <w:top w:val="none" w:sz="6" w:space="0" w:color="auto"/>
              <w:left w:val="none" w:sz="6" w:space="0" w:color="auto"/>
              <w:bottom w:val="none" w:sz="6" w:space="0" w:color="auto"/>
              <w:right w:val="none" w:sz="6" w:space="0" w:color="auto"/>
            </w:tcBorders>
          </w:tcPr>
          <w:p w14:paraId="00F8ACF8" w14:textId="77777777" w:rsidR="00AA03CC" w:rsidRDefault="00AA03CC">
            <w:pPr>
              <w:pStyle w:val="Default"/>
              <w:rPr>
                <w:sz w:val="22"/>
                <w:szCs w:val="22"/>
              </w:rPr>
            </w:pPr>
            <w:r>
              <w:rPr>
                <w:b/>
                <w:bCs/>
                <w:sz w:val="22"/>
                <w:szCs w:val="22"/>
              </w:rPr>
              <w:t xml:space="preserve">LCMB7034 </w:t>
            </w:r>
          </w:p>
        </w:tc>
        <w:tc>
          <w:tcPr>
            <w:tcW w:w="2428" w:type="dxa"/>
            <w:tcBorders>
              <w:top w:val="none" w:sz="6" w:space="0" w:color="auto"/>
              <w:left w:val="none" w:sz="6" w:space="0" w:color="auto"/>
              <w:bottom w:val="none" w:sz="6" w:space="0" w:color="auto"/>
              <w:right w:val="none" w:sz="6" w:space="0" w:color="auto"/>
            </w:tcBorders>
          </w:tcPr>
          <w:p w14:paraId="5F104989" w14:textId="77777777" w:rsidR="00AA03CC" w:rsidRDefault="00AA03CC">
            <w:pPr>
              <w:pStyle w:val="Default"/>
              <w:rPr>
                <w:sz w:val="22"/>
                <w:szCs w:val="22"/>
              </w:rPr>
            </w:pPr>
            <w:r>
              <w:rPr>
                <w:b/>
                <w:bCs/>
                <w:sz w:val="22"/>
                <w:szCs w:val="22"/>
              </w:rPr>
              <w:t xml:space="preserve">Contribution to Overall Module Assessment (%): </w:t>
            </w:r>
          </w:p>
        </w:tc>
        <w:tc>
          <w:tcPr>
            <w:tcW w:w="2429" w:type="dxa"/>
            <w:tcBorders>
              <w:top w:val="none" w:sz="6" w:space="0" w:color="auto"/>
              <w:left w:val="none" w:sz="6" w:space="0" w:color="auto"/>
              <w:bottom w:val="none" w:sz="6" w:space="0" w:color="auto"/>
            </w:tcBorders>
          </w:tcPr>
          <w:p w14:paraId="0EE1E364" w14:textId="77777777" w:rsidR="00AA03CC" w:rsidRDefault="00AA03CC">
            <w:pPr>
              <w:pStyle w:val="Default"/>
              <w:rPr>
                <w:sz w:val="22"/>
                <w:szCs w:val="22"/>
              </w:rPr>
            </w:pPr>
            <w:r>
              <w:rPr>
                <w:b/>
                <w:bCs/>
                <w:sz w:val="22"/>
                <w:szCs w:val="22"/>
              </w:rPr>
              <w:t xml:space="preserve">100% </w:t>
            </w:r>
          </w:p>
        </w:tc>
      </w:tr>
      <w:tr w:rsidR="00AA03CC" w14:paraId="62EF0386" w14:textId="77777777" w:rsidTr="00797266">
        <w:tblPrEx>
          <w:tblCellMar>
            <w:top w:w="0" w:type="dxa"/>
            <w:bottom w:w="0" w:type="dxa"/>
          </w:tblCellMar>
        </w:tblPrEx>
        <w:trPr>
          <w:trHeight w:val="356"/>
        </w:trPr>
        <w:tc>
          <w:tcPr>
            <w:tcW w:w="2428" w:type="dxa"/>
            <w:tcBorders>
              <w:top w:val="none" w:sz="6" w:space="0" w:color="auto"/>
              <w:bottom w:val="none" w:sz="6" w:space="0" w:color="auto"/>
              <w:right w:val="none" w:sz="6" w:space="0" w:color="auto"/>
            </w:tcBorders>
          </w:tcPr>
          <w:p w14:paraId="62BBCC45" w14:textId="77777777" w:rsidR="00AA03CC" w:rsidRDefault="00AA03CC">
            <w:pPr>
              <w:pStyle w:val="Default"/>
              <w:rPr>
                <w:sz w:val="22"/>
                <w:szCs w:val="22"/>
              </w:rPr>
            </w:pPr>
            <w:r>
              <w:rPr>
                <w:b/>
                <w:bCs/>
                <w:sz w:val="22"/>
                <w:szCs w:val="22"/>
              </w:rPr>
              <w:t xml:space="preserve">Lecturer: </w:t>
            </w:r>
          </w:p>
        </w:tc>
        <w:tc>
          <w:tcPr>
            <w:tcW w:w="2429" w:type="dxa"/>
            <w:tcBorders>
              <w:top w:val="none" w:sz="6" w:space="0" w:color="auto"/>
              <w:left w:val="none" w:sz="6" w:space="0" w:color="auto"/>
              <w:bottom w:val="none" w:sz="6" w:space="0" w:color="auto"/>
              <w:right w:val="none" w:sz="6" w:space="0" w:color="auto"/>
            </w:tcBorders>
          </w:tcPr>
          <w:p w14:paraId="59986D33" w14:textId="710B700A" w:rsidR="00AA03CC" w:rsidRDefault="00111BCC">
            <w:pPr>
              <w:pStyle w:val="Default"/>
              <w:rPr>
                <w:sz w:val="22"/>
                <w:szCs w:val="22"/>
              </w:rPr>
            </w:pPr>
            <w:r>
              <w:rPr>
                <w:b/>
                <w:bCs/>
                <w:sz w:val="22"/>
                <w:szCs w:val="22"/>
              </w:rPr>
              <w:t>Jean Wang</w:t>
            </w:r>
          </w:p>
        </w:tc>
        <w:tc>
          <w:tcPr>
            <w:tcW w:w="2428" w:type="dxa"/>
            <w:tcBorders>
              <w:top w:val="none" w:sz="6" w:space="0" w:color="auto"/>
              <w:left w:val="none" w:sz="6" w:space="0" w:color="auto"/>
              <w:bottom w:val="none" w:sz="6" w:space="0" w:color="auto"/>
              <w:right w:val="none" w:sz="6" w:space="0" w:color="auto"/>
            </w:tcBorders>
          </w:tcPr>
          <w:p w14:paraId="47A21A37" w14:textId="77777777" w:rsidR="00AA03CC" w:rsidRDefault="00AA03CC">
            <w:pPr>
              <w:pStyle w:val="Default"/>
              <w:rPr>
                <w:sz w:val="22"/>
                <w:szCs w:val="22"/>
              </w:rPr>
            </w:pPr>
            <w:r>
              <w:rPr>
                <w:b/>
                <w:bCs/>
                <w:sz w:val="22"/>
                <w:szCs w:val="22"/>
              </w:rPr>
              <w:t xml:space="preserve">Internal Verifier: </w:t>
            </w:r>
          </w:p>
        </w:tc>
        <w:tc>
          <w:tcPr>
            <w:tcW w:w="2429" w:type="dxa"/>
            <w:tcBorders>
              <w:top w:val="none" w:sz="6" w:space="0" w:color="auto"/>
              <w:left w:val="none" w:sz="6" w:space="0" w:color="auto"/>
              <w:bottom w:val="none" w:sz="6" w:space="0" w:color="auto"/>
            </w:tcBorders>
          </w:tcPr>
          <w:p w14:paraId="30D47DE8" w14:textId="77777777" w:rsidR="00AA03CC" w:rsidRDefault="00AA03CC">
            <w:pPr>
              <w:pStyle w:val="Default"/>
              <w:rPr>
                <w:sz w:val="22"/>
                <w:szCs w:val="22"/>
              </w:rPr>
            </w:pPr>
            <w:r>
              <w:rPr>
                <w:b/>
                <w:bCs/>
                <w:sz w:val="22"/>
                <w:szCs w:val="22"/>
              </w:rPr>
              <w:t xml:space="preserve">Vasilios Tavlaridis and Hoang Dang Nguyen </w:t>
            </w:r>
          </w:p>
        </w:tc>
      </w:tr>
      <w:tr w:rsidR="00AA03CC" w14:paraId="20C5C532" w14:textId="77777777" w:rsidTr="00797266">
        <w:tblPrEx>
          <w:tblCellMar>
            <w:top w:w="0" w:type="dxa"/>
            <w:bottom w:w="0" w:type="dxa"/>
          </w:tblCellMar>
        </w:tblPrEx>
        <w:trPr>
          <w:trHeight w:val="292"/>
        </w:trPr>
        <w:tc>
          <w:tcPr>
            <w:tcW w:w="2428" w:type="dxa"/>
            <w:tcBorders>
              <w:top w:val="none" w:sz="6" w:space="0" w:color="auto"/>
              <w:bottom w:val="none" w:sz="6" w:space="0" w:color="auto"/>
              <w:right w:val="none" w:sz="6" w:space="0" w:color="auto"/>
            </w:tcBorders>
          </w:tcPr>
          <w:p w14:paraId="06670825" w14:textId="77777777" w:rsidR="00AA03CC" w:rsidRDefault="00AA03CC">
            <w:pPr>
              <w:pStyle w:val="Default"/>
              <w:rPr>
                <w:sz w:val="22"/>
                <w:szCs w:val="22"/>
              </w:rPr>
            </w:pPr>
            <w:r>
              <w:rPr>
                <w:b/>
                <w:bCs/>
                <w:sz w:val="22"/>
                <w:szCs w:val="22"/>
              </w:rPr>
              <w:t xml:space="preserve">Assignment Title: </w:t>
            </w:r>
          </w:p>
        </w:tc>
        <w:tc>
          <w:tcPr>
            <w:tcW w:w="2429" w:type="dxa"/>
            <w:tcBorders>
              <w:top w:val="none" w:sz="6" w:space="0" w:color="auto"/>
              <w:left w:val="none" w:sz="6" w:space="0" w:color="auto"/>
              <w:bottom w:val="none" w:sz="6" w:space="0" w:color="auto"/>
              <w:right w:val="none" w:sz="6" w:space="0" w:color="auto"/>
            </w:tcBorders>
          </w:tcPr>
          <w:p w14:paraId="39B02C76" w14:textId="77777777" w:rsidR="00AA03CC" w:rsidRDefault="00AA03CC">
            <w:pPr>
              <w:pStyle w:val="Default"/>
              <w:rPr>
                <w:sz w:val="22"/>
                <w:szCs w:val="22"/>
              </w:rPr>
            </w:pPr>
            <w:r>
              <w:rPr>
                <w:b/>
                <w:bCs/>
                <w:sz w:val="22"/>
                <w:szCs w:val="22"/>
              </w:rPr>
              <w:t xml:space="preserve">Report </w:t>
            </w:r>
          </w:p>
        </w:tc>
        <w:tc>
          <w:tcPr>
            <w:tcW w:w="2428" w:type="dxa"/>
            <w:tcBorders>
              <w:top w:val="none" w:sz="6" w:space="0" w:color="auto"/>
              <w:left w:val="none" w:sz="6" w:space="0" w:color="auto"/>
              <w:bottom w:val="none" w:sz="6" w:space="0" w:color="auto"/>
              <w:right w:val="none" w:sz="6" w:space="0" w:color="auto"/>
            </w:tcBorders>
          </w:tcPr>
          <w:p w14:paraId="36A68D79" w14:textId="77777777" w:rsidR="00AA03CC" w:rsidRDefault="00AA03CC">
            <w:pPr>
              <w:pStyle w:val="Default"/>
              <w:rPr>
                <w:sz w:val="22"/>
                <w:szCs w:val="22"/>
              </w:rPr>
            </w:pPr>
            <w:r>
              <w:rPr>
                <w:b/>
                <w:bCs/>
                <w:sz w:val="22"/>
                <w:szCs w:val="22"/>
              </w:rPr>
              <w:t xml:space="preserve">Word count (or equivalent): </w:t>
            </w:r>
          </w:p>
        </w:tc>
        <w:tc>
          <w:tcPr>
            <w:tcW w:w="2429" w:type="dxa"/>
            <w:tcBorders>
              <w:top w:val="none" w:sz="6" w:space="0" w:color="auto"/>
              <w:left w:val="none" w:sz="6" w:space="0" w:color="auto"/>
              <w:bottom w:val="none" w:sz="6" w:space="0" w:color="auto"/>
            </w:tcBorders>
          </w:tcPr>
          <w:p w14:paraId="2E8E364C" w14:textId="77777777" w:rsidR="00AA03CC" w:rsidRDefault="00AA03CC">
            <w:pPr>
              <w:pStyle w:val="Default"/>
              <w:rPr>
                <w:sz w:val="22"/>
                <w:szCs w:val="22"/>
              </w:rPr>
            </w:pPr>
            <w:r>
              <w:rPr>
                <w:b/>
                <w:bCs/>
                <w:sz w:val="22"/>
                <w:szCs w:val="22"/>
              </w:rPr>
              <w:t xml:space="preserve">5,000 words (± 10%) </w:t>
            </w:r>
          </w:p>
        </w:tc>
      </w:tr>
      <w:tr w:rsidR="00AA03CC" w14:paraId="5E36F368" w14:textId="77777777" w:rsidTr="00797266">
        <w:tblPrEx>
          <w:tblCellMar>
            <w:top w:w="0" w:type="dxa"/>
            <w:bottom w:w="0" w:type="dxa"/>
          </w:tblCellMar>
        </w:tblPrEx>
        <w:trPr>
          <w:trHeight w:val="490"/>
        </w:trPr>
        <w:tc>
          <w:tcPr>
            <w:tcW w:w="2428" w:type="dxa"/>
            <w:tcBorders>
              <w:top w:val="none" w:sz="6" w:space="0" w:color="auto"/>
              <w:bottom w:val="none" w:sz="6" w:space="0" w:color="auto"/>
              <w:right w:val="none" w:sz="6" w:space="0" w:color="auto"/>
            </w:tcBorders>
          </w:tcPr>
          <w:p w14:paraId="5E2AE2DC" w14:textId="77777777" w:rsidR="00AA03CC" w:rsidRDefault="00AA03CC">
            <w:pPr>
              <w:pStyle w:val="Default"/>
              <w:rPr>
                <w:sz w:val="22"/>
                <w:szCs w:val="22"/>
              </w:rPr>
            </w:pPr>
            <w:r>
              <w:rPr>
                <w:b/>
                <w:bCs/>
                <w:sz w:val="22"/>
                <w:szCs w:val="22"/>
              </w:rPr>
              <w:t xml:space="preserve">Submission deadline: </w:t>
            </w:r>
          </w:p>
        </w:tc>
        <w:tc>
          <w:tcPr>
            <w:tcW w:w="2429" w:type="dxa"/>
            <w:tcBorders>
              <w:top w:val="none" w:sz="6" w:space="0" w:color="auto"/>
              <w:left w:val="none" w:sz="6" w:space="0" w:color="auto"/>
              <w:bottom w:val="none" w:sz="6" w:space="0" w:color="auto"/>
              <w:right w:val="none" w:sz="6" w:space="0" w:color="auto"/>
            </w:tcBorders>
          </w:tcPr>
          <w:p w14:paraId="2E4DE7A4" w14:textId="77777777" w:rsidR="00AA03CC" w:rsidRDefault="00AA03CC">
            <w:pPr>
              <w:pStyle w:val="Default"/>
              <w:rPr>
                <w:sz w:val="22"/>
                <w:szCs w:val="22"/>
              </w:rPr>
            </w:pPr>
            <w:r>
              <w:rPr>
                <w:b/>
                <w:bCs/>
                <w:sz w:val="22"/>
                <w:szCs w:val="22"/>
              </w:rPr>
              <w:t>Monday 15</w:t>
            </w:r>
            <w:r>
              <w:rPr>
                <w:b/>
                <w:bCs/>
                <w:sz w:val="14"/>
                <w:szCs w:val="14"/>
              </w:rPr>
              <w:t xml:space="preserve">th </w:t>
            </w:r>
            <w:r>
              <w:rPr>
                <w:b/>
                <w:bCs/>
                <w:sz w:val="22"/>
                <w:szCs w:val="22"/>
              </w:rPr>
              <w:t xml:space="preserve">December 2025 </w:t>
            </w:r>
          </w:p>
        </w:tc>
        <w:tc>
          <w:tcPr>
            <w:tcW w:w="2428" w:type="dxa"/>
            <w:tcBorders>
              <w:top w:val="none" w:sz="6" w:space="0" w:color="auto"/>
              <w:left w:val="none" w:sz="6" w:space="0" w:color="auto"/>
              <w:bottom w:val="none" w:sz="6" w:space="0" w:color="auto"/>
              <w:right w:val="none" w:sz="6" w:space="0" w:color="auto"/>
            </w:tcBorders>
          </w:tcPr>
          <w:p w14:paraId="7DBC509F" w14:textId="77777777" w:rsidR="00AA03CC" w:rsidRDefault="00AA03CC">
            <w:pPr>
              <w:pStyle w:val="Default"/>
              <w:rPr>
                <w:sz w:val="22"/>
                <w:szCs w:val="22"/>
              </w:rPr>
            </w:pPr>
            <w:r>
              <w:rPr>
                <w:b/>
                <w:bCs/>
                <w:sz w:val="22"/>
                <w:szCs w:val="22"/>
              </w:rPr>
              <w:t xml:space="preserve">Return date of provisional marks &amp; written feedback: </w:t>
            </w:r>
          </w:p>
        </w:tc>
        <w:tc>
          <w:tcPr>
            <w:tcW w:w="2429" w:type="dxa"/>
            <w:tcBorders>
              <w:top w:val="none" w:sz="6" w:space="0" w:color="auto"/>
              <w:left w:val="none" w:sz="6" w:space="0" w:color="auto"/>
              <w:bottom w:val="none" w:sz="6" w:space="0" w:color="auto"/>
            </w:tcBorders>
          </w:tcPr>
          <w:p w14:paraId="3C6DDFFE" w14:textId="77777777" w:rsidR="00AA03CC" w:rsidRDefault="00AA03CC">
            <w:pPr>
              <w:pStyle w:val="Default"/>
              <w:rPr>
                <w:sz w:val="22"/>
                <w:szCs w:val="22"/>
              </w:rPr>
            </w:pPr>
            <w:r>
              <w:rPr>
                <w:b/>
                <w:bCs/>
                <w:sz w:val="22"/>
                <w:szCs w:val="22"/>
              </w:rPr>
              <w:t xml:space="preserve">30th January 2026 </w:t>
            </w:r>
          </w:p>
        </w:tc>
      </w:tr>
    </w:tbl>
    <w:p w14:paraId="31148FE8" w14:textId="77777777" w:rsidR="00AA03CC" w:rsidRPr="00AA03CC" w:rsidRDefault="00AA03CC" w:rsidP="00AA03CC"/>
    <w:p w14:paraId="3DBBEF52" w14:textId="77777777" w:rsidR="00E02386" w:rsidRDefault="00E02386">
      <w:pPr>
        <w:rPr>
          <w:rFonts w:ascii="Arial" w:hAnsi="Arial" w:cs="Arial"/>
          <w:b/>
          <w:bCs/>
        </w:rPr>
      </w:pPr>
    </w:p>
    <w:p w14:paraId="38888401" w14:textId="6760CEED" w:rsidR="00E02386" w:rsidRPr="00E02386" w:rsidRDefault="00E02386" w:rsidP="00E02386">
      <w:pPr>
        <w:jc w:val="center"/>
        <w:rPr>
          <w:rFonts w:ascii="Arial" w:hAnsi="Arial" w:cs="Arial"/>
          <w:b/>
          <w:bCs/>
        </w:rPr>
      </w:pPr>
      <w:r w:rsidRPr="00E02386">
        <w:rPr>
          <w:rFonts w:ascii="Arial" w:hAnsi="Arial" w:cs="Arial"/>
          <w:b/>
          <w:bCs/>
        </w:rPr>
        <w:br w:type="page"/>
      </w:r>
    </w:p>
    <w:p w14:paraId="3A89FBE0" w14:textId="676B1934" w:rsidR="00E02386" w:rsidRDefault="00E02386">
      <w:pPr>
        <w:rPr>
          <w:rFonts w:ascii="Arial" w:hAnsi="Arial" w:cs="Arial"/>
          <w:b/>
          <w:bCs/>
        </w:rPr>
      </w:pPr>
      <w:r>
        <w:rPr>
          <w:rFonts w:ascii="Arial" w:hAnsi="Arial" w:cs="Arial"/>
          <w:b/>
          <w:bCs/>
        </w:rPr>
        <w:lastRenderedPageBreak/>
        <w:t>TABLE OF CONTENT</w:t>
      </w:r>
    </w:p>
    <w:sdt>
      <w:sdtPr>
        <w:id w:val="145944310"/>
        <w:docPartObj>
          <w:docPartGallery w:val="Table of Contents"/>
          <w:docPartUnique/>
        </w:docPartObj>
      </w:sdtPr>
      <w:sdtEndPr>
        <w:rPr>
          <w:rFonts w:asciiTheme="minorHAnsi" w:eastAsiaTheme="minorHAnsi" w:hAnsiTheme="minorHAnsi" w:cstheme="minorBidi"/>
          <w:b/>
          <w:bCs/>
          <w:noProof/>
          <w:color w:val="auto"/>
          <w:kern w:val="2"/>
          <w:sz w:val="24"/>
          <w:szCs w:val="24"/>
          <w:lang w:val="en-IN"/>
          <w14:ligatures w14:val="standardContextual"/>
        </w:rPr>
      </w:sdtEndPr>
      <w:sdtContent>
        <w:p w14:paraId="6C6E473C" w14:textId="487D5DEA" w:rsidR="00111BCC" w:rsidRDefault="00111BCC">
          <w:pPr>
            <w:pStyle w:val="TOCHeading"/>
          </w:pPr>
        </w:p>
        <w:p w14:paraId="14B9C998" w14:textId="1D070F1A" w:rsidR="00111BCC" w:rsidRDefault="00111BCC" w:rsidP="00111BCC">
          <w:pPr>
            <w:pStyle w:val="TOC1"/>
            <w:rPr>
              <w:rFonts w:eastAsiaTheme="minorEastAsia"/>
              <w:noProof/>
              <w:lang w:eastAsia="en-IN"/>
            </w:rPr>
          </w:pPr>
          <w:r>
            <w:fldChar w:fldCharType="begin"/>
          </w:r>
          <w:r>
            <w:instrText xml:space="preserve"> TOC \o "1-3" \h \z \u </w:instrText>
          </w:r>
          <w:r>
            <w:fldChar w:fldCharType="separate"/>
          </w:r>
          <w:hyperlink w:anchor="_Toc216539849" w:history="1">
            <w:r w:rsidRPr="00E063F2">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_Toc216539849 \h </w:instrText>
            </w:r>
            <w:r>
              <w:rPr>
                <w:noProof/>
                <w:webHidden/>
              </w:rPr>
            </w:r>
            <w:r>
              <w:rPr>
                <w:noProof/>
                <w:webHidden/>
              </w:rPr>
              <w:fldChar w:fldCharType="separate"/>
            </w:r>
            <w:r>
              <w:rPr>
                <w:noProof/>
                <w:webHidden/>
              </w:rPr>
              <w:t>4</w:t>
            </w:r>
            <w:r>
              <w:rPr>
                <w:noProof/>
                <w:webHidden/>
              </w:rPr>
              <w:fldChar w:fldCharType="end"/>
            </w:r>
          </w:hyperlink>
        </w:p>
        <w:p w14:paraId="36777A9A" w14:textId="1AC692FE" w:rsidR="00111BCC" w:rsidRDefault="00111BCC" w:rsidP="00111BCC">
          <w:pPr>
            <w:pStyle w:val="TOC1"/>
            <w:rPr>
              <w:rFonts w:eastAsiaTheme="minorEastAsia"/>
              <w:noProof/>
              <w:lang w:eastAsia="en-IN"/>
            </w:rPr>
          </w:pPr>
          <w:hyperlink w:anchor="_Toc216539850" w:history="1">
            <w:r w:rsidRPr="00E063F2">
              <w:rPr>
                <w:rStyle w:val="Hyperlink"/>
                <w:rFonts w:ascii="Arial" w:hAnsi="Arial" w:cs="Arial"/>
                <w:b/>
                <w:bCs/>
                <w:noProof/>
              </w:rPr>
              <w:t>2. Benefits and Challenges of International Operations</w:t>
            </w:r>
            <w:r>
              <w:rPr>
                <w:noProof/>
                <w:webHidden/>
              </w:rPr>
              <w:tab/>
            </w:r>
            <w:r>
              <w:rPr>
                <w:noProof/>
                <w:webHidden/>
              </w:rPr>
              <w:fldChar w:fldCharType="begin"/>
            </w:r>
            <w:r>
              <w:rPr>
                <w:noProof/>
                <w:webHidden/>
              </w:rPr>
              <w:instrText xml:space="preserve"> PAGEREF _Toc216539850 \h </w:instrText>
            </w:r>
            <w:r>
              <w:rPr>
                <w:noProof/>
                <w:webHidden/>
              </w:rPr>
            </w:r>
            <w:r>
              <w:rPr>
                <w:noProof/>
                <w:webHidden/>
              </w:rPr>
              <w:fldChar w:fldCharType="separate"/>
            </w:r>
            <w:r>
              <w:rPr>
                <w:noProof/>
                <w:webHidden/>
              </w:rPr>
              <w:t>4</w:t>
            </w:r>
            <w:r>
              <w:rPr>
                <w:noProof/>
                <w:webHidden/>
              </w:rPr>
              <w:fldChar w:fldCharType="end"/>
            </w:r>
          </w:hyperlink>
        </w:p>
        <w:p w14:paraId="20A72A22" w14:textId="147B4233" w:rsidR="00111BCC" w:rsidRDefault="00111BCC" w:rsidP="00111BCC">
          <w:pPr>
            <w:pStyle w:val="TOC1"/>
            <w:rPr>
              <w:rFonts w:eastAsiaTheme="minorEastAsia"/>
              <w:noProof/>
              <w:lang w:eastAsia="en-IN"/>
            </w:rPr>
          </w:pPr>
          <w:hyperlink w:anchor="_Toc216539851" w:history="1">
            <w:r w:rsidRPr="00E063F2">
              <w:rPr>
                <w:rStyle w:val="Hyperlink"/>
                <w:rFonts w:ascii="Arial" w:hAnsi="Arial" w:cs="Arial"/>
                <w:b/>
                <w:bCs/>
                <w:noProof/>
              </w:rPr>
              <w:t>3. Critical Discussion of OLI Factors: Alibaba’s Market Entry into Brazil</w:t>
            </w:r>
            <w:r>
              <w:rPr>
                <w:noProof/>
                <w:webHidden/>
              </w:rPr>
              <w:tab/>
            </w:r>
            <w:r>
              <w:rPr>
                <w:noProof/>
                <w:webHidden/>
              </w:rPr>
              <w:fldChar w:fldCharType="begin"/>
            </w:r>
            <w:r>
              <w:rPr>
                <w:noProof/>
                <w:webHidden/>
              </w:rPr>
              <w:instrText xml:space="preserve"> PAGEREF _Toc216539851 \h </w:instrText>
            </w:r>
            <w:r>
              <w:rPr>
                <w:noProof/>
                <w:webHidden/>
              </w:rPr>
            </w:r>
            <w:r>
              <w:rPr>
                <w:noProof/>
                <w:webHidden/>
              </w:rPr>
              <w:fldChar w:fldCharType="separate"/>
            </w:r>
            <w:r>
              <w:rPr>
                <w:noProof/>
                <w:webHidden/>
              </w:rPr>
              <w:t>10</w:t>
            </w:r>
            <w:r>
              <w:rPr>
                <w:noProof/>
                <w:webHidden/>
              </w:rPr>
              <w:fldChar w:fldCharType="end"/>
            </w:r>
          </w:hyperlink>
        </w:p>
        <w:p w14:paraId="48081911" w14:textId="49FEB6A7" w:rsidR="00111BCC" w:rsidRDefault="00111BCC" w:rsidP="00111BCC">
          <w:pPr>
            <w:pStyle w:val="TOC1"/>
            <w:rPr>
              <w:rFonts w:eastAsiaTheme="minorEastAsia"/>
              <w:noProof/>
              <w:lang w:eastAsia="en-IN"/>
            </w:rPr>
          </w:pPr>
          <w:hyperlink w:anchor="_Toc216539852" w:history="1">
            <w:r w:rsidRPr="00E063F2">
              <w:rPr>
                <w:rStyle w:val="Hyperlink"/>
                <w:rFonts w:ascii="Arial" w:hAnsi="Arial" w:cs="Arial"/>
                <w:b/>
                <w:bCs/>
                <w:noProof/>
              </w:rPr>
              <w:t>4. Cultural Differences and Their Impact on Alibaba’s Market Entry into Brazil</w:t>
            </w:r>
            <w:r>
              <w:rPr>
                <w:noProof/>
                <w:webHidden/>
              </w:rPr>
              <w:tab/>
            </w:r>
            <w:r>
              <w:rPr>
                <w:noProof/>
                <w:webHidden/>
              </w:rPr>
              <w:fldChar w:fldCharType="begin"/>
            </w:r>
            <w:r>
              <w:rPr>
                <w:noProof/>
                <w:webHidden/>
              </w:rPr>
              <w:instrText xml:space="preserve"> PAGEREF _Toc216539852 \h </w:instrText>
            </w:r>
            <w:r>
              <w:rPr>
                <w:noProof/>
                <w:webHidden/>
              </w:rPr>
            </w:r>
            <w:r>
              <w:rPr>
                <w:noProof/>
                <w:webHidden/>
              </w:rPr>
              <w:fldChar w:fldCharType="separate"/>
            </w:r>
            <w:r>
              <w:rPr>
                <w:noProof/>
                <w:webHidden/>
              </w:rPr>
              <w:t>12</w:t>
            </w:r>
            <w:r>
              <w:rPr>
                <w:noProof/>
                <w:webHidden/>
              </w:rPr>
              <w:fldChar w:fldCharType="end"/>
            </w:r>
          </w:hyperlink>
        </w:p>
        <w:p w14:paraId="79B67C49" w14:textId="09912F77" w:rsidR="00111BCC" w:rsidRDefault="00111BCC" w:rsidP="00111BCC">
          <w:pPr>
            <w:pStyle w:val="TOC1"/>
            <w:rPr>
              <w:rFonts w:eastAsiaTheme="minorEastAsia"/>
              <w:noProof/>
              <w:lang w:eastAsia="en-IN"/>
            </w:rPr>
          </w:pPr>
          <w:hyperlink w:anchor="_Toc216539853" w:history="1">
            <w:r w:rsidRPr="00E063F2">
              <w:rPr>
                <w:rStyle w:val="Hyperlink"/>
                <w:rFonts w:ascii="Arial" w:hAnsi="Arial" w:cs="Arial"/>
                <w:b/>
                <w:bCs/>
                <w:noProof/>
              </w:rPr>
              <w:t>5. Recommended Adjustments to Alibaba’s Standard Operating Procedures (SOPs) for Brazil</w:t>
            </w:r>
            <w:r>
              <w:rPr>
                <w:noProof/>
                <w:webHidden/>
              </w:rPr>
              <w:tab/>
            </w:r>
            <w:r>
              <w:rPr>
                <w:noProof/>
                <w:webHidden/>
              </w:rPr>
              <w:fldChar w:fldCharType="begin"/>
            </w:r>
            <w:r>
              <w:rPr>
                <w:noProof/>
                <w:webHidden/>
              </w:rPr>
              <w:instrText xml:space="preserve"> PAGEREF _Toc216539853 \h </w:instrText>
            </w:r>
            <w:r>
              <w:rPr>
                <w:noProof/>
                <w:webHidden/>
              </w:rPr>
            </w:r>
            <w:r>
              <w:rPr>
                <w:noProof/>
                <w:webHidden/>
              </w:rPr>
              <w:fldChar w:fldCharType="separate"/>
            </w:r>
            <w:r>
              <w:rPr>
                <w:noProof/>
                <w:webHidden/>
              </w:rPr>
              <w:t>16</w:t>
            </w:r>
            <w:r>
              <w:rPr>
                <w:noProof/>
                <w:webHidden/>
              </w:rPr>
              <w:fldChar w:fldCharType="end"/>
            </w:r>
          </w:hyperlink>
        </w:p>
        <w:p w14:paraId="68CAF7ED" w14:textId="44509BB2" w:rsidR="00111BCC" w:rsidRDefault="00111BCC" w:rsidP="00111BCC">
          <w:pPr>
            <w:pStyle w:val="TOC1"/>
            <w:rPr>
              <w:rFonts w:eastAsiaTheme="minorEastAsia"/>
              <w:noProof/>
              <w:lang w:eastAsia="en-IN"/>
            </w:rPr>
          </w:pPr>
          <w:hyperlink w:anchor="_Toc216539854" w:history="1">
            <w:r w:rsidRPr="00E063F2">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_Toc216539854 \h </w:instrText>
            </w:r>
            <w:r>
              <w:rPr>
                <w:noProof/>
                <w:webHidden/>
              </w:rPr>
            </w:r>
            <w:r>
              <w:rPr>
                <w:noProof/>
                <w:webHidden/>
              </w:rPr>
              <w:fldChar w:fldCharType="separate"/>
            </w:r>
            <w:r>
              <w:rPr>
                <w:noProof/>
                <w:webHidden/>
              </w:rPr>
              <w:t>20</w:t>
            </w:r>
            <w:r>
              <w:rPr>
                <w:noProof/>
                <w:webHidden/>
              </w:rPr>
              <w:fldChar w:fldCharType="end"/>
            </w:r>
          </w:hyperlink>
        </w:p>
        <w:p w14:paraId="4D961F3B" w14:textId="23DBA7B9" w:rsidR="00111BCC" w:rsidRDefault="00111BCC" w:rsidP="00111BCC">
          <w:pPr>
            <w:pStyle w:val="TOC1"/>
            <w:rPr>
              <w:rFonts w:eastAsiaTheme="minorEastAsia"/>
              <w:noProof/>
              <w:lang w:eastAsia="en-IN"/>
            </w:rPr>
          </w:pPr>
          <w:hyperlink w:anchor="_Toc216539855" w:history="1">
            <w:r w:rsidRPr="00E063F2">
              <w:rPr>
                <w:rStyle w:val="Hyperlink"/>
                <w:rFonts w:ascii="Arial" w:hAnsi="Arial" w:cs="Arial"/>
                <w:b/>
                <w:bCs/>
                <w:noProof/>
                <w:lang w:val="en-US"/>
              </w:rPr>
              <w:t>Reference</w:t>
            </w:r>
            <w:r>
              <w:rPr>
                <w:noProof/>
                <w:webHidden/>
              </w:rPr>
              <w:tab/>
            </w:r>
            <w:r>
              <w:rPr>
                <w:noProof/>
                <w:webHidden/>
              </w:rPr>
              <w:fldChar w:fldCharType="begin"/>
            </w:r>
            <w:r>
              <w:rPr>
                <w:noProof/>
                <w:webHidden/>
              </w:rPr>
              <w:instrText xml:space="preserve"> PAGEREF _Toc216539855 \h </w:instrText>
            </w:r>
            <w:r>
              <w:rPr>
                <w:noProof/>
                <w:webHidden/>
              </w:rPr>
            </w:r>
            <w:r>
              <w:rPr>
                <w:noProof/>
                <w:webHidden/>
              </w:rPr>
              <w:fldChar w:fldCharType="separate"/>
            </w:r>
            <w:r>
              <w:rPr>
                <w:noProof/>
                <w:webHidden/>
              </w:rPr>
              <w:t>21</w:t>
            </w:r>
            <w:r>
              <w:rPr>
                <w:noProof/>
                <w:webHidden/>
              </w:rPr>
              <w:fldChar w:fldCharType="end"/>
            </w:r>
          </w:hyperlink>
        </w:p>
        <w:p w14:paraId="5DAFB06C" w14:textId="3CBE2D43" w:rsidR="00111BCC" w:rsidRDefault="00111BCC">
          <w:r>
            <w:rPr>
              <w:b/>
              <w:bCs/>
              <w:noProof/>
            </w:rPr>
            <w:fldChar w:fldCharType="end"/>
          </w:r>
        </w:p>
      </w:sdtContent>
    </w:sdt>
    <w:p w14:paraId="02249319" w14:textId="0530C1DD" w:rsidR="00E02386" w:rsidRDefault="00E02386">
      <w:pPr>
        <w:rPr>
          <w:rFonts w:ascii="Arial" w:eastAsiaTheme="majorEastAsia" w:hAnsi="Arial" w:cs="Arial"/>
          <w:b/>
          <w:bCs/>
        </w:rPr>
      </w:pPr>
      <w:r>
        <w:rPr>
          <w:rFonts w:ascii="Arial" w:hAnsi="Arial" w:cs="Arial"/>
          <w:b/>
          <w:bCs/>
        </w:rPr>
        <w:br w:type="page"/>
      </w:r>
    </w:p>
    <w:p w14:paraId="1D280742" w14:textId="2455943C" w:rsidR="001935B7" w:rsidRPr="00E02386" w:rsidRDefault="00E13432" w:rsidP="00E02386">
      <w:pPr>
        <w:pStyle w:val="Heading1"/>
        <w:spacing w:line="360" w:lineRule="auto"/>
        <w:jc w:val="both"/>
        <w:rPr>
          <w:rFonts w:ascii="Arial" w:hAnsi="Arial" w:cs="Arial"/>
          <w:b/>
          <w:bCs/>
          <w:color w:val="auto"/>
          <w:sz w:val="24"/>
          <w:szCs w:val="24"/>
        </w:rPr>
      </w:pPr>
      <w:bookmarkStart w:id="0" w:name="_Toc216539849"/>
      <w:r w:rsidRPr="00E02386">
        <w:rPr>
          <w:rFonts w:ascii="Arial" w:hAnsi="Arial" w:cs="Arial"/>
          <w:b/>
          <w:bCs/>
          <w:color w:val="auto"/>
          <w:sz w:val="24"/>
          <w:szCs w:val="24"/>
        </w:rPr>
        <w:lastRenderedPageBreak/>
        <w:t>1. Introduction</w:t>
      </w:r>
      <w:bookmarkEnd w:id="0"/>
      <w:r w:rsidRPr="00E02386">
        <w:rPr>
          <w:rFonts w:ascii="Arial" w:hAnsi="Arial" w:cs="Arial"/>
          <w:b/>
          <w:bCs/>
          <w:color w:val="auto"/>
          <w:sz w:val="24"/>
          <w:szCs w:val="24"/>
        </w:rPr>
        <w:t xml:space="preserve"> </w:t>
      </w:r>
    </w:p>
    <w:p w14:paraId="0159972C" w14:textId="27DBB66C" w:rsidR="00302001" w:rsidRDefault="00302001" w:rsidP="008C416D">
      <w:pPr>
        <w:spacing w:line="360" w:lineRule="auto"/>
        <w:jc w:val="both"/>
        <w:rPr>
          <w:rFonts w:ascii="Arial" w:hAnsi="Arial" w:cs="Arial"/>
        </w:rPr>
      </w:pPr>
      <w:r w:rsidRPr="00302001">
        <w:rPr>
          <w:rFonts w:ascii="Arial" w:hAnsi="Arial" w:cs="Arial"/>
        </w:rPr>
        <w:t>As global markets become increasingly interconnected through technological advancement, emerging economies are experiencing a shift in economic influence. This creates significant opportunities for Multinational Corporations (MNCs) to expand internationally and benefit from new consumer markets. This report examines the potential for Alibaba Group to enter and operate successfully within Brazil, an emerging economy with strong digital growth</w:t>
      </w:r>
      <w:sdt>
        <w:sdtPr>
          <w:rPr>
            <w:rFonts w:ascii="Arial" w:hAnsi="Arial" w:cs="Arial"/>
          </w:rPr>
          <w:id w:val="717635955"/>
          <w:citation/>
        </w:sdtPr>
        <w:sdtContent>
          <w:r w:rsidR="009C2D18">
            <w:rPr>
              <w:rFonts w:ascii="Arial" w:hAnsi="Arial" w:cs="Arial"/>
            </w:rPr>
            <w:fldChar w:fldCharType="begin"/>
          </w:r>
          <w:r w:rsidR="009C2D18">
            <w:rPr>
              <w:rFonts w:ascii="Arial" w:hAnsi="Arial" w:cs="Arial"/>
              <w:lang w:val="en-US"/>
            </w:rPr>
            <w:instrText xml:space="preserve">CITATION Liu242 \l 1033 </w:instrText>
          </w:r>
          <w:r w:rsidR="009C2D18">
            <w:rPr>
              <w:rFonts w:ascii="Arial" w:hAnsi="Arial" w:cs="Arial"/>
            </w:rPr>
            <w:fldChar w:fldCharType="separate"/>
          </w:r>
          <w:r w:rsidR="009C2D18">
            <w:rPr>
              <w:rFonts w:ascii="Arial" w:hAnsi="Arial" w:cs="Arial"/>
              <w:noProof/>
              <w:lang w:val="en-US"/>
            </w:rPr>
            <w:t xml:space="preserve"> </w:t>
          </w:r>
          <w:r w:rsidR="009C2D18" w:rsidRPr="009C2D18">
            <w:rPr>
              <w:rFonts w:ascii="Arial" w:hAnsi="Arial" w:cs="Arial"/>
              <w:noProof/>
              <w:lang w:val="en-US"/>
            </w:rPr>
            <w:t>(Liu, The Impact of Capital Structure on Corporate Financial , 2024)</w:t>
          </w:r>
          <w:r w:rsidR="009C2D18">
            <w:rPr>
              <w:rFonts w:ascii="Arial" w:hAnsi="Arial" w:cs="Arial"/>
            </w:rPr>
            <w:fldChar w:fldCharType="end"/>
          </w:r>
        </w:sdtContent>
      </w:sdt>
      <w:r w:rsidR="009C2D18">
        <w:rPr>
          <w:rFonts w:ascii="Arial" w:hAnsi="Arial" w:cs="Arial"/>
        </w:rPr>
        <w:t>.</w:t>
      </w:r>
      <w:r w:rsidRPr="00302001">
        <w:rPr>
          <w:rFonts w:ascii="Arial" w:hAnsi="Arial" w:cs="Arial"/>
        </w:rPr>
        <w:t>Alibaba is one of the world’s leading e-commerce and digital technology conglomerates, supported by advanced logistics, cloud computing, fintech services, and extensive international retail platforms. Brazil’s expanding middle class, rising internet penetration, and rapid adoption of online consumption present a highly attractive market for Alibaba’s global expansion</w:t>
      </w:r>
      <w:sdt>
        <w:sdtPr>
          <w:rPr>
            <w:rFonts w:ascii="Arial" w:hAnsi="Arial" w:cs="Arial"/>
          </w:rPr>
          <w:id w:val="-1818641338"/>
          <w:citation/>
        </w:sdtPr>
        <w:sdtContent>
          <w:r w:rsidR="009C2D18">
            <w:rPr>
              <w:rFonts w:ascii="Arial" w:hAnsi="Arial" w:cs="Arial"/>
            </w:rPr>
            <w:fldChar w:fldCharType="begin"/>
          </w:r>
          <w:r w:rsidR="009C2D18">
            <w:rPr>
              <w:rFonts w:ascii="Arial" w:hAnsi="Arial" w:cs="Arial"/>
              <w:lang w:val="en-US"/>
            </w:rPr>
            <w:instrText xml:space="preserve"> CITATION Rah241 \l 1033 </w:instrText>
          </w:r>
          <w:r w:rsidR="009C2D18">
            <w:rPr>
              <w:rFonts w:ascii="Arial" w:hAnsi="Arial" w:cs="Arial"/>
            </w:rPr>
            <w:fldChar w:fldCharType="separate"/>
          </w:r>
          <w:r w:rsidR="009C2D18">
            <w:rPr>
              <w:rFonts w:ascii="Arial" w:hAnsi="Arial" w:cs="Arial"/>
              <w:noProof/>
              <w:lang w:val="en-US"/>
            </w:rPr>
            <w:t xml:space="preserve"> </w:t>
          </w:r>
          <w:r w:rsidR="009C2D18" w:rsidRPr="009C2D18">
            <w:rPr>
              <w:rFonts w:ascii="Arial" w:hAnsi="Arial" w:cs="Arial"/>
              <w:noProof/>
              <w:lang w:val="en-US"/>
            </w:rPr>
            <w:t>(Rahman, . E-commerce Evolution: A Strategic Analysis of Alibaba's Business Ecosystem, 2024)</w:t>
          </w:r>
          <w:r w:rsidR="009C2D18">
            <w:rPr>
              <w:rFonts w:ascii="Arial" w:hAnsi="Arial" w:cs="Arial"/>
            </w:rPr>
            <w:fldChar w:fldCharType="end"/>
          </w:r>
        </w:sdtContent>
      </w:sdt>
      <w:r w:rsidRPr="00302001">
        <w:rPr>
          <w:rFonts w:ascii="Arial" w:hAnsi="Arial" w:cs="Arial"/>
        </w:rPr>
        <w:t xml:space="preserve">. The report provides a structured analysis of Alibaba’s international operations, the benefits and challenges of globalisation, and the application of the OLI Paradigm to determine suitable entry modes. It further evaluates cultural differences between China and Brazil and concludes with Strategic SOP recommendations for successful market entry </w:t>
      </w:r>
      <w:r w:rsidR="009C2D18">
        <w:rPr>
          <w:rFonts w:ascii="Arial" w:hAnsi="Arial" w:cs="Arial"/>
        </w:rPr>
        <w:t>.</w:t>
      </w:r>
    </w:p>
    <w:p w14:paraId="07D30D20" w14:textId="348F87CD" w:rsidR="00B3492A" w:rsidRPr="00E02386" w:rsidRDefault="00B3492A" w:rsidP="00E02386">
      <w:pPr>
        <w:pStyle w:val="Heading1"/>
        <w:spacing w:line="360" w:lineRule="auto"/>
        <w:rPr>
          <w:rFonts w:ascii="Arial" w:hAnsi="Arial" w:cs="Arial"/>
          <w:b/>
          <w:bCs/>
          <w:color w:val="auto"/>
          <w:sz w:val="24"/>
          <w:szCs w:val="24"/>
        </w:rPr>
      </w:pPr>
      <w:bookmarkStart w:id="1" w:name="_Toc216539850"/>
      <w:r w:rsidRPr="00E02386">
        <w:rPr>
          <w:rFonts w:ascii="Arial" w:hAnsi="Arial" w:cs="Arial"/>
          <w:b/>
          <w:bCs/>
          <w:color w:val="auto"/>
          <w:sz w:val="24"/>
          <w:szCs w:val="24"/>
        </w:rPr>
        <w:t>2. Benefits and Challenges of International Operations</w:t>
      </w:r>
      <w:bookmarkEnd w:id="1"/>
    </w:p>
    <w:p w14:paraId="46AB3F98"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a. Why Alibaba is an MNC/TNC</w:t>
      </w:r>
    </w:p>
    <w:p w14:paraId="69DD02A3" w14:textId="1B0DFEF4" w:rsidR="009C2D18" w:rsidRDefault="009C2D18" w:rsidP="008C416D">
      <w:pPr>
        <w:spacing w:line="360" w:lineRule="auto"/>
        <w:jc w:val="both"/>
        <w:rPr>
          <w:rFonts w:ascii="Arial" w:hAnsi="Arial" w:cs="Arial"/>
        </w:rPr>
      </w:pPr>
      <w:r w:rsidRPr="009C2D18">
        <w:rPr>
          <w:rFonts w:ascii="Arial" w:hAnsi="Arial" w:cs="Arial"/>
        </w:rPr>
        <w:t xml:space="preserve">Alibaba Group can be classified as both a multinational corporation (MNC) and a transnational corporation (TNC) due to its extensive global presence, diversified value chain, and balanced approach to global integration and local responsiveness. As an MNC, Alibaba engages in foreign direct investment (FDI) and controls value-adding assets across multiple countries, including its logistics network </w:t>
      </w:r>
      <w:proofErr w:type="spellStart"/>
      <w:r w:rsidRPr="009C2D18">
        <w:rPr>
          <w:rFonts w:ascii="Arial" w:hAnsi="Arial" w:cs="Arial"/>
        </w:rPr>
        <w:t>Cainiao</w:t>
      </w:r>
      <w:proofErr w:type="spellEnd"/>
      <w:r w:rsidRPr="009C2D18">
        <w:rPr>
          <w:rFonts w:ascii="Arial" w:hAnsi="Arial" w:cs="Arial"/>
        </w:rPr>
        <w:t xml:space="preserve">, cross-border platforms like AliExpress and Alibaba.com, and regional marketplaces such as Lazada, </w:t>
      </w:r>
      <w:proofErr w:type="spellStart"/>
      <w:r w:rsidRPr="009C2D18">
        <w:rPr>
          <w:rFonts w:ascii="Arial" w:hAnsi="Arial" w:cs="Arial"/>
        </w:rPr>
        <w:t>Trendyol</w:t>
      </w:r>
      <w:proofErr w:type="spellEnd"/>
      <w:r w:rsidRPr="009C2D18">
        <w:rPr>
          <w:rFonts w:ascii="Arial" w:hAnsi="Arial" w:cs="Arial"/>
        </w:rPr>
        <w:t xml:space="preserve">, and </w:t>
      </w:r>
      <w:proofErr w:type="spellStart"/>
      <w:r w:rsidRPr="009C2D18">
        <w:rPr>
          <w:rFonts w:ascii="Arial" w:hAnsi="Arial" w:cs="Arial"/>
        </w:rPr>
        <w:t>Daraz</w:t>
      </w:r>
      <w:proofErr w:type="spellEnd"/>
      <w:sdt>
        <w:sdtPr>
          <w:rPr>
            <w:rFonts w:ascii="Arial" w:hAnsi="Arial" w:cs="Arial"/>
          </w:rPr>
          <w:id w:val="1577398905"/>
          <w:citation/>
        </w:sdtPr>
        <w:sdtContent>
          <w:r>
            <w:rPr>
              <w:rFonts w:ascii="Arial" w:hAnsi="Arial" w:cs="Arial"/>
            </w:rPr>
            <w:fldChar w:fldCharType="begin"/>
          </w:r>
          <w:r w:rsidR="00E13432">
            <w:rPr>
              <w:rFonts w:ascii="Arial" w:hAnsi="Arial" w:cs="Arial"/>
              <w:lang w:val="en-US"/>
            </w:rPr>
            <w:instrText xml:space="preserve">CITATION daS191 \t  \l 1033 </w:instrText>
          </w:r>
          <w:r>
            <w:rPr>
              <w:rFonts w:ascii="Arial" w:hAnsi="Arial" w:cs="Arial"/>
            </w:rPr>
            <w:fldChar w:fldCharType="separate"/>
          </w:r>
          <w:r w:rsidR="00E13432">
            <w:rPr>
              <w:rFonts w:ascii="Arial" w:hAnsi="Arial" w:cs="Arial"/>
              <w:noProof/>
              <w:lang w:val="en-US"/>
            </w:rPr>
            <w:t xml:space="preserve"> </w:t>
          </w:r>
          <w:r w:rsidR="00E13432" w:rsidRPr="00E13432">
            <w:rPr>
              <w:rFonts w:ascii="Arial" w:hAnsi="Arial" w:cs="Arial"/>
              <w:noProof/>
              <w:lang w:val="en-US"/>
            </w:rPr>
            <w:t>(da Silva Lopes et al, 2019. )</w:t>
          </w:r>
          <w:r>
            <w:rPr>
              <w:rFonts w:ascii="Arial" w:hAnsi="Arial" w:cs="Arial"/>
            </w:rPr>
            <w:fldChar w:fldCharType="end"/>
          </w:r>
        </w:sdtContent>
      </w:sdt>
      <w:r>
        <w:rPr>
          <w:rFonts w:ascii="Arial" w:hAnsi="Arial" w:cs="Arial"/>
        </w:rPr>
        <w:t>.</w:t>
      </w:r>
      <w:r w:rsidRPr="009C2D18">
        <w:rPr>
          <w:rFonts w:ascii="Arial" w:hAnsi="Arial" w:cs="Arial"/>
        </w:rPr>
        <w:t xml:space="preserve">The company also operates Alipay and a global cloud infrastructure. As a TNC, Alibaba adapts operations to local markets, adjusting to regulations and consumer behaviour. Examples include the localisation of Lazada in Southeast Asia and </w:t>
      </w:r>
      <w:proofErr w:type="spellStart"/>
      <w:r w:rsidRPr="009C2D18">
        <w:rPr>
          <w:rFonts w:ascii="Arial" w:hAnsi="Arial" w:cs="Arial"/>
        </w:rPr>
        <w:t>Trendyol’s</w:t>
      </w:r>
      <w:proofErr w:type="spellEnd"/>
      <w:r w:rsidRPr="009C2D18">
        <w:rPr>
          <w:rFonts w:ascii="Arial" w:hAnsi="Arial" w:cs="Arial"/>
        </w:rPr>
        <w:t xml:space="preserve"> autonomous operations in Turkey, demonstrating its transnational strategy</w:t>
      </w:r>
      <w:sdt>
        <w:sdtPr>
          <w:rPr>
            <w:rFonts w:ascii="Arial" w:hAnsi="Arial" w:cs="Arial"/>
          </w:rPr>
          <w:id w:val="-338626494"/>
          <w:citation/>
        </w:sdtPr>
        <w:sdtContent>
          <w:r w:rsidR="00E13432">
            <w:rPr>
              <w:rFonts w:ascii="Arial" w:hAnsi="Arial" w:cs="Arial"/>
            </w:rPr>
            <w:fldChar w:fldCharType="begin"/>
          </w:r>
          <w:r w:rsidR="00E13432">
            <w:rPr>
              <w:rFonts w:ascii="Arial" w:hAnsi="Arial" w:cs="Arial"/>
              <w:lang w:val="en-US"/>
            </w:rPr>
            <w:instrText xml:space="preserve"> CITATION Rud221 \l 1033 </w:instrText>
          </w:r>
          <w:r w:rsidR="00E13432">
            <w:rPr>
              <w:rFonts w:ascii="Arial" w:hAnsi="Arial" w:cs="Arial"/>
            </w:rPr>
            <w:fldChar w:fldCharType="separate"/>
          </w:r>
          <w:r w:rsidR="00E13432">
            <w:rPr>
              <w:rFonts w:ascii="Arial" w:hAnsi="Arial" w:cs="Arial"/>
              <w:noProof/>
              <w:lang w:val="en-US"/>
            </w:rPr>
            <w:t xml:space="preserve"> </w:t>
          </w:r>
          <w:r w:rsidR="00E13432" w:rsidRPr="00E13432">
            <w:rPr>
              <w:rFonts w:ascii="Arial" w:hAnsi="Arial" w:cs="Arial"/>
              <w:noProof/>
              <w:lang w:val="en-US"/>
            </w:rPr>
            <w:t>(Rudenko-Sudarieva et al, Paradigm Fundamentals , 2022)</w:t>
          </w:r>
          <w:r w:rsidR="00E13432">
            <w:rPr>
              <w:rFonts w:ascii="Arial" w:hAnsi="Arial" w:cs="Arial"/>
            </w:rPr>
            <w:fldChar w:fldCharType="end"/>
          </w:r>
        </w:sdtContent>
      </w:sdt>
      <w:r w:rsidR="00E13432">
        <w:rPr>
          <w:rFonts w:ascii="Arial" w:hAnsi="Arial" w:cs="Arial"/>
        </w:rPr>
        <w:t>.</w:t>
      </w:r>
    </w:p>
    <w:p w14:paraId="21BDB23C" w14:textId="35C88D2F" w:rsidR="00B3492A" w:rsidRPr="008C416D" w:rsidRDefault="00B3492A" w:rsidP="008C416D">
      <w:pPr>
        <w:spacing w:line="360" w:lineRule="auto"/>
        <w:jc w:val="both"/>
        <w:rPr>
          <w:rFonts w:ascii="Arial" w:hAnsi="Arial" w:cs="Arial"/>
          <w:b/>
          <w:bCs/>
        </w:rPr>
      </w:pPr>
      <w:r w:rsidRPr="008C416D">
        <w:rPr>
          <w:rFonts w:ascii="Arial" w:hAnsi="Arial" w:cs="Arial"/>
          <w:b/>
          <w:bCs/>
        </w:rPr>
        <w:lastRenderedPageBreak/>
        <w:t>b. Nature of Alibaba’s Global Operations Across the Value Chain</w:t>
      </w:r>
    </w:p>
    <w:p w14:paraId="0702593D" w14:textId="77777777" w:rsidR="00D4063F" w:rsidRPr="00D4063F" w:rsidRDefault="00D4063F" w:rsidP="00D4063F">
      <w:pPr>
        <w:spacing w:line="360" w:lineRule="auto"/>
        <w:jc w:val="both"/>
        <w:rPr>
          <w:rFonts w:ascii="Arial" w:hAnsi="Arial" w:cs="Arial"/>
        </w:rPr>
      </w:pPr>
      <w:r>
        <w:rPr>
          <w:rFonts w:ascii="Arial" w:hAnsi="Arial" w:cs="Arial"/>
        </w:rPr>
        <w:t xml:space="preserve"> </w:t>
      </w:r>
      <w:r w:rsidRPr="00D4063F">
        <w:rPr>
          <w:rFonts w:ascii="Arial" w:hAnsi="Arial" w:cs="Arial"/>
        </w:rPr>
        <w:t>Alibaba’s global operations are characterised by a highly technology-driven and interconnected value chain, which integrates research and development, sourcing, logistics, digital payments, cloud computing, and international retail platforms. Research and development is central to its operations, with Alibaba investing heavily in artificial intelligence, machine learning, robotics, and cloud technologies through its DAMO Academy and international research centres. This technological foundation enables Alibaba to innovate continuously, optimise platform performance, and enhance user experience across different markets.</w:t>
      </w:r>
    </w:p>
    <w:p w14:paraId="0262C090" w14:textId="45D8162B" w:rsidR="00B3492A" w:rsidRPr="008C416D" w:rsidRDefault="00D4063F" w:rsidP="00D4063F">
      <w:pPr>
        <w:spacing w:line="360" w:lineRule="auto"/>
        <w:jc w:val="both"/>
        <w:rPr>
          <w:rFonts w:ascii="Arial" w:hAnsi="Arial" w:cs="Arial"/>
        </w:rPr>
      </w:pPr>
      <w:r w:rsidRPr="00D4063F">
        <w:rPr>
          <w:rFonts w:ascii="Arial" w:hAnsi="Arial" w:cs="Arial"/>
        </w:rPr>
        <w:t>In sourcing and logistics, Alibaba connects millions of suppliers worldwide with global buyers, leveraging digital tools and data analytics to streamline operations and ensure efficient cross-border transactions. Its logistics arm, Cainiao, combines strategic partnerships with technology-enabled fulfilment centres, enabling rapid delivery despite regional infrastructure challenges.</w:t>
      </w:r>
      <w:r>
        <w:rPr>
          <w:rFonts w:ascii="Arial" w:hAnsi="Arial" w:cs="Arial"/>
        </w:rPr>
        <w:t xml:space="preserve"> </w:t>
      </w:r>
      <w:r w:rsidRPr="00D4063F">
        <w:rPr>
          <w:rFonts w:ascii="Arial" w:hAnsi="Arial" w:cs="Arial"/>
        </w:rPr>
        <w:t xml:space="preserve">Through digital payment solutions such as Alipay and other localised financial services, Alibaba ensures secure, seamless, and regulatory-compliant transactions in multiple countries. The company’s international retail operations, including AliExpress, Lazada, </w:t>
      </w:r>
      <w:proofErr w:type="spellStart"/>
      <w:r w:rsidRPr="00D4063F">
        <w:rPr>
          <w:rFonts w:ascii="Arial" w:hAnsi="Arial" w:cs="Arial"/>
        </w:rPr>
        <w:t>Trendyol</w:t>
      </w:r>
      <w:proofErr w:type="spellEnd"/>
      <w:r w:rsidRPr="00D4063F">
        <w:rPr>
          <w:rFonts w:ascii="Arial" w:hAnsi="Arial" w:cs="Arial"/>
        </w:rPr>
        <w:t xml:space="preserve">, and </w:t>
      </w:r>
      <w:proofErr w:type="spellStart"/>
      <w:r w:rsidRPr="00D4063F">
        <w:rPr>
          <w:rFonts w:ascii="Arial" w:hAnsi="Arial" w:cs="Arial"/>
        </w:rPr>
        <w:t>Daraz</w:t>
      </w:r>
      <w:proofErr w:type="spellEnd"/>
      <w:r w:rsidRPr="00D4063F">
        <w:rPr>
          <w:rFonts w:ascii="Arial" w:hAnsi="Arial" w:cs="Arial"/>
        </w:rPr>
        <w:t>, allow Alibaba to engage consumers across B2B, B2C, and C2C channels, supported by advanced digital marketing, personalised recommendations, and social commerce features.</w:t>
      </w:r>
      <w:r>
        <w:rPr>
          <w:rFonts w:ascii="Arial" w:hAnsi="Arial" w:cs="Arial"/>
        </w:rPr>
        <w:t xml:space="preserve"> </w:t>
      </w:r>
      <w:r w:rsidRPr="00D4063F">
        <w:rPr>
          <w:rFonts w:ascii="Arial" w:hAnsi="Arial" w:cs="Arial"/>
        </w:rPr>
        <w:t>Overall, Alibaba’s value chain demonstrates the company’s ability to integrate technological expertise with operational flexibility, enabling it to adapt efficiently to emerging market conditions and maintain competitive advantage globally.</w:t>
      </w:r>
      <w:r>
        <w:rPr>
          <w:rFonts w:ascii="Arial" w:hAnsi="Arial" w:cs="Arial"/>
        </w:rPr>
        <w:t xml:space="preserve">  </w:t>
      </w:r>
      <w:sdt>
        <w:sdtPr>
          <w:rPr>
            <w:rFonts w:ascii="Arial" w:hAnsi="Arial" w:cs="Arial"/>
          </w:rPr>
          <w:id w:val="416833706"/>
          <w:citation/>
        </w:sdtPr>
        <w:sdtContent>
          <w:r w:rsidR="002419E2">
            <w:rPr>
              <w:rFonts w:ascii="Arial" w:hAnsi="Arial" w:cs="Arial"/>
            </w:rPr>
            <w:fldChar w:fldCharType="begin"/>
          </w:r>
          <w:r w:rsidR="002419E2">
            <w:rPr>
              <w:rFonts w:ascii="Arial" w:hAnsi="Arial" w:cs="Arial"/>
              <w:lang w:val="en-US"/>
            </w:rPr>
            <w:instrText xml:space="preserve"> CITATION Qiu \l 1033 </w:instrText>
          </w:r>
          <w:r w:rsidR="002419E2">
            <w:rPr>
              <w:rFonts w:ascii="Arial" w:hAnsi="Arial" w:cs="Arial"/>
            </w:rPr>
            <w:fldChar w:fldCharType="separate"/>
          </w:r>
          <w:r w:rsidR="002419E2">
            <w:rPr>
              <w:rFonts w:ascii="Arial" w:hAnsi="Arial" w:cs="Arial"/>
              <w:noProof/>
              <w:lang w:val="en-US"/>
            </w:rPr>
            <w:t xml:space="preserve"> </w:t>
          </w:r>
          <w:r w:rsidR="002419E2" w:rsidRPr="002419E2">
            <w:rPr>
              <w:rFonts w:ascii="Arial" w:hAnsi="Arial" w:cs="Arial"/>
              <w:noProof/>
              <w:lang w:val="en-US"/>
            </w:rPr>
            <w:t>(Qiu)</w:t>
          </w:r>
          <w:r w:rsidR="002419E2">
            <w:rPr>
              <w:rFonts w:ascii="Arial" w:hAnsi="Arial" w:cs="Arial"/>
            </w:rPr>
            <w:fldChar w:fldCharType="end"/>
          </w:r>
        </w:sdtContent>
      </w:sdt>
      <w:r w:rsidR="00B3492A" w:rsidRPr="008C416D">
        <w:rPr>
          <w:rFonts w:ascii="Arial" w:hAnsi="Arial" w:cs="Arial"/>
        </w:rPr>
        <w:t>.</w:t>
      </w:r>
    </w:p>
    <w:p w14:paraId="149CC01F"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Research and Development (R&amp;D)</w:t>
      </w:r>
    </w:p>
    <w:p w14:paraId="5C8317D6" w14:textId="63412A25" w:rsidR="00B3492A" w:rsidRPr="008C416D" w:rsidRDefault="00B3492A" w:rsidP="008C416D">
      <w:pPr>
        <w:spacing w:line="360" w:lineRule="auto"/>
        <w:jc w:val="both"/>
        <w:rPr>
          <w:rFonts w:ascii="Arial" w:hAnsi="Arial" w:cs="Arial"/>
        </w:rPr>
      </w:pPr>
      <w:r w:rsidRPr="008C416D">
        <w:rPr>
          <w:rFonts w:ascii="Arial" w:hAnsi="Arial" w:cs="Arial"/>
        </w:rPr>
        <w:t>Alibaba invests heavily in R&amp;D through its DAMO Academy, which operates research centres in China, Israel, Singapore, and the United States. Research efforts focus on AI, machine learning, cloud computing, robotics, and cybersecurity. These technologies enhance global platform efficiency, personalise consumer experiences, and support predictive logistics, giving Alibaba a strong competitive advantage in international markets. Notably, its AI-driven recommendation algorithms enable cross-border platforms like AliExpress to cater to diverse consumer tastes across continents</w:t>
      </w:r>
      <w:sdt>
        <w:sdtPr>
          <w:rPr>
            <w:rFonts w:ascii="Arial" w:hAnsi="Arial" w:cs="Arial"/>
          </w:rPr>
          <w:id w:val="1058202819"/>
          <w:citation/>
        </w:sdtPr>
        <w:sdtContent>
          <w:r w:rsidR="002419E2">
            <w:rPr>
              <w:rFonts w:ascii="Arial" w:hAnsi="Arial" w:cs="Arial"/>
            </w:rPr>
            <w:fldChar w:fldCharType="begin"/>
          </w:r>
          <w:r w:rsidR="002419E2">
            <w:rPr>
              <w:rFonts w:ascii="Arial" w:hAnsi="Arial" w:cs="Arial"/>
              <w:lang w:val="en-US"/>
            </w:rPr>
            <w:instrText xml:space="preserve"> CITATION Naq23 \l 1033 </w:instrText>
          </w:r>
          <w:r w:rsidR="002419E2">
            <w:rPr>
              <w:rFonts w:ascii="Arial" w:hAnsi="Arial" w:cs="Arial"/>
            </w:rPr>
            <w:fldChar w:fldCharType="separate"/>
          </w:r>
          <w:r w:rsidR="002419E2">
            <w:rPr>
              <w:rFonts w:ascii="Arial" w:hAnsi="Arial" w:cs="Arial"/>
              <w:noProof/>
              <w:lang w:val="en-US"/>
            </w:rPr>
            <w:t xml:space="preserve"> </w:t>
          </w:r>
          <w:r w:rsidR="002419E2" w:rsidRPr="002419E2">
            <w:rPr>
              <w:rFonts w:ascii="Arial" w:hAnsi="Arial" w:cs="Arial"/>
              <w:noProof/>
              <w:lang w:val="en-US"/>
            </w:rPr>
            <w:t>(Naqvi et al, 2023)</w:t>
          </w:r>
          <w:r w:rsidR="002419E2">
            <w:rPr>
              <w:rFonts w:ascii="Arial" w:hAnsi="Arial" w:cs="Arial"/>
            </w:rPr>
            <w:fldChar w:fldCharType="end"/>
          </w:r>
        </w:sdtContent>
      </w:sdt>
      <w:r w:rsidRPr="008C416D">
        <w:rPr>
          <w:rFonts w:ascii="Arial" w:hAnsi="Arial" w:cs="Arial"/>
        </w:rPr>
        <w:t>.</w:t>
      </w:r>
    </w:p>
    <w:p w14:paraId="3CBC8B95"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Sourcing and Supplier Network</w:t>
      </w:r>
    </w:p>
    <w:p w14:paraId="28439CDC" w14:textId="6FB94E65" w:rsidR="00B3492A" w:rsidRPr="008C416D" w:rsidRDefault="00B3492A" w:rsidP="008C416D">
      <w:pPr>
        <w:spacing w:line="360" w:lineRule="auto"/>
        <w:jc w:val="both"/>
        <w:rPr>
          <w:rFonts w:ascii="Arial" w:hAnsi="Arial" w:cs="Arial"/>
        </w:rPr>
      </w:pPr>
      <w:r w:rsidRPr="008C416D">
        <w:rPr>
          <w:rFonts w:ascii="Arial" w:hAnsi="Arial" w:cs="Arial"/>
        </w:rPr>
        <w:lastRenderedPageBreak/>
        <w:t>Alibaba facilitates global sourcing through Alibaba.com and AliExpress, connecting suppliers primarily in China with buyers in over 190 countries. The platforms support SMEs with trade assurance, quality control, and transaction monitoring, enabling seamless cross-border trade</w:t>
      </w:r>
      <w:sdt>
        <w:sdtPr>
          <w:rPr>
            <w:rFonts w:ascii="Arial" w:hAnsi="Arial" w:cs="Arial"/>
          </w:rPr>
          <w:id w:val="-1196538395"/>
          <w:citation/>
        </w:sdtPr>
        <w:sdtContent>
          <w:r w:rsidR="00695875">
            <w:rPr>
              <w:rFonts w:ascii="Arial" w:hAnsi="Arial" w:cs="Arial"/>
            </w:rPr>
            <w:fldChar w:fldCharType="begin"/>
          </w:r>
          <w:r w:rsidR="00695875">
            <w:rPr>
              <w:rFonts w:ascii="Arial" w:hAnsi="Arial" w:cs="Arial"/>
              <w:lang w:val="en-US"/>
            </w:rPr>
            <w:instrText xml:space="preserve"> CITATION Zha191 \l 1033 </w:instrText>
          </w:r>
          <w:r w:rsidR="00695875">
            <w:rPr>
              <w:rFonts w:ascii="Arial" w:hAnsi="Arial" w:cs="Arial"/>
            </w:rPr>
            <w:fldChar w:fldCharType="separate"/>
          </w:r>
          <w:r w:rsidR="00695875">
            <w:rPr>
              <w:rFonts w:ascii="Arial" w:hAnsi="Arial" w:cs="Arial"/>
              <w:noProof/>
              <w:lang w:val="en-US"/>
            </w:rPr>
            <w:t xml:space="preserve"> </w:t>
          </w:r>
          <w:r w:rsidR="00695875" w:rsidRPr="00695875">
            <w:rPr>
              <w:rFonts w:ascii="Arial" w:hAnsi="Arial" w:cs="Arial"/>
              <w:noProof/>
              <w:lang w:val="en-US"/>
            </w:rPr>
            <w:t>(Zhang et al, 2019)</w:t>
          </w:r>
          <w:r w:rsidR="00695875">
            <w:rPr>
              <w:rFonts w:ascii="Arial" w:hAnsi="Arial" w:cs="Arial"/>
            </w:rPr>
            <w:fldChar w:fldCharType="end"/>
          </w:r>
        </w:sdtContent>
      </w:sdt>
      <w:r w:rsidRPr="008C416D">
        <w:rPr>
          <w:rFonts w:ascii="Arial" w:hAnsi="Arial" w:cs="Arial"/>
        </w:rPr>
        <w:t>. Over time, Alibaba has expanded sourcing hubs in Southeast Asia, Turkey, and Europe, creating diversified supplier networks that reduce dependency on a single region while enhancing global market resilience.</w:t>
      </w:r>
    </w:p>
    <w:p w14:paraId="318F851A"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Production and Manufacturing Integration</w:t>
      </w:r>
    </w:p>
    <w:p w14:paraId="69F200D9" w14:textId="43B80930" w:rsidR="00B3492A" w:rsidRPr="008C416D" w:rsidRDefault="00B3492A" w:rsidP="008C416D">
      <w:pPr>
        <w:spacing w:line="360" w:lineRule="auto"/>
        <w:jc w:val="both"/>
        <w:rPr>
          <w:rFonts w:ascii="Arial" w:hAnsi="Arial" w:cs="Arial"/>
        </w:rPr>
      </w:pPr>
      <w:r w:rsidRPr="008C416D">
        <w:rPr>
          <w:rFonts w:ascii="Arial" w:hAnsi="Arial" w:cs="Arial"/>
        </w:rPr>
        <w:t>Though Alibaba does not produce physical goods, it coordinates manufacturing through digital infrastructure and “smart factory” initiatives. IoT-enabled factories and connected supply chains allow real-time production adjustments based on global consumer demand</w:t>
      </w:r>
      <w:sdt>
        <w:sdtPr>
          <w:rPr>
            <w:rFonts w:ascii="Arial" w:hAnsi="Arial" w:cs="Arial"/>
          </w:rPr>
          <w:id w:val="1792946101"/>
          <w:citation/>
        </w:sdtPr>
        <w:sdtContent>
          <w:r w:rsidR="00695875">
            <w:rPr>
              <w:rFonts w:ascii="Arial" w:hAnsi="Arial" w:cs="Arial"/>
            </w:rPr>
            <w:fldChar w:fldCharType="begin"/>
          </w:r>
          <w:r w:rsidR="00695875">
            <w:rPr>
              <w:rFonts w:ascii="Arial" w:hAnsi="Arial" w:cs="Arial"/>
              <w:lang w:val="en-US"/>
            </w:rPr>
            <w:instrText xml:space="preserve"> CITATION Sch205 \l 1033 </w:instrText>
          </w:r>
          <w:r w:rsidR="00695875">
            <w:rPr>
              <w:rFonts w:ascii="Arial" w:hAnsi="Arial" w:cs="Arial"/>
            </w:rPr>
            <w:fldChar w:fldCharType="separate"/>
          </w:r>
          <w:r w:rsidR="00695875">
            <w:rPr>
              <w:rFonts w:ascii="Arial" w:hAnsi="Arial" w:cs="Arial"/>
              <w:noProof/>
              <w:lang w:val="en-US"/>
            </w:rPr>
            <w:t xml:space="preserve"> </w:t>
          </w:r>
          <w:r w:rsidR="00695875" w:rsidRPr="00695875">
            <w:rPr>
              <w:rFonts w:ascii="Arial" w:hAnsi="Arial" w:cs="Arial"/>
              <w:noProof/>
              <w:lang w:val="en-US"/>
            </w:rPr>
            <w:t>(Schmuck et al, 2020)</w:t>
          </w:r>
          <w:r w:rsidR="00695875">
            <w:rPr>
              <w:rFonts w:ascii="Arial" w:hAnsi="Arial" w:cs="Arial"/>
            </w:rPr>
            <w:fldChar w:fldCharType="end"/>
          </w:r>
        </w:sdtContent>
      </w:sdt>
      <w:r w:rsidRPr="008C416D">
        <w:rPr>
          <w:rFonts w:ascii="Arial" w:hAnsi="Arial" w:cs="Arial"/>
        </w:rPr>
        <w:t>. This indirect control over manufacturing ensures supply chain agility, cost optimisation, and faster delivery to international markets.</w:t>
      </w:r>
    </w:p>
    <w:p w14:paraId="11B705B7"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Sales and Distribution</w:t>
      </w:r>
    </w:p>
    <w:p w14:paraId="35630B42" w14:textId="427D8CBA" w:rsidR="00B3492A" w:rsidRPr="008C416D" w:rsidRDefault="00D4063F" w:rsidP="00D4063F">
      <w:pPr>
        <w:spacing w:line="360" w:lineRule="auto"/>
        <w:jc w:val="both"/>
        <w:rPr>
          <w:rFonts w:ascii="Arial" w:hAnsi="Arial" w:cs="Arial"/>
        </w:rPr>
      </w:pPr>
      <w:r w:rsidRPr="00D4063F">
        <w:rPr>
          <w:rFonts w:ascii="Arial" w:hAnsi="Arial" w:cs="Arial"/>
        </w:rPr>
        <w:t xml:space="preserve">Alibaba’s international sales operations encompass B2C, B2B, and C2C models, enabling the company to reach diverse markets and consumer segments (Wang, 2021). AliExpress allows merchants to sell directly to consumers worldwide, while Alibaba.com facilitates global wholesale trade by connecting suppliers with buyers across multiple countries. Lazada strengthens Alibaba’s footprint in Southeast Asia, and platforms such as </w:t>
      </w:r>
      <w:proofErr w:type="spellStart"/>
      <w:r w:rsidRPr="00D4063F">
        <w:rPr>
          <w:rFonts w:ascii="Arial" w:hAnsi="Arial" w:cs="Arial"/>
        </w:rPr>
        <w:t>Trendyol</w:t>
      </w:r>
      <w:proofErr w:type="spellEnd"/>
      <w:r w:rsidRPr="00D4063F">
        <w:rPr>
          <w:rFonts w:ascii="Arial" w:hAnsi="Arial" w:cs="Arial"/>
        </w:rPr>
        <w:t xml:space="preserve"> and </w:t>
      </w:r>
      <w:proofErr w:type="spellStart"/>
      <w:r w:rsidRPr="00D4063F">
        <w:rPr>
          <w:rFonts w:ascii="Arial" w:hAnsi="Arial" w:cs="Arial"/>
        </w:rPr>
        <w:t>Daraz</w:t>
      </w:r>
      <w:proofErr w:type="spellEnd"/>
      <w:r w:rsidRPr="00D4063F">
        <w:rPr>
          <w:rFonts w:ascii="Arial" w:hAnsi="Arial" w:cs="Arial"/>
        </w:rPr>
        <w:t xml:space="preserve"> expand the company’s presence in Turkey and South Asia, targeting emerging markets with growth potential. These platforms leverage digital marketing strategies, livestreaming, social commerce integrations, and personalised recommendation algorithms to enhance consumer engagement, increase sales conversion, and optimise the overall online shopping experience.</w:t>
      </w:r>
      <w:r>
        <w:t xml:space="preserve">     </w:t>
      </w:r>
      <w:sdt>
        <w:sdtPr>
          <w:rPr>
            <w:rFonts w:ascii="Arial" w:hAnsi="Arial" w:cs="Arial"/>
          </w:rPr>
          <w:id w:val="-1515923539"/>
          <w:citation/>
        </w:sdtPr>
        <w:sdtContent>
          <w:r w:rsidR="00695875">
            <w:rPr>
              <w:rFonts w:ascii="Arial" w:hAnsi="Arial" w:cs="Arial"/>
            </w:rPr>
            <w:fldChar w:fldCharType="begin"/>
          </w:r>
          <w:r w:rsidR="00695875">
            <w:rPr>
              <w:rFonts w:ascii="Arial" w:hAnsi="Arial" w:cs="Arial"/>
              <w:lang w:val="en-US"/>
            </w:rPr>
            <w:instrText xml:space="preserve"> CITATION Wan211 \l 1033 </w:instrText>
          </w:r>
          <w:r w:rsidR="00695875">
            <w:rPr>
              <w:rFonts w:ascii="Arial" w:hAnsi="Arial" w:cs="Arial"/>
            </w:rPr>
            <w:fldChar w:fldCharType="separate"/>
          </w:r>
          <w:r w:rsidR="00695875">
            <w:rPr>
              <w:rFonts w:ascii="Arial" w:hAnsi="Arial" w:cs="Arial"/>
              <w:noProof/>
              <w:lang w:val="en-US"/>
            </w:rPr>
            <w:t xml:space="preserve"> </w:t>
          </w:r>
          <w:r w:rsidR="00695875" w:rsidRPr="00695875">
            <w:rPr>
              <w:rFonts w:ascii="Arial" w:hAnsi="Arial" w:cs="Arial"/>
              <w:noProof/>
              <w:lang w:val="en-US"/>
            </w:rPr>
            <w:t>(Wang, 2021)</w:t>
          </w:r>
          <w:r w:rsidR="00695875">
            <w:rPr>
              <w:rFonts w:ascii="Arial" w:hAnsi="Arial" w:cs="Arial"/>
            </w:rPr>
            <w:fldChar w:fldCharType="end"/>
          </w:r>
        </w:sdtContent>
      </w:sdt>
      <w:r w:rsidR="00B3492A" w:rsidRPr="008C416D">
        <w:rPr>
          <w:rFonts w:ascii="Arial" w:hAnsi="Arial" w:cs="Arial"/>
        </w:rPr>
        <w:t xml:space="preserve">. </w:t>
      </w:r>
    </w:p>
    <w:p w14:paraId="0EBECDDD"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Financing and Digital Payment Systems</w:t>
      </w:r>
    </w:p>
    <w:p w14:paraId="48EC4F8E" w14:textId="1A22832C" w:rsidR="00B3492A" w:rsidRPr="008C416D" w:rsidRDefault="00D4063F" w:rsidP="008C416D">
      <w:pPr>
        <w:spacing w:line="360" w:lineRule="auto"/>
        <w:jc w:val="both"/>
        <w:rPr>
          <w:rFonts w:ascii="Arial" w:hAnsi="Arial" w:cs="Arial"/>
        </w:rPr>
      </w:pPr>
      <w:r w:rsidRPr="00D4063F">
        <w:rPr>
          <w:rFonts w:ascii="Arial" w:hAnsi="Arial" w:cs="Arial"/>
        </w:rPr>
        <w:t xml:space="preserve">Through its financial affiliate, Ant Group, Alibaba provides a comprehensive range of digital financial services, most notably Alipay, which facilitates seamless cross-border transactions, mobile payments, and online financial management for consumers and merchants alike. Alipay’s global reach allows Alibaba to support e-commerce </w:t>
      </w:r>
      <w:r w:rsidRPr="00D4063F">
        <w:rPr>
          <w:rFonts w:ascii="Arial" w:hAnsi="Arial" w:cs="Arial"/>
        </w:rPr>
        <w:lastRenderedPageBreak/>
        <w:t xml:space="preserve">operations in multiple countries by enabling secure, fast, and convenient payment solutions that cater to diverse consumer preferences. In entering international markets, Alibaba carefully adapts its financial operations to comply with local regulatory frameworks, ensuring adherence to banking laws, anti-money laundering requirements, and data protection regulations such as the LGPD in Brazil or GDPR in Europe. Additionally, the company integrates locally preferred payment methods into its platforms, including credit cards, digital wallets, </w:t>
      </w:r>
      <w:r w:rsidR="00E02386" w:rsidRPr="00D4063F">
        <w:rPr>
          <w:rFonts w:ascii="Arial" w:hAnsi="Arial" w:cs="Arial"/>
        </w:rPr>
        <w:t>Pixy</w:t>
      </w:r>
      <w:r w:rsidRPr="00D4063F">
        <w:rPr>
          <w:rFonts w:ascii="Arial" w:hAnsi="Arial" w:cs="Arial"/>
        </w:rPr>
        <w:t xml:space="preserve"> in Brazil, and other country-specific systems, ensuring accessibility for all users. By localising payment options and maintaining regulatory compliance, Alibaba not only facilitates smooth transactional flows but also enhances consumer confidence and trust in its services. This strategic adaptation strengthens Alibaba’s competitive position in global markets, supports the growth of its cross-border e-commerce ecosystem, and allows for consistent operational continuity, all while preserving the integrity and reliability of its financial services across different cultural and economic environments</w:t>
      </w:r>
      <w:r>
        <w:rPr>
          <w:rFonts w:ascii="Arial" w:hAnsi="Arial" w:cs="Arial"/>
        </w:rPr>
        <w:t>.</w:t>
      </w:r>
      <w:sdt>
        <w:sdtPr>
          <w:rPr>
            <w:rFonts w:ascii="Arial" w:hAnsi="Arial" w:cs="Arial"/>
          </w:rPr>
          <w:id w:val="1316221051"/>
          <w:citation/>
        </w:sdtPr>
        <w:sdtContent>
          <w:r w:rsidR="00695875">
            <w:rPr>
              <w:rFonts w:ascii="Arial" w:hAnsi="Arial" w:cs="Arial"/>
            </w:rPr>
            <w:fldChar w:fldCharType="begin"/>
          </w:r>
          <w:r w:rsidR="00695875">
            <w:rPr>
              <w:rFonts w:ascii="Arial" w:hAnsi="Arial" w:cs="Arial"/>
              <w:lang w:val="en-US"/>
            </w:rPr>
            <w:instrText xml:space="preserve"> CITATION Kwa19 \l 1033 </w:instrText>
          </w:r>
          <w:r w:rsidR="00695875">
            <w:rPr>
              <w:rFonts w:ascii="Arial" w:hAnsi="Arial" w:cs="Arial"/>
            </w:rPr>
            <w:fldChar w:fldCharType="separate"/>
          </w:r>
          <w:r w:rsidR="00695875">
            <w:rPr>
              <w:rFonts w:ascii="Arial" w:hAnsi="Arial" w:cs="Arial"/>
              <w:noProof/>
              <w:lang w:val="en-US"/>
            </w:rPr>
            <w:t xml:space="preserve"> </w:t>
          </w:r>
          <w:r w:rsidR="00695875" w:rsidRPr="00695875">
            <w:rPr>
              <w:rFonts w:ascii="Arial" w:hAnsi="Arial" w:cs="Arial"/>
              <w:noProof/>
              <w:lang w:val="en-US"/>
            </w:rPr>
            <w:t>(Kwak et al, 2019)</w:t>
          </w:r>
          <w:r w:rsidR="00695875">
            <w:rPr>
              <w:rFonts w:ascii="Arial" w:hAnsi="Arial" w:cs="Arial"/>
            </w:rPr>
            <w:fldChar w:fldCharType="end"/>
          </w:r>
        </w:sdtContent>
      </w:sdt>
      <w:r w:rsidR="00B3492A" w:rsidRPr="008C416D">
        <w:rPr>
          <w:rFonts w:ascii="Arial" w:hAnsi="Arial" w:cs="Arial"/>
        </w:rPr>
        <w:t>.</w:t>
      </w:r>
    </w:p>
    <w:p w14:paraId="32A4AFFC"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Global Logistics</w:t>
      </w:r>
    </w:p>
    <w:p w14:paraId="4D6DDAA9" w14:textId="4A9A37C8" w:rsidR="00C94574" w:rsidRPr="008C416D" w:rsidRDefault="00C94574" w:rsidP="008C416D">
      <w:pPr>
        <w:spacing w:line="360" w:lineRule="auto"/>
        <w:jc w:val="both"/>
        <w:rPr>
          <w:rFonts w:ascii="Arial" w:hAnsi="Arial" w:cs="Arial"/>
        </w:rPr>
      </w:pPr>
      <w:proofErr w:type="spellStart"/>
      <w:r w:rsidRPr="008C416D">
        <w:rPr>
          <w:rFonts w:ascii="Arial" w:hAnsi="Arial" w:cs="Arial"/>
        </w:rPr>
        <w:t>Cainiao</w:t>
      </w:r>
      <w:proofErr w:type="spellEnd"/>
      <w:r w:rsidRPr="008C416D">
        <w:rPr>
          <w:rFonts w:ascii="Arial" w:hAnsi="Arial" w:cs="Arial"/>
        </w:rPr>
        <w:t xml:space="preserve"> is the logistics arm of Alibaba; using its hybrid model</w:t>
      </w:r>
      <w:sdt>
        <w:sdtPr>
          <w:rPr>
            <w:rFonts w:ascii="Arial" w:hAnsi="Arial" w:cs="Arial"/>
          </w:rPr>
          <w:id w:val="-639346350"/>
          <w:citation/>
        </w:sdtPr>
        <w:sdtContent>
          <w:r w:rsidR="00695875">
            <w:rPr>
              <w:rFonts w:ascii="Arial" w:hAnsi="Arial" w:cs="Arial"/>
            </w:rPr>
            <w:fldChar w:fldCharType="begin"/>
          </w:r>
          <w:r w:rsidR="00695875">
            <w:rPr>
              <w:rFonts w:ascii="Arial" w:hAnsi="Arial" w:cs="Arial"/>
              <w:lang w:val="en-US"/>
            </w:rPr>
            <w:instrText xml:space="preserve"> CITATION Wan233 \l 1033 </w:instrText>
          </w:r>
          <w:r w:rsidR="00695875">
            <w:rPr>
              <w:rFonts w:ascii="Arial" w:hAnsi="Arial" w:cs="Arial"/>
            </w:rPr>
            <w:fldChar w:fldCharType="separate"/>
          </w:r>
          <w:r w:rsidR="00695875">
            <w:rPr>
              <w:rFonts w:ascii="Arial" w:hAnsi="Arial" w:cs="Arial"/>
              <w:noProof/>
              <w:lang w:val="en-US"/>
            </w:rPr>
            <w:t xml:space="preserve"> </w:t>
          </w:r>
          <w:r w:rsidR="00695875" w:rsidRPr="00695875">
            <w:rPr>
              <w:rFonts w:ascii="Arial" w:hAnsi="Arial" w:cs="Arial"/>
              <w:noProof/>
              <w:lang w:val="en-US"/>
            </w:rPr>
            <w:t>(Wang et al, 2023)</w:t>
          </w:r>
          <w:r w:rsidR="00695875">
            <w:rPr>
              <w:rFonts w:ascii="Arial" w:hAnsi="Arial" w:cs="Arial"/>
            </w:rPr>
            <w:fldChar w:fldCharType="end"/>
          </w:r>
        </w:sdtContent>
      </w:sdt>
      <w:r w:rsidRPr="008C416D">
        <w:rPr>
          <w:rFonts w:ascii="Arial" w:hAnsi="Arial" w:cs="Arial"/>
        </w:rPr>
        <w:t xml:space="preserve">, it provides logistics services through owned fulfilment centres, partners with other companies, and offers technology-enabled delivery systems. </w:t>
      </w:r>
      <w:proofErr w:type="spellStart"/>
      <w:r w:rsidRPr="008C416D">
        <w:rPr>
          <w:rFonts w:ascii="Arial" w:hAnsi="Arial" w:cs="Arial"/>
        </w:rPr>
        <w:t>Cainiao</w:t>
      </w:r>
      <w:proofErr w:type="spellEnd"/>
      <w:r w:rsidRPr="008C416D">
        <w:rPr>
          <w:rFonts w:ascii="Arial" w:hAnsi="Arial" w:cs="Arial"/>
        </w:rPr>
        <w:t xml:space="preserve"> operates regional fulfilment centres that provide quicker delivery times to consumers for all types of international orders. By utilizing predictive analysis to predict demand and allow for optimal route planning along with improving customs delays and geographic limitations. With an overall view of how to add value through technology, </w:t>
      </w:r>
      <w:proofErr w:type="spellStart"/>
      <w:r w:rsidRPr="008C416D">
        <w:rPr>
          <w:rFonts w:ascii="Arial" w:hAnsi="Arial" w:cs="Arial"/>
        </w:rPr>
        <w:t>Cainiao</w:t>
      </w:r>
      <w:proofErr w:type="spellEnd"/>
      <w:r w:rsidRPr="008C416D">
        <w:rPr>
          <w:rFonts w:ascii="Arial" w:hAnsi="Arial" w:cs="Arial"/>
        </w:rPr>
        <w:t xml:space="preserve"> has developed a model where it can deliver to multiple countries and do so in a cost-effective manner due to the scale of operations and the use of technology.</w:t>
      </w:r>
    </w:p>
    <w:p w14:paraId="0F162160" w14:textId="1EE8360A" w:rsidR="00B3492A" w:rsidRPr="008C416D" w:rsidRDefault="00B3492A" w:rsidP="008C416D">
      <w:pPr>
        <w:spacing w:line="360" w:lineRule="auto"/>
        <w:jc w:val="both"/>
        <w:rPr>
          <w:rFonts w:ascii="Arial" w:hAnsi="Arial" w:cs="Arial"/>
          <w:b/>
          <w:bCs/>
        </w:rPr>
      </w:pPr>
      <w:r w:rsidRPr="008C416D">
        <w:rPr>
          <w:rFonts w:ascii="Arial" w:hAnsi="Arial" w:cs="Arial"/>
          <w:b/>
          <w:bCs/>
        </w:rPr>
        <w:t>c. Entry Modes Used by Alibaba and Dominant Patterns</w:t>
      </w:r>
    </w:p>
    <w:p w14:paraId="471793B0" w14:textId="48DE30EC" w:rsidR="00B3492A" w:rsidRPr="008C416D" w:rsidRDefault="00B3492A" w:rsidP="008C416D">
      <w:pPr>
        <w:spacing w:line="360" w:lineRule="auto"/>
        <w:jc w:val="both"/>
        <w:rPr>
          <w:rFonts w:ascii="Arial" w:hAnsi="Arial" w:cs="Arial"/>
        </w:rPr>
      </w:pPr>
      <w:r w:rsidRPr="008C416D">
        <w:rPr>
          <w:rFonts w:ascii="Arial" w:hAnsi="Arial" w:cs="Arial"/>
        </w:rPr>
        <w:t>Alibaba utilises multiple international entry modes based on market conditions, regulatory frameworks, and strategic objectives</w:t>
      </w:r>
    </w:p>
    <w:p w14:paraId="2E90FEFF"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Acquisitions</w:t>
      </w:r>
    </w:p>
    <w:p w14:paraId="0B93410D" w14:textId="1667A452" w:rsidR="00B3492A" w:rsidRPr="008C416D" w:rsidRDefault="00D4063F" w:rsidP="00D4063F">
      <w:pPr>
        <w:spacing w:line="360" w:lineRule="auto"/>
        <w:jc w:val="both"/>
        <w:rPr>
          <w:rFonts w:ascii="Arial" w:hAnsi="Arial" w:cs="Arial"/>
        </w:rPr>
      </w:pPr>
      <w:r w:rsidRPr="00D4063F">
        <w:rPr>
          <w:rFonts w:ascii="Arial" w:hAnsi="Arial" w:cs="Arial"/>
        </w:rPr>
        <w:t xml:space="preserve">Alibaba has strategically pursued acquisitions of key regional e-commerce platforms to accelerate its international expansion and gain a competitive foothold in emerging </w:t>
      </w:r>
      <w:r w:rsidRPr="00D4063F">
        <w:rPr>
          <w:rFonts w:ascii="Arial" w:hAnsi="Arial" w:cs="Arial"/>
        </w:rPr>
        <w:lastRenderedPageBreak/>
        <w:t xml:space="preserve">markets. Notable acquisitions include Lazada in Southeast Asia, </w:t>
      </w:r>
      <w:proofErr w:type="spellStart"/>
      <w:r w:rsidRPr="00D4063F">
        <w:rPr>
          <w:rFonts w:ascii="Arial" w:hAnsi="Arial" w:cs="Arial"/>
        </w:rPr>
        <w:t>Trendyol</w:t>
      </w:r>
      <w:proofErr w:type="spellEnd"/>
      <w:r w:rsidRPr="00D4063F">
        <w:rPr>
          <w:rFonts w:ascii="Arial" w:hAnsi="Arial" w:cs="Arial"/>
        </w:rPr>
        <w:t xml:space="preserve"> in Turkey, and </w:t>
      </w:r>
      <w:proofErr w:type="spellStart"/>
      <w:r w:rsidRPr="00D4063F">
        <w:rPr>
          <w:rFonts w:ascii="Arial" w:hAnsi="Arial" w:cs="Arial"/>
        </w:rPr>
        <w:t>Daraz</w:t>
      </w:r>
      <w:proofErr w:type="spellEnd"/>
      <w:r w:rsidRPr="00D4063F">
        <w:rPr>
          <w:rFonts w:ascii="Arial" w:hAnsi="Arial" w:cs="Arial"/>
        </w:rPr>
        <w:t xml:space="preserve"> across Pakistan, Bangladesh, and Nepal. These acquisitions provide Alibaba with immediate access to well-established consumer bases, enabling rapid market penetration without the prolonged time and investment required for organic growth. By acquiring these platforms, Alibaba also inherits valuable local market knowledge, including insights into consumer behaviour, regulatory requirements, cultural preferences, and operational challenges, which are crucial for tailoring its offerings to regional needs.</w:t>
      </w:r>
      <w:r>
        <w:rPr>
          <w:rFonts w:ascii="Arial" w:hAnsi="Arial" w:cs="Arial"/>
        </w:rPr>
        <w:t xml:space="preserve"> </w:t>
      </w:r>
      <w:r w:rsidRPr="00D4063F">
        <w:rPr>
          <w:rFonts w:ascii="Arial" w:hAnsi="Arial" w:cs="Arial"/>
        </w:rPr>
        <w:t>Furthermore, these acquisitions allow Alibaba to leverage existing operational networks, including logistics, payment systems, and supplier connections, providing a foundation for seamless integration with its global digital ecosystem. The local teams bring expertise in navigating legal frameworks, marketing channels, and competitive landscapes, which mitigates risks associated with entering unfamiliar markets. Strategically, these acquisitions support Alibaba’s transnational approach, combining global technological capabilities with localisation to enhance user experience and strengthen brand presence. Overall, targeted acquisitions are central to Alibaba’s international strategy, enabling rapid expansion, risk reduction, and operational synergies across diverse emerging economies</w:t>
      </w:r>
      <w:r>
        <w:rPr>
          <w:rFonts w:ascii="Arial" w:hAnsi="Arial" w:cs="Arial"/>
        </w:rPr>
        <w:t>.</w:t>
      </w:r>
      <w:sdt>
        <w:sdtPr>
          <w:rPr>
            <w:rFonts w:ascii="Arial" w:hAnsi="Arial" w:cs="Arial"/>
          </w:rPr>
          <w:id w:val="1261633404"/>
          <w:citation/>
        </w:sdtPr>
        <w:sdtContent>
          <w:r w:rsidR="00B077FE">
            <w:rPr>
              <w:rFonts w:ascii="Arial" w:hAnsi="Arial" w:cs="Arial"/>
            </w:rPr>
            <w:fldChar w:fldCharType="begin"/>
          </w:r>
          <w:r w:rsidR="00B077FE">
            <w:rPr>
              <w:rFonts w:ascii="Arial" w:hAnsi="Arial" w:cs="Arial"/>
              <w:lang w:val="en-US"/>
            </w:rPr>
            <w:instrText xml:space="preserve"> CITATION Wan251 \l 1033 </w:instrText>
          </w:r>
          <w:r w:rsidR="00B077FE">
            <w:rPr>
              <w:rFonts w:ascii="Arial" w:hAnsi="Arial" w:cs="Arial"/>
            </w:rPr>
            <w:fldChar w:fldCharType="separate"/>
          </w:r>
          <w:r w:rsidR="00B077FE">
            <w:rPr>
              <w:rFonts w:ascii="Arial" w:hAnsi="Arial" w:cs="Arial"/>
              <w:noProof/>
              <w:lang w:val="en-US"/>
            </w:rPr>
            <w:t xml:space="preserve"> </w:t>
          </w:r>
          <w:r w:rsidR="00B077FE" w:rsidRPr="00B077FE">
            <w:rPr>
              <w:rFonts w:ascii="Arial" w:hAnsi="Arial" w:cs="Arial"/>
              <w:noProof/>
              <w:lang w:val="en-US"/>
            </w:rPr>
            <w:t>(Wang Z. .., 2025)</w:t>
          </w:r>
          <w:r w:rsidR="00B077FE">
            <w:rPr>
              <w:rFonts w:ascii="Arial" w:hAnsi="Arial" w:cs="Arial"/>
            </w:rPr>
            <w:fldChar w:fldCharType="end"/>
          </w:r>
        </w:sdtContent>
      </w:sdt>
      <w:r w:rsidR="00B3492A" w:rsidRPr="008C416D">
        <w:rPr>
          <w:rFonts w:ascii="Arial" w:hAnsi="Arial" w:cs="Arial"/>
        </w:rPr>
        <w:t>.</w:t>
      </w:r>
    </w:p>
    <w:p w14:paraId="67B737EE"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Joint Ventures and Strategic Partnerships</w:t>
      </w:r>
    </w:p>
    <w:p w14:paraId="480BCEBC" w14:textId="2D49E98B" w:rsidR="00D4063F" w:rsidRDefault="00D4063F" w:rsidP="008C416D">
      <w:pPr>
        <w:spacing w:line="360" w:lineRule="auto"/>
        <w:jc w:val="both"/>
        <w:rPr>
          <w:rFonts w:ascii="Arial" w:hAnsi="Arial" w:cs="Arial"/>
        </w:rPr>
      </w:pPr>
      <w:r w:rsidRPr="00D4063F">
        <w:rPr>
          <w:rFonts w:ascii="Arial" w:hAnsi="Arial" w:cs="Arial"/>
        </w:rPr>
        <w:t>Alibaba utilises joint ventures and strategic partnerships as key modes for international expansion. In India, the company invested in Paytm and Snapdeal through equity participation, gaining access to established customer bases and local market knowledge. In Southeast Asia, Alibaba formed partnerships with regional logistics companies to extend Cainiao’s delivery network, improving last-mile efficiency and reducing operational risks. These collaborations enable Alibaba to navigate complex regulatory environments, leverage local expertise, and share financial and operational responsibilities with trusted partners. By combining global technological capabilities with local insights, Alibaba strengthens its market position while minimising uncertainties associated with entering diverse emerging economies.</w:t>
      </w:r>
    </w:p>
    <w:p w14:paraId="26F1DCC9" w14:textId="5C5F1DEC" w:rsidR="00B3492A" w:rsidRPr="008C416D" w:rsidRDefault="00B3492A" w:rsidP="008C416D">
      <w:pPr>
        <w:spacing w:line="360" w:lineRule="auto"/>
        <w:jc w:val="both"/>
        <w:rPr>
          <w:rFonts w:ascii="Arial" w:hAnsi="Arial" w:cs="Arial"/>
          <w:b/>
          <w:bCs/>
        </w:rPr>
      </w:pPr>
      <w:r w:rsidRPr="008C416D">
        <w:rPr>
          <w:rFonts w:ascii="Arial" w:hAnsi="Arial" w:cs="Arial"/>
          <w:b/>
          <w:bCs/>
        </w:rPr>
        <w:t>Organic Expansion (Greenfield Investment)</w:t>
      </w:r>
    </w:p>
    <w:p w14:paraId="27AFCDEF" w14:textId="023627FB" w:rsidR="00B3492A" w:rsidRPr="008C416D" w:rsidRDefault="00B3492A" w:rsidP="008C416D">
      <w:pPr>
        <w:spacing w:line="360" w:lineRule="auto"/>
        <w:jc w:val="both"/>
        <w:rPr>
          <w:rFonts w:ascii="Arial" w:hAnsi="Arial" w:cs="Arial"/>
        </w:rPr>
      </w:pPr>
      <w:r w:rsidRPr="008C416D">
        <w:rPr>
          <w:rFonts w:ascii="Arial" w:hAnsi="Arial" w:cs="Arial"/>
        </w:rPr>
        <w:t xml:space="preserve">Alibaba has established data centres and cloud infrastructure in Singapore, Japan, Dubai, and Europe through wholly-owned subsidiaries. Greenfield investment enables </w:t>
      </w:r>
      <w:r w:rsidRPr="008C416D">
        <w:rPr>
          <w:rFonts w:ascii="Arial" w:hAnsi="Arial" w:cs="Arial"/>
        </w:rPr>
        <w:lastRenderedPageBreak/>
        <w:t>complete operational control over sensitive digital assets while supporting long-term growth strategies</w:t>
      </w:r>
      <w:sdt>
        <w:sdtPr>
          <w:rPr>
            <w:rFonts w:ascii="Arial" w:hAnsi="Arial" w:cs="Arial"/>
          </w:rPr>
          <w:id w:val="-38827445"/>
          <w:citation/>
        </w:sdtPr>
        <w:sdtContent>
          <w:r w:rsidR="00B077FE">
            <w:rPr>
              <w:rFonts w:ascii="Arial" w:hAnsi="Arial" w:cs="Arial"/>
            </w:rPr>
            <w:fldChar w:fldCharType="begin"/>
          </w:r>
          <w:r w:rsidR="00B077FE">
            <w:rPr>
              <w:rFonts w:ascii="Arial" w:hAnsi="Arial" w:cs="Arial"/>
              <w:lang w:val="en-US"/>
            </w:rPr>
            <w:instrText xml:space="preserve"> CITATION Bia21 \l 1033 </w:instrText>
          </w:r>
          <w:r w:rsidR="00B077FE">
            <w:rPr>
              <w:rFonts w:ascii="Arial" w:hAnsi="Arial" w:cs="Arial"/>
            </w:rPr>
            <w:fldChar w:fldCharType="separate"/>
          </w:r>
          <w:r w:rsidR="00B077FE">
            <w:rPr>
              <w:rFonts w:ascii="Arial" w:hAnsi="Arial" w:cs="Arial"/>
              <w:noProof/>
              <w:lang w:val="en-US"/>
            </w:rPr>
            <w:t xml:space="preserve"> </w:t>
          </w:r>
          <w:r w:rsidR="00B077FE" w:rsidRPr="00B077FE">
            <w:rPr>
              <w:rFonts w:ascii="Arial" w:hAnsi="Arial" w:cs="Arial"/>
              <w:noProof/>
              <w:lang w:val="en-US"/>
            </w:rPr>
            <w:t>(Bialek et al, 2021)</w:t>
          </w:r>
          <w:r w:rsidR="00B077FE">
            <w:rPr>
              <w:rFonts w:ascii="Arial" w:hAnsi="Arial" w:cs="Arial"/>
            </w:rPr>
            <w:fldChar w:fldCharType="end"/>
          </w:r>
        </w:sdtContent>
      </w:sdt>
      <w:r w:rsidRPr="008C416D">
        <w:rPr>
          <w:rFonts w:ascii="Arial" w:hAnsi="Arial" w:cs="Arial"/>
        </w:rPr>
        <w:t>.</w:t>
      </w:r>
    </w:p>
    <w:p w14:paraId="16DF1711"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Cross-Border E-Commerce Without Physical Presence</w:t>
      </w:r>
    </w:p>
    <w:p w14:paraId="0784B5DB" w14:textId="1E2C9576" w:rsidR="00B3492A" w:rsidRPr="008C416D" w:rsidRDefault="00B3492A" w:rsidP="008C416D">
      <w:pPr>
        <w:spacing w:line="360" w:lineRule="auto"/>
        <w:jc w:val="both"/>
        <w:rPr>
          <w:rFonts w:ascii="Arial" w:hAnsi="Arial" w:cs="Arial"/>
        </w:rPr>
      </w:pPr>
      <w:r w:rsidRPr="008C416D">
        <w:rPr>
          <w:rFonts w:ascii="Arial" w:hAnsi="Arial" w:cs="Arial"/>
        </w:rPr>
        <w:t>AliExpress exemplifies Alibaba’s dominant entry mode, operating globally without extensive physical infrastructure</w:t>
      </w:r>
      <w:sdt>
        <w:sdtPr>
          <w:rPr>
            <w:rFonts w:ascii="Arial" w:hAnsi="Arial" w:cs="Arial"/>
          </w:rPr>
          <w:id w:val="532769997"/>
          <w:citation/>
        </w:sdtPr>
        <w:sdtContent>
          <w:r w:rsidR="004D5125">
            <w:rPr>
              <w:rFonts w:ascii="Arial" w:hAnsi="Arial" w:cs="Arial"/>
            </w:rPr>
            <w:fldChar w:fldCharType="begin"/>
          </w:r>
          <w:r w:rsidR="004D5125">
            <w:rPr>
              <w:rFonts w:ascii="Arial" w:hAnsi="Arial" w:cs="Arial"/>
              <w:lang w:val="en-US"/>
            </w:rPr>
            <w:instrText xml:space="preserve"> CITATION Vee24 \l 1033 </w:instrText>
          </w:r>
          <w:r w:rsidR="004D5125">
            <w:rPr>
              <w:rFonts w:ascii="Arial" w:hAnsi="Arial" w:cs="Arial"/>
            </w:rPr>
            <w:fldChar w:fldCharType="separate"/>
          </w:r>
          <w:r w:rsidR="004D5125">
            <w:rPr>
              <w:rFonts w:ascii="Arial" w:hAnsi="Arial" w:cs="Arial"/>
              <w:noProof/>
              <w:lang w:val="en-US"/>
            </w:rPr>
            <w:t xml:space="preserve"> </w:t>
          </w:r>
          <w:r w:rsidR="004D5125" w:rsidRPr="004D5125">
            <w:rPr>
              <w:rFonts w:ascii="Arial" w:hAnsi="Arial" w:cs="Arial"/>
              <w:noProof/>
              <w:lang w:val="en-US"/>
            </w:rPr>
            <w:t>(Veenam, 2024)</w:t>
          </w:r>
          <w:r w:rsidR="004D5125">
            <w:rPr>
              <w:rFonts w:ascii="Arial" w:hAnsi="Arial" w:cs="Arial"/>
            </w:rPr>
            <w:fldChar w:fldCharType="end"/>
          </w:r>
        </w:sdtContent>
      </w:sdt>
      <w:r w:rsidRPr="008C416D">
        <w:rPr>
          <w:rFonts w:ascii="Arial" w:hAnsi="Arial" w:cs="Arial"/>
        </w:rPr>
        <w:t>. This low-risk strategy allows Alibaba to enter new markets rapidly, test consumer demand, and build brand recognition before committing significant resources.</w:t>
      </w:r>
    </w:p>
    <w:p w14:paraId="26906B4F"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d. Key Benefits of Alibaba’s International Operations</w:t>
      </w:r>
    </w:p>
    <w:p w14:paraId="544124FB"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Market Diversification</w:t>
      </w:r>
    </w:p>
    <w:p w14:paraId="72024D4F" w14:textId="090AE19A" w:rsidR="00E02386" w:rsidRDefault="00E02386" w:rsidP="008C416D">
      <w:pPr>
        <w:spacing w:line="360" w:lineRule="auto"/>
        <w:jc w:val="both"/>
        <w:rPr>
          <w:rFonts w:ascii="Arial" w:hAnsi="Arial" w:cs="Arial"/>
        </w:rPr>
      </w:pPr>
      <w:r w:rsidRPr="00E02386">
        <w:rPr>
          <w:rFonts w:ascii="Arial" w:hAnsi="Arial" w:cs="Arial"/>
        </w:rPr>
        <w:t>International expansion allows Alibaba to diversify its market presence and reduce dependence on China, where e-commerce growth is reaching saturation. By entering high-potential emerging markets such as Southeast Asia, Latin America, and the Middle East, Alibaba can tap into rapidly expanding consumer bases and increasing digital adoption. These regions offer significant opportunities for revenue growth, brand recognition, and long-term strategic positioning. Market diversification also helps Alibaba mitigate risks associated with economic fluctuations, regulatory changes, or competitive pressures in any single market. Consequently, global expansion strengthens Alibaba’s resilience, broadens its customer reach, and enhances its overall competitive advantage in the international e-commerce landscape.</w:t>
      </w:r>
    </w:p>
    <w:p w14:paraId="65449931" w14:textId="08BDBCD8" w:rsidR="00B3492A" w:rsidRPr="008C416D" w:rsidRDefault="00B3492A" w:rsidP="008C416D">
      <w:pPr>
        <w:spacing w:line="360" w:lineRule="auto"/>
        <w:jc w:val="both"/>
        <w:rPr>
          <w:rFonts w:ascii="Arial" w:hAnsi="Arial" w:cs="Arial"/>
          <w:b/>
          <w:bCs/>
        </w:rPr>
      </w:pPr>
      <w:r w:rsidRPr="008C416D">
        <w:rPr>
          <w:rFonts w:ascii="Arial" w:hAnsi="Arial" w:cs="Arial"/>
          <w:b/>
          <w:bCs/>
        </w:rPr>
        <w:t>Economies of Scale</w:t>
      </w:r>
    </w:p>
    <w:p w14:paraId="13B5C811" w14:textId="0C591ACB" w:rsidR="00B3492A" w:rsidRPr="008C416D" w:rsidRDefault="00B3492A" w:rsidP="008C416D">
      <w:pPr>
        <w:spacing w:line="360" w:lineRule="auto"/>
        <w:jc w:val="both"/>
        <w:rPr>
          <w:rFonts w:ascii="Arial" w:hAnsi="Arial" w:cs="Arial"/>
        </w:rPr>
      </w:pPr>
      <w:r w:rsidRPr="008C416D">
        <w:rPr>
          <w:rFonts w:ascii="Arial" w:hAnsi="Arial" w:cs="Arial"/>
        </w:rPr>
        <w:t>Alibaba’s digital platforms benefit from network effects. Increased international users enhance profitability across cloud services, logistics, and marketplace operations while spreading fixed costs over larger customer bases</w:t>
      </w:r>
      <w:sdt>
        <w:sdtPr>
          <w:rPr>
            <w:rFonts w:ascii="Arial" w:hAnsi="Arial" w:cs="Arial"/>
          </w:rPr>
          <w:id w:val="65695774"/>
          <w:citation/>
        </w:sdtPr>
        <w:sdtContent>
          <w:r w:rsidR="004D5125">
            <w:rPr>
              <w:rFonts w:ascii="Arial" w:hAnsi="Arial" w:cs="Arial"/>
            </w:rPr>
            <w:fldChar w:fldCharType="begin"/>
          </w:r>
          <w:r w:rsidR="004D5125">
            <w:rPr>
              <w:rFonts w:ascii="Arial" w:hAnsi="Arial" w:cs="Arial"/>
              <w:lang w:val="en-US"/>
            </w:rPr>
            <w:instrText xml:space="preserve"> CITATION Mok25 \l 1033 </w:instrText>
          </w:r>
          <w:r w:rsidR="004D5125">
            <w:rPr>
              <w:rFonts w:ascii="Arial" w:hAnsi="Arial" w:cs="Arial"/>
            </w:rPr>
            <w:fldChar w:fldCharType="separate"/>
          </w:r>
          <w:r w:rsidR="004D5125">
            <w:rPr>
              <w:rFonts w:ascii="Arial" w:hAnsi="Arial" w:cs="Arial"/>
              <w:noProof/>
              <w:lang w:val="en-US"/>
            </w:rPr>
            <w:t xml:space="preserve"> </w:t>
          </w:r>
          <w:r w:rsidR="004D5125" w:rsidRPr="004D5125">
            <w:rPr>
              <w:rFonts w:ascii="Arial" w:hAnsi="Arial" w:cs="Arial"/>
              <w:noProof/>
              <w:lang w:val="en-US"/>
            </w:rPr>
            <w:t>(Mokhammad, 2025)</w:t>
          </w:r>
          <w:r w:rsidR="004D5125">
            <w:rPr>
              <w:rFonts w:ascii="Arial" w:hAnsi="Arial" w:cs="Arial"/>
            </w:rPr>
            <w:fldChar w:fldCharType="end"/>
          </w:r>
        </w:sdtContent>
      </w:sdt>
      <w:r w:rsidRPr="008C416D">
        <w:rPr>
          <w:rFonts w:ascii="Arial" w:hAnsi="Arial" w:cs="Arial"/>
        </w:rPr>
        <w:t>.</w:t>
      </w:r>
    </w:p>
    <w:p w14:paraId="1ACA7391"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Access to Innovation Ecosystems</w:t>
      </w:r>
    </w:p>
    <w:p w14:paraId="63C030A7" w14:textId="02D175DB" w:rsidR="00B3492A" w:rsidRPr="008C416D" w:rsidRDefault="00B3492A" w:rsidP="008C416D">
      <w:pPr>
        <w:spacing w:line="360" w:lineRule="auto"/>
        <w:jc w:val="both"/>
        <w:rPr>
          <w:rFonts w:ascii="Arial" w:hAnsi="Arial" w:cs="Arial"/>
        </w:rPr>
      </w:pPr>
      <w:r w:rsidRPr="008C416D">
        <w:rPr>
          <w:rFonts w:ascii="Arial" w:hAnsi="Arial" w:cs="Arial"/>
        </w:rPr>
        <w:t>Global operations expose Alibaba to diverse technological ecosystems, fostering collaborative innovation in AI, cloud computing, and fintech solutions</w:t>
      </w:r>
      <w:sdt>
        <w:sdtPr>
          <w:rPr>
            <w:rFonts w:ascii="Arial" w:hAnsi="Arial" w:cs="Arial"/>
          </w:rPr>
          <w:id w:val="467023733"/>
          <w:citation/>
        </w:sdtPr>
        <w:sdtContent>
          <w:r w:rsidR="004D5125">
            <w:rPr>
              <w:rFonts w:ascii="Arial" w:hAnsi="Arial" w:cs="Arial"/>
            </w:rPr>
            <w:fldChar w:fldCharType="begin"/>
          </w:r>
          <w:r w:rsidR="004D5125">
            <w:rPr>
              <w:rFonts w:ascii="Arial" w:hAnsi="Arial" w:cs="Arial"/>
              <w:lang w:val="en-US"/>
            </w:rPr>
            <w:instrText xml:space="preserve"> CITATION Gra20 \l 1033 </w:instrText>
          </w:r>
          <w:r w:rsidR="004D5125">
            <w:rPr>
              <w:rFonts w:ascii="Arial" w:hAnsi="Arial" w:cs="Arial"/>
            </w:rPr>
            <w:fldChar w:fldCharType="separate"/>
          </w:r>
          <w:r w:rsidR="004D5125">
            <w:rPr>
              <w:rFonts w:ascii="Arial" w:hAnsi="Arial" w:cs="Arial"/>
              <w:noProof/>
              <w:lang w:val="en-US"/>
            </w:rPr>
            <w:t xml:space="preserve"> </w:t>
          </w:r>
          <w:r w:rsidR="004D5125" w:rsidRPr="004D5125">
            <w:rPr>
              <w:rFonts w:ascii="Arial" w:hAnsi="Arial" w:cs="Arial"/>
              <w:noProof/>
              <w:lang w:val="en-US"/>
            </w:rPr>
            <w:t>(Granstrand et al, 2020)</w:t>
          </w:r>
          <w:r w:rsidR="004D5125">
            <w:rPr>
              <w:rFonts w:ascii="Arial" w:hAnsi="Arial" w:cs="Arial"/>
            </w:rPr>
            <w:fldChar w:fldCharType="end"/>
          </w:r>
        </w:sdtContent>
      </w:sdt>
      <w:r w:rsidRPr="008C416D">
        <w:rPr>
          <w:rFonts w:ascii="Arial" w:hAnsi="Arial" w:cs="Arial"/>
        </w:rPr>
        <w:t>.</w:t>
      </w:r>
    </w:p>
    <w:p w14:paraId="2194420F"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Enhanced Global Brand Recognition</w:t>
      </w:r>
    </w:p>
    <w:p w14:paraId="4FB6F132" w14:textId="77777777" w:rsidR="00B3492A" w:rsidRPr="008C416D" w:rsidRDefault="00B3492A" w:rsidP="008C416D">
      <w:pPr>
        <w:spacing w:line="360" w:lineRule="auto"/>
        <w:jc w:val="both"/>
        <w:rPr>
          <w:rFonts w:ascii="Arial" w:hAnsi="Arial" w:cs="Arial"/>
        </w:rPr>
      </w:pPr>
      <w:r w:rsidRPr="008C416D">
        <w:rPr>
          <w:rFonts w:ascii="Arial" w:hAnsi="Arial" w:cs="Arial"/>
        </w:rPr>
        <w:lastRenderedPageBreak/>
        <w:t>Presence in multiple regions strengthens brand prestige, attracting consumers, merchants, and strategic partners.</w:t>
      </w:r>
    </w:p>
    <w:p w14:paraId="6FFF0F85" w14:textId="77777777" w:rsidR="00B3492A" w:rsidRPr="008C416D" w:rsidRDefault="00B3492A" w:rsidP="008C416D">
      <w:pPr>
        <w:spacing w:line="360" w:lineRule="auto"/>
        <w:jc w:val="both"/>
        <w:rPr>
          <w:rFonts w:ascii="Arial" w:hAnsi="Arial" w:cs="Arial"/>
          <w:b/>
          <w:bCs/>
        </w:rPr>
      </w:pPr>
      <w:r w:rsidRPr="008C416D">
        <w:rPr>
          <w:rFonts w:ascii="Arial" w:hAnsi="Arial" w:cs="Arial"/>
          <w:b/>
          <w:bCs/>
        </w:rPr>
        <w:t>Strategic Risk Mitigation</w:t>
      </w:r>
    </w:p>
    <w:p w14:paraId="7BBA243C" w14:textId="02516B53" w:rsidR="001935B7" w:rsidRPr="008C416D" w:rsidRDefault="00B3492A" w:rsidP="008C416D">
      <w:pPr>
        <w:spacing w:line="360" w:lineRule="auto"/>
        <w:jc w:val="both"/>
        <w:rPr>
          <w:rFonts w:ascii="Arial" w:hAnsi="Arial" w:cs="Arial"/>
        </w:rPr>
      </w:pPr>
      <w:r w:rsidRPr="008C416D">
        <w:rPr>
          <w:rFonts w:ascii="Arial" w:hAnsi="Arial" w:cs="Arial"/>
        </w:rPr>
        <w:t>Operating across multiple regions mitigates geopolitical, economic, and market-specific risks by spreading exposure and enabling responsive adjustments to changing environments</w:t>
      </w:r>
      <w:sdt>
        <w:sdtPr>
          <w:rPr>
            <w:rFonts w:ascii="Arial" w:hAnsi="Arial" w:cs="Arial"/>
          </w:rPr>
          <w:id w:val="1024900764"/>
          <w:citation/>
        </w:sdtPr>
        <w:sdtContent>
          <w:r w:rsidR="004D5125">
            <w:rPr>
              <w:rFonts w:ascii="Arial" w:hAnsi="Arial" w:cs="Arial"/>
            </w:rPr>
            <w:fldChar w:fldCharType="begin"/>
          </w:r>
          <w:r w:rsidR="004D5125">
            <w:rPr>
              <w:rFonts w:ascii="Arial" w:hAnsi="Arial" w:cs="Arial"/>
              <w:lang w:val="en-US"/>
            </w:rPr>
            <w:instrText xml:space="preserve"> CITATION Sal23 \l 1033 </w:instrText>
          </w:r>
          <w:r w:rsidR="004D5125">
            <w:rPr>
              <w:rFonts w:ascii="Arial" w:hAnsi="Arial" w:cs="Arial"/>
            </w:rPr>
            <w:fldChar w:fldCharType="separate"/>
          </w:r>
          <w:r w:rsidR="004D5125">
            <w:rPr>
              <w:rFonts w:ascii="Arial" w:hAnsi="Arial" w:cs="Arial"/>
              <w:noProof/>
              <w:lang w:val="en-US"/>
            </w:rPr>
            <w:t xml:space="preserve"> </w:t>
          </w:r>
          <w:r w:rsidR="004D5125" w:rsidRPr="004D5125">
            <w:rPr>
              <w:rFonts w:ascii="Arial" w:hAnsi="Arial" w:cs="Arial"/>
              <w:noProof/>
              <w:lang w:val="en-US"/>
            </w:rPr>
            <w:t>(Salama et al, 2023)</w:t>
          </w:r>
          <w:r w:rsidR="004D5125">
            <w:rPr>
              <w:rFonts w:ascii="Arial" w:hAnsi="Arial" w:cs="Arial"/>
            </w:rPr>
            <w:fldChar w:fldCharType="end"/>
          </w:r>
        </w:sdtContent>
      </w:sdt>
      <w:r w:rsidRPr="008C416D">
        <w:rPr>
          <w:rFonts w:ascii="Arial" w:hAnsi="Arial" w:cs="Arial"/>
        </w:rPr>
        <w:t>. This expanded section now provides deeper insights into Alibaba’s MNC/TNC status, its highly integrated global operations, varied entry modes, and the strategic advantages gained from internationalisation.</w:t>
      </w:r>
    </w:p>
    <w:p w14:paraId="2C488F1C" w14:textId="77777777" w:rsidR="00295766" w:rsidRPr="00E02386" w:rsidRDefault="00295766" w:rsidP="00E02386">
      <w:pPr>
        <w:pStyle w:val="Heading1"/>
        <w:spacing w:line="360" w:lineRule="auto"/>
        <w:jc w:val="both"/>
        <w:rPr>
          <w:rFonts w:ascii="Arial" w:hAnsi="Arial" w:cs="Arial"/>
          <w:b/>
          <w:bCs/>
          <w:color w:val="auto"/>
          <w:sz w:val="24"/>
          <w:szCs w:val="24"/>
        </w:rPr>
      </w:pPr>
      <w:bookmarkStart w:id="2" w:name="_Toc216539851"/>
      <w:r w:rsidRPr="00E02386">
        <w:rPr>
          <w:rFonts w:ascii="Arial" w:hAnsi="Arial" w:cs="Arial"/>
          <w:b/>
          <w:bCs/>
          <w:color w:val="auto"/>
          <w:sz w:val="24"/>
          <w:szCs w:val="24"/>
        </w:rPr>
        <w:t>3. Critical Discussion of OLI Factors: Alibaba’s Market Entry into Brazil</w:t>
      </w:r>
      <w:bookmarkEnd w:id="2"/>
    </w:p>
    <w:p w14:paraId="715639FD" w14:textId="1408B1E4" w:rsidR="00C94574" w:rsidRPr="008C416D" w:rsidRDefault="00C94574" w:rsidP="008C416D">
      <w:pPr>
        <w:spacing w:line="360" w:lineRule="auto"/>
        <w:jc w:val="both"/>
        <w:rPr>
          <w:rFonts w:ascii="Arial" w:hAnsi="Arial" w:cs="Arial"/>
        </w:rPr>
      </w:pPr>
      <w:r w:rsidRPr="008C416D">
        <w:rPr>
          <w:rFonts w:ascii="Arial" w:hAnsi="Arial" w:cs="Arial"/>
        </w:rPr>
        <w:t>The OLI Framework (Ownership-Location-Internalization) is a prominent model created by John Dunning that provides an understanding of the motivations behind multinational enterprises (MNEs) and their strategies for entering foreign markets. According to the OLI model, MNEs expand across the globe when they have Ownership (O) advantages that are specific to the firm, when they recognize the opportunity of a Location (L) advantage in the foreign market, and when they see the advantage of Internalizing (I) operations rather than using the open market to facilitate operations. The OLI framework is particularly beneficial for understanding Alibaba’s opportunity to enter Brazil, which has been considered one of the largest emerging economies and has tremendous opportunities within the e-commerce sector and yet has complex regulations and infrastructure</w:t>
      </w:r>
      <w:sdt>
        <w:sdtPr>
          <w:rPr>
            <w:rFonts w:ascii="Arial" w:hAnsi="Arial" w:cs="Arial"/>
          </w:rPr>
          <w:id w:val="-114907277"/>
          <w:citation/>
        </w:sdtPr>
        <w:sdtContent>
          <w:r w:rsidR="0066244F">
            <w:rPr>
              <w:rFonts w:ascii="Arial" w:hAnsi="Arial" w:cs="Arial"/>
            </w:rPr>
            <w:fldChar w:fldCharType="begin"/>
          </w:r>
          <w:r w:rsidR="0066244F">
            <w:rPr>
              <w:rFonts w:ascii="Arial" w:hAnsi="Arial" w:cs="Arial"/>
              <w:lang w:val="en-US"/>
            </w:rPr>
            <w:instrText xml:space="preserve"> CITATION Ren24 \l 1033 </w:instrText>
          </w:r>
          <w:r w:rsidR="0066244F">
            <w:rPr>
              <w:rFonts w:ascii="Arial" w:hAnsi="Arial" w:cs="Arial"/>
            </w:rPr>
            <w:fldChar w:fldCharType="separate"/>
          </w:r>
          <w:r w:rsidR="0066244F">
            <w:rPr>
              <w:rFonts w:ascii="Arial" w:hAnsi="Arial" w:cs="Arial"/>
              <w:noProof/>
              <w:lang w:val="en-US"/>
            </w:rPr>
            <w:t xml:space="preserve"> </w:t>
          </w:r>
          <w:r w:rsidR="0066244F" w:rsidRPr="0066244F">
            <w:rPr>
              <w:rFonts w:ascii="Arial" w:hAnsi="Arial" w:cs="Arial"/>
              <w:noProof/>
              <w:lang w:val="en-US"/>
            </w:rPr>
            <w:t>(Ren, 2024)</w:t>
          </w:r>
          <w:r w:rsidR="0066244F">
            <w:rPr>
              <w:rFonts w:ascii="Arial" w:hAnsi="Arial" w:cs="Arial"/>
            </w:rPr>
            <w:fldChar w:fldCharType="end"/>
          </w:r>
        </w:sdtContent>
      </w:sdt>
      <w:r w:rsidRPr="008C416D">
        <w:rPr>
          <w:rFonts w:ascii="Arial" w:hAnsi="Arial" w:cs="Arial"/>
        </w:rPr>
        <w:t>.</w:t>
      </w:r>
    </w:p>
    <w:p w14:paraId="30D06275" w14:textId="7E4327AE" w:rsidR="00295766" w:rsidRPr="008C416D" w:rsidRDefault="00295766" w:rsidP="008C416D">
      <w:pPr>
        <w:spacing w:line="360" w:lineRule="auto"/>
        <w:jc w:val="both"/>
        <w:rPr>
          <w:rFonts w:ascii="Arial" w:hAnsi="Arial" w:cs="Arial"/>
          <w:b/>
          <w:bCs/>
        </w:rPr>
      </w:pPr>
      <w:r w:rsidRPr="008C416D">
        <w:rPr>
          <w:rFonts w:ascii="Arial" w:hAnsi="Arial" w:cs="Arial"/>
          <w:b/>
          <w:bCs/>
        </w:rPr>
        <w:t>Ownership Advantages and Implications</w:t>
      </w:r>
    </w:p>
    <w:p w14:paraId="2E4FC9A9" w14:textId="3E896F70" w:rsidR="009C2D18" w:rsidRDefault="009C2D18" w:rsidP="008C416D">
      <w:pPr>
        <w:spacing w:line="360" w:lineRule="auto"/>
        <w:jc w:val="both"/>
        <w:rPr>
          <w:rFonts w:ascii="Arial" w:hAnsi="Arial" w:cs="Arial"/>
        </w:rPr>
      </w:pPr>
      <w:r w:rsidRPr="009C2D18">
        <w:rPr>
          <w:rFonts w:ascii="Arial" w:hAnsi="Arial" w:cs="Arial"/>
        </w:rPr>
        <w:t>Alibaba holds strong ownership advantages that shape its international expansion. Its advanced technological ecosystem</w:t>
      </w:r>
      <w:r>
        <w:rPr>
          <w:rFonts w:ascii="Arial" w:hAnsi="Arial" w:cs="Arial"/>
        </w:rPr>
        <w:t xml:space="preserve"> </w:t>
      </w:r>
      <w:r w:rsidRPr="009C2D18">
        <w:rPr>
          <w:rFonts w:ascii="Arial" w:hAnsi="Arial" w:cs="Arial"/>
        </w:rPr>
        <w:t>including e-commerce platforms, cloud computing, AI, and digital payment systems</w:t>
      </w:r>
      <w:r>
        <w:rPr>
          <w:rFonts w:ascii="Arial" w:hAnsi="Arial" w:cs="Arial"/>
        </w:rPr>
        <w:t xml:space="preserve"> </w:t>
      </w:r>
      <w:r w:rsidRPr="009C2D18">
        <w:rPr>
          <w:rFonts w:ascii="Arial" w:hAnsi="Arial" w:cs="Arial"/>
        </w:rPr>
        <w:t xml:space="preserve">creates competitive differentiation and operational efficiency that local Brazilian firms cannot easily replicate. These strengths often encourage higher-control entry modes, such as acquisitions or wholly owned subsidiaries, to protect intellectual property (Choi et al., 2025). Alibaba’s global brand visibility through AliExpress, Alibaba Cloud, and </w:t>
      </w:r>
      <w:proofErr w:type="spellStart"/>
      <w:r w:rsidRPr="009C2D18">
        <w:rPr>
          <w:rFonts w:ascii="Arial" w:hAnsi="Arial" w:cs="Arial"/>
        </w:rPr>
        <w:t>Cainiao</w:t>
      </w:r>
      <w:proofErr w:type="spellEnd"/>
      <w:r w:rsidRPr="009C2D18">
        <w:rPr>
          <w:rFonts w:ascii="Arial" w:hAnsi="Arial" w:cs="Arial"/>
        </w:rPr>
        <w:t xml:space="preserve"> also enables digital-first, lower-risk market testing. Additionally, its substantial financial resources and access to global capital markets provide flexibility to pursue acquisitions, joint ventures, or greenfield investments, balancing control with local expertise (Yun et al., 2020).</w:t>
      </w:r>
    </w:p>
    <w:p w14:paraId="2EEDED2E" w14:textId="320CC0DE" w:rsidR="00295766" w:rsidRPr="008C416D" w:rsidRDefault="00295766" w:rsidP="008C416D">
      <w:pPr>
        <w:spacing w:line="360" w:lineRule="auto"/>
        <w:jc w:val="both"/>
        <w:rPr>
          <w:rFonts w:ascii="Arial" w:hAnsi="Arial" w:cs="Arial"/>
          <w:b/>
          <w:bCs/>
        </w:rPr>
      </w:pPr>
      <w:r w:rsidRPr="008C416D">
        <w:rPr>
          <w:rFonts w:ascii="Arial" w:hAnsi="Arial" w:cs="Arial"/>
          <w:b/>
          <w:bCs/>
        </w:rPr>
        <w:lastRenderedPageBreak/>
        <w:t>Location Advantages in Brazil</w:t>
      </w:r>
    </w:p>
    <w:p w14:paraId="360BB1B2" w14:textId="22E0A806" w:rsidR="009C2D18" w:rsidRDefault="009C2D18" w:rsidP="008C416D">
      <w:pPr>
        <w:spacing w:line="360" w:lineRule="auto"/>
        <w:jc w:val="both"/>
        <w:rPr>
          <w:rFonts w:ascii="Arial" w:hAnsi="Arial" w:cs="Arial"/>
        </w:rPr>
      </w:pPr>
      <w:r w:rsidRPr="009C2D18">
        <w:rPr>
          <w:rFonts w:ascii="Arial" w:hAnsi="Arial" w:cs="Arial"/>
        </w:rPr>
        <w:t>Brazil offers strong location advantages for Alibaba as the largest Latin American economy, with a population of over 215 million, a rapidly expanding middle class, and fast-growing e-commerce adoption. These conditions create significant market-seeking opportunities and support long-term FDI potential (Skidmore et al., 2021). However, Alibaba faces major challenges, including underdeveloped logistics infrastructure, inefficient last-mile delivery, and a complex regulatory environment with high taxes and strong consumer protections. These institutional barriers increase the need for local partnerships or joint ventures (Zimmermann et al.). Additionally, intense competition from Mercado Libre, Amazon, and Magazine Luiza requires Alibaba to consider acquisitions to accelerate market entry and differentiation.</w:t>
      </w:r>
    </w:p>
    <w:p w14:paraId="0AADF729" w14:textId="091CEF0E" w:rsidR="00295766" w:rsidRPr="008C416D" w:rsidRDefault="00295766" w:rsidP="008C416D">
      <w:pPr>
        <w:spacing w:line="360" w:lineRule="auto"/>
        <w:jc w:val="both"/>
        <w:rPr>
          <w:rFonts w:ascii="Arial" w:hAnsi="Arial" w:cs="Arial"/>
          <w:b/>
          <w:bCs/>
        </w:rPr>
      </w:pPr>
      <w:r w:rsidRPr="008C416D">
        <w:rPr>
          <w:rFonts w:ascii="Arial" w:hAnsi="Arial" w:cs="Arial"/>
          <w:b/>
          <w:bCs/>
        </w:rPr>
        <w:t>Internalisation Advantages and Entry Mode Selection</w:t>
      </w:r>
    </w:p>
    <w:p w14:paraId="57EFB571" w14:textId="24F5BE11" w:rsidR="00295766" w:rsidRPr="008C416D" w:rsidRDefault="00295766" w:rsidP="008C416D">
      <w:pPr>
        <w:spacing w:line="360" w:lineRule="auto"/>
        <w:jc w:val="both"/>
        <w:rPr>
          <w:rFonts w:ascii="Arial" w:hAnsi="Arial" w:cs="Arial"/>
        </w:rPr>
      </w:pPr>
      <w:r w:rsidRPr="008C416D">
        <w:rPr>
          <w:rFonts w:ascii="Arial" w:hAnsi="Arial" w:cs="Arial"/>
        </w:rPr>
        <w:t>Internalisation advantages refer to the benefits of maintaining control over transactions and operations rather than outsourcing them. For a digital platform company like Alibaba, internalisation is essential for protecting proprietary technology, ensuring data security, and maintaining service quality. Core competencies</w:t>
      </w:r>
      <w:r w:rsidR="00C94574" w:rsidRPr="008C416D">
        <w:rPr>
          <w:rFonts w:ascii="Arial" w:hAnsi="Arial" w:cs="Arial"/>
        </w:rPr>
        <w:t xml:space="preserve"> </w:t>
      </w:r>
      <w:r w:rsidRPr="008C416D">
        <w:rPr>
          <w:rFonts w:ascii="Arial" w:hAnsi="Arial" w:cs="Arial"/>
        </w:rPr>
        <w:t>such as AI-driven recommendation algorithms, cloud computing infrastructure, and payment processing systems</w:t>
      </w:r>
      <w:r w:rsidR="00C94574" w:rsidRPr="008C416D">
        <w:rPr>
          <w:rFonts w:ascii="Arial" w:hAnsi="Arial" w:cs="Arial"/>
        </w:rPr>
        <w:t xml:space="preserve"> </w:t>
      </w:r>
      <w:r w:rsidRPr="008C416D">
        <w:rPr>
          <w:rFonts w:ascii="Arial" w:hAnsi="Arial" w:cs="Arial"/>
        </w:rPr>
        <w:t>require strict control to prevent intellectual property leakage and safeguard customer trust</w:t>
      </w:r>
      <w:sdt>
        <w:sdtPr>
          <w:rPr>
            <w:rFonts w:ascii="Arial" w:hAnsi="Arial" w:cs="Arial"/>
          </w:rPr>
          <w:id w:val="-1119757429"/>
          <w:citation/>
        </w:sdtPr>
        <w:sdtContent>
          <w:r w:rsidR="008911C3">
            <w:rPr>
              <w:rFonts w:ascii="Arial" w:hAnsi="Arial" w:cs="Arial"/>
            </w:rPr>
            <w:fldChar w:fldCharType="begin"/>
          </w:r>
          <w:r w:rsidR="008911C3">
            <w:rPr>
              <w:rFonts w:ascii="Arial" w:hAnsi="Arial" w:cs="Arial"/>
              <w:lang w:val="en-US"/>
            </w:rPr>
            <w:instrText xml:space="preserve"> CITATION Grø19 \l 1033 </w:instrText>
          </w:r>
          <w:r w:rsidR="008911C3">
            <w:rPr>
              <w:rFonts w:ascii="Arial" w:hAnsi="Arial" w:cs="Arial"/>
            </w:rPr>
            <w:fldChar w:fldCharType="separate"/>
          </w:r>
          <w:r w:rsidR="008911C3">
            <w:rPr>
              <w:rFonts w:ascii="Arial" w:hAnsi="Arial" w:cs="Arial"/>
              <w:noProof/>
              <w:lang w:val="en-US"/>
            </w:rPr>
            <w:t xml:space="preserve"> </w:t>
          </w:r>
          <w:r w:rsidR="008911C3" w:rsidRPr="008911C3">
            <w:rPr>
              <w:rFonts w:ascii="Arial" w:hAnsi="Arial" w:cs="Arial"/>
              <w:noProof/>
              <w:lang w:val="en-US"/>
            </w:rPr>
            <w:t>(Grøgaard et al, 2019)</w:t>
          </w:r>
          <w:r w:rsidR="008911C3">
            <w:rPr>
              <w:rFonts w:ascii="Arial" w:hAnsi="Arial" w:cs="Arial"/>
            </w:rPr>
            <w:fldChar w:fldCharType="end"/>
          </w:r>
        </w:sdtContent>
      </w:sdt>
      <w:r w:rsidRPr="008C416D">
        <w:rPr>
          <w:rFonts w:ascii="Arial" w:hAnsi="Arial" w:cs="Arial"/>
        </w:rPr>
        <w:t>.</w:t>
      </w:r>
    </w:p>
    <w:p w14:paraId="1A26A238" w14:textId="57C1D658" w:rsidR="00295766" w:rsidRPr="008C416D" w:rsidRDefault="00295766" w:rsidP="008C416D">
      <w:pPr>
        <w:spacing w:line="360" w:lineRule="auto"/>
        <w:jc w:val="both"/>
        <w:rPr>
          <w:rFonts w:ascii="Arial" w:hAnsi="Arial" w:cs="Arial"/>
        </w:rPr>
      </w:pPr>
      <w:r w:rsidRPr="008C416D">
        <w:rPr>
          <w:rFonts w:ascii="Arial" w:hAnsi="Arial" w:cs="Arial"/>
        </w:rPr>
        <w:t>In Brazil, data protection laws (LGPD) necessitate that Alibaba maintains strong governance over user data. This requirement strengthens the case for internalising critical digital operations through wholly owned subsidiaries rather than licensing technology to local partners. Internalisation also ensures that the company can enforce uniform quality standards across markets, a key factor in sustaining brand reputation. While internalisation pressures are high for digital and technological operations, Alibaba can adopt a more flexible approach for other functions, such as logistics, by partnering with local firms. This selective internalisation allows the company to manage risk, optimise cost, and leverage local expertise without compromising core competencies</w:t>
      </w:r>
      <w:sdt>
        <w:sdtPr>
          <w:rPr>
            <w:rFonts w:ascii="Arial" w:hAnsi="Arial" w:cs="Arial"/>
          </w:rPr>
          <w:id w:val="-1455015242"/>
          <w:citation/>
        </w:sdtPr>
        <w:sdtContent>
          <w:r w:rsidR="008911C3">
            <w:rPr>
              <w:rFonts w:ascii="Arial" w:hAnsi="Arial" w:cs="Arial"/>
            </w:rPr>
            <w:fldChar w:fldCharType="begin"/>
          </w:r>
          <w:r w:rsidR="008911C3">
            <w:rPr>
              <w:rFonts w:ascii="Arial" w:hAnsi="Arial" w:cs="Arial"/>
              <w:lang w:val="en-US"/>
            </w:rPr>
            <w:instrText xml:space="preserve"> CITATION Can212 \l 1033 </w:instrText>
          </w:r>
          <w:r w:rsidR="008911C3">
            <w:rPr>
              <w:rFonts w:ascii="Arial" w:hAnsi="Arial" w:cs="Arial"/>
            </w:rPr>
            <w:fldChar w:fldCharType="separate"/>
          </w:r>
          <w:r w:rsidR="008911C3">
            <w:rPr>
              <w:rFonts w:ascii="Arial" w:hAnsi="Arial" w:cs="Arial"/>
              <w:noProof/>
              <w:lang w:val="en-US"/>
            </w:rPr>
            <w:t xml:space="preserve"> </w:t>
          </w:r>
          <w:r w:rsidR="008911C3" w:rsidRPr="008911C3">
            <w:rPr>
              <w:rFonts w:ascii="Arial" w:hAnsi="Arial" w:cs="Arial"/>
              <w:noProof/>
              <w:lang w:val="en-US"/>
            </w:rPr>
            <w:t>(Canedo et al, 2021)</w:t>
          </w:r>
          <w:r w:rsidR="008911C3">
            <w:rPr>
              <w:rFonts w:ascii="Arial" w:hAnsi="Arial" w:cs="Arial"/>
            </w:rPr>
            <w:fldChar w:fldCharType="end"/>
          </w:r>
        </w:sdtContent>
      </w:sdt>
      <w:r w:rsidRPr="008C416D">
        <w:rPr>
          <w:rFonts w:ascii="Arial" w:hAnsi="Arial" w:cs="Arial"/>
        </w:rPr>
        <w:t>.</w:t>
      </w:r>
    </w:p>
    <w:p w14:paraId="00BB851E" w14:textId="77777777" w:rsidR="00295766" w:rsidRPr="008C416D" w:rsidRDefault="00295766" w:rsidP="008C416D">
      <w:pPr>
        <w:spacing w:line="360" w:lineRule="auto"/>
        <w:jc w:val="both"/>
        <w:rPr>
          <w:rFonts w:ascii="Arial" w:hAnsi="Arial" w:cs="Arial"/>
          <w:b/>
          <w:bCs/>
        </w:rPr>
      </w:pPr>
      <w:r w:rsidRPr="008C416D">
        <w:rPr>
          <w:rFonts w:ascii="Arial" w:hAnsi="Arial" w:cs="Arial"/>
          <w:b/>
          <w:bCs/>
        </w:rPr>
        <w:t>Integration of OLI Factors and Entry Mode Strategy</w:t>
      </w:r>
    </w:p>
    <w:p w14:paraId="1C69ADCB" w14:textId="0BC3311E" w:rsidR="009C2D18" w:rsidRDefault="009C2D18" w:rsidP="008C416D">
      <w:pPr>
        <w:spacing w:line="360" w:lineRule="auto"/>
        <w:jc w:val="both"/>
        <w:rPr>
          <w:rFonts w:ascii="Arial" w:hAnsi="Arial" w:cs="Arial"/>
        </w:rPr>
      </w:pPr>
      <w:r w:rsidRPr="009C2D18">
        <w:rPr>
          <w:rFonts w:ascii="Arial" w:hAnsi="Arial" w:cs="Arial"/>
        </w:rPr>
        <w:lastRenderedPageBreak/>
        <w:t>Insights from the Ownership, Location, and Internalisation analysis suggest that Alibaba should adopt a hybrid entry mode for Brazil (Moalla et al., 2020). Strong ownership advantages justify high-control modes for technology, cloud, and data operations, while Brazil’s regulatory and logistics constraints favour joint ventures with local partners. Internalisation needs reinforce direct control over digital platforms and payment systems. A suitable strategy includes: digital-first expansion through AliExpress, a joint venture with logistics providers (Leonard et al., 2020), a wholly owned Alibaba Cloud subsidiary, and selective acquisition of a mid-sized Brazilian e-commerce firm (Amiraslanov). This approach balances control, local adaptation, and risk mitigation (Guo et al., 2024).</w:t>
      </w:r>
    </w:p>
    <w:p w14:paraId="0A599161" w14:textId="63610780" w:rsidR="00295766" w:rsidRPr="00E02386" w:rsidRDefault="00295766" w:rsidP="00E02386">
      <w:pPr>
        <w:pStyle w:val="Heading1"/>
        <w:spacing w:line="360" w:lineRule="auto"/>
        <w:jc w:val="both"/>
        <w:rPr>
          <w:rFonts w:ascii="Arial" w:hAnsi="Arial" w:cs="Arial"/>
          <w:b/>
          <w:bCs/>
          <w:color w:val="auto"/>
          <w:sz w:val="24"/>
          <w:szCs w:val="24"/>
        </w:rPr>
      </w:pPr>
      <w:bookmarkStart w:id="3" w:name="_Toc216539852"/>
      <w:r w:rsidRPr="00E02386">
        <w:rPr>
          <w:rFonts w:ascii="Arial" w:hAnsi="Arial" w:cs="Arial"/>
          <w:b/>
          <w:bCs/>
          <w:color w:val="auto"/>
          <w:sz w:val="24"/>
          <w:szCs w:val="24"/>
        </w:rPr>
        <w:t>4. Cultural Differences and Their Impact on Alibaba’s Market Entry into Brazil</w:t>
      </w:r>
      <w:bookmarkEnd w:id="3"/>
    </w:p>
    <w:p w14:paraId="70E445AA" w14:textId="52539832" w:rsidR="00295766" w:rsidRPr="008C416D" w:rsidRDefault="00295766" w:rsidP="008C416D">
      <w:pPr>
        <w:spacing w:line="360" w:lineRule="auto"/>
        <w:jc w:val="both"/>
        <w:rPr>
          <w:rFonts w:ascii="Arial" w:hAnsi="Arial" w:cs="Arial"/>
        </w:rPr>
      </w:pPr>
      <w:r w:rsidRPr="008C416D">
        <w:rPr>
          <w:rFonts w:ascii="Arial" w:hAnsi="Arial" w:cs="Arial"/>
        </w:rPr>
        <w:t>Understanding cultural differences is crucial for multinational enterprises (MNEs) entering emerging markets, as these differences influence consumer behaviour, management practices, negotiation styles, and operational success. Hofstede’s cultural dimensions, Trompenaars’ model, and Hall’s high-context/low-context framework provide tools to analyse cultural contrasts between China, Alibaba’s home country, and Brazil. These cultural considerations significantly impact market entry strategy, organisational adaptation, and the company’s potential for success in Brazil</w:t>
      </w:r>
      <w:sdt>
        <w:sdtPr>
          <w:rPr>
            <w:rFonts w:ascii="Arial" w:hAnsi="Arial" w:cs="Arial"/>
          </w:rPr>
          <w:id w:val="1360013086"/>
          <w:citation/>
        </w:sdtPr>
        <w:sdtContent>
          <w:r w:rsidR="00993740">
            <w:rPr>
              <w:rFonts w:ascii="Arial" w:hAnsi="Arial" w:cs="Arial"/>
            </w:rPr>
            <w:fldChar w:fldCharType="begin"/>
          </w:r>
          <w:r w:rsidR="00993740">
            <w:rPr>
              <w:rFonts w:ascii="Arial" w:hAnsi="Arial" w:cs="Arial"/>
              <w:lang w:val="en-US"/>
            </w:rPr>
            <w:instrText xml:space="preserve"> CITATION Hee25 \l 1033 </w:instrText>
          </w:r>
          <w:r w:rsidR="00993740">
            <w:rPr>
              <w:rFonts w:ascii="Arial" w:hAnsi="Arial" w:cs="Arial"/>
            </w:rPr>
            <w:fldChar w:fldCharType="separate"/>
          </w:r>
          <w:r w:rsidR="00993740">
            <w:rPr>
              <w:rFonts w:ascii="Arial" w:hAnsi="Arial" w:cs="Arial"/>
              <w:noProof/>
              <w:lang w:val="en-US"/>
            </w:rPr>
            <w:t xml:space="preserve"> </w:t>
          </w:r>
          <w:r w:rsidR="00993740" w:rsidRPr="00993740">
            <w:rPr>
              <w:rFonts w:ascii="Arial" w:hAnsi="Arial" w:cs="Arial"/>
              <w:noProof/>
              <w:lang w:val="en-US"/>
            </w:rPr>
            <w:t>(He et al, 2025)</w:t>
          </w:r>
          <w:r w:rsidR="00993740">
            <w:rPr>
              <w:rFonts w:ascii="Arial" w:hAnsi="Arial" w:cs="Arial"/>
            </w:rPr>
            <w:fldChar w:fldCharType="end"/>
          </w:r>
        </w:sdtContent>
      </w:sdt>
      <w:r w:rsidRPr="008C416D">
        <w:rPr>
          <w:rFonts w:ascii="Arial" w:hAnsi="Arial" w:cs="Arial"/>
        </w:rPr>
        <w:t>.</w:t>
      </w:r>
    </w:p>
    <w:p w14:paraId="5067327B" w14:textId="77777777" w:rsidR="00295766" w:rsidRPr="008C416D" w:rsidRDefault="00295766" w:rsidP="008C416D">
      <w:pPr>
        <w:spacing w:line="360" w:lineRule="auto"/>
        <w:jc w:val="both"/>
        <w:rPr>
          <w:rFonts w:ascii="Arial" w:hAnsi="Arial" w:cs="Arial"/>
          <w:b/>
          <w:bCs/>
        </w:rPr>
      </w:pPr>
      <w:r w:rsidRPr="008C416D">
        <w:rPr>
          <w:rFonts w:ascii="Arial" w:hAnsi="Arial" w:cs="Arial"/>
          <w:b/>
          <w:bCs/>
        </w:rPr>
        <w:t>4.1 Power Distance and Hierarchy</w:t>
      </w:r>
    </w:p>
    <w:p w14:paraId="4657B3D5" w14:textId="31EF0DFB" w:rsidR="008C416D" w:rsidRPr="008C416D" w:rsidRDefault="008C416D" w:rsidP="008C416D">
      <w:pPr>
        <w:spacing w:line="360" w:lineRule="auto"/>
        <w:jc w:val="both"/>
        <w:rPr>
          <w:rFonts w:ascii="Arial" w:hAnsi="Arial" w:cs="Arial"/>
        </w:rPr>
      </w:pPr>
      <w:r w:rsidRPr="008C416D">
        <w:rPr>
          <w:rFonts w:ascii="Arial" w:hAnsi="Arial" w:cs="Arial"/>
        </w:rPr>
        <w:t>Hofstede assessed Power Distance thinking so that less dominant members of a country determine whether they feel comfortable with having unequal access to the Decision-Making process. In China, Power Distance is reported to be at a higher level than in many other countries in the world. The Chinese Government has built large Administrative/institutional-Hierarchy structures to facilitate Decision Makers having centralised means of making Decisions as well as formalised Decision-Making Authority</w:t>
      </w:r>
      <w:sdt>
        <w:sdtPr>
          <w:rPr>
            <w:rFonts w:ascii="Arial" w:hAnsi="Arial" w:cs="Arial"/>
          </w:rPr>
          <w:id w:val="621264226"/>
          <w:citation/>
        </w:sdtPr>
        <w:sdtContent>
          <w:r w:rsidR="00993740">
            <w:rPr>
              <w:rFonts w:ascii="Arial" w:hAnsi="Arial" w:cs="Arial"/>
            </w:rPr>
            <w:fldChar w:fldCharType="begin"/>
          </w:r>
          <w:r w:rsidR="00993740">
            <w:rPr>
              <w:rFonts w:ascii="Arial" w:hAnsi="Arial" w:cs="Arial"/>
              <w:lang w:val="en-US"/>
            </w:rPr>
            <w:instrText xml:space="preserve"> CITATION Tea201 \l 1033 </w:instrText>
          </w:r>
          <w:r w:rsidR="00993740">
            <w:rPr>
              <w:rFonts w:ascii="Arial" w:hAnsi="Arial" w:cs="Arial"/>
            </w:rPr>
            <w:fldChar w:fldCharType="separate"/>
          </w:r>
          <w:r w:rsidR="00993740">
            <w:rPr>
              <w:rFonts w:ascii="Arial" w:hAnsi="Arial" w:cs="Arial"/>
              <w:noProof/>
              <w:lang w:val="en-US"/>
            </w:rPr>
            <w:t xml:space="preserve"> </w:t>
          </w:r>
          <w:r w:rsidR="00993740" w:rsidRPr="00993740">
            <w:rPr>
              <w:rFonts w:ascii="Arial" w:hAnsi="Arial" w:cs="Arial"/>
              <w:noProof/>
              <w:lang w:val="en-US"/>
            </w:rPr>
            <w:t>(Tear et al, 2020)</w:t>
          </w:r>
          <w:r w:rsidR="00993740">
            <w:rPr>
              <w:rFonts w:ascii="Arial" w:hAnsi="Arial" w:cs="Arial"/>
            </w:rPr>
            <w:fldChar w:fldCharType="end"/>
          </w:r>
        </w:sdtContent>
      </w:sdt>
      <w:r w:rsidRPr="008C416D">
        <w:rPr>
          <w:rFonts w:ascii="Arial" w:hAnsi="Arial" w:cs="Arial"/>
        </w:rPr>
        <w:t>.</w:t>
      </w:r>
    </w:p>
    <w:p w14:paraId="66C8097C" w14:textId="77777777" w:rsidR="00302001" w:rsidRDefault="008C416D" w:rsidP="008C416D">
      <w:pPr>
        <w:spacing w:line="360" w:lineRule="auto"/>
        <w:jc w:val="both"/>
        <w:rPr>
          <w:rFonts w:ascii="Arial" w:hAnsi="Arial" w:cs="Arial"/>
        </w:rPr>
      </w:pPr>
      <w:r w:rsidRPr="008C416D">
        <w:rPr>
          <w:rFonts w:ascii="Arial" w:hAnsi="Arial" w:cs="Arial"/>
        </w:rPr>
        <w:t xml:space="preserve">Brazil reflects a moderate amount of Power Distance; however, Brazilian Culture is much more focused on the value of having Personal Relationships, Building Social Networks and Traditions in addition to building relationships within Power Distance structures. In practical terms this indicates that Chinese based companies that want </w:t>
      </w:r>
      <w:r w:rsidRPr="008C416D">
        <w:rPr>
          <w:rFonts w:ascii="Arial" w:hAnsi="Arial" w:cs="Arial"/>
        </w:rPr>
        <w:lastRenderedPageBreak/>
        <w:t>to establish a presence within Brazil need to have a fundamental understanding of who the informal Decision Makers are within Brazil's People Structure and Create Good personal relationships with these informal Decision Makers</w:t>
      </w:r>
      <w:r w:rsidR="00302001" w:rsidRPr="00302001">
        <w:rPr>
          <w:rFonts w:ascii="Arial" w:hAnsi="Arial" w:cs="Arial"/>
        </w:rPr>
        <w:t xml:space="preserve"> </w:t>
      </w:r>
      <w:sdt>
        <w:sdtPr>
          <w:rPr>
            <w:rFonts w:ascii="Arial" w:hAnsi="Arial" w:cs="Arial"/>
          </w:rPr>
          <w:id w:val="-1200545278"/>
          <w:citation/>
        </w:sdtPr>
        <w:sdtContent>
          <w:r w:rsidR="00302001">
            <w:rPr>
              <w:rFonts w:ascii="Arial" w:hAnsi="Arial" w:cs="Arial"/>
            </w:rPr>
            <w:fldChar w:fldCharType="begin"/>
          </w:r>
          <w:r w:rsidR="00302001">
            <w:rPr>
              <w:rFonts w:ascii="Arial" w:hAnsi="Arial" w:cs="Arial"/>
              <w:lang w:val="en-US"/>
            </w:rPr>
            <w:instrText xml:space="preserve"> CITATION Sch241 \l 1033 </w:instrText>
          </w:r>
          <w:r w:rsidR="00302001">
            <w:rPr>
              <w:rFonts w:ascii="Arial" w:hAnsi="Arial" w:cs="Arial"/>
            </w:rPr>
            <w:fldChar w:fldCharType="separate"/>
          </w:r>
          <w:r w:rsidR="00302001">
            <w:rPr>
              <w:rFonts w:ascii="Arial" w:hAnsi="Arial" w:cs="Arial"/>
              <w:noProof/>
              <w:lang w:val="en-US"/>
            </w:rPr>
            <w:t xml:space="preserve"> </w:t>
          </w:r>
          <w:r w:rsidR="00302001" w:rsidRPr="00993740">
            <w:rPr>
              <w:rFonts w:ascii="Arial" w:hAnsi="Arial" w:cs="Arial"/>
              <w:noProof/>
              <w:lang w:val="en-US"/>
            </w:rPr>
            <w:t>(Schlumberger et al, 2024)</w:t>
          </w:r>
          <w:r w:rsidR="00302001">
            <w:rPr>
              <w:rFonts w:ascii="Arial" w:hAnsi="Arial" w:cs="Arial"/>
            </w:rPr>
            <w:fldChar w:fldCharType="end"/>
          </w:r>
        </w:sdtContent>
      </w:sdt>
      <w:r w:rsidR="00302001" w:rsidRPr="008C416D">
        <w:rPr>
          <w:rFonts w:ascii="Arial" w:hAnsi="Arial" w:cs="Arial"/>
        </w:rPr>
        <w:t>.</w:t>
      </w:r>
    </w:p>
    <w:p w14:paraId="396F5E4C" w14:textId="4572F905" w:rsidR="00295766" w:rsidRPr="00302001" w:rsidRDefault="00295766" w:rsidP="008C416D">
      <w:pPr>
        <w:spacing w:line="360" w:lineRule="auto"/>
        <w:jc w:val="both"/>
        <w:rPr>
          <w:rFonts w:ascii="Arial" w:hAnsi="Arial" w:cs="Arial"/>
        </w:rPr>
      </w:pPr>
      <w:r w:rsidRPr="008C416D">
        <w:rPr>
          <w:rFonts w:ascii="Arial" w:hAnsi="Arial" w:cs="Arial"/>
          <w:b/>
          <w:bCs/>
        </w:rPr>
        <w:t>4.2 Individualism versus Collectivism</w:t>
      </w:r>
    </w:p>
    <w:p w14:paraId="40EA57C3" w14:textId="00772E04" w:rsidR="00295766" w:rsidRPr="008C416D" w:rsidRDefault="00295766" w:rsidP="008C416D">
      <w:pPr>
        <w:spacing w:line="360" w:lineRule="auto"/>
        <w:jc w:val="both"/>
        <w:rPr>
          <w:rFonts w:ascii="Arial" w:hAnsi="Arial" w:cs="Arial"/>
        </w:rPr>
      </w:pPr>
      <w:r w:rsidRPr="008C416D">
        <w:rPr>
          <w:rFonts w:ascii="Arial" w:hAnsi="Arial" w:cs="Arial"/>
        </w:rPr>
        <w:t>China is largely collectivist, prioritising group harmony, long-term relationships, and collective goals. Brazil exhibits a blend of collectivist and individualist tendencies: while family and social networks are influential, Brazilian consumers display individualistic behaviours in decision-making, particularly in consumption patterns. Alibaba’s marketing and customer engagement strategies must reflect this cultural nuance. While e-commerce platforms can leverage Alibaba’s sophisticated algorithms and group-oriented incentives, messaging should also appeal to Brazilian consumers’ desire for individuality, personal choice, and self-expression. Failure to adapt marketing and platform design to local consumer psychology could reduce engagement and adoption</w:t>
      </w:r>
      <w:sdt>
        <w:sdtPr>
          <w:rPr>
            <w:rFonts w:ascii="Arial" w:hAnsi="Arial" w:cs="Arial"/>
          </w:rPr>
          <w:id w:val="-2016138530"/>
          <w:citation/>
        </w:sdtPr>
        <w:sdtContent>
          <w:r w:rsidR="00993740">
            <w:rPr>
              <w:rFonts w:ascii="Arial" w:hAnsi="Arial" w:cs="Arial"/>
            </w:rPr>
            <w:fldChar w:fldCharType="begin"/>
          </w:r>
          <w:r w:rsidR="00993740">
            <w:rPr>
              <w:rFonts w:ascii="Arial" w:hAnsi="Arial" w:cs="Arial"/>
              <w:lang w:val="en-US"/>
            </w:rPr>
            <w:instrText xml:space="preserve"> CITATION Ian20 \l 1033 </w:instrText>
          </w:r>
          <w:r w:rsidR="00993740">
            <w:rPr>
              <w:rFonts w:ascii="Arial" w:hAnsi="Arial" w:cs="Arial"/>
            </w:rPr>
            <w:fldChar w:fldCharType="separate"/>
          </w:r>
          <w:r w:rsidR="00993740">
            <w:rPr>
              <w:rFonts w:ascii="Arial" w:hAnsi="Arial" w:cs="Arial"/>
              <w:noProof/>
              <w:lang w:val="en-US"/>
            </w:rPr>
            <w:t xml:space="preserve"> </w:t>
          </w:r>
          <w:r w:rsidR="00993740" w:rsidRPr="00993740">
            <w:rPr>
              <w:rFonts w:ascii="Arial" w:hAnsi="Arial" w:cs="Arial"/>
              <w:noProof/>
              <w:lang w:val="en-US"/>
            </w:rPr>
            <w:t>(Ianole-Călin et al, 2020)</w:t>
          </w:r>
          <w:r w:rsidR="00993740">
            <w:rPr>
              <w:rFonts w:ascii="Arial" w:hAnsi="Arial" w:cs="Arial"/>
            </w:rPr>
            <w:fldChar w:fldCharType="end"/>
          </w:r>
        </w:sdtContent>
      </w:sdt>
      <w:r w:rsidRPr="008C416D">
        <w:rPr>
          <w:rFonts w:ascii="Arial" w:hAnsi="Arial" w:cs="Arial"/>
        </w:rPr>
        <w:t>.</w:t>
      </w:r>
    </w:p>
    <w:p w14:paraId="185B0028" w14:textId="77777777" w:rsidR="00295766" w:rsidRPr="008C416D" w:rsidRDefault="00295766" w:rsidP="008C416D">
      <w:pPr>
        <w:spacing w:line="360" w:lineRule="auto"/>
        <w:jc w:val="both"/>
        <w:rPr>
          <w:rFonts w:ascii="Arial" w:hAnsi="Arial" w:cs="Arial"/>
          <w:b/>
          <w:bCs/>
        </w:rPr>
      </w:pPr>
      <w:r w:rsidRPr="008C416D">
        <w:rPr>
          <w:rFonts w:ascii="Arial" w:hAnsi="Arial" w:cs="Arial"/>
          <w:b/>
          <w:bCs/>
        </w:rPr>
        <w:t>4.3 Uncertainty Avoidance</w:t>
      </w:r>
    </w:p>
    <w:p w14:paraId="08576A24" w14:textId="77777777" w:rsidR="00295766" w:rsidRPr="008C416D" w:rsidRDefault="00295766" w:rsidP="008C416D">
      <w:pPr>
        <w:spacing w:line="360" w:lineRule="auto"/>
        <w:jc w:val="both"/>
        <w:rPr>
          <w:rFonts w:ascii="Arial" w:hAnsi="Arial" w:cs="Arial"/>
        </w:rPr>
      </w:pPr>
      <w:r w:rsidRPr="008C416D">
        <w:rPr>
          <w:rFonts w:ascii="Arial" w:hAnsi="Arial" w:cs="Arial"/>
        </w:rPr>
        <w:t>Uncertainty avoidance reflects a culture’s tolerance for ambiguity and risk. Brazil scores moderately high, indicating a preference for formal rules, predictable processes, and risk mitigation. China, while also exhibiting moderate uncertainty avoidance, often relies on adaptive strategies and flexible problem-solving within business operations.</w:t>
      </w:r>
    </w:p>
    <w:p w14:paraId="4B4E9516" w14:textId="3ECEDCBC" w:rsidR="00295766" w:rsidRPr="008C416D" w:rsidRDefault="00295766" w:rsidP="008C416D">
      <w:pPr>
        <w:spacing w:line="360" w:lineRule="auto"/>
        <w:jc w:val="both"/>
        <w:rPr>
          <w:rFonts w:ascii="Arial" w:hAnsi="Arial" w:cs="Arial"/>
        </w:rPr>
      </w:pPr>
      <w:r w:rsidRPr="008C416D">
        <w:rPr>
          <w:rFonts w:ascii="Arial" w:hAnsi="Arial" w:cs="Arial"/>
        </w:rPr>
        <w:t>For Alibaba, entering Brazil requires designing processes and operations that reduce perceived risk for consumers, partners, and regulators. Clear return policies, transparent payment systems, and compliance with local laws are essential. Moreover, operational procedures must align with Brazilian expectations for reliability and predictability, particularly in logistics and payment systems, to establish credibility and trust</w:t>
      </w:r>
      <w:sdt>
        <w:sdtPr>
          <w:rPr>
            <w:rFonts w:ascii="Arial" w:hAnsi="Arial" w:cs="Arial"/>
          </w:rPr>
          <w:id w:val="-2020528920"/>
          <w:citation/>
        </w:sdtPr>
        <w:sdtContent>
          <w:r w:rsidR="00600ACA">
            <w:rPr>
              <w:rFonts w:ascii="Arial" w:hAnsi="Arial" w:cs="Arial"/>
            </w:rPr>
            <w:fldChar w:fldCharType="begin"/>
          </w:r>
          <w:r w:rsidR="00600ACA">
            <w:rPr>
              <w:rFonts w:ascii="Arial" w:hAnsi="Arial" w:cs="Arial"/>
              <w:lang w:val="en-US"/>
            </w:rPr>
            <w:instrText xml:space="preserve"> CITATION AlA22 \l 1033 </w:instrText>
          </w:r>
          <w:r w:rsidR="00600ACA">
            <w:rPr>
              <w:rFonts w:ascii="Arial" w:hAnsi="Arial" w:cs="Arial"/>
            </w:rPr>
            <w:fldChar w:fldCharType="separate"/>
          </w:r>
          <w:r w:rsidR="00600ACA">
            <w:rPr>
              <w:rFonts w:ascii="Arial" w:hAnsi="Arial" w:cs="Arial"/>
              <w:noProof/>
              <w:lang w:val="en-US"/>
            </w:rPr>
            <w:t xml:space="preserve"> </w:t>
          </w:r>
          <w:r w:rsidR="00600ACA" w:rsidRPr="00600ACA">
            <w:rPr>
              <w:rFonts w:ascii="Arial" w:hAnsi="Arial" w:cs="Arial"/>
              <w:noProof/>
              <w:lang w:val="en-US"/>
            </w:rPr>
            <w:t>(Al-Adwan et al, 2022)</w:t>
          </w:r>
          <w:r w:rsidR="00600ACA">
            <w:rPr>
              <w:rFonts w:ascii="Arial" w:hAnsi="Arial" w:cs="Arial"/>
            </w:rPr>
            <w:fldChar w:fldCharType="end"/>
          </w:r>
        </w:sdtContent>
      </w:sdt>
      <w:r w:rsidRPr="008C416D">
        <w:rPr>
          <w:rFonts w:ascii="Arial" w:hAnsi="Arial" w:cs="Arial"/>
        </w:rPr>
        <w:t>.</w:t>
      </w:r>
    </w:p>
    <w:p w14:paraId="261C60F7" w14:textId="77777777" w:rsidR="00295766" w:rsidRPr="008C416D" w:rsidRDefault="00295766" w:rsidP="008C416D">
      <w:pPr>
        <w:spacing w:line="360" w:lineRule="auto"/>
        <w:jc w:val="both"/>
        <w:rPr>
          <w:rFonts w:ascii="Arial" w:hAnsi="Arial" w:cs="Arial"/>
          <w:b/>
          <w:bCs/>
        </w:rPr>
      </w:pPr>
      <w:r w:rsidRPr="008C416D">
        <w:rPr>
          <w:rFonts w:ascii="Arial" w:hAnsi="Arial" w:cs="Arial"/>
          <w:b/>
          <w:bCs/>
        </w:rPr>
        <w:t>4.4 Communication Styles: High-Context versus Low-Context</w:t>
      </w:r>
    </w:p>
    <w:p w14:paraId="3EC256E6" w14:textId="59205980" w:rsidR="00295766" w:rsidRPr="008C416D" w:rsidRDefault="00295766" w:rsidP="008C416D">
      <w:pPr>
        <w:spacing w:line="360" w:lineRule="auto"/>
        <w:jc w:val="both"/>
        <w:rPr>
          <w:rFonts w:ascii="Arial" w:hAnsi="Arial" w:cs="Arial"/>
        </w:rPr>
      </w:pPr>
      <w:r w:rsidRPr="008C416D">
        <w:rPr>
          <w:rFonts w:ascii="Arial" w:hAnsi="Arial" w:cs="Arial"/>
        </w:rPr>
        <w:t xml:space="preserve">Hall’s framework differentiates high-context cultures, which rely on implicit communication and shared understanding, from low-context cultures, which emphasize explicit verbal communication. China is a high-context culture, where </w:t>
      </w:r>
      <w:r w:rsidRPr="008C416D">
        <w:rPr>
          <w:rFonts w:ascii="Arial" w:hAnsi="Arial" w:cs="Arial"/>
        </w:rPr>
        <w:lastRenderedPageBreak/>
        <w:t>indirect communication and reading between the lines are common. Brazil is also considered a high-context culture, where personal interaction, trust, and non-verbal cues are crucial in business transactions. Alibaba must emphasise relationship-building, local networking, and culturally appropriate negotiation styles. Digital platforms and automated customer service models should be supplemented by culturally attuned local support teams to bridge potential gaps in communication style. Failure to respect these nuances could result in misunderstandings, reduced consumer trust, and slower adoption of Alibaba’s services.</w:t>
      </w:r>
    </w:p>
    <w:p w14:paraId="6B5A67E1" w14:textId="77777777" w:rsidR="00295766" w:rsidRPr="008C416D" w:rsidRDefault="00295766" w:rsidP="008C416D">
      <w:pPr>
        <w:spacing w:line="360" w:lineRule="auto"/>
        <w:jc w:val="both"/>
        <w:rPr>
          <w:rFonts w:ascii="Arial" w:hAnsi="Arial" w:cs="Arial"/>
          <w:b/>
          <w:bCs/>
        </w:rPr>
      </w:pPr>
      <w:r w:rsidRPr="008C416D">
        <w:rPr>
          <w:rFonts w:ascii="Arial" w:hAnsi="Arial" w:cs="Arial"/>
          <w:b/>
          <w:bCs/>
        </w:rPr>
        <w:t>4.5 Long-Term Orientation</w:t>
      </w:r>
    </w:p>
    <w:p w14:paraId="411E3FC6" w14:textId="5F0216D0" w:rsidR="00295766" w:rsidRPr="008C416D" w:rsidRDefault="00295766" w:rsidP="008C416D">
      <w:pPr>
        <w:spacing w:line="360" w:lineRule="auto"/>
        <w:jc w:val="both"/>
        <w:rPr>
          <w:rFonts w:ascii="Arial" w:hAnsi="Arial" w:cs="Arial"/>
        </w:rPr>
      </w:pPr>
      <w:r w:rsidRPr="008C416D">
        <w:rPr>
          <w:rFonts w:ascii="Arial" w:hAnsi="Arial" w:cs="Arial"/>
        </w:rPr>
        <w:t>China scores highly on long-term orientation, reflecting a strategic focus on persistence, adaptation, and future rewards. Brazil has a more moderate long-term orientation, often balancing future planning with a preference for immediate results and tangible benefits. Alibaba’s market entry strategy must consider this temporal orientation. While Chinese management may prioritise long-term ecosystem development, Brazilian partners and consumers may expect early, visible benefits from collaborations or purchases. Tailoring incentive programs, promotions, and initial market offerings to generate short-term value can facilitate adoption while building long-term brand loyalty</w:t>
      </w:r>
      <w:sdt>
        <w:sdtPr>
          <w:rPr>
            <w:rFonts w:ascii="Arial" w:hAnsi="Arial" w:cs="Arial"/>
          </w:rPr>
          <w:id w:val="-356811367"/>
          <w:citation/>
        </w:sdtPr>
        <w:sdtContent>
          <w:r w:rsidR="00600ACA">
            <w:rPr>
              <w:rFonts w:ascii="Arial" w:hAnsi="Arial" w:cs="Arial"/>
            </w:rPr>
            <w:fldChar w:fldCharType="begin"/>
          </w:r>
          <w:r w:rsidR="00600ACA">
            <w:rPr>
              <w:rFonts w:ascii="Arial" w:hAnsi="Arial" w:cs="Arial"/>
              <w:lang w:val="en-US"/>
            </w:rPr>
            <w:instrText xml:space="preserve"> CITATION Fan24 \l 1033 </w:instrText>
          </w:r>
          <w:r w:rsidR="00600ACA">
            <w:rPr>
              <w:rFonts w:ascii="Arial" w:hAnsi="Arial" w:cs="Arial"/>
            </w:rPr>
            <w:fldChar w:fldCharType="separate"/>
          </w:r>
          <w:r w:rsidR="00600ACA">
            <w:rPr>
              <w:rFonts w:ascii="Arial" w:hAnsi="Arial" w:cs="Arial"/>
              <w:noProof/>
              <w:lang w:val="en-US"/>
            </w:rPr>
            <w:t xml:space="preserve"> </w:t>
          </w:r>
          <w:r w:rsidR="00600ACA" w:rsidRPr="00600ACA">
            <w:rPr>
              <w:rFonts w:ascii="Arial" w:hAnsi="Arial" w:cs="Arial"/>
              <w:noProof/>
              <w:lang w:val="en-US"/>
            </w:rPr>
            <w:t>(Fang et al, 2024)</w:t>
          </w:r>
          <w:r w:rsidR="00600ACA">
            <w:rPr>
              <w:rFonts w:ascii="Arial" w:hAnsi="Arial" w:cs="Arial"/>
            </w:rPr>
            <w:fldChar w:fldCharType="end"/>
          </w:r>
        </w:sdtContent>
      </w:sdt>
      <w:r w:rsidRPr="008C416D">
        <w:rPr>
          <w:rFonts w:ascii="Arial" w:hAnsi="Arial" w:cs="Arial"/>
        </w:rPr>
        <w:t>.</w:t>
      </w:r>
    </w:p>
    <w:p w14:paraId="3F9A3F5E" w14:textId="77777777" w:rsidR="00295766" w:rsidRPr="008C416D" w:rsidRDefault="00295766" w:rsidP="008C416D">
      <w:pPr>
        <w:spacing w:line="360" w:lineRule="auto"/>
        <w:jc w:val="both"/>
        <w:rPr>
          <w:rFonts w:ascii="Arial" w:hAnsi="Arial" w:cs="Arial"/>
          <w:b/>
          <w:bCs/>
        </w:rPr>
      </w:pPr>
      <w:r w:rsidRPr="008C416D">
        <w:rPr>
          <w:rFonts w:ascii="Arial" w:hAnsi="Arial" w:cs="Arial"/>
          <w:b/>
          <w:bCs/>
        </w:rPr>
        <w:t>4.6 Cultural Implications for Operational Strategy</w:t>
      </w:r>
    </w:p>
    <w:p w14:paraId="109A5C7B" w14:textId="2E278B74" w:rsidR="00295766" w:rsidRPr="008C416D" w:rsidRDefault="00295766" w:rsidP="008C416D">
      <w:pPr>
        <w:spacing w:line="360" w:lineRule="auto"/>
        <w:jc w:val="both"/>
        <w:rPr>
          <w:rFonts w:ascii="Arial" w:hAnsi="Arial" w:cs="Arial"/>
        </w:rPr>
      </w:pPr>
      <w:r w:rsidRPr="008C416D">
        <w:rPr>
          <w:rFonts w:ascii="Arial" w:hAnsi="Arial" w:cs="Arial"/>
        </w:rPr>
        <w:t xml:space="preserve">These cultural dimensions directly influence Alibaba’s market entry strategy in Brazil. Operationally, Alibaba must adapt platform interfaces, payment systems, logistics management, and marketing campaigns to local cultural expectations. For example, Brazilian consumers prefer flexible payment methods, including </w:t>
      </w:r>
      <w:proofErr w:type="spellStart"/>
      <w:r w:rsidRPr="008C416D">
        <w:rPr>
          <w:rFonts w:ascii="Arial" w:hAnsi="Arial" w:cs="Arial"/>
        </w:rPr>
        <w:t>boleto</w:t>
      </w:r>
      <w:proofErr w:type="spellEnd"/>
      <w:r w:rsidRPr="008C416D">
        <w:rPr>
          <w:rFonts w:ascii="Arial" w:hAnsi="Arial" w:cs="Arial"/>
        </w:rPr>
        <w:t xml:space="preserve"> </w:t>
      </w:r>
      <w:proofErr w:type="spellStart"/>
      <w:r w:rsidRPr="008C416D">
        <w:rPr>
          <w:rFonts w:ascii="Arial" w:hAnsi="Arial" w:cs="Arial"/>
        </w:rPr>
        <w:t>bancário</w:t>
      </w:r>
      <w:proofErr w:type="spellEnd"/>
      <w:r w:rsidRPr="008C416D">
        <w:rPr>
          <w:rFonts w:ascii="Arial" w:hAnsi="Arial" w:cs="Arial"/>
        </w:rPr>
        <w:t>, credit cards, and digital wallets, which may differ from Chinese e-commerce practices. Logistics partnerships should account for local customs, delivery preferences, and regional infrastructure disparities. Management practices within joint ventures or local subsidiaries must respect Brazilian cultural expectations for participative leadership, informal communication, and strong interpersonal relationships. For example, decision-making processes may require more consultation and consensus-building than in Alibaba’s home operations</w:t>
      </w:r>
      <w:sdt>
        <w:sdtPr>
          <w:rPr>
            <w:rFonts w:ascii="Arial" w:hAnsi="Arial" w:cs="Arial"/>
          </w:rPr>
          <w:id w:val="-2092924479"/>
          <w:citation/>
        </w:sdtPr>
        <w:sdtContent>
          <w:r w:rsidR="00600ACA">
            <w:rPr>
              <w:rFonts w:ascii="Arial" w:hAnsi="Arial" w:cs="Arial"/>
            </w:rPr>
            <w:fldChar w:fldCharType="begin"/>
          </w:r>
          <w:r w:rsidR="00600ACA">
            <w:rPr>
              <w:rFonts w:ascii="Arial" w:hAnsi="Arial" w:cs="Arial"/>
              <w:lang w:val="en-US"/>
            </w:rPr>
            <w:instrText xml:space="preserve"> CITATION Yin24 \l 1033 </w:instrText>
          </w:r>
          <w:r w:rsidR="00600ACA">
            <w:rPr>
              <w:rFonts w:ascii="Arial" w:hAnsi="Arial" w:cs="Arial"/>
            </w:rPr>
            <w:fldChar w:fldCharType="separate"/>
          </w:r>
          <w:r w:rsidR="00600ACA">
            <w:rPr>
              <w:rFonts w:ascii="Arial" w:hAnsi="Arial" w:cs="Arial"/>
              <w:noProof/>
              <w:lang w:val="en-US"/>
            </w:rPr>
            <w:t xml:space="preserve"> </w:t>
          </w:r>
          <w:r w:rsidR="00600ACA" w:rsidRPr="00600ACA">
            <w:rPr>
              <w:rFonts w:ascii="Arial" w:hAnsi="Arial" w:cs="Arial"/>
              <w:noProof/>
              <w:lang w:val="en-US"/>
            </w:rPr>
            <w:t>(Ying et al, 2024)</w:t>
          </w:r>
          <w:r w:rsidR="00600ACA">
            <w:rPr>
              <w:rFonts w:ascii="Arial" w:hAnsi="Arial" w:cs="Arial"/>
            </w:rPr>
            <w:fldChar w:fldCharType="end"/>
          </w:r>
        </w:sdtContent>
      </w:sdt>
      <w:r w:rsidRPr="008C416D">
        <w:rPr>
          <w:rFonts w:ascii="Arial" w:hAnsi="Arial" w:cs="Arial"/>
        </w:rPr>
        <w:t>.</w:t>
      </w:r>
    </w:p>
    <w:p w14:paraId="3852E3A5" w14:textId="77777777" w:rsidR="00295766" w:rsidRPr="008C416D" w:rsidRDefault="00295766" w:rsidP="008C416D">
      <w:pPr>
        <w:spacing w:line="360" w:lineRule="auto"/>
        <w:jc w:val="both"/>
        <w:rPr>
          <w:rFonts w:ascii="Arial" w:hAnsi="Arial" w:cs="Arial"/>
          <w:b/>
          <w:bCs/>
        </w:rPr>
      </w:pPr>
      <w:r w:rsidRPr="008C416D">
        <w:rPr>
          <w:rFonts w:ascii="Arial" w:hAnsi="Arial" w:cs="Arial"/>
          <w:b/>
          <w:bCs/>
        </w:rPr>
        <w:t>4.7 Marketing and Consumer Engagement</w:t>
      </w:r>
    </w:p>
    <w:p w14:paraId="0AEE8403" w14:textId="77777777" w:rsidR="00D4063F" w:rsidRPr="00D4063F" w:rsidRDefault="00D4063F" w:rsidP="00D4063F">
      <w:pPr>
        <w:spacing w:line="360" w:lineRule="auto"/>
        <w:jc w:val="both"/>
        <w:rPr>
          <w:rFonts w:ascii="Arial" w:hAnsi="Arial" w:cs="Arial"/>
        </w:rPr>
      </w:pPr>
      <w:r w:rsidRPr="00D4063F">
        <w:rPr>
          <w:rFonts w:ascii="Arial" w:hAnsi="Arial" w:cs="Arial"/>
        </w:rPr>
        <w:lastRenderedPageBreak/>
        <w:t>Cultural differences significantly influence branding and promotional strategies, and these must be carefully considered when Alibaba enters Brazil. Brazilian consumers tend to value vibrant, personalised, and socially engaging marketing, which contrasts with Alibaba’s traditional data-driven, efficiency-focused marketing approach in China. To effectively connect with Brazilian audiences, campaigns should leverage popular social media platforms such as Instagram, TikTok, and WhatsApp, integrating influencer partnerships that resonate with local culture and trends. Marketing messages must reflect culturally relevant themes, emphasising both individual choice and collective engagement, as Brazilians respond positively to social narratives and emotionally appealing storytelling.</w:t>
      </w:r>
    </w:p>
    <w:p w14:paraId="64D9E93A" w14:textId="7F357453" w:rsidR="00D4063F" w:rsidRDefault="00D4063F" w:rsidP="00D4063F">
      <w:pPr>
        <w:spacing w:line="360" w:lineRule="auto"/>
        <w:jc w:val="both"/>
        <w:rPr>
          <w:rFonts w:ascii="Arial" w:hAnsi="Arial" w:cs="Arial"/>
        </w:rPr>
      </w:pPr>
      <w:r w:rsidRPr="00D4063F">
        <w:rPr>
          <w:rFonts w:ascii="Arial" w:hAnsi="Arial" w:cs="Arial"/>
        </w:rPr>
        <w:t xml:space="preserve"> localisation of user interfaces is critical. Alibaba’s platforms, including AliExpress and Lazada, should incorporate Brazilian Portuguese language options, culturally familiar icons, imagery, and layouts that align with consumer expectations. Understanding local shopping habits, preferred payment methods, and digital behaviour will enhance usability and encourage customer retention. Customised promotions, gamified experiences, and loyalty programmes adapted to local preferences can further strengthen brand engagement. By aligning marketing and interface strategies with Brazil’s cultural context, Alibaba can build trust, increase adoption rates, and foster long-term loyalty, ensuring that its global brand resonates meaningfully within the local market.</w:t>
      </w:r>
    </w:p>
    <w:p w14:paraId="5085B581" w14:textId="248D8953" w:rsidR="00295766" w:rsidRPr="008C416D" w:rsidRDefault="00295766" w:rsidP="008C416D">
      <w:pPr>
        <w:spacing w:line="360" w:lineRule="auto"/>
        <w:jc w:val="both"/>
        <w:rPr>
          <w:rFonts w:ascii="Arial" w:hAnsi="Arial" w:cs="Arial"/>
          <w:b/>
          <w:bCs/>
        </w:rPr>
      </w:pPr>
      <w:r w:rsidRPr="008C416D">
        <w:rPr>
          <w:rFonts w:ascii="Arial" w:hAnsi="Arial" w:cs="Arial"/>
          <w:b/>
          <w:bCs/>
        </w:rPr>
        <w:t>4.8 Potential Risks and Challenges</w:t>
      </w:r>
    </w:p>
    <w:p w14:paraId="3A761977" w14:textId="0FBF6716" w:rsidR="00295766" w:rsidRPr="008C416D" w:rsidRDefault="00295766" w:rsidP="008C416D">
      <w:pPr>
        <w:spacing w:line="360" w:lineRule="auto"/>
        <w:jc w:val="both"/>
        <w:rPr>
          <w:rFonts w:ascii="Arial" w:hAnsi="Arial" w:cs="Arial"/>
        </w:rPr>
      </w:pPr>
      <w:r w:rsidRPr="008C416D">
        <w:rPr>
          <w:rFonts w:ascii="Arial" w:hAnsi="Arial" w:cs="Arial"/>
        </w:rPr>
        <w:t>Cultural misalignment poses several risks for Alibaba in Brazil. First, ignoring local relational norms may hinder partnership formation and slow market entry. Second, standardised operational practices without local adaptation could compromise user experience and reduce trust. Third, failure to tailor communication, marketing, or customer service to Brazilian expectations could result in low engagement and competitive disadvantage</w:t>
      </w:r>
      <w:sdt>
        <w:sdtPr>
          <w:rPr>
            <w:rFonts w:ascii="Arial" w:hAnsi="Arial" w:cs="Arial"/>
          </w:rPr>
          <w:id w:val="83733280"/>
          <w:citation/>
        </w:sdtPr>
        <w:sdtContent>
          <w:r w:rsidR="00600ACA">
            <w:rPr>
              <w:rFonts w:ascii="Arial" w:hAnsi="Arial" w:cs="Arial"/>
            </w:rPr>
            <w:fldChar w:fldCharType="begin"/>
          </w:r>
          <w:r w:rsidR="00600ACA">
            <w:rPr>
              <w:rFonts w:ascii="Arial" w:hAnsi="Arial" w:cs="Arial"/>
              <w:lang w:val="en-US"/>
            </w:rPr>
            <w:instrText xml:space="preserve"> CITATION Yin241 \l 1033 </w:instrText>
          </w:r>
          <w:r w:rsidR="00600ACA">
            <w:rPr>
              <w:rFonts w:ascii="Arial" w:hAnsi="Arial" w:cs="Arial"/>
            </w:rPr>
            <w:fldChar w:fldCharType="separate"/>
          </w:r>
          <w:r w:rsidR="00600ACA">
            <w:rPr>
              <w:rFonts w:ascii="Arial" w:hAnsi="Arial" w:cs="Arial"/>
              <w:noProof/>
              <w:lang w:val="en-US"/>
            </w:rPr>
            <w:t xml:space="preserve"> </w:t>
          </w:r>
          <w:r w:rsidR="00600ACA" w:rsidRPr="00600ACA">
            <w:rPr>
              <w:rFonts w:ascii="Arial" w:hAnsi="Arial" w:cs="Arial"/>
              <w:noProof/>
              <w:lang w:val="en-US"/>
            </w:rPr>
            <w:t>(Ying et al, The Role of Market Segmentation and the Impact on Alibaba Company Online Business, 2024)</w:t>
          </w:r>
          <w:r w:rsidR="00600ACA">
            <w:rPr>
              <w:rFonts w:ascii="Arial" w:hAnsi="Arial" w:cs="Arial"/>
            </w:rPr>
            <w:fldChar w:fldCharType="end"/>
          </w:r>
        </w:sdtContent>
      </w:sdt>
      <w:r w:rsidRPr="008C416D">
        <w:rPr>
          <w:rFonts w:ascii="Arial" w:hAnsi="Arial" w:cs="Arial"/>
        </w:rPr>
        <w:t>.</w:t>
      </w:r>
    </w:p>
    <w:p w14:paraId="3EFF3380" w14:textId="77777777" w:rsidR="00295766" w:rsidRPr="008C416D" w:rsidRDefault="00295766" w:rsidP="008C416D">
      <w:pPr>
        <w:spacing w:line="360" w:lineRule="auto"/>
        <w:jc w:val="both"/>
        <w:rPr>
          <w:rFonts w:ascii="Arial" w:hAnsi="Arial" w:cs="Arial"/>
          <w:b/>
          <w:bCs/>
        </w:rPr>
      </w:pPr>
      <w:r w:rsidRPr="008C416D">
        <w:rPr>
          <w:rFonts w:ascii="Arial" w:hAnsi="Arial" w:cs="Arial"/>
          <w:b/>
          <w:bCs/>
        </w:rPr>
        <w:t>4.9 Recommendations for Cultural Adaptation</w:t>
      </w:r>
    </w:p>
    <w:p w14:paraId="346E6798" w14:textId="77777777" w:rsidR="00295766" w:rsidRPr="008C416D" w:rsidRDefault="00295766" w:rsidP="008C416D">
      <w:pPr>
        <w:pStyle w:val="ListParagraph"/>
        <w:numPr>
          <w:ilvl w:val="0"/>
          <w:numId w:val="6"/>
        </w:numPr>
        <w:spacing w:line="360" w:lineRule="auto"/>
        <w:jc w:val="both"/>
        <w:rPr>
          <w:rFonts w:ascii="Arial" w:hAnsi="Arial" w:cs="Arial"/>
        </w:rPr>
      </w:pPr>
      <w:r w:rsidRPr="008C416D">
        <w:rPr>
          <w:rFonts w:ascii="Arial" w:hAnsi="Arial" w:cs="Arial"/>
        </w:rPr>
        <w:t>Invest in local management talent: Hiring Brazilian executives with knowledge of cultural norms and consumer behaviour can facilitate smoother operations and negotiations.</w:t>
      </w:r>
    </w:p>
    <w:p w14:paraId="33FD1B47" w14:textId="77777777" w:rsidR="00295766" w:rsidRPr="008C416D" w:rsidRDefault="00295766" w:rsidP="008C416D">
      <w:pPr>
        <w:pStyle w:val="ListParagraph"/>
        <w:numPr>
          <w:ilvl w:val="0"/>
          <w:numId w:val="6"/>
        </w:numPr>
        <w:spacing w:line="360" w:lineRule="auto"/>
        <w:jc w:val="both"/>
        <w:rPr>
          <w:rFonts w:ascii="Arial" w:hAnsi="Arial" w:cs="Arial"/>
        </w:rPr>
      </w:pPr>
      <w:r w:rsidRPr="008C416D">
        <w:rPr>
          <w:rFonts w:ascii="Arial" w:hAnsi="Arial" w:cs="Arial"/>
        </w:rPr>
        <w:lastRenderedPageBreak/>
        <w:t>Adapt e-commerce platforms: Tailoring website design, payment systems, and promotional campaigns to reflect Brazilian preferences enhances usability and trust.</w:t>
      </w:r>
    </w:p>
    <w:p w14:paraId="0D9A425C" w14:textId="77777777" w:rsidR="00295766" w:rsidRPr="008C416D" w:rsidRDefault="00295766" w:rsidP="008C416D">
      <w:pPr>
        <w:pStyle w:val="ListParagraph"/>
        <w:numPr>
          <w:ilvl w:val="0"/>
          <w:numId w:val="6"/>
        </w:numPr>
        <w:spacing w:line="360" w:lineRule="auto"/>
        <w:jc w:val="both"/>
        <w:rPr>
          <w:rFonts w:ascii="Arial" w:hAnsi="Arial" w:cs="Arial"/>
        </w:rPr>
      </w:pPr>
      <w:r w:rsidRPr="008C416D">
        <w:rPr>
          <w:rFonts w:ascii="Arial" w:hAnsi="Arial" w:cs="Arial"/>
        </w:rPr>
        <w:t>Foster relationship-based partnerships: Prioritising joint ventures, strategic alliances, and collaborative logistics arrangements ensures smoother market integration and risk sharing.</w:t>
      </w:r>
    </w:p>
    <w:p w14:paraId="370F5251" w14:textId="5A3FF4E2" w:rsidR="00295766" w:rsidRPr="008C416D" w:rsidRDefault="00295766" w:rsidP="009C2D18">
      <w:pPr>
        <w:pStyle w:val="ListParagraph"/>
        <w:spacing w:line="360" w:lineRule="auto"/>
        <w:jc w:val="both"/>
        <w:rPr>
          <w:rFonts w:ascii="Arial" w:hAnsi="Arial" w:cs="Arial"/>
        </w:rPr>
      </w:pPr>
      <w:r w:rsidRPr="008C416D">
        <w:rPr>
          <w:rFonts w:ascii="Arial" w:hAnsi="Arial" w:cs="Arial"/>
        </w:rPr>
        <w:t>.</w:t>
      </w:r>
    </w:p>
    <w:p w14:paraId="2920DC46" w14:textId="77777777" w:rsidR="00FA1420" w:rsidRPr="00E02386" w:rsidRDefault="00FA1420" w:rsidP="00E02386">
      <w:pPr>
        <w:pStyle w:val="Heading1"/>
        <w:spacing w:line="360" w:lineRule="auto"/>
        <w:jc w:val="both"/>
        <w:rPr>
          <w:rFonts w:ascii="Arial" w:hAnsi="Arial" w:cs="Arial"/>
          <w:b/>
          <w:bCs/>
          <w:color w:val="auto"/>
          <w:sz w:val="24"/>
          <w:szCs w:val="24"/>
        </w:rPr>
      </w:pPr>
      <w:bookmarkStart w:id="4" w:name="_Toc216539853"/>
      <w:r w:rsidRPr="00E02386">
        <w:rPr>
          <w:rFonts w:ascii="Arial" w:hAnsi="Arial" w:cs="Arial"/>
          <w:b/>
          <w:bCs/>
          <w:color w:val="auto"/>
          <w:sz w:val="24"/>
          <w:szCs w:val="24"/>
        </w:rPr>
        <w:t>5. Recommended Adjustments to Alibaba’s Standard Operating Procedures (SOPs) for Brazil</w:t>
      </w:r>
      <w:bookmarkEnd w:id="4"/>
    </w:p>
    <w:p w14:paraId="6E92097F" w14:textId="7E5EAC39" w:rsidR="00D4063F" w:rsidRPr="00D4063F" w:rsidRDefault="00D4063F" w:rsidP="00D4063F">
      <w:pPr>
        <w:spacing w:line="360" w:lineRule="auto"/>
        <w:jc w:val="both"/>
        <w:rPr>
          <w:rFonts w:ascii="Arial" w:hAnsi="Arial" w:cs="Arial"/>
        </w:rPr>
      </w:pPr>
      <w:r w:rsidRPr="00D4063F">
        <w:rPr>
          <w:rFonts w:ascii="Arial" w:hAnsi="Arial" w:cs="Arial"/>
        </w:rPr>
        <w:t>Entering an emerging economy such as Brazil requires Alibaba to make significant adjustments to its Standard Operating Procedures (SOPs) to align with the country’s unique cultural norms, regulatory frameworks, and operational environment. These adaptations are crucial for maintaining operational efficiency, ensuring compliance with complex local regulations, enhancing consumer satisfaction, and supporting Alibaba’s broader international strategic objectives. Brazil’s geographical diversity, infrastructural limitations, and regulatory intricacies mean that standard SOPs used in China or other markets cannot be directly applied without modification. Additionally, cultural differences, including communication styles, consumer behaviour, and workplace expectations, necessitate customised approaches across multiple business functions. Drawing on insights from the OLI framework and cultural analysis, three primary areas emerge for SOP adaptation. First, operational logistics and supply chain management must be localised to address regional delivery challenges and infrastructure gaps. Second, digital platform operations, including payment systems and e-commerce interfaces, need localisation to accommodate Brazilian consumer preferences, popular payment methods, and language requirements. Third, human resource management and organisational processes require cultural sensitivity, adaptive governance, and participative management practices to effectively engage local talent and ensure smooth operations. These strategic SOP adjustments are essential for Alibaba to successfully establish a sustainable and competitive presence in the Brazilian market.</w:t>
      </w:r>
    </w:p>
    <w:p w14:paraId="18D19578" w14:textId="7D890932" w:rsidR="00FA1420" w:rsidRPr="008C416D" w:rsidRDefault="00000000" w:rsidP="008C416D">
      <w:pPr>
        <w:spacing w:line="360" w:lineRule="auto"/>
        <w:jc w:val="both"/>
        <w:rPr>
          <w:rFonts w:ascii="Arial" w:hAnsi="Arial" w:cs="Arial"/>
        </w:rPr>
      </w:pPr>
      <w:sdt>
        <w:sdtPr>
          <w:rPr>
            <w:rFonts w:ascii="Arial" w:hAnsi="Arial" w:cs="Arial"/>
          </w:rPr>
          <w:id w:val="1948038950"/>
          <w:citation/>
        </w:sdtPr>
        <w:sdtContent>
          <w:r w:rsidR="00801156">
            <w:rPr>
              <w:rFonts w:ascii="Arial" w:hAnsi="Arial" w:cs="Arial"/>
            </w:rPr>
            <w:fldChar w:fldCharType="begin"/>
          </w:r>
          <w:r w:rsidR="00801156">
            <w:rPr>
              <w:rFonts w:ascii="Arial" w:hAnsi="Arial" w:cs="Arial"/>
              <w:lang w:val="en-US"/>
            </w:rPr>
            <w:instrText xml:space="preserve"> CITATION Dam23 \l 1033 </w:instrText>
          </w:r>
          <w:r w:rsidR="00801156">
            <w:rPr>
              <w:rFonts w:ascii="Arial" w:hAnsi="Arial" w:cs="Arial"/>
            </w:rPr>
            <w:fldChar w:fldCharType="separate"/>
          </w:r>
          <w:r w:rsidR="00801156">
            <w:rPr>
              <w:rFonts w:ascii="Arial" w:hAnsi="Arial" w:cs="Arial"/>
              <w:noProof/>
              <w:lang w:val="en-US"/>
            </w:rPr>
            <w:t xml:space="preserve"> </w:t>
          </w:r>
          <w:r w:rsidR="00801156" w:rsidRPr="00801156">
            <w:rPr>
              <w:rFonts w:ascii="Arial" w:hAnsi="Arial" w:cs="Arial"/>
              <w:noProof/>
              <w:lang w:val="en-US"/>
            </w:rPr>
            <w:t>(Dameri et al, 2023)</w:t>
          </w:r>
          <w:r w:rsidR="00801156">
            <w:rPr>
              <w:rFonts w:ascii="Arial" w:hAnsi="Arial" w:cs="Arial"/>
            </w:rPr>
            <w:fldChar w:fldCharType="end"/>
          </w:r>
        </w:sdtContent>
      </w:sdt>
      <w:r w:rsidR="00FA1420" w:rsidRPr="008C416D">
        <w:rPr>
          <w:rFonts w:ascii="Arial" w:hAnsi="Arial" w:cs="Arial"/>
        </w:rPr>
        <w:t>.</w:t>
      </w:r>
    </w:p>
    <w:p w14:paraId="65F7919F" w14:textId="77777777" w:rsidR="00FA1420" w:rsidRPr="008C416D" w:rsidRDefault="00FA1420" w:rsidP="008C416D">
      <w:pPr>
        <w:spacing w:line="360" w:lineRule="auto"/>
        <w:jc w:val="both"/>
        <w:rPr>
          <w:rFonts w:ascii="Arial" w:hAnsi="Arial" w:cs="Arial"/>
          <w:b/>
          <w:bCs/>
        </w:rPr>
      </w:pPr>
      <w:r w:rsidRPr="008C416D">
        <w:rPr>
          <w:rFonts w:ascii="Arial" w:hAnsi="Arial" w:cs="Arial"/>
          <w:b/>
          <w:bCs/>
        </w:rPr>
        <w:t>5.1 Operational Logistics and Supply Chain Adjustments</w:t>
      </w:r>
    </w:p>
    <w:p w14:paraId="3DA2E31C" w14:textId="5560048D" w:rsidR="009C2D18" w:rsidRPr="009C2D18" w:rsidRDefault="009C2D18" w:rsidP="009C2D18">
      <w:pPr>
        <w:spacing w:line="360" w:lineRule="auto"/>
        <w:jc w:val="both"/>
        <w:rPr>
          <w:rFonts w:ascii="Arial" w:hAnsi="Arial" w:cs="Arial"/>
        </w:rPr>
      </w:pPr>
      <w:r w:rsidRPr="009C2D18">
        <w:rPr>
          <w:rFonts w:ascii="Arial" w:hAnsi="Arial" w:cs="Arial"/>
        </w:rPr>
        <w:lastRenderedPageBreak/>
        <w:t>Brazil’s geography, infrastructure limitations, and complex logistics system create substantial challenges for Alibaba’s existing SOPs. Unlike China’s dense and highly efficient delivery networks, Brazil features long distances between major cities, uneven road quality, and significant regional variation in service coverage. To address this, Alibaba must adopt a decentralised warehousing structure, establishing multiple regional fulfilment centres in key hubs such as São Paulo, Rio de Janeiro, and Porto Alegre. This will shorten delivery times and support demand-driven inventory allocation using predictive analytics. Strong coordination between national and regional warehouses will be required to prevent stockouts, supported by performance metrics to evaluate logistics partners</w:t>
      </w:r>
      <w:sdt>
        <w:sdtPr>
          <w:rPr>
            <w:rFonts w:ascii="Arial" w:hAnsi="Arial" w:cs="Arial"/>
          </w:rPr>
          <w:id w:val="-2130306518"/>
          <w:citation/>
        </w:sdtPr>
        <w:sdtContent>
          <w:r>
            <w:rPr>
              <w:rFonts w:ascii="Arial" w:hAnsi="Arial" w:cs="Arial"/>
            </w:rPr>
            <w:fldChar w:fldCharType="begin"/>
          </w:r>
          <w:r>
            <w:rPr>
              <w:rFonts w:ascii="Arial" w:hAnsi="Arial" w:cs="Arial"/>
              <w:lang w:val="en-US"/>
            </w:rPr>
            <w:instrText xml:space="preserve"> CITATION Sch \l 1033 </w:instrText>
          </w:r>
          <w:r>
            <w:rPr>
              <w:rFonts w:ascii="Arial" w:hAnsi="Arial" w:cs="Arial"/>
            </w:rPr>
            <w:fldChar w:fldCharType="separate"/>
          </w:r>
          <w:r>
            <w:rPr>
              <w:rFonts w:ascii="Arial" w:hAnsi="Arial" w:cs="Arial"/>
              <w:noProof/>
              <w:lang w:val="en-US"/>
            </w:rPr>
            <w:t xml:space="preserve"> </w:t>
          </w:r>
          <w:r w:rsidRPr="009C2D18">
            <w:rPr>
              <w:rFonts w:ascii="Arial" w:hAnsi="Arial" w:cs="Arial"/>
              <w:noProof/>
              <w:lang w:val="en-US"/>
            </w:rPr>
            <w:t>(Schönsleben P. )</w:t>
          </w:r>
          <w:r>
            <w:rPr>
              <w:rFonts w:ascii="Arial" w:hAnsi="Arial" w:cs="Arial"/>
            </w:rPr>
            <w:fldChar w:fldCharType="end"/>
          </w:r>
        </w:sdtContent>
      </w:sdt>
      <w:r>
        <w:rPr>
          <w:rFonts w:ascii="Arial" w:hAnsi="Arial" w:cs="Arial"/>
        </w:rPr>
        <w:t>.</w:t>
      </w:r>
    </w:p>
    <w:p w14:paraId="457949FA" w14:textId="7A7C4787" w:rsidR="009C2D18" w:rsidRDefault="009C2D18" w:rsidP="009C2D18">
      <w:pPr>
        <w:spacing w:line="360" w:lineRule="auto"/>
        <w:jc w:val="both"/>
        <w:rPr>
          <w:rFonts w:ascii="Arial" w:hAnsi="Arial" w:cs="Arial"/>
        </w:rPr>
      </w:pPr>
      <w:r w:rsidRPr="009C2D18">
        <w:rPr>
          <w:rFonts w:ascii="Arial" w:hAnsi="Arial" w:cs="Arial"/>
        </w:rPr>
        <w:t>Given Brazil’s difficult last-mile environment, SOPs must incorporate structured partnerships with local logistics providers. This includes defining responsibilities, establishing service-level agreements, and implementing KPIs for delivery speed and accuracy. SOPs must also address Brazil’s complex tax and customs rules by standardising procedures for documentation, import duties, and regulatory updates. Training for local staff on compliance and audit readiness is essential. These adaptations align with OLI location factors by leveraging local expertise while mitigating infrastructural risks.</w:t>
      </w:r>
    </w:p>
    <w:p w14:paraId="0081B93D" w14:textId="0A5DA46B" w:rsidR="00FA1420" w:rsidRPr="008C416D" w:rsidRDefault="00FA1420" w:rsidP="008C416D">
      <w:pPr>
        <w:spacing w:line="360" w:lineRule="auto"/>
        <w:jc w:val="both"/>
        <w:rPr>
          <w:rFonts w:ascii="Arial" w:hAnsi="Arial" w:cs="Arial"/>
          <w:b/>
          <w:bCs/>
        </w:rPr>
      </w:pPr>
      <w:r w:rsidRPr="008C416D">
        <w:rPr>
          <w:rFonts w:ascii="Arial" w:hAnsi="Arial" w:cs="Arial"/>
          <w:b/>
          <w:bCs/>
        </w:rPr>
        <w:t>5.2 Digital Platform Operations and Payment System Adjustments</w:t>
      </w:r>
    </w:p>
    <w:p w14:paraId="4A657290" w14:textId="7896CC7D" w:rsidR="00FA1420" w:rsidRPr="008C416D" w:rsidRDefault="00FA1420" w:rsidP="008C416D">
      <w:pPr>
        <w:spacing w:line="360" w:lineRule="auto"/>
        <w:jc w:val="both"/>
        <w:rPr>
          <w:rFonts w:ascii="Arial" w:hAnsi="Arial" w:cs="Arial"/>
        </w:rPr>
      </w:pPr>
      <w:r w:rsidRPr="008C416D">
        <w:rPr>
          <w:rFonts w:ascii="Arial" w:hAnsi="Arial" w:cs="Arial"/>
        </w:rPr>
        <w:t xml:space="preserve">Alibaba’s competitive advantage lies in its sophisticated digital ecosystem, which includes AI-driven e-commerce platforms, cloud computing, and digital finance. However, the direct application of Chinese SOPs may not fully accommodate Brazilian consumer behaviour, financial practices, or regulatory requirements. Brazilian consumers use a variety of payment options, including credit cards, </w:t>
      </w:r>
      <w:proofErr w:type="spellStart"/>
      <w:r w:rsidRPr="008C416D">
        <w:rPr>
          <w:rFonts w:ascii="Arial" w:hAnsi="Arial" w:cs="Arial"/>
        </w:rPr>
        <w:t>boleto</w:t>
      </w:r>
      <w:proofErr w:type="spellEnd"/>
      <w:r w:rsidRPr="008C416D">
        <w:rPr>
          <w:rFonts w:ascii="Arial" w:hAnsi="Arial" w:cs="Arial"/>
        </w:rPr>
        <w:t xml:space="preserve"> </w:t>
      </w:r>
      <w:proofErr w:type="spellStart"/>
      <w:r w:rsidRPr="008C416D">
        <w:rPr>
          <w:rFonts w:ascii="Arial" w:hAnsi="Arial" w:cs="Arial"/>
        </w:rPr>
        <w:t>bancário</w:t>
      </w:r>
      <w:proofErr w:type="spellEnd"/>
      <w:r w:rsidRPr="008C416D">
        <w:rPr>
          <w:rFonts w:ascii="Arial" w:hAnsi="Arial" w:cs="Arial"/>
        </w:rPr>
        <w:t xml:space="preserve">, </w:t>
      </w:r>
      <w:proofErr w:type="spellStart"/>
      <w:r w:rsidRPr="008C416D">
        <w:rPr>
          <w:rFonts w:ascii="Arial" w:hAnsi="Arial" w:cs="Arial"/>
        </w:rPr>
        <w:t>Pix</w:t>
      </w:r>
      <w:proofErr w:type="spellEnd"/>
      <w:r w:rsidRPr="008C416D">
        <w:rPr>
          <w:rFonts w:ascii="Arial" w:hAnsi="Arial" w:cs="Arial"/>
        </w:rPr>
        <w:t xml:space="preserve">, and digital wallets. Alibaba’s SOPs must incorporate the integration of these local payment systems within the AliExpress platform, along with verification protocols to ensure security, reduce fraud, and comply with the LGPD (Lei Geral de </w:t>
      </w:r>
      <w:proofErr w:type="spellStart"/>
      <w:r w:rsidRPr="008C416D">
        <w:rPr>
          <w:rFonts w:ascii="Arial" w:hAnsi="Arial" w:cs="Arial"/>
        </w:rPr>
        <w:t>Proteção</w:t>
      </w:r>
      <w:proofErr w:type="spellEnd"/>
      <w:r w:rsidRPr="008C416D">
        <w:rPr>
          <w:rFonts w:ascii="Arial" w:hAnsi="Arial" w:cs="Arial"/>
        </w:rPr>
        <w:t xml:space="preserve"> de Dados). Customer support procedures for payment disputes or technical issues should also be standardised</w:t>
      </w:r>
      <w:sdt>
        <w:sdtPr>
          <w:rPr>
            <w:rFonts w:ascii="Arial" w:hAnsi="Arial" w:cs="Arial"/>
          </w:rPr>
          <w:id w:val="-653989247"/>
          <w:citation/>
        </w:sdtPr>
        <w:sdtContent>
          <w:r w:rsidR="00302001">
            <w:rPr>
              <w:rFonts w:ascii="Arial" w:hAnsi="Arial" w:cs="Arial"/>
            </w:rPr>
            <w:fldChar w:fldCharType="begin"/>
          </w:r>
          <w:r w:rsidR="00302001">
            <w:rPr>
              <w:rFonts w:ascii="Arial" w:hAnsi="Arial" w:cs="Arial"/>
              <w:lang w:val="en-US"/>
            </w:rPr>
            <w:instrText xml:space="preserve"> CITATION Ban211 \l 1033 </w:instrText>
          </w:r>
          <w:r w:rsidR="00302001">
            <w:rPr>
              <w:rFonts w:ascii="Arial" w:hAnsi="Arial" w:cs="Arial"/>
            </w:rPr>
            <w:fldChar w:fldCharType="separate"/>
          </w:r>
          <w:r w:rsidR="00302001">
            <w:rPr>
              <w:rFonts w:ascii="Arial" w:hAnsi="Arial" w:cs="Arial"/>
              <w:noProof/>
              <w:lang w:val="en-US"/>
            </w:rPr>
            <w:t xml:space="preserve"> </w:t>
          </w:r>
          <w:r w:rsidR="00302001" w:rsidRPr="00302001">
            <w:rPr>
              <w:rFonts w:ascii="Arial" w:hAnsi="Arial" w:cs="Arial"/>
              <w:noProof/>
              <w:lang w:val="en-US"/>
            </w:rPr>
            <w:t>(Bandura et al, 2021)</w:t>
          </w:r>
          <w:r w:rsidR="00302001">
            <w:rPr>
              <w:rFonts w:ascii="Arial" w:hAnsi="Arial" w:cs="Arial"/>
            </w:rPr>
            <w:fldChar w:fldCharType="end"/>
          </w:r>
        </w:sdtContent>
      </w:sdt>
      <w:r w:rsidRPr="008C416D">
        <w:rPr>
          <w:rFonts w:ascii="Arial" w:hAnsi="Arial" w:cs="Arial"/>
        </w:rPr>
        <w:t xml:space="preserve">. Continuous optimisation of the user experience should be incorporated through procedures for A/B testing and UX research. Additionally, cultural analysis indicates that Brazilian consumers value personalised service and relational engagement. SOPs should therefore establish </w:t>
      </w:r>
      <w:r w:rsidRPr="008C416D">
        <w:rPr>
          <w:rFonts w:ascii="Arial" w:hAnsi="Arial" w:cs="Arial"/>
        </w:rPr>
        <w:lastRenderedPageBreak/>
        <w:t>protocols for local customer service teams trained in cultural norms and effective communication, along with procedures for handling complaints, returns, and refunds in accordance with Brazilian consumer protection laws. Performance monitoring should be embedded to maintain Alibaba’s global brand reputation</w:t>
      </w:r>
      <w:sdt>
        <w:sdtPr>
          <w:rPr>
            <w:rFonts w:ascii="Arial" w:hAnsi="Arial" w:cs="Arial"/>
          </w:rPr>
          <w:id w:val="1588812222"/>
          <w:citation/>
        </w:sdtPr>
        <w:sdtContent>
          <w:r w:rsidR="00302001">
            <w:rPr>
              <w:rFonts w:ascii="Arial" w:hAnsi="Arial" w:cs="Arial"/>
            </w:rPr>
            <w:fldChar w:fldCharType="begin"/>
          </w:r>
          <w:r w:rsidR="00302001">
            <w:rPr>
              <w:rFonts w:ascii="Arial" w:hAnsi="Arial" w:cs="Arial"/>
              <w:lang w:val="en-US"/>
            </w:rPr>
            <w:instrText xml:space="preserve"> CITATION Bon211 \l 1033 </w:instrText>
          </w:r>
          <w:r w:rsidR="00302001">
            <w:rPr>
              <w:rFonts w:ascii="Arial" w:hAnsi="Arial" w:cs="Arial"/>
            </w:rPr>
            <w:fldChar w:fldCharType="separate"/>
          </w:r>
          <w:r w:rsidR="00302001">
            <w:rPr>
              <w:rFonts w:ascii="Arial" w:hAnsi="Arial" w:cs="Arial"/>
              <w:noProof/>
              <w:lang w:val="en-US"/>
            </w:rPr>
            <w:t xml:space="preserve"> </w:t>
          </w:r>
          <w:r w:rsidR="00302001" w:rsidRPr="00302001">
            <w:rPr>
              <w:rFonts w:ascii="Arial" w:hAnsi="Arial" w:cs="Arial"/>
              <w:noProof/>
              <w:lang w:val="en-US"/>
            </w:rPr>
            <w:t>(Bonina et al, 2021)</w:t>
          </w:r>
          <w:r w:rsidR="00302001">
            <w:rPr>
              <w:rFonts w:ascii="Arial" w:hAnsi="Arial" w:cs="Arial"/>
            </w:rPr>
            <w:fldChar w:fldCharType="end"/>
          </w:r>
        </w:sdtContent>
      </w:sdt>
      <w:r w:rsidRPr="008C416D">
        <w:rPr>
          <w:rFonts w:ascii="Arial" w:hAnsi="Arial" w:cs="Arial"/>
        </w:rPr>
        <w:t>. These digital and platform-related SOP adjustments reflect both ownership advantages, by safeguarding Alibaba’s proprietary technology, and cultural adaptation, by aligning service and payment processes with local expectations.</w:t>
      </w:r>
    </w:p>
    <w:p w14:paraId="70939802" w14:textId="77777777" w:rsidR="00FA1420" w:rsidRPr="008C416D" w:rsidRDefault="00FA1420" w:rsidP="008C416D">
      <w:pPr>
        <w:spacing w:line="360" w:lineRule="auto"/>
        <w:jc w:val="both"/>
        <w:rPr>
          <w:rFonts w:ascii="Arial" w:hAnsi="Arial" w:cs="Arial"/>
          <w:b/>
          <w:bCs/>
        </w:rPr>
      </w:pPr>
      <w:r w:rsidRPr="008C416D">
        <w:rPr>
          <w:rFonts w:ascii="Arial" w:hAnsi="Arial" w:cs="Arial"/>
          <w:b/>
          <w:bCs/>
        </w:rPr>
        <w:t>5.3 Human Resource Management and Organisational Process Adjustments</w:t>
      </w:r>
    </w:p>
    <w:p w14:paraId="2A64BBD9" w14:textId="0EDA65C1" w:rsidR="00FA1420" w:rsidRPr="008C416D" w:rsidRDefault="00FA1420" w:rsidP="008C416D">
      <w:pPr>
        <w:spacing w:line="360" w:lineRule="auto"/>
        <w:jc w:val="both"/>
        <w:rPr>
          <w:rFonts w:ascii="Arial" w:hAnsi="Arial" w:cs="Arial"/>
        </w:rPr>
      </w:pPr>
      <w:r w:rsidRPr="008C416D">
        <w:rPr>
          <w:rFonts w:ascii="Arial" w:hAnsi="Arial" w:cs="Arial"/>
        </w:rPr>
        <w:t>Successful operations in Brazil also require Alibaba to adapt HR practices and organisational SOPs to reflect cultural, regulatory, and operational realities. China-based SOPs emphasise hierarchical decision-making and centralised authority, whereas Brazilian culture values relational engagement, participative leadership, and flexible problem-solving. SOPs must incorporate local recruitment strategies to attract skilled talent for digital operations, logistics, and customer service. Hiring processes should emphasise both technical expertise and cultural fit, while structured onboarding programs can familiarise new employees with Alibaba’s global standards and local market nuances</w:t>
      </w:r>
      <w:sdt>
        <w:sdtPr>
          <w:rPr>
            <w:rFonts w:ascii="Arial" w:hAnsi="Arial" w:cs="Arial"/>
          </w:rPr>
          <w:id w:val="1023904515"/>
          <w:citation/>
        </w:sdtPr>
        <w:sdtContent>
          <w:r w:rsidR="00302001">
            <w:rPr>
              <w:rFonts w:ascii="Arial" w:hAnsi="Arial" w:cs="Arial"/>
            </w:rPr>
            <w:fldChar w:fldCharType="begin"/>
          </w:r>
          <w:r w:rsidR="00302001">
            <w:rPr>
              <w:rFonts w:ascii="Arial" w:hAnsi="Arial" w:cs="Arial"/>
              <w:lang w:val="en-US"/>
            </w:rPr>
            <w:instrText xml:space="preserve"> CITATION Che221 \l 1033 </w:instrText>
          </w:r>
          <w:r w:rsidR="00302001">
            <w:rPr>
              <w:rFonts w:ascii="Arial" w:hAnsi="Arial" w:cs="Arial"/>
            </w:rPr>
            <w:fldChar w:fldCharType="separate"/>
          </w:r>
          <w:r w:rsidR="00302001">
            <w:rPr>
              <w:rFonts w:ascii="Arial" w:hAnsi="Arial" w:cs="Arial"/>
              <w:noProof/>
              <w:lang w:val="en-US"/>
            </w:rPr>
            <w:t xml:space="preserve"> </w:t>
          </w:r>
          <w:r w:rsidR="00302001" w:rsidRPr="00302001">
            <w:rPr>
              <w:rFonts w:ascii="Arial" w:hAnsi="Arial" w:cs="Arial"/>
              <w:noProof/>
              <w:lang w:val="en-US"/>
            </w:rPr>
            <w:t>(Chelladurai et al, 2022)</w:t>
          </w:r>
          <w:r w:rsidR="00302001">
            <w:rPr>
              <w:rFonts w:ascii="Arial" w:hAnsi="Arial" w:cs="Arial"/>
            </w:rPr>
            <w:fldChar w:fldCharType="end"/>
          </w:r>
        </w:sdtContent>
      </w:sdt>
      <w:r w:rsidRPr="008C416D">
        <w:rPr>
          <w:rFonts w:ascii="Arial" w:hAnsi="Arial" w:cs="Arial"/>
        </w:rPr>
        <w:t>. Performance evaluation systems must balance individual KPIs with team-based outcomes, reflecting Brazilian work culture.</w:t>
      </w:r>
    </w:p>
    <w:p w14:paraId="61CCFBE3" w14:textId="60BF1D00" w:rsidR="00FA1420" w:rsidRPr="008C416D" w:rsidRDefault="00FA1420" w:rsidP="008C416D">
      <w:pPr>
        <w:spacing w:line="360" w:lineRule="auto"/>
        <w:jc w:val="both"/>
        <w:rPr>
          <w:rFonts w:ascii="Arial" w:hAnsi="Arial" w:cs="Arial"/>
        </w:rPr>
      </w:pPr>
      <w:r w:rsidRPr="008C416D">
        <w:rPr>
          <w:rFonts w:ascii="Arial" w:hAnsi="Arial" w:cs="Arial"/>
        </w:rPr>
        <w:t xml:space="preserve">Training and development are equally critical. SOPs should define continuous training programs, including cross-cultural workshops for Chinese and Brazilian employees to foster mutual understanding, technical training on Alibaba’s platform and operational tools, and leadership development for Brazilian managers to empower decision-making while maintaining alignment with global strategies. Organisational governance and decision-making procedures should be adapted to the Brazilian regulatory and business environment. SOPs should detail delegated authority for local managers to handle operational contingencies, define reporting lines and escalation protocols that balance control with local responsiveness, and establish mechanisms to integrate feedback from local teams into strategic planning and operational adjustments. </w:t>
      </w:r>
    </w:p>
    <w:p w14:paraId="5988FF00" w14:textId="77777777" w:rsidR="00FA1420" w:rsidRPr="008C416D" w:rsidRDefault="00FA1420" w:rsidP="008C416D">
      <w:pPr>
        <w:spacing w:line="360" w:lineRule="auto"/>
        <w:jc w:val="both"/>
        <w:rPr>
          <w:rFonts w:ascii="Arial" w:hAnsi="Arial" w:cs="Arial"/>
          <w:b/>
          <w:bCs/>
        </w:rPr>
      </w:pPr>
      <w:r w:rsidRPr="008C416D">
        <w:rPr>
          <w:rFonts w:ascii="Arial" w:hAnsi="Arial" w:cs="Arial"/>
          <w:b/>
          <w:bCs/>
        </w:rPr>
        <w:t>5.4 Marketing and Consumer Engagement Adjustments</w:t>
      </w:r>
    </w:p>
    <w:p w14:paraId="09B5CC36" w14:textId="13F5540F" w:rsidR="00FA1420" w:rsidRPr="008C416D" w:rsidRDefault="00FA1420" w:rsidP="008C416D">
      <w:pPr>
        <w:spacing w:line="360" w:lineRule="auto"/>
        <w:jc w:val="both"/>
        <w:rPr>
          <w:rFonts w:ascii="Arial" w:hAnsi="Arial" w:cs="Arial"/>
        </w:rPr>
      </w:pPr>
      <w:r w:rsidRPr="008C416D">
        <w:rPr>
          <w:rFonts w:ascii="Arial" w:hAnsi="Arial" w:cs="Arial"/>
        </w:rPr>
        <w:t xml:space="preserve">Cultural adaptation extends to marketing SOPs to effectively position Alibaba in Brazil. Procedures should standardise localised digital campaigns on platforms such as Instagram, TikTok, and WhatsApp, encourage influencer partnerships reflecting </w:t>
      </w:r>
      <w:r w:rsidRPr="008C416D">
        <w:rPr>
          <w:rFonts w:ascii="Arial" w:hAnsi="Arial" w:cs="Arial"/>
        </w:rPr>
        <w:lastRenderedPageBreak/>
        <w:t>Brazilian cultural values and trends, and incorporate market research and analytics to track consumer behaviour, preferences, and engagement metrics in real time. Such SOP adjustments ensure that marketing activities are culturally sensitive, compliant with local advertising regulations, and optimally designed to accelerate brand recognition and adoption</w:t>
      </w:r>
      <w:sdt>
        <w:sdtPr>
          <w:rPr>
            <w:rFonts w:ascii="Arial" w:hAnsi="Arial" w:cs="Arial"/>
          </w:rPr>
          <w:id w:val="-1913304317"/>
          <w:citation/>
        </w:sdtPr>
        <w:sdtContent>
          <w:r w:rsidR="00801156">
            <w:rPr>
              <w:rFonts w:ascii="Arial" w:hAnsi="Arial" w:cs="Arial"/>
            </w:rPr>
            <w:fldChar w:fldCharType="begin"/>
          </w:r>
          <w:r w:rsidR="00801156">
            <w:rPr>
              <w:rFonts w:ascii="Arial" w:hAnsi="Arial" w:cs="Arial"/>
              <w:lang w:val="en-US"/>
            </w:rPr>
            <w:instrText xml:space="preserve"> CITATION Bal24 \l 1033 </w:instrText>
          </w:r>
          <w:r w:rsidR="00801156">
            <w:rPr>
              <w:rFonts w:ascii="Arial" w:hAnsi="Arial" w:cs="Arial"/>
            </w:rPr>
            <w:fldChar w:fldCharType="separate"/>
          </w:r>
          <w:r w:rsidR="00801156">
            <w:rPr>
              <w:rFonts w:ascii="Arial" w:hAnsi="Arial" w:cs="Arial"/>
              <w:noProof/>
              <w:lang w:val="en-US"/>
            </w:rPr>
            <w:t xml:space="preserve"> </w:t>
          </w:r>
          <w:r w:rsidR="00801156" w:rsidRPr="00801156">
            <w:rPr>
              <w:rFonts w:ascii="Arial" w:hAnsi="Arial" w:cs="Arial"/>
              <w:noProof/>
              <w:lang w:val="en-US"/>
            </w:rPr>
            <w:t>(Balamurugan, 2024)</w:t>
          </w:r>
          <w:r w:rsidR="00801156">
            <w:rPr>
              <w:rFonts w:ascii="Arial" w:hAnsi="Arial" w:cs="Arial"/>
            </w:rPr>
            <w:fldChar w:fldCharType="end"/>
          </w:r>
        </w:sdtContent>
      </w:sdt>
      <w:r w:rsidRPr="008C416D">
        <w:rPr>
          <w:rFonts w:ascii="Arial" w:hAnsi="Arial" w:cs="Arial"/>
        </w:rPr>
        <w:t>.</w:t>
      </w:r>
    </w:p>
    <w:p w14:paraId="1352D2CF" w14:textId="77777777" w:rsidR="00FA1420" w:rsidRPr="008C416D" w:rsidRDefault="00FA1420" w:rsidP="008C416D">
      <w:pPr>
        <w:spacing w:line="360" w:lineRule="auto"/>
        <w:jc w:val="both"/>
        <w:rPr>
          <w:rFonts w:ascii="Arial" w:hAnsi="Arial" w:cs="Arial"/>
          <w:b/>
          <w:bCs/>
        </w:rPr>
      </w:pPr>
      <w:r w:rsidRPr="008C416D">
        <w:rPr>
          <w:rFonts w:ascii="Arial" w:hAnsi="Arial" w:cs="Arial"/>
          <w:b/>
          <w:bCs/>
        </w:rPr>
        <w:t>5.5 Monitoring, Evaluation, and Continuous Improvement</w:t>
      </w:r>
    </w:p>
    <w:p w14:paraId="757DC31F" w14:textId="201D60CB" w:rsidR="00FA1420" w:rsidRPr="008C416D" w:rsidRDefault="00FA1420" w:rsidP="008C416D">
      <w:pPr>
        <w:spacing w:line="360" w:lineRule="auto"/>
        <w:jc w:val="both"/>
        <w:rPr>
          <w:rFonts w:ascii="Arial" w:hAnsi="Arial" w:cs="Arial"/>
        </w:rPr>
      </w:pPr>
      <w:r w:rsidRPr="008C416D">
        <w:rPr>
          <w:rFonts w:ascii="Arial" w:hAnsi="Arial" w:cs="Arial"/>
        </w:rPr>
        <w:t>To ensure operational success, SOPs must include systematic monitoring and evaluation frameworks. Key performance indicators should track logistics, digital platform usage, customer satisfaction, and financial performance. Periodic audits are necessary to assess compliance with Brazilian regulations and corporate governance standards</w:t>
      </w:r>
      <w:sdt>
        <w:sdtPr>
          <w:rPr>
            <w:rFonts w:ascii="Arial" w:hAnsi="Arial" w:cs="Arial"/>
          </w:rPr>
          <w:id w:val="-635488414"/>
          <w:citation/>
        </w:sdtPr>
        <w:sdtContent>
          <w:r w:rsidR="00801156">
            <w:rPr>
              <w:rFonts w:ascii="Arial" w:hAnsi="Arial" w:cs="Arial"/>
            </w:rPr>
            <w:fldChar w:fldCharType="begin"/>
          </w:r>
          <w:r w:rsidR="00801156">
            <w:rPr>
              <w:rFonts w:ascii="Arial" w:hAnsi="Arial" w:cs="Arial"/>
              <w:lang w:val="en-US"/>
            </w:rPr>
            <w:instrText xml:space="preserve"> CITATION Gro24 \l 1033 </w:instrText>
          </w:r>
          <w:r w:rsidR="00801156">
            <w:rPr>
              <w:rFonts w:ascii="Arial" w:hAnsi="Arial" w:cs="Arial"/>
            </w:rPr>
            <w:fldChar w:fldCharType="separate"/>
          </w:r>
          <w:r w:rsidR="00801156">
            <w:rPr>
              <w:rFonts w:ascii="Arial" w:hAnsi="Arial" w:cs="Arial"/>
              <w:noProof/>
              <w:lang w:val="en-US"/>
            </w:rPr>
            <w:t xml:space="preserve"> </w:t>
          </w:r>
          <w:r w:rsidR="00801156" w:rsidRPr="00801156">
            <w:rPr>
              <w:rFonts w:ascii="Arial" w:hAnsi="Arial" w:cs="Arial"/>
              <w:noProof/>
              <w:lang w:val="en-US"/>
            </w:rPr>
            <w:t>(Grootjans, 2024)</w:t>
          </w:r>
          <w:r w:rsidR="00801156">
            <w:rPr>
              <w:rFonts w:ascii="Arial" w:hAnsi="Arial" w:cs="Arial"/>
            </w:rPr>
            <w:fldChar w:fldCharType="end"/>
          </w:r>
        </w:sdtContent>
      </w:sdt>
      <w:r w:rsidRPr="008C416D">
        <w:rPr>
          <w:rFonts w:ascii="Arial" w:hAnsi="Arial" w:cs="Arial"/>
        </w:rPr>
        <w:t>. Feedback loops should enable continuous refinement of SOPs in response to market changes, technological advancements, or regulatory updates.</w:t>
      </w:r>
    </w:p>
    <w:p w14:paraId="238FC06E" w14:textId="77777777" w:rsidR="00FA1420" w:rsidRPr="008C416D" w:rsidRDefault="00FA1420" w:rsidP="008C416D">
      <w:pPr>
        <w:spacing w:line="360" w:lineRule="auto"/>
        <w:jc w:val="both"/>
        <w:rPr>
          <w:rFonts w:ascii="Arial" w:hAnsi="Arial" w:cs="Arial"/>
          <w:b/>
          <w:bCs/>
        </w:rPr>
      </w:pPr>
      <w:r w:rsidRPr="008C416D">
        <w:rPr>
          <w:rFonts w:ascii="Arial" w:hAnsi="Arial" w:cs="Arial"/>
          <w:b/>
          <w:bCs/>
        </w:rPr>
        <w:t>5.6 Integrating OLI and Cultural Insights into SOPs</w:t>
      </w:r>
    </w:p>
    <w:p w14:paraId="1849569A" w14:textId="77777777" w:rsidR="00FA1420" w:rsidRPr="008C416D" w:rsidRDefault="00FA1420" w:rsidP="008C416D">
      <w:pPr>
        <w:spacing w:line="360" w:lineRule="auto"/>
        <w:jc w:val="both"/>
        <w:rPr>
          <w:rFonts w:ascii="Arial" w:hAnsi="Arial" w:cs="Arial"/>
        </w:rPr>
      </w:pPr>
      <w:r w:rsidRPr="008C416D">
        <w:rPr>
          <w:rFonts w:ascii="Arial" w:hAnsi="Arial" w:cs="Arial"/>
        </w:rPr>
        <w:t>The recommended SOP adjustments integrate insights from OLI and cultural analysis. Ownership advantages are protected by ensuring Alibaba’s proprietary technology, data, and operational processes remain internalised and secure. Location factors are addressed by leveraging local partnerships, logistics infrastructure, and payment systems to overcome Brazil-specific operational challenges. Cultural adaptation is achieved by aligning SOPs with Brazilian consumer preferences, communication styles, and workforce expectations to ensure effective engagement and compliance.</w:t>
      </w:r>
    </w:p>
    <w:p w14:paraId="27318C7A" w14:textId="307700DB" w:rsidR="00FA1420" w:rsidRPr="008C416D" w:rsidRDefault="00FA1420" w:rsidP="008C416D">
      <w:pPr>
        <w:spacing w:line="360" w:lineRule="auto"/>
        <w:jc w:val="both"/>
        <w:rPr>
          <w:rFonts w:ascii="Arial" w:hAnsi="Arial" w:cs="Arial"/>
          <w:b/>
          <w:bCs/>
        </w:rPr>
      </w:pPr>
      <w:r w:rsidRPr="008C416D">
        <w:rPr>
          <w:rFonts w:ascii="Arial" w:hAnsi="Arial" w:cs="Arial"/>
          <w:b/>
          <w:bCs/>
        </w:rPr>
        <w:t>5.7 Key SOP Adjustments</w:t>
      </w:r>
    </w:p>
    <w:p w14:paraId="1A45D71D" w14:textId="29C68244" w:rsidR="00FA1420" w:rsidRPr="008C416D" w:rsidRDefault="00FA1420" w:rsidP="008C416D">
      <w:pPr>
        <w:spacing w:line="360" w:lineRule="auto"/>
        <w:jc w:val="both"/>
        <w:rPr>
          <w:rFonts w:ascii="Arial" w:hAnsi="Arial" w:cs="Arial"/>
        </w:rPr>
      </w:pPr>
      <w:r w:rsidRPr="008C416D">
        <w:rPr>
          <w:rFonts w:ascii="Arial" w:hAnsi="Arial" w:cs="Arial"/>
        </w:rPr>
        <w:t xml:space="preserve"> Alibaba should decentralise warehousing, establish local logistics partnerships, and implement compliance-focused operational procedures. Digital operations and payments require integration of local payment methods, language localisation, and culturally sensitive customer service. Human resource and organisational management should reflect culturally aligned recruitment, training, participative governance, and performance management. Marketing and consumer engagement must prioritise culturally relevant campaigns, influencer partnerships, and real-time market analytics. Monitoring and evaluation should be embedded within SOPs through KPI-based performance tracking, compliance audits, and feedback-driven continuous </w:t>
      </w:r>
      <w:r w:rsidRPr="008C416D">
        <w:rPr>
          <w:rFonts w:ascii="Arial" w:hAnsi="Arial" w:cs="Arial"/>
        </w:rPr>
        <w:lastRenderedPageBreak/>
        <w:t>improvement. These tailored SOP adjustments will enable Alibaba to establish a sustainable presence in Brazil while maintaining global standards and leveraging local operational knowledge.</w:t>
      </w:r>
    </w:p>
    <w:p w14:paraId="44067EC7" w14:textId="3EEC8033" w:rsidR="00FA1420" w:rsidRPr="00E02386" w:rsidRDefault="00FA1420" w:rsidP="00E02386">
      <w:pPr>
        <w:pStyle w:val="Heading1"/>
        <w:spacing w:line="360" w:lineRule="auto"/>
        <w:jc w:val="both"/>
        <w:rPr>
          <w:rFonts w:ascii="Arial" w:hAnsi="Arial" w:cs="Arial"/>
          <w:b/>
          <w:bCs/>
          <w:color w:val="auto"/>
          <w:sz w:val="24"/>
          <w:szCs w:val="24"/>
        </w:rPr>
      </w:pPr>
      <w:bookmarkStart w:id="5" w:name="_Toc216539854"/>
      <w:r w:rsidRPr="00E02386">
        <w:rPr>
          <w:rFonts w:ascii="Arial" w:hAnsi="Arial" w:cs="Arial"/>
          <w:b/>
          <w:bCs/>
          <w:color w:val="auto"/>
          <w:sz w:val="24"/>
          <w:szCs w:val="24"/>
        </w:rPr>
        <w:t>6. Conclusion</w:t>
      </w:r>
      <w:bookmarkEnd w:id="5"/>
      <w:r w:rsidRPr="00E02386">
        <w:rPr>
          <w:rFonts w:ascii="Arial" w:hAnsi="Arial" w:cs="Arial"/>
          <w:b/>
          <w:bCs/>
          <w:color w:val="auto"/>
          <w:sz w:val="24"/>
          <w:szCs w:val="24"/>
        </w:rPr>
        <w:t xml:space="preserve"> </w:t>
      </w:r>
    </w:p>
    <w:p w14:paraId="483A7AD3" w14:textId="77777777" w:rsidR="00FA1420" w:rsidRPr="008C416D" w:rsidRDefault="00FA1420" w:rsidP="008C416D">
      <w:pPr>
        <w:spacing w:line="360" w:lineRule="auto"/>
        <w:jc w:val="both"/>
        <w:rPr>
          <w:rFonts w:ascii="Arial" w:hAnsi="Arial" w:cs="Arial"/>
        </w:rPr>
      </w:pPr>
      <w:r w:rsidRPr="008C416D">
        <w:rPr>
          <w:rFonts w:ascii="Arial" w:hAnsi="Arial" w:cs="Arial"/>
        </w:rPr>
        <w:t>Alibaba’s expansion into Brazil represents a strategic opportunity to leverage its technological expertise, global brand, and financial capabilities in Latin America’s largest emerging economy. The analyses conducted throughout this report demonstrate that successful entry requires a nuanced approach that integrates OLI factors, cultural differences, and local operational realities. Alibaba’s ownership advantages, including its advanced digital platforms, AI-driven analytics, and cloud computing infrastructure, provide strong foundations for market entry. However, Brazil’s complex regulatory environment, logistical challenges, and competitive e-commerce landscape necessitate careful adaptation of entry modes and operational strategies.</w:t>
      </w:r>
    </w:p>
    <w:p w14:paraId="2218C143" w14:textId="00B013F6" w:rsidR="00FA1420" w:rsidRDefault="00FA1420" w:rsidP="008C416D">
      <w:pPr>
        <w:spacing w:line="360" w:lineRule="auto"/>
        <w:jc w:val="both"/>
        <w:rPr>
          <w:rFonts w:ascii="Arial" w:hAnsi="Arial" w:cs="Arial"/>
        </w:rPr>
      </w:pPr>
      <w:r w:rsidRPr="008C416D">
        <w:rPr>
          <w:rFonts w:ascii="Arial" w:hAnsi="Arial" w:cs="Arial"/>
        </w:rPr>
        <w:t>The OLI framework highlights that location advantages in Brazil, such as a large and growing consumer base, must be balanced against infrastructural and regulatory constraints. Internalisation advantages further underscore the importance of controlling proprietary technology, customer data, and platform integrity to maintain Alibaba’s competitive edge. A hybrid entry strategy combining cross-border e-commerce, joint ventures with local logistics partners, and wholly owned subsidiaries for critical digital operations emerges as the most suitable approach. Cultural analysis emphasizes that understanding Brazilian consumer behaviour, communication norms, and workplace expectations is essential for operational success. Accordingly, Alibaba must adjust its Standard Operating Procedures in logistics, digital platform operations, human resource management, and marketing to reflect local practices while retaining global standards.</w:t>
      </w:r>
    </w:p>
    <w:p w14:paraId="60383B1C" w14:textId="77777777" w:rsidR="00E02386" w:rsidRDefault="00E02386" w:rsidP="008C416D">
      <w:pPr>
        <w:spacing w:line="360" w:lineRule="auto"/>
        <w:jc w:val="both"/>
        <w:rPr>
          <w:rFonts w:ascii="Arial" w:hAnsi="Arial" w:cs="Arial"/>
        </w:rPr>
      </w:pPr>
    </w:p>
    <w:p w14:paraId="0F0667C5" w14:textId="77777777" w:rsidR="00E02386" w:rsidRDefault="00E02386" w:rsidP="008C416D">
      <w:pPr>
        <w:spacing w:line="360" w:lineRule="auto"/>
        <w:jc w:val="both"/>
        <w:rPr>
          <w:rFonts w:ascii="Arial" w:hAnsi="Arial" w:cs="Arial"/>
        </w:rPr>
      </w:pPr>
    </w:p>
    <w:p w14:paraId="1CA24F08" w14:textId="77777777" w:rsidR="00E02386" w:rsidRDefault="00E02386" w:rsidP="008C416D">
      <w:pPr>
        <w:spacing w:line="360" w:lineRule="auto"/>
        <w:jc w:val="both"/>
        <w:rPr>
          <w:rFonts w:ascii="Arial" w:hAnsi="Arial" w:cs="Arial"/>
        </w:rPr>
      </w:pPr>
    </w:p>
    <w:p w14:paraId="448CE28B" w14:textId="77777777" w:rsidR="00E02386" w:rsidRDefault="00E02386" w:rsidP="008C416D">
      <w:pPr>
        <w:spacing w:line="360" w:lineRule="auto"/>
        <w:jc w:val="both"/>
        <w:rPr>
          <w:rFonts w:ascii="Arial" w:hAnsi="Arial" w:cs="Arial"/>
        </w:rPr>
      </w:pPr>
    </w:p>
    <w:p w14:paraId="28325989" w14:textId="77777777" w:rsidR="00E02386" w:rsidRPr="00E02386" w:rsidRDefault="00E02386" w:rsidP="00E02386">
      <w:pPr>
        <w:pStyle w:val="Heading1"/>
        <w:spacing w:line="360" w:lineRule="auto"/>
        <w:jc w:val="both"/>
        <w:rPr>
          <w:rFonts w:ascii="Arial" w:hAnsi="Arial" w:cs="Arial"/>
          <w:b/>
          <w:bCs/>
          <w:color w:val="auto"/>
          <w:sz w:val="24"/>
          <w:szCs w:val="24"/>
          <w:lang w:val="en-US"/>
        </w:rPr>
      </w:pPr>
      <w:bookmarkStart w:id="6" w:name="_Toc216539855"/>
      <w:r w:rsidRPr="00E02386">
        <w:rPr>
          <w:rFonts w:ascii="Arial" w:hAnsi="Arial" w:cs="Arial"/>
          <w:b/>
          <w:bCs/>
          <w:color w:val="auto"/>
          <w:sz w:val="24"/>
          <w:szCs w:val="24"/>
          <w:lang w:val="en-US"/>
        </w:rPr>
        <w:lastRenderedPageBreak/>
        <w:t>Reference</w:t>
      </w:r>
      <w:bookmarkEnd w:id="6"/>
      <w:r w:rsidRPr="00E02386">
        <w:rPr>
          <w:rFonts w:ascii="Arial" w:hAnsi="Arial" w:cs="Arial"/>
          <w:b/>
          <w:bCs/>
          <w:color w:val="auto"/>
          <w:sz w:val="24"/>
          <w:szCs w:val="24"/>
          <w:lang w:val="en-US"/>
        </w:rPr>
        <w:t xml:space="preserve"> </w:t>
      </w:r>
    </w:p>
    <w:p w14:paraId="0D7F7898" w14:textId="3380F406"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Al-Adwan, A.S., Al-</w:t>
      </w:r>
      <w:proofErr w:type="spellStart"/>
      <w:r w:rsidRPr="00E02386">
        <w:rPr>
          <w:rFonts w:ascii="Arial" w:hAnsi="Arial" w:cs="Arial"/>
          <w:color w:val="222222"/>
          <w:shd w:val="clear" w:color="auto" w:fill="FFFFFF"/>
        </w:rPr>
        <w:t>Debei</w:t>
      </w:r>
      <w:proofErr w:type="spellEnd"/>
      <w:r w:rsidRPr="00E02386">
        <w:rPr>
          <w:rFonts w:ascii="Arial" w:hAnsi="Arial" w:cs="Arial"/>
          <w:color w:val="222222"/>
          <w:shd w:val="clear" w:color="auto" w:fill="FFFFFF"/>
        </w:rPr>
        <w:t>, M.M. and Dwivedi, Y.K., 2022. E-commerce in high uncertainty avoidance cultures: The driving forces of repurchase and word-of-mouth intentions. </w:t>
      </w:r>
      <w:r w:rsidRPr="00E02386">
        <w:rPr>
          <w:rFonts w:ascii="Arial" w:hAnsi="Arial" w:cs="Arial"/>
          <w:i/>
          <w:iCs/>
          <w:color w:val="222222"/>
          <w:shd w:val="clear" w:color="auto" w:fill="FFFFFF"/>
        </w:rPr>
        <w:t>Technology in Society</w:t>
      </w:r>
      <w:r w:rsidRPr="00E02386">
        <w:rPr>
          <w:rFonts w:ascii="Arial" w:hAnsi="Arial" w:cs="Arial"/>
          <w:color w:val="222222"/>
          <w:shd w:val="clear" w:color="auto" w:fill="FFFFFF"/>
        </w:rPr>
        <w:t>, </w:t>
      </w:r>
      <w:r w:rsidRPr="00E02386">
        <w:rPr>
          <w:rFonts w:ascii="Arial" w:hAnsi="Arial" w:cs="Arial"/>
          <w:i/>
          <w:iCs/>
          <w:color w:val="222222"/>
          <w:shd w:val="clear" w:color="auto" w:fill="FFFFFF"/>
        </w:rPr>
        <w:t>71</w:t>
      </w:r>
      <w:r w:rsidRPr="00E02386">
        <w:rPr>
          <w:rFonts w:ascii="Arial" w:hAnsi="Arial" w:cs="Arial"/>
          <w:color w:val="222222"/>
          <w:shd w:val="clear" w:color="auto" w:fill="FFFFFF"/>
        </w:rPr>
        <w:t>, p.102083.</w:t>
      </w:r>
      <w:r w:rsidRPr="00E02386">
        <w:rPr>
          <w:rFonts w:ascii="Arial" w:hAnsi="Arial" w:cs="Arial"/>
        </w:rPr>
        <w:t xml:space="preserve"> </w:t>
      </w:r>
      <w:hyperlink r:id="rId10" w:history="1">
        <w:r w:rsidRPr="00E02386">
          <w:rPr>
            <w:rStyle w:val="Hyperlink"/>
            <w:rFonts w:ascii="Arial" w:hAnsi="Arial" w:cs="Arial"/>
            <w:shd w:val="clear" w:color="auto" w:fill="FFFFFF"/>
          </w:rPr>
          <w:t>https://www.sciencedirect.com/science/article/pii/S0160791X2200224X</w:t>
        </w:r>
      </w:hyperlink>
    </w:p>
    <w:p w14:paraId="6E4212D8"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Amiraslanov, K.T., ENTRY CONDITIONS FOR TRANSNATIONAL CORPORATIONS IN HOST ECONOMIES: AN ANALYSIS OF THE OLI PARADIGM AND PORTER’S DIAMOND MODEL.</w:t>
      </w:r>
      <w:r w:rsidRPr="00E02386">
        <w:rPr>
          <w:rFonts w:ascii="Arial" w:hAnsi="Arial" w:cs="Arial"/>
        </w:rPr>
        <w:t xml:space="preserve"> </w:t>
      </w:r>
      <w:hyperlink r:id="rId11" w:history="1">
        <w:r w:rsidRPr="00E02386">
          <w:rPr>
            <w:rStyle w:val="Hyperlink"/>
            <w:rFonts w:ascii="Arial" w:hAnsi="Arial" w:cs="Arial"/>
            <w:shd w:val="clear" w:color="auto" w:fill="FFFFFF"/>
          </w:rPr>
          <w:t>https://journal.adau.edu.az/back/uploads/20251030081110ENTRY%20CONDITIONS%20FOR%20TRANSNATIONAL%20CORPORATIONS.pdf</w:t>
        </w:r>
      </w:hyperlink>
    </w:p>
    <w:p w14:paraId="77D9D393"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Balamurugan, M., 2024. AI-driven adaptive content marketing: Automating strategy adjustments for enhanced consumer engagement. </w:t>
      </w:r>
      <w:r w:rsidRPr="00E02386">
        <w:rPr>
          <w:rFonts w:ascii="Arial" w:hAnsi="Arial" w:cs="Arial"/>
          <w:i/>
          <w:iCs/>
          <w:color w:val="222222"/>
          <w:shd w:val="clear" w:color="auto" w:fill="FFFFFF"/>
        </w:rPr>
        <w:t>International Journal For Multidisciplinary Research</w:t>
      </w:r>
      <w:r w:rsidRPr="00E02386">
        <w:rPr>
          <w:rFonts w:ascii="Arial" w:hAnsi="Arial" w:cs="Arial"/>
          <w:color w:val="222222"/>
          <w:shd w:val="clear" w:color="auto" w:fill="FFFFFF"/>
        </w:rPr>
        <w:t>, </w:t>
      </w:r>
      <w:r w:rsidRPr="00E02386">
        <w:rPr>
          <w:rFonts w:ascii="Arial" w:hAnsi="Arial" w:cs="Arial"/>
          <w:i/>
          <w:iCs/>
          <w:color w:val="222222"/>
          <w:shd w:val="clear" w:color="auto" w:fill="FFFFFF"/>
        </w:rPr>
        <w:t>6</w:t>
      </w:r>
      <w:r w:rsidRPr="00E02386">
        <w:rPr>
          <w:rFonts w:ascii="Arial" w:hAnsi="Arial" w:cs="Arial"/>
          <w:color w:val="222222"/>
          <w:shd w:val="clear" w:color="auto" w:fill="FFFFFF"/>
        </w:rPr>
        <w:t>.</w:t>
      </w:r>
      <w:r w:rsidRPr="00E02386">
        <w:rPr>
          <w:rFonts w:ascii="Arial" w:hAnsi="Arial" w:cs="Arial"/>
        </w:rPr>
        <w:t xml:space="preserve"> </w:t>
      </w:r>
      <w:hyperlink r:id="rId12" w:history="1">
        <w:r w:rsidRPr="00E02386">
          <w:rPr>
            <w:rStyle w:val="Hyperlink"/>
            <w:rFonts w:ascii="Arial" w:hAnsi="Arial" w:cs="Arial"/>
            <w:shd w:val="clear" w:color="auto" w:fill="FFFFFF"/>
          </w:rPr>
          <w:t>https://www.researchgate.net/profile/Merlin-Balamurugan/publication/384535778_AI-Driven_Adaptive_Content_Marketing_Automating_Strategy_Adjustments_for_Enhanced_Consumer_Engagement/links/66fca10b553d245f9e478812/AI-Driven-Adaptive-Content-Marketing-Automating-Strategy-Adjustments-for-Enhanced-Consumer-Engagement.pdf</w:t>
        </w:r>
      </w:hyperlink>
    </w:p>
    <w:p w14:paraId="7A96B498"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Bandura, R. and Ramanujam, S.R., 2021. Developing inclusive digital payment systems. </w:t>
      </w:r>
      <w:proofErr w:type="spellStart"/>
      <w:r w:rsidRPr="00E02386">
        <w:rPr>
          <w:rFonts w:ascii="Arial" w:hAnsi="Arial" w:cs="Arial"/>
          <w:i/>
          <w:iCs/>
          <w:color w:val="222222"/>
          <w:shd w:val="clear" w:color="auto" w:fill="FFFFFF"/>
        </w:rPr>
        <w:t>Center</w:t>
      </w:r>
      <w:proofErr w:type="spellEnd"/>
      <w:r w:rsidRPr="00E02386">
        <w:rPr>
          <w:rFonts w:ascii="Arial" w:hAnsi="Arial" w:cs="Arial"/>
          <w:i/>
          <w:iCs/>
          <w:color w:val="222222"/>
          <w:shd w:val="clear" w:color="auto" w:fill="FFFFFF"/>
        </w:rPr>
        <w:t xml:space="preserve"> for Strategic and International Studies</w:t>
      </w:r>
      <w:r w:rsidRPr="00E02386">
        <w:rPr>
          <w:rFonts w:ascii="Arial" w:hAnsi="Arial" w:cs="Arial"/>
          <w:color w:val="222222"/>
          <w:shd w:val="clear" w:color="auto" w:fill="FFFFFF"/>
        </w:rPr>
        <w:t>, </w:t>
      </w:r>
      <w:r w:rsidRPr="00E02386">
        <w:rPr>
          <w:rFonts w:ascii="Arial" w:hAnsi="Arial" w:cs="Arial"/>
          <w:i/>
          <w:iCs/>
          <w:color w:val="222222"/>
          <w:shd w:val="clear" w:color="auto" w:fill="FFFFFF"/>
        </w:rPr>
        <w:t>21</w:t>
      </w:r>
      <w:r w:rsidRPr="00E02386">
        <w:rPr>
          <w:rFonts w:ascii="Arial" w:hAnsi="Arial" w:cs="Arial"/>
          <w:color w:val="222222"/>
          <w:shd w:val="clear" w:color="auto" w:fill="FFFFFF"/>
        </w:rPr>
        <w:t>.</w:t>
      </w:r>
      <w:r w:rsidRPr="00E02386">
        <w:rPr>
          <w:rFonts w:ascii="Arial" w:hAnsi="Arial" w:cs="Arial"/>
        </w:rPr>
        <w:t xml:space="preserve"> </w:t>
      </w:r>
      <w:hyperlink r:id="rId13" w:history="1">
        <w:r w:rsidRPr="00E02386">
          <w:rPr>
            <w:rStyle w:val="Hyperlink"/>
            <w:rFonts w:ascii="Arial" w:hAnsi="Arial" w:cs="Arial"/>
            <w:shd w:val="clear" w:color="auto" w:fill="FFFFFF"/>
          </w:rPr>
          <w:t>https://www.jstor.org/stable/pdf/resrep35090.pdf</w:t>
        </w:r>
      </w:hyperlink>
    </w:p>
    <w:p w14:paraId="029B37B7"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 xml:space="preserve">Bialek, S. and </w:t>
      </w:r>
      <w:proofErr w:type="spellStart"/>
      <w:r w:rsidRPr="00E02386">
        <w:rPr>
          <w:rFonts w:ascii="Arial" w:hAnsi="Arial" w:cs="Arial"/>
          <w:color w:val="222222"/>
          <w:shd w:val="clear" w:color="auto" w:fill="FFFFFF"/>
        </w:rPr>
        <w:t>Weichenrieder</w:t>
      </w:r>
      <w:proofErr w:type="spellEnd"/>
      <w:r w:rsidRPr="00E02386">
        <w:rPr>
          <w:rFonts w:ascii="Arial" w:hAnsi="Arial" w:cs="Arial"/>
          <w:color w:val="222222"/>
          <w:shd w:val="clear" w:color="auto" w:fill="FFFFFF"/>
        </w:rPr>
        <w:t>, A.J., 2021. Do stringent environmental policies deter FDI? M&amp;A versus Greenfield. </w:t>
      </w:r>
      <w:r w:rsidRPr="00E02386">
        <w:rPr>
          <w:rFonts w:ascii="Arial" w:hAnsi="Arial" w:cs="Arial"/>
          <w:i/>
          <w:iCs/>
          <w:color w:val="222222"/>
          <w:shd w:val="clear" w:color="auto" w:fill="FFFFFF"/>
        </w:rPr>
        <w:t>Environmental and resource economics</w:t>
      </w:r>
      <w:r w:rsidRPr="00E02386">
        <w:rPr>
          <w:rFonts w:ascii="Arial" w:hAnsi="Arial" w:cs="Arial"/>
          <w:color w:val="222222"/>
          <w:shd w:val="clear" w:color="auto" w:fill="FFFFFF"/>
        </w:rPr>
        <w:t>, </w:t>
      </w:r>
      <w:r w:rsidRPr="00E02386">
        <w:rPr>
          <w:rFonts w:ascii="Arial" w:hAnsi="Arial" w:cs="Arial"/>
          <w:i/>
          <w:iCs/>
          <w:color w:val="222222"/>
          <w:shd w:val="clear" w:color="auto" w:fill="FFFFFF"/>
        </w:rPr>
        <w:t>80</w:t>
      </w:r>
      <w:r w:rsidRPr="00E02386">
        <w:rPr>
          <w:rFonts w:ascii="Arial" w:hAnsi="Arial" w:cs="Arial"/>
          <w:color w:val="222222"/>
          <w:shd w:val="clear" w:color="auto" w:fill="FFFFFF"/>
        </w:rPr>
        <w:t>(3), pp.603-636.</w:t>
      </w:r>
      <w:r w:rsidRPr="00E02386">
        <w:rPr>
          <w:rFonts w:ascii="Arial" w:hAnsi="Arial" w:cs="Arial"/>
        </w:rPr>
        <w:t xml:space="preserve"> </w:t>
      </w:r>
      <w:hyperlink r:id="rId14" w:history="1">
        <w:r w:rsidRPr="00E02386">
          <w:rPr>
            <w:rStyle w:val="Hyperlink"/>
            <w:rFonts w:ascii="Arial" w:hAnsi="Arial" w:cs="Arial"/>
            <w:shd w:val="clear" w:color="auto" w:fill="FFFFFF"/>
          </w:rPr>
          <w:t>https://link.springer.com/article/10.1007/s10640-021-00600-x</w:t>
        </w:r>
      </w:hyperlink>
    </w:p>
    <w:p w14:paraId="17B50AC6" w14:textId="77777777" w:rsidR="00E02386" w:rsidRPr="00E02386" w:rsidRDefault="00E02386" w:rsidP="00E02386">
      <w:pPr>
        <w:spacing w:line="360" w:lineRule="auto"/>
        <w:jc w:val="both"/>
        <w:rPr>
          <w:rFonts w:ascii="Arial" w:hAnsi="Arial" w:cs="Arial"/>
        </w:rPr>
      </w:pPr>
      <w:r w:rsidRPr="00E02386">
        <w:rPr>
          <w:rFonts w:ascii="Arial" w:hAnsi="Arial" w:cs="Arial"/>
          <w:color w:val="222222"/>
          <w:shd w:val="clear" w:color="auto" w:fill="FFFFFF"/>
        </w:rPr>
        <w:t xml:space="preserve">Bonina, C., Koskinen, K., Eaton, B. and </w:t>
      </w:r>
      <w:proofErr w:type="spellStart"/>
      <w:r w:rsidRPr="00E02386">
        <w:rPr>
          <w:rFonts w:ascii="Arial" w:hAnsi="Arial" w:cs="Arial"/>
          <w:color w:val="222222"/>
          <w:shd w:val="clear" w:color="auto" w:fill="FFFFFF"/>
        </w:rPr>
        <w:t>Gawer</w:t>
      </w:r>
      <w:proofErr w:type="spellEnd"/>
      <w:r w:rsidRPr="00E02386">
        <w:rPr>
          <w:rFonts w:ascii="Arial" w:hAnsi="Arial" w:cs="Arial"/>
          <w:color w:val="222222"/>
          <w:shd w:val="clear" w:color="auto" w:fill="FFFFFF"/>
        </w:rPr>
        <w:t>, A., 2021. Digital platforms for development: Foundations and research agenda. </w:t>
      </w:r>
      <w:r w:rsidRPr="00E02386">
        <w:rPr>
          <w:rFonts w:ascii="Arial" w:hAnsi="Arial" w:cs="Arial"/>
          <w:i/>
          <w:iCs/>
          <w:color w:val="222222"/>
          <w:shd w:val="clear" w:color="auto" w:fill="FFFFFF"/>
        </w:rPr>
        <w:t>Information systems journal</w:t>
      </w:r>
      <w:r w:rsidRPr="00E02386">
        <w:rPr>
          <w:rFonts w:ascii="Arial" w:hAnsi="Arial" w:cs="Arial"/>
          <w:color w:val="222222"/>
          <w:shd w:val="clear" w:color="auto" w:fill="FFFFFF"/>
        </w:rPr>
        <w:t>, </w:t>
      </w:r>
      <w:r w:rsidRPr="00E02386">
        <w:rPr>
          <w:rFonts w:ascii="Arial" w:hAnsi="Arial" w:cs="Arial"/>
          <w:i/>
          <w:iCs/>
          <w:color w:val="222222"/>
          <w:shd w:val="clear" w:color="auto" w:fill="FFFFFF"/>
        </w:rPr>
        <w:t>31</w:t>
      </w:r>
      <w:r w:rsidRPr="00E02386">
        <w:rPr>
          <w:rFonts w:ascii="Arial" w:hAnsi="Arial" w:cs="Arial"/>
          <w:color w:val="222222"/>
          <w:shd w:val="clear" w:color="auto" w:fill="FFFFFF"/>
        </w:rPr>
        <w:t>(6), pp.869-902.</w:t>
      </w:r>
      <w:r w:rsidRPr="00E02386">
        <w:rPr>
          <w:rFonts w:ascii="Arial" w:hAnsi="Arial" w:cs="Arial"/>
        </w:rPr>
        <w:t xml:space="preserve"> </w:t>
      </w:r>
      <w:hyperlink r:id="rId15" w:history="1">
        <w:r w:rsidRPr="00E02386">
          <w:rPr>
            <w:rStyle w:val="Hyperlink"/>
            <w:rFonts w:ascii="Arial" w:hAnsi="Arial" w:cs="Arial"/>
            <w:shd w:val="clear" w:color="auto" w:fill="FFFFFF"/>
          </w:rPr>
          <w:t>https://onlinelibrary.wiley.com/doi/abs/10.1111/isj.12326</w:t>
        </w:r>
      </w:hyperlink>
    </w:p>
    <w:p w14:paraId="176B169E"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 xml:space="preserve">Canedo, E., Cerqueira, A., Gravina, R., Ribeiro, V., Camões, R., Reis, V., Mendonça, F. and Sousa Jr, R., 2021. Proposal of an implementation process for the </w:t>
      </w:r>
      <w:proofErr w:type="spellStart"/>
      <w:r w:rsidRPr="00E02386">
        <w:rPr>
          <w:rFonts w:ascii="Arial" w:hAnsi="Arial" w:cs="Arial"/>
          <w:color w:val="222222"/>
          <w:shd w:val="clear" w:color="auto" w:fill="FFFFFF"/>
        </w:rPr>
        <w:t>brazilian</w:t>
      </w:r>
      <w:proofErr w:type="spellEnd"/>
      <w:r w:rsidRPr="00E02386">
        <w:rPr>
          <w:rFonts w:ascii="Arial" w:hAnsi="Arial" w:cs="Arial"/>
          <w:color w:val="222222"/>
          <w:shd w:val="clear" w:color="auto" w:fill="FFFFFF"/>
        </w:rPr>
        <w:t xml:space="preserve"> general data protection law (LGPD). In </w:t>
      </w:r>
      <w:r w:rsidRPr="00E02386">
        <w:rPr>
          <w:rFonts w:ascii="Arial" w:hAnsi="Arial" w:cs="Arial"/>
          <w:i/>
          <w:iCs/>
          <w:color w:val="222222"/>
          <w:shd w:val="clear" w:color="auto" w:fill="FFFFFF"/>
        </w:rPr>
        <w:t xml:space="preserve">Proceedings of the 23rd International </w:t>
      </w:r>
      <w:r w:rsidRPr="00E02386">
        <w:rPr>
          <w:rFonts w:ascii="Arial" w:hAnsi="Arial" w:cs="Arial"/>
          <w:i/>
          <w:iCs/>
          <w:color w:val="222222"/>
          <w:shd w:val="clear" w:color="auto" w:fill="FFFFFF"/>
        </w:rPr>
        <w:lastRenderedPageBreak/>
        <w:t>Conference on Enterprise Information Systems</w:t>
      </w:r>
      <w:r w:rsidRPr="00E02386">
        <w:rPr>
          <w:rFonts w:ascii="Arial" w:hAnsi="Arial" w:cs="Arial"/>
          <w:color w:val="222222"/>
          <w:shd w:val="clear" w:color="auto" w:fill="FFFFFF"/>
        </w:rPr>
        <w:t>.</w:t>
      </w:r>
      <w:r w:rsidRPr="00E02386">
        <w:rPr>
          <w:rFonts w:ascii="Arial" w:hAnsi="Arial" w:cs="Arial"/>
        </w:rPr>
        <w:t xml:space="preserve"> </w:t>
      </w:r>
      <w:hyperlink r:id="rId16" w:history="1">
        <w:r w:rsidRPr="00E02386">
          <w:rPr>
            <w:rStyle w:val="Hyperlink"/>
            <w:rFonts w:ascii="Arial" w:hAnsi="Arial" w:cs="Arial"/>
            <w:shd w:val="clear" w:color="auto" w:fill="FFFFFF"/>
          </w:rPr>
          <w:t>https://www.academia.edu/download/87247594/103982.pdf</w:t>
        </w:r>
      </w:hyperlink>
    </w:p>
    <w:p w14:paraId="024F56DC"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Chelladurai, P. and Kim, A.C.H., 2022. </w:t>
      </w:r>
      <w:r w:rsidRPr="00E02386">
        <w:rPr>
          <w:rFonts w:ascii="Arial" w:hAnsi="Arial" w:cs="Arial"/>
          <w:i/>
          <w:iCs/>
          <w:color w:val="222222"/>
          <w:shd w:val="clear" w:color="auto" w:fill="FFFFFF"/>
        </w:rPr>
        <w:t>Human resource management in sport and recreation</w:t>
      </w:r>
      <w:r w:rsidRPr="00E02386">
        <w:rPr>
          <w:rFonts w:ascii="Arial" w:hAnsi="Arial" w:cs="Arial"/>
          <w:color w:val="222222"/>
          <w:shd w:val="clear" w:color="auto" w:fill="FFFFFF"/>
        </w:rPr>
        <w:t>. Human kinetics.</w:t>
      </w:r>
      <w:r w:rsidRPr="00E02386">
        <w:rPr>
          <w:rFonts w:ascii="Arial" w:hAnsi="Arial" w:cs="Arial"/>
        </w:rPr>
        <w:t xml:space="preserve"> </w:t>
      </w:r>
      <w:hyperlink r:id="rId17" w:history="1">
        <w:r w:rsidRPr="00E02386">
          <w:rPr>
            <w:rStyle w:val="Hyperlink"/>
            <w:rFonts w:ascii="Arial" w:hAnsi="Arial" w:cs="Arial"/>
            <w:shd w:val="clear" w:color="auto" w:fill="FFFFFF"/>
          </w:rPr>
          <w:t>https://books.google.com/books?hl=en&amp;lr=&amp;id=dydPEAAAQBAJ&amp;oi=fnd&amp;pg=PR1&amp;dq=Human+Resource+Management+and+Organisational+Process+Adjustments&amp;ots=gHPahvrWj0&amp;sig=_rfC8EKP3P33bJpqbSAquo6xepQ</w:t>
        </w:r>
      </w:hyperlink>
    </w:p>
    <w:p w14:paraId="38C3F6E3"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Choi, W.C., Lam, L.C., Cui, E., Chang, C.I. and Jie, F.X., 2025. The Advantages and Challenges of Dual-Class Share Structure: A Case Study of Alibaba IPO.</w:t>
      </w:r>
      <w:r w:rsidRPr="00E02386">
        <w:rPr>
          <w:rFonts w:ascii="Arial" w:hAnsi="Arial" w:cs="Arial"/>
        </w:rPr>
        <w:t xml:space="preserve"> </w:t>
      </w:r>
      <w:hyperlink r:id="rId18" w:history="1">
        <w:r w:rsidRPr="00E02386">
          <w:rPr>
            <w:rStyle w:val="Hyperlink"/>
            <w:rFonts w:ascii="Arial" w:hAnsi="Arial" w:cs="Arial"/>
            <w:shd w:val="clear" w:color="auto" w:fill="FFFFFF"/>
          </w:rPr>
          <w:t>https://www.preprints.org/manuscript/202503.1234</w:t>
        </w:r>
      </w:hyperlink>
    </w:p>
    <w:p w14:paraId="50E32873"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da Silva Lopes, T., Casson, M. and Jones, G., 2019. Organizational innovation in the multinational enterprise: Internalization theory and business history. </w:t>
      </w:r>
      <w:r w:rsidRPr="00E02386">
        <w:rPr>
          <w:rFonts w:ascii="Arial" w:hAnsi="Arial" w:cs="Arial"/>
          <w:i/>
          <w:iCs/>
          <w:color w:val="222222"/>
          <w:shd w:val="clear" w:color="auto" w:fill="FFFFFF"/>
        </w:rPr>
        <w:t>Journal of International Business Studies</w:t>
      </w:r>
      <w:r w:rsidRPr="00E02386">
        <w:rPr>
          <w:rFonts w:ascii="Arial" w:hAnsi="Arial" w:cs="Arial"/>
          <w:color w:val="222222"/>
          <w:shd w:val="clear" w:color="auto" w:fill="FFFFFF"/>
        </w:rPr>
        <w:t>, </w:t>
      </w:r>
      <w:r w:rsidRPr="00E02386">
        <w:rPr>
          <w:rFonts w:ascii="Arial" w:hAnsi="Arial" w:cs="Arial"/>
          <w:i/>
          <w:iCs/>
          <w:color w:val="222222"/>
          <w:shd w:val="clear" w:color="auto" w:fill="FFFFFF"/>
        </w:rPr>
        <w:t>50</w:t>
      </w:r>
      <w:r w:rsidRPr="00E02386">
        <w:rPr>
          <w:rFonts w:ascii="Arial" w:hAnsi="Arial" w:cs="Arial"/>
          <w:color w:val="222222"/>
          <w:shd w:val="clear" w:color="auto" w:fill="FFFFFF"/>
        </w:rPr>
        <w:t>(8), pp.1338-1358.</w:t>
      </w:r>
      <w:r w:rsidRPr="00E02386">
        <w:rPr>
          <w:rFonts w:ascii="Arial" w:hAnsi="Arial" w:cs="Arial"/>
        </w:rPr>
        <w:t xml:space="preserve"> </w:t>
      </w:r>
      <w:hyperlink r:id="rId19" w:history="1">
        <w:r w:rsidRPr="00E02386">
          <w:rPr>
            <w:rStyle w:val="Hyperlink"/>
            <w:rFonts w:ascii="Arial" w:hAnsi="Arial" w:cs="Arial"/>
            <w:shd w:val="clear" w:color="auto" w:fill="FFFFFF"/>
          </w:rPr>
          <w:t>https://link.springer.com/article/10.1057/s41267-018-0156-6</w:t>
        </w:r>
      </w:hyperlink>
    </w:p>
    <w:p w14:paraId="3593A748" w14:textId="77777777" w:rsidR="00E02386" w:rsidRPr="00E02386" w:rsidRDefault="00E02386" w:rsidP="00E02386">
      <w:pPr>
        <w:spacing w:line="360" w:lineRule="auto"/>
        <w:jc w:val="both"/>
        <w:rPr>
          <w:rFonts w:ascii="Arial" w:hAnsi="Arial" w:cs="Arial"/>
          <w:lang w:val="en-US"/>
        </w:rPr>
      </w:pPr>
      <w:proofErr w:type="spellStart"/>
      <w:r w:rsidRPr="00E02386">
        <w:rPr>
          <w:rFonts w:ascii="Arial" w:hAnsi="Arial" w:cs="Arial"/>
          <w:color w:val="222222"/>
          <w:shd w:val="clear" w:color="auto" w:fill="FFFFFF"/>
        </w:rPr>
        <w:t>Dameri</w:t>
      </w:r>
      <w:proofErr w:type="spellEnd"/>
      <w:r w:rsidRPr="00E02386">
        <w:rPr>
          <w:rFonts w:ascii="Arial" w:hAnsi="Arial" w:cs="Arial"/>
          <w:color w:val="222222"/>
          <w:shd w:val="clear" w:color="auto" w:fill="FFFFFF"/>
        </w:rPr>
        <w:t xml:space="preserve">, M., </w:t>
      </w:r>
      <w:proofErr w:type="spellStart"/>
      <w:r w:rsidRPr="00E02386">
        <w:rPr>
          <w:rFonts w:ascii="Arial" w:hAnsi="Arial" w:cs="Arial"/>
          <w:color w:val="222222"/>
          <w:shd w:val="clear" w:color="auto" w:fill="FFFFFF"/>
        </w:rPr>
        <w:t>Cirmena</w:t>
      </w:r>
      <w:proofErr w:type="spellEnd"/>
      <w:r w:rsidRPr="00E02386">
        <w:rPr>
          <w:rFonts w:ascii="Arial" w:hAnsi="Arial" w:cs="Arial"/>
          <w:color w:val="222222"/>
          <w:shd w:val="clear" w:color="auto" w:fill="FFFFFF"/>
        </w:rPr>
        <w:t xml:space="preserve">, G., Ravera, F., Ferrando, L., </w:t>
      </w:r>
      <w:proofErr w:type="spellStart"/>
      <w:r w:rsidRPr="00E02386">
        <w:rPr>
          <w:rFonts w:ascii="Arial" w:hAnsi="Arial" w:cs="Arial"/>
          <w:color w:val="222222"/>
          <w:shd w:val="clear" w:color="auto" w:fill="FFFFFF"/>
        </w:rPr>
        <w:t>Cuccarolo</w:t>
      </w:r>
      <w:proofErr w:type="spellEnd"/>
      <w:r w:rsidRPr="00E02386">
        <w:rPr>
          <w:rFonts w:ascii="Arial" w:hAnsi="Arial" w:cs="Arial"/>
          <w:color w:val="222222"/>
          <w:shd w:val="clear" w:color="auto" w:fill="FFFFFF"/>
        </w:rPr>
        <w:t xml:space="preserve">, P., Stabile, M., Fanelli, G.N., Nuzzo, P.V., Calabrese, M., </w:t>
      </w:r>
      <w:proofErr w:type="spellStart"/>
      <w:r w:rsidRPr="00E02386">
        <w:rPr>
          <w:rFonts w:ascii="Arial" w:hAnsi="Arial" w:cs="Arial"/>
          <w:color w:val="222222"/>
          <w:shd w:val="clear" w:color="auto" w:fill="FFFFFF"/>
        </w:rPr>
        <w:t>Tagliafico</w:t>
      </w:r>
      <w:proofErr w:type="spellEnd"/>
      <w:r w:rsidRPr="00E02386">
        <w:rPr>
          <w:rFonts w:ascii="Arial" w:hAnsi="Arial" w:cs="Arial"/>
          <w:color w:val="222222"/>
          <w:shd w:val="clear" w:color="auto" w:fill="FFFFFF"/>
        </w:rPr>
        <w:t xml:space="preserve">, A. and </w:t>
      </w:r>
      <w:proofErr w:type="spellStart"/>
      <w:r w:rsidRPr="00E02386">
        <w:rPr>
          <w:rFonts w:ascii="Arial" w:hAnsi="Arial" w:cs="Arial"/>
          <w:color w:val="222222"/>
          <w:shd w:val="clear" w:color="auto" w:fill="FFFFFF"/>
        </w:rPr>
        <w:t>Ballestrero</w:t>
      </w:r>
      <w:proofErr w:type="spellEnd"/>
      <w:r w:rsidRPr="00E02386">
        <w:rPr>
          <w:rFonts w:ascii="Arial" w:hAnsi="Arial" w:cs="Arial"/>
          <w:color w:val="222222"/>
          <w:shd w:val="clear" w:color="auto" w:fill="FFFFFF"/>
        </w:rPr>
        <w:t>, A., 2023. Standard Operating Procedures (SOPs) for non-invasive multiple biomarkers detection in an academic setting: A critical review of the literature for the RENOVATE study protocol. </w:t>
      </w:r>
      <w:r w:rsidRPr="00E02386">
        <w:rPr>
          <w:rFonts w:ascii="Arial" w:hAnsi="Arial" w:cs="Arial"/>
          <w:i/>
          <w:iCs/>
          <w:color w:val="222222"/>
          <w:shd w:val="clear" w:color="auto" w:fill="FFFFFF"/>
        </w:rPr>
        <w:t>Critical Reviews in Oncology/</w:t>
      </w:r>
      <w:proofErr w:type="spellStart"/>
      <w:r w:rsidRPr="00E02386">
        <w:rPr>
          <w:rFonts w:ascii="Arial" w:hAnsi="Arial" w:cs="Arial"/>
          <w:i/>
          <w:iCs/>
          <w:color w:val="222222"/>
          <w:shd w:val="clear" w:color="auto" w:fill="FFFFFF"/>
        </w:rPr>
        <w:t>Hematology</w:t>
      </w:r>
      <w:proofErr w:type="spellEnd"/>
      <w:r w:rsidRPr="00E02386">
        <w:rPr>
          <w:rFonts w:ascii="Arial" w:hAnsi="Arial" w:cs="Arial"/>
          <w:color w:val="222222"/>
          <w:shd w:val="clear" w:color="auto" w:fill="FFFFFF"/>
        </w:rPr>
        <w:t>, </w:t>
      </w:r>
      <w:r w:rsidRPr="00E02386">
        <w:rPr>
          <w:rFonts w:ascii="Arial" w:hAnsi="Arial" w:cs="Arial"/>
          <w:i/>
          <w:iCs/>
          <w:color w:val="222222"/>
          <w:shd w:val="clear" w:color="auto" w:fill="FFFFFF"/>
        </w:rPr>
        <w:t>185</w:t>
      </w:r>
      <w:r w:rsidRPr="00E02386">
        <w:rPr>
          <w:rFonts w:ascii="Arial" w:hAnsi="Arial" w:cs="Arial"/>
          <w:color w:val="222222"/>
          <w:shd w:val="clear" w:color="auto" w:fill="FFFFFF"/>
        </w:rPr>
        <w:t>, p.103963.</w:t>
      </w:r>
      <w:r w:rsidRPr="00E02386">
        <w:rPr>
          <w:rFonts w:ascii="Arial" w:hAnsi="Arial" w:cs="Arial"/>
        </w:rPr>
        <w:t xml:space="preserve"> </w:t>
      </w:r>
      <w:hyperlink r:id="rId20" w:history="1">
        <w:r w:rsidRPr="00E02386">
          <w:rPr>
            <w:rStyle w:val="Hyperlink"/>
            <w:rFonts w:ascii="Arial" w:hAnsi="Arial" w:cs="Arial"/>
            <w:shd w:val="clear" w:color="auto" w:fill="FFFFFF"/>
          </w:rPr>
          <w:t>https://www.sciencedirect.com/science/article/pii/S1040842823000513</w:t>
        </w:r>
      </w:hyperlink>
    </w:p>
    <w:p w14:paraId="7C855762"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Fang, Q., Wen, C. and Xu, H., 2024. Long-term oriented culture, performance pressure and corporate innovation: Evidence from China. </w:t>
      </w:r>
      <w:proofErr w:type="spellStart"/>
      <w:r w:rsidRPr="00E02386">
        <w:rPr>
          <w:rFonts w:ascii="Arial" w:hAnsi="Arial" w:cs="Arial"/>
          <w:i/>
          <w:iCs/>
          <w:color w:val="222222"/>
          <w:shd w:val="clear" w:color="auto" w:fill="FFFFFF"/>
        </w:rPr>
        <w:t>Plos</w:t>
      </w:r>
      <w:proofErr w:type="spellEnd"/>
      <w:r w:rsidRPr="00E02386">
        <w:rPr>
          <w:rFonts w:ascii="Arial" w:hAnsi="Arial" w:cs="Arial"/>
          <w:i/>
          <w:iCs/>
          <w:color w:val="222222"/>
          <w:shd w:val="clear" w:color="auto" w:fill="FFFFFF"/>
        </w:rPr>
        <w:t xml:space="preserve"> one</w:t>
      </w:r>
      <w:r w:rsidRPr="00E02386">
        <w:rPr>
          <w:rFonts w:ascii="Arial" w:hAnsi="Arial" w:cs="Arial"/>
          <w:color w:val="222222"/>
          <w:shd w:val="clear" w:color="auto" w:fill="FFFFFF"/>
        </w:rPr>
        <w:t>, </w:t>
      </w:r>
      <w:r w:rsidRPr="00E02386">
        <w:rPr>
          <w:rFonts w:ascii="Arial" w:hAnsi="Arial" w:cs="Arial"/>
          <w:i/>
          <w:iCs/>
          <w:color w:val="222222"/>
          <w:shd w:val="clear" w:color="auto" w:fill="FFFFFF"/>
        </w:rPr>
        <w:t>19</w:t>
      </w:r>
      <w:r w:rsidRPr="00E02386">
        <w:rPr>
          <w:rFonts w:ascii="Arial" w:hAnsi="Arial" w:cs="Arial"/>
          <w:color w:val="222222"/>
          <w:shd w:val="clear" w:color="auto" w:fill="FFFFFF"/>
        </w:rPr>
        <w:t>(5), p.e0302148.</w:t>
      </w:r>
      <w:r w:rsidRPr="00E02386">
        <w:rPr>
          <w:rFonts w:ascii="Arial" w:hAnsi="Arial" w:cs="Arial"/>
        </w:rPr>
        <w:t xml:space="preserve"> </w:t>
      </w:r>
      <w:hyperlink r:id="rId21" w:history="1">
        <w:r w:rsidRPr="00E02386">
          <w:rPr>
            <w:rStyle w:val="Hyperlink"/>
            <w:rFonts w:ascii="Arial" w:hAnsi="Arial" w:cs="Arial"/>
            <w:shd w:val="clear" w:color="auto" w:fill="FFFFFF"/>
          </w:rPr>
          <w:t>https://journals.plos.org/plosone/article?id=10.1371/journal.pone.0302148</w:t>
        </w:r>
      </w:hyperlink>
    </w:p>
    <w:p w14:paraId="22764FD4" w14:textId="77777777" w:rsidR="00E02386" w:rsidRPr="00E02386" w:rsidRDefault="00E02386" w:rsidP="00E02386">
      <w:pPr>
        <w:spacing w:line="360" w:lineRule="auto"/>
        <w:jc w:val="both"/>
        <w:rPr>
          <w:rFonts w:ascii="Arial" w:hAnsi="Arial" w:cs="Arial"/>
          <w:lang w:val="en-US"/>
        </w:rPr>
      </w:pPr>
      <w:proofErr w:type="spellStart"/>
      <w:r w:rsidRPr="00E02386">
        <w:rPr>
          <w:rFonts w:ascii="Arial" w:hAnsi="Arial" w:cs="Arial"/>
          <w:color w:val="222222"/>
          <w:shd w:val="clear" w:color="auto" w:fill="FFFFFF"/>
        </w:rPr>
        <w:t>Granstrand</w:t>
      </w:r>
      <w:proofErr w:type="spellEnd"/>
      <w:r w:rsidRPr="00E02386">
        <w:rPr>
          <w:rFonts w:ascii="Arial" w:hAnsi="Arial" w:cs="Arial"/>
          <w:color w:val="222222"/>
          <w:shd w:val="clear" w:color="auto" w:fill="FFFFFF"/>
        </w:rPr>
        <w:t>, O. and Holgersson, M., 2020. Innovation ecosystems: A conceptual review and a new definition. </w:t>
      </w:r>
      <w:proofErr w:type="spellStart"/>
      <w:r w:rsidRPr="00E02386">
        <w:rPr>
          <w:rFonts w:ascii="Arial" w:hAnsi="Arial" w:cs="Arial"/>
          <w:i/>
          <w:iCs/>
          <w:color w:val="222222"/>
          <w:shd w:val="clear" w:color="auto" w:fill="FFFFFF"/>
        </w:rPr>
        <w:t>Technovation</w:t>
      </w:r>
      <w:proofErr w:type="spellEnd"/>
      <w:r w:rsidRPr="00E02386">
        <w:rPr>
          <w:rFonts w:ascii="Arial" w:hAnsi="Arial" w:cs="Arial"/>
          <w:color w:val="222222"/>
          <w:shd w:val="clear" w:color="auto" w:fill="FFFFFF"/>
        </w:rPr>
        <w:t>, </w:t>
      </w:r>
      <w:r w:rsidRPr="00E02386">
        <w:rPr>
          <w:rFonts w:ascii="Arial" w:hAnsi="Arial" w:cs="Arial"/>
          <w:i/>
          <w:iCs/>
          <w:color w:val="222222"/>
          <w:shd w:val="clear" w:color="auto" w:fill="FFFFFF"/>
        </w:rPr>
        <w:t>90</w:t>
      </w:r>
      <w:r w:rsidRPr="00E02386">
        <w:rPr>
          <w:rFonts w:ascii="Arial" w:hAnsi="Arial" w:cs="Arial"/>
          <w:color w:val="222222"/>
          <w:shd w:val="clear" w:color="auto" w:fill="FFFFFF"/>
        </w:rPr>
        <w:t>, p.102098.</w:t>
      </w:r>
      <w:r w:rsidRPr="00E02386">
        <w:rPr>
          <w:rFonts w:ascii="Arial" w:hAnsi="Arial" w:cs="Arial"/>
        </w:rPr>
        <w:t xml:space="preserve"> </w:t>
      </w:r>
      <w:hyperlink r:id="rId22" w:history="1">
        <w:r w:rsidRPr="00E02386">
          <w:rPr>
            <w:rStyle w:val="Hyperlink"/>
            <w:rFonts w:ascii="Arial" w:hAnsi="Arial" w:cs="Arial"/>
            <w:shd w:val="clear" w:color="auto" w:fill="FFFFFF"/>
          </w:rPr>
          <w:t>https://www.sciencedirect.com/science/article/pii/S0166497218303870</w:t>
        </w:r>
      </w:hyperlink>
    </w:p>
    <w:p w14:paraId="2FE129FE" w14:textId="77777777" w:rsidR="00E02386" w:rsidRPr="00E02386" w:rsidRDefault="00E02386" w:rsidP="00E02386">
      <w:pPr>
        <w:spacing w:line="360" w:lineRule="auto"/>
        <w:jc w:val="both"/>
        <w:rPr>
          <w:rFonts w:ascii="Arial" w:hAnsi="Arial" w:cs="Arial"/>
          <w:lang w:val="en-US"/>
        </w:rPr>
      </w:pPr>
      <w:proofErr w:type="spellStart"/>
      <w:r w:rsidRPr="00E02386">
        <w:rPr>
          <w:rFonts w:ascii="Arial" w:hAnsi="Arial" w:cs="Arial"/>
          <w:color w:val="222222"/>
          <w:shd w:val="clear" w:color="auto" w:fill="FFFFFF"/>
        </w:rPr>
        <w:t>Grøgaard</w:t>
      </w:r>
      <w:proofErr w:type="spellEnd"/>
      <w:r w:rsidRPr="00E02386">
        <w:rPr>
          <w:rFonts w:ascii="Arial" w:hAnsi="Arial" w:cs="Arial"/>
          <w:color w:val="222222"/>
          <w:shd w:val="clear" w:color="auto" w:fill="FFFFFF"/>
        </w:rPr>
        <w:t>, B., Rygh, A. and Benito, G.R., 2019. Bringing corporate governance into internalization theory: State ownership and foreign entry strategies. </w:t>
      </w:r>
      <w:r w:rsidRPr="00E02386">
        <w:rPr>
          <w:rFonts w:ascii="Arial" w:hAnsi="Arial" w:cs="Arial"/>
          <w:i/>
          <w:iCs/>
          <w:color w:val="222222"/>
          <w:shd w:val="clear" w:color="auto" w:fill="FFFFFF"/>
        </w:rPr>
        <w:t>Journal of International Business Studies</w:t>
      </w:r>
      <w:r w:rsidRPr="00E02386">
        <w:rPr>
          <w:rFonts w:ascii="Arial" w:hAnsi="Arial" w:cs="Arial"/>
          <w:color w:val="222222"/>
          <w:shd w:val="clear" w:color="auto" w:fill="FFFFFF"/>
        </w:rPr>
        <w:t>, </w:t>
      </w:r>
      <w:r w:rsidRPr="00E02386">
        <w:rPr>
          <w:rFonts w:ascii="Arial" w:hAnsi="Arial" w:cs="Arial"/>
          <w:i/>
          <w:iCs/>
          <w:color w:val="222222"/>
          <w:shd w:val="clear" w:color="auto" w:fill="FFFFFF"/>
        </w:rPr>
        <w:t>50</w:t>
      </w:r>
      <w:r w:rsidRPr="00E02386">
        <w:rPr>
          <w:rFonts w:ascii="Arial" w:hAnsi="Arial" w:cs="Arial"/>
          <w:color w:val="222222"/>
          <w:shd w:val="clear" w:color="auto" w:fill="FFFFFF"/>
        </w:rPr>
        <w:t>(8), pp.1310-1337.</w:t>
      </w:r>
      <w:r w:rsidRPr="00E02386">
        <w:rPr>
          <w:rFonts w:ascii="Arial" w:hAnsi="Arial" w:cs="Arial"/>
        </w:rPr>
        <w:t xml:space="preserve"> </w:t>
      </w:r>
      <w:hyperlink r:id="rId23" w:history="1">
        <w:r w:rsidRPr="00E02386">
          <w:rPr>
            <w:rStyle w:val="Hyperlink"/>
            <w:rFonts w:ascii="Arial" w:hAnsi="Arial" w:cs="Arial"/>
            <w:shd w:val="clear" w:color="auto" w:fill="FFFFFF"/>
          </w:rPr>
          <w:t>https://link.springer.com/article/10.1057/s41267-019-00237-5</w:t>
        </w:r>
      </w:hyperlink>
    </w:p>
    <w:p w14:paraId="6C14D508" w14:textId="77777777" w:rsidR="00E02386" w:rsidRPr="00E02386" w:rsidRDefault="00E02386" w:rsidP="00E02386">
      <w:pPr>
        <w:spacing w:line="360" w:lineRule="auto"/>
        <w:jc w:val="both"/>
        <w:rPr>
          <w:rFonts w:ascii="Arial" w:hAnsi="Arial" w:cs="Arial"/>
          <w:lang w:val="en-US"/>
        </w:rPr>
      </w:pPr>
      <w:proofErr w:type="spellStart"/>
      <w:r w:rsidRPr="00E02386">
        <w:rPr>
          <w:rFonts w:ascii="Arial" w:hAnsi="Arial" w:cs="Arial"/>
          <w:color w:val="222222"/>
          <w:shd w:val="clear" w:color="auto" w:fill="FFFFFF"/>
        </w:rPr>
        <w:lastRenderedPageBreak/>
        <w:t>Grootjans</w:t>
      </w:r>
      <w:proofErr w:type="spellEnd"/>
      <w:r w:rsidRPr="00E02386">
        <w:rPr>
          <w:rFonts w:ascii="Arial" w:hAnsi="Arial" w:cs="Arial"/>
          <w:color w:val="222222"/>
          <w:shd w:val="clear" w:color="auto" w:fill="FFFFFF"/>
        </w:rPr>
        <w:t>, W., 2024. Evaluation, Monitoring, and Improvement. In </w:t>
      </w:r>
      <w:r w:rsidRPr="00E02386">
        <w:rPr>
          <w:rFonts w:ascii="Arial" w:hAnsi="Arial" w:cs="Arial"/>
          <w:i/>
          <w:iCs/>
          <w:color w:val="222222"/>
          <w:shd w:val="clear" w:color="auto" w:fill="FFFFFF"/>
        </w:rPr>
        <w:t>AI Implementation in Radiology: Challenges and Opportunities in Clinical Practice</w:t>
      </w:r>
      <w:r w:rsidRPr="00E02386">
        <w:rPr>
          <w:rFonts w:ascii="Arial" w:hAnsi="Arial" w:cs="Arial"/>
          <w:color w:val="222222"/>
          <w:shd w:val="clear" w:color="auto" w:fill="FFFFFF"/>
        </w:rPr>
        <w:t> (pp. 131-159). Cham: Springer Nature Switzerland.</w:t>
      </w:r>
      <w:r w:rsidRPr="00E02386">
        <w:rPr>
          <w:rFonts w:ascii="Arial" w:hAnsi="Arial" w:cs="Arial"/>
        </w:rPr>
        <w:t xml:space="preserve"> </w:t>
      </w:r>
      <w:hyperlink r:id="rId24" w:history="1">
        <w:r w:rsidRPr="00E02386">
          <w:rPr>
            <w:rStyle w:val="Hyperlink"/>
            <w:rFonts w:ascii="Arial" w:hAnsi="Arial" w:cs="Arial"/>
            <w:shd w:val="clear" w:color="auto" w:fill="FFFFFF"/>
          </w:rPr>
          <w:t>https://link.springer.com/chapter/10.1007/978-3-031-68942-0_8</w:t>
        </w:r>
      </w:hyperlink>
    </w:p>
    <w:p w14:paraId="763D72FD"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 xml:space="preserve">Guo, C. and Wang, S., 2024. The differences between </w:t>
      </w:r>
      <w:proofErr w:type="spellStart"/>
      <w:r w:rsidRPr="00E02386">
        <w:rPr>
          <w:rFonts w:ascii="Arial" w:hAnsi="Arial" w:cs="Arial"/>
          <w:color w:val="222222"/>
          <w:shd w:val="clear" w:color="auto" w:fill="FFFFFF"/>
        </w:rPr>
        <w:t>alibaba’s</w:t>
      </w:r>
      <w:proofErr w:type="spellEnd"/>
      <w:r w:rsidRPr="00E02386">
        <w:rPr>
          <w:rFonts w:ascii="Arial" w:hAnsi="Arial" w:cs="Arial"/>
          <w:color w:val="222222"/>
          <w:shd w:val="clear" w:color="auto" w:fill="FFFFFF"/>
        </w:rPr>
        <w:t xml:space="preserve"> domestic and overseas operations. </w:t>
      </w:r>
      <w:r w:rsidRPr="00E02386">
        <w:rPr>
          <w:rFonts w:ascii="Arial" w:hAnsi="Arial" w:cs="Arial"/>
          <w:i/>
          <w:iCs/>
          <w:color w:val="222222"/>
          <w:shd w:val="clear" w:color="auto" w:fill="FFFFFF"/>
        </w:rPr>
        <w:t>Highlights in Business, Economics and Management</w:t>
      </w:r>
      <w:r w:rsidRPr="00E02386">
        <w:rPr>
          <w:rFonts w:ascii="Arial" w:hAnsi="Arial" w:cs="Arial"/>
          <w:color w:val="222222"/>
          <w:shd w:val="clear" w:color="auto" w:fill="FFFFFF"/>
        </w:rPr>
        <w:t>, </w:t>
      </w:r>
      <w:r w:rsidRPr="00E02386">
        <w:rPr>
          <w:rFonts w:ascii="Arial" w:hAnsi="Arial" w:cs="Arial"/>
          <w:i/>
          <w:iCs/>
          <w:color w:val="222222"/>
          <w:shd w:val="clear" w:color="auto" w:fill="FFFFFF"/>
        </w:rPr>
        <w:t>24</w:t>
      </w:r>
      <w:r w:rsidRPr="00E02386">
        <w:rPr>
          <w:rFonts w:ascii="Arial" w:hAnsi="Arial" w:cs="Arial"/>
          <w:color w:val="222222"/>
          <w:shd w:val="clear" w:color="auto" w:fill="FFFFFF"/>
        </w:rPr>
        <w:t>, pp.2253-2259.</w:t>
      </w:r>
      <w:r w:rsidRPr="00E02386">
        <w:rPr>
          <w:rFonts w:ascii="Arial" w:hAnsi="Arial" w:cs="Arial"/>
        </w:rPr>
        <w:t xml:space="preserve"> </w:t>
      </w:r>
      <w:hyperlink r:id="rId25" w:history="1">
        <w:r w:rsidRPr="00E02386">
          <w:rPr>
            <w:rStyle w:val="Hyperlink"/>
            <w:rFonts w:ascii="Arial" w:hAnsi="Arial" w:cs="Arial"/>
            <w:shd w:val="clear" w:color="auto" w:fill="FFFFFF"/>
          </w:rPr>
          <w:t>https://pdfs.semanticscholar.org/2738/122aab8506d4138b254a4788f0e950c55b8e.pdf\</w:t>
        </w:r>
      </w:hyperlink>
    </w:p>
    <w:p w14:paraId="2E714115"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He, B., Dong, J., Li, H., Chen, G. and Chen, Y., 2025. The Business Expansion of Alibaba Group to Indonesia. </w:t>
      </w:r>
      <w:r w:rsidRPr="00E02386">
        <w:rPr>
          <w:rFonts w:ascii="Arial" w:hAnsi="Arial" w:cs="Arial"/>
          <w:i/>
          <w:iCs/>
          <w:color w:val="222222"/>
          <w:shd w:val="clear" w:color="auto" w:fill="FFFFFF"/>
        </w:rPr>
        <w:t>American Journal of Humanities and Social Sciences Research (AJHSSR)</w:t>
      </w:r>
      <w:r w:rsidRPr="00E02386">
        <w:rPr>
          <w:rFonts w:ascii="Arial" w:hAnsi="Arial" w:cs="Arial"/>
          <w:color w:val="222222"/>
          <w:shd w:val="clear" w:color="auto" w:fill="FFFFFF"/>
        </w:rPr>
        <w:t>, pp.1-20.</w:t>
      </w:r>
      <w:r w:rsidRPr="00E02386">
        <w:rPr>
          <w:rFonts w:ascii="Arial" w:hAnsi="Arial" w:cs="Arial"/>
        </w:rPr>
        <w:t xml:space="preserve"> </w:t>
      </w:r>
      <w:hyperlink r:id="rId26" w:history="1">
        <w:r w:rsidRPr="00E02386">
          <w:rPr>
            <w:rStyle w:val="Hyperlink"/>
            <w:rFonts w:ascii="Arial" w:hAnsi="Arial" w:cs="Arial"/>
            <w:shd w:val="clear" w:color="auto" w:fill="FFFFFF"/>
          </w:rPr>
          <w:t>https://www.ajhssr.com/wp-content/uploads/2025/01/A259010120.pdf</w:t>
        </w:r>
      </w:hyperlink>
    </w:p>
    <w:p w14:paraId="49DA8F21" w14:textId="77777777" w:rsidR="00E02386" w:rsidRPr="00E02386" w:rsidRDefault="00E02386" w:rsidP="00E02386">
      <w:pPr>
        <w:spacing w:line="360" w:lineRule="auto"/>
        <w:jc w:val="both"/>
        <w:rPr>
          <w:rFonts w:ascii="Arial" w:hAnsi="Arial" w:cs="Arial"/>
          <w:lang w:val="en-US"/>
        </w:rPr>
      </w:pPr>
      <w:proofErr w:type="spellStart"/>
      <w:r w:rsidRPr="00E02386">
        <w:rPr>
          <w:rFonts w:ascii="Arial" w:hAnsi="Arial" w:cs="Arial"/>
          <w:color w:val="222222"/>
          <w:shd w:val="clear" w:color="auto" w:fill="FFFFFF"/>
        </w:rPr>
        <w:t>Ianole</w:t>
      </w:r>
      <w:proofErr w:type="spellEnd"/>
      <w:r w:rsidRPr="00E02386">
        <w:rPr>
          <w:rFonts w:ascii="Arial" w:hAnsi="Arial" w:cs="Arial"/>
          <w:color w:val="222222"/>
          <w:shd w:val="clear" w:color="auto" w:fill="FFFFFF"/>
        </w:rPr>
        <w:t xml:space="preserve">-Călin, R., Francioni, B., </w:t>
      </w:r>
      <w:proofErr w:type="spellStart"/>
      <w:r w:rsidRPr="00E02386">
        <w:rPr>
          <w:rFonts w:ascii="Arial" w:hAnsi="Arial" w:cs="Arial"/>
          <w:color w:val="222222"/>
          <w:shd w:val="clear" w:color="auto" w:fill="FFFFFF"/>
        </w:rPr>
        <w:t>Masili</w:t>
      </w:r>
      <w:proofErr w:type="spellEnd"/>
      <w:r w:rsidRPr="00E02386">
        <w:rPr>
          <w:rFonts w:ascii="Arial" w:hAnsi="Arial" w:cs="Arial"/>
          <w:color w:val="222222"/>
          <w:shd w:val="clear" w:color="auto" w:fill="FFFFFF"/>
        </w:rPr>
        <w:t xml:space="preserve">, G., </w:t>
      </w:r>
      <w:proofErr w:type="spellStart"/>
      <w:r w:rsidRPr="00E02386">
        <w:rPr>
          <w:rFonts w:ascii="Arial" w:hAnsi="Arial" w:cs="Arial"/>
          <w:color w:val="222222"/>
          <w:shd w:val="clear" w:color="auto" w:fill="FFFFFF"/>
        </w:rPr>
        <w:t>Druică</w:t>
      </w:r>
      <w:proofErr w:type="spellEnd"/>
      <w:r w:rsidRPr="00E02386">
        <w:rPr>
          <w:rFonts w:ascii="Arial" w:hAnsi="Arial" w:cs="Arial"/>
          <w:color w:val="222222"/>
          <w:shd w:val="clear" w:color="auto" w:fill="FFFFFF"/>
        </w:rPr>
        <w:t xml:space="preserve">, E. and </w:t>
      </w:r>
      <w:proofErr w:type="spellStart"/>
      <w:r w:rsidRPr="00E02386">
        <w:rPr>
          <w:rFonts w:ascii="Arial" w:hAnsi="Arial" w:cs="Arial"/>
          <w:color w:val="222222"/>
          <w:shd w:val="clear" w:color="auto" w:fill="FFFFFF"/>
        </w:rPr>
        <w:t>Goschin</w:t>
      </w:r>
      <w:proofErr w:type="spellEnd"/>
      <w:r w:rsidRPr="00E02386">
        <w:rPr>
          <w:rFonts w:ascii="Arial" w:hAnsi="Arial" w:cs="Arial"/>
          <w:color w:val="222222"/>
          <w:shd w:val="clear" w:color="auto" w:fill="FFFFFF"/>
        </w:rPr>
        <w:t>, Z., 2020. A cross-cultural analysis of how individualism and collectivism impact collaborative consumption. </w:t>
      </w:r>
      <w:r w:rsidRPr="00E02386">
        <w:rPr>
          <w:rFonts w:ascii="Arial" w:hAnsi="Arial" w:cs="Arial"/>
          <w:i/>
          <w:iCs/>
          <w:color w:val="222222"/>
          <w:shd w:val="clear" w:color="auto" w:fill="FFFFFF"/>
        </w:rPr>
        <w:t>Resources, Conservation and Recycling</w:t>
      </w:r>
      <w:r w:rsidRPr="00E02386">
        <w:rPr>
          <w:rFonts w:ascii="Arial" w:hAnsi="Arial" w:cs="Arial"/>
          <w:color w:val="222222"/>
          <w:shd w:val="clear" w:color="auto" w:fill="FFFFFF"/>
        </w:rPr>
        <w:t>, </w:t>
      </w:r>
      <w:r w:rsidRPr="00E02386">
        <w:rPr>
          <w:rFonts w:ascii="Arial" w:hAnsi="Arial" w:cs="Arial"/>
          <w:i/>
          <w:iCs/>
          <w:color w:val="222222"/>
          <w:shd w:val="clear" w:color="auto" w:fill="FFFFFF"/>
        </w:rPr>
        <w:t>157</w:t>
      </w:r>
      <w:r w:rsidRPr="00E02386">
        <w:rPr>
          <w:rFonts w:ascii="Arial" w:hAnsi="Arial" w:cs="Arial"/>
          <w:color w:val="222222"/>
          <w:shd w:val="clear" w:color="auto" w:fill="FFFFFF"/>
        </w:rPr>
        <w:t>, p.104762.</w:t>
      </w:r>
      <w:r w:rsidRPr="00E02386">
        <w:rPr>
          <w:rFonts w:ascii="Arial" w:hAnsi="Arial" w:cs="Arial"/>
        </w:rPr>
        <w:t xml:space="preserve"> </w:t>
      </w:r>
      <w:hyperlink r:id="rId27" w:history="1">
        <w:r w:rsidRPr="00E02386">
          <w:rPr>
            <w:rStyle w:val="Hyperlink"/>
            <w:rFonts w:ascii="Arial" w:hAnsi="Arial" w:cs="Arial"/>
            <w:shd w:val="clear" w:color="auto" w:fill="FFFFFF"/>
          </w:rPr>
          <w:t>https://www.sciencedirect.com/science/article/pii/S0921344920300835</w:t>
        </w:r>
      </w:hyperlink>
    </w:p>
    <w:p w14:paraId="60B1D049"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Kwak, J., Zhang, Y. and Yu, J., 2019. Legitimacy building and e-commerce platform development in China: The experience of Alibaba. </w:t>
      </w:r>
      <w:r w:rsidRPr="00E02386">
        <w:rPr>
          <w:rFonts w:ascii="Arial" w:hAnsi="Arial" w:cs="Arial"/>
          <w:i/>
          <w:iCs/>
          <w:color w:val="222222"/>
          <w:shd w:val="clear" w:color="auto" w:fill="FFFFFF"/>
        </w:rPr>
        <w:t>Technological Forecasting and Social Change</w:t>
      </w:r>
      <w:r w:rsidRPr="00E02386">
        <w:rPr>
          <w:rFonts w:ascii="Arial" w:hAnsi="Arial" w:cs="Arial"/>
          <w:color w:val="222222"/>
          <w:shd w:val="clear" w:color="auto" w:fill="FFFFFF"/>
        </w:rPr>
        <w:t>, </w:t>
      </w:r>
      <w:r w:rsidRPr="00E02386">
        <w:rPr>
          <w:rFonts w:ascii="Arial" w:hAnsi="Arial" w:cs="Arial"/>
          <w:i/>
          <w:iCs/>
          <w:color w:val="222222"/>
          <w:shd w:val="clear" w:color="auto" w:fill="FFFFFF"/>
        </w:rPr>
        <w:t>139</w:t>
      </w:r>
      <w:r w:rsidRPr="00E02386">
        <w:rPr>
          <w:rFonts w:ascii="Arial" w:hAnsi="Arial" w:cs="Arial"/>
          <w:color w:val="222222"/>
          <w:shd w:val="clear" w:color="auto" w:fill="FFFFFF"/>
        </w:rPr>
        <w:t>, pp.115-124.</w:t>
      </w:r>
      <w:r w:rsidRPr="00E02386">
        <w:rPr>
          <w:rFonts w:ascii="Arial" w:hAnsi="Arial" w:cs="Arial"/>
        </w:rPr>
        <w:t xml:space="preserve"> </w:t>
      </w:r>
      <w:hyperlink r:id="rId28" w:history="1">
        <w:r w:rsidRPr="00E02386">
          <w:rPr>
            <w:rStyle w:val="Hyperlink"/>
            <w:rFonts w:ascii="Arial" w:hAnsi="Arial" w:cs="Arial"/>
            <w:shd w:val="clear" w:color="auto" w:fill="FFFFFF"/>
          </w:rPr>
          <w:t>https://www.sciencedirect.com/science/article/pii/S0040162518309636</w:t>
        </w:r>
      </w:hyperlink>
    </w:p>
    <w:p w14:paraId="20905E8F"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 xml:space="preserve">Leonard, T., </w:t>
      </w:r>
      <w:proofErr w:type="spellStart"/>
      <w:r w:rsidRPr="00E02386">
        <w:rPr>
          <w:rFonts w:ascii="Arial" w:hAnsi="Arial" w:cs="Arial"/>
          <w:color w:val="222222"/>
          <w:shd w:val="clear" w:color="auto" w:fill="FFFFFF"/>
        </w:rPr>
        <w:t>Pakpahan</w:t>
      </w:r>
      <w:proofErr w:type="spellEnd"/>
      <w:r w:rsidRPr="00E02386">
        <w:rPr>
          <w:rFonts w:ascii="Arial" w:hAnsi="Arial" w:cs="Arial"/>
          <w:color w:val="222222"/>
          <w:shd w:val="clear" w:color="auto" w:fill="FFFFFF"/>
        </w:rPr>
        <w:t xml:space="preserve">, E.F., </w:t>
      </w:r>
      <w:proofErr w:type="spellStart"/>
      <w:r w:rsidRPr="00E02386">
        <w:rPr>
          <w:rFonts w:ascii="Arial" w:hAnsi="Arial" w:cs="Arial"/>
          <w:color w:val="222222"/>
          <w:shd w:val="clear" w:color="auto" w:fill="FFFFFF"/>
        </w:rPr>
        <w:t>Heriyati</w:t>
      </w:r>
      <w:proofErr w:type="spellEnd"/>
      <w:r w:rsidRPr="00E02386">
        <w:rPr>
          <w:rFonts w:ascii="Arial" w:hAnsi="Arial" w:cs="Arial"/>
          <w:color w:val="222222"/>
          <w:shd w:val="clear" w:color="auto" w:fill="FFFFFF"/>
        </w:rPr>
        <w:t xml:space="preserve">, L.K. and </w:t>
      </w:r>
      <w:proofErr w:type="spellStart"/>
      <w:r w:rsidRPr="00E02386">
        <w:rPr>
          <w:rFonts w:ascii="Arial" w:hAnsi="Arial" w:cs="Arial"/>
          <w:color w:val="222222"/>
          <w:shd w:val="clear" w:color="auto" w:fill="FFFFFF"/>
        </w:rPr>
        <w:t>Handayani</w:t>
      </w:r>
      <w:proofErr w:type="spellEnd"/>
      <w:r w:rsidRPr="00E02386">
        <w:rPr>
          <w:rFonts w:ascii="Arial" w:hAnsi="Arial" w:cs="Arial"/>
          <w:color w:val="222222"/>
          <w:shd w:val="clear" w:color="auto" w:fill="FFFFFF"/>
        </w:rPr>
        <w:t>, I.G.A.K.R., 2020. Legal review of share ownership in a joint venture company. </w:t>
      </w:r>
      <w:r w:rsidRPr="00E02386">
        <w:rPr>
          <w:rFonts w:ascii="Arial" w:hAnsi="Arial" w:cs="Arial"/>
          <w:i/>
          <w:iCs/>
          <w:color w:val="222222"/>
          <w:shd w:val="clear" w:color="auto" w:fill="FFFFFF"/>
        </w:rPr>
        <w:t>International Journal of Innovation, Creativity and Change</w:t>
      </w:r>
      <w:r w:rsidRPr="00E02386">
        <w:rPr>
          <w:rFonts w:ascii="Arial" w:hAnsi="Arial" w:cs="Arial"/>
          <w:color w:val="222222"/>
          <w:shd w:val="clear" w:color="auto" w:fill="FFFFFF"/>
        </w:rPr>
        <w:t>, </w:t>
      </w:r>
      <w:r w:rsidRPr="00E02386">
        <w:rPr>
          <w:rFonts w:ascii="Arial" w:hAnsi="Arial" w:cs="Arial"/>
          <w:i/>
          <w:iCs/>
          <w:color w:val="222222"/>
          <w:shd w:val="clear" w:color="auto" w:fill="FFFFFF"/>
        </w:rPr>
        <w:t>11</w:t>
      </w:r>
      <w:r w:rsidRPr="00E02386">
        <w:rPr>
          <w:rFonts w:ascii="Arial" w:hAnsi="Arial" w:cs="Arial"/>
          <w:color w:val="222222"/>
          <w:shd w:val="clear" w:color="auto" w:fill="FFFFFF"/>
        </w:rPr>
        <w:t>(8), pp.332-45.</w:t>
      </w:r>
      <w:r w:rsidRPr="00E02386">
        <w:rPr>
          <w:rFonts w:ascii="Arial" w:hAnsi="Arial" w:cs="Arial"/>
        </w:rPr>
        <w:t xml:space="preserve"> </w:t>
      </w:r>
      <w:hyperlink r:id="rId29" w:history="1">
        <w:r w:rsidRPr="00E02386">
          <w:rPr>
            <w:rStyle w:val="Hyperlink"/>
            <w:rFonts w:ascii="Arial" w:hAnsi="Arial" w:cs="Arial"/>
            <w:shd w:val="clear" w:color="auto" w:fill="FFFFFF"/>
          </w:rPr>
          <w:t>https://www.ijicc.net/images/vol11iss8/11825_Leonard_2020_E_R.pdf</w:t>
        </w:r>
      </w:hyperlink>
    </w:p>
    <w:p w14:paraId="5D8845DA"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Liu, S., 2024. The Impact of Capital Structure on Corporate Financial Performance: A Case Study of Alibaba and E-commerce Industry. In </w:t>
      </w:r>
      <w:r w:rsidRPr="00E02386">
        <w:rPr>
          <w:rFonts w:ascii="Arial" w:hAnsi="Arial" w:cs="Arial"/>
          <w:i/>
          <w:iCs/>
          <w:color w:val="222222"/>
          <w:shd w:val="clear" w:color="auto" w:fill="FFFFFF"/>
        </w:rPr>
        <w:t>SHS Web of Conferences</w:t>
      </w:r>
      <w:r w:rsidRPr="00E02386">
        <w:rPr>
          <w:rFonts w:ascii="Arial" w:hAnsi="Arial" w:cs="Arial"/>
          <w:color w:val="222222"/>
          <w:shd w:val="clear" w:color="auto" w:fill="FFFFFF"/>
        </w:rPr>
        <w:t> (Vol. 207, p. 03019). EDP Sciences.</w:t>
      </w:r>
      <w:r w:rsidRPr="00E02386">
        <w:rPr>
          <w:rFonts w:ascii="Arial" w:hAnsi="Arial" w:cs="Arial"/>
        </w:rPr>
        <w:t xml:space="preserve"> </w:t>
      </w:r>
      <w:hyperlink r:id="rId30" w:history="1">
        <w:r w:rsidRPr="00E02386">
          <w:rPr>
            <w:rStyle w:val="Hyperlink"/>
            <w:rFonts w:ascii="Arial" w:hAnsi="Arial" w:cs="Arial"/>
            <w:shd w:val="clear" w:color="auto" w:fill="FFFFFF"/>
          </w:rPr>
          <w:t>https://www.shs-conferences.org/articles/shsconf/abs/2024/27/shsconf_icdeba2024_03019/shsconf_icdeba2024_03019.html</w:t>
        </w:r>
      </w:hyperlink>
    </w:p>
    <w:p w14:paraId="4FEC94FC"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lastRenderedPageBreak/>
        <w:t>Moalla, E. and Mayrhofer, U., 2020. How does distance affect market entry mode choice? Evidence from French companies. </w:t>
      </w:r>
      <w:r w:rsidRPr="00E02386">
        <w:rPr>
          <w:rFonts w:ascii="Arial" w:hAnsi="Arial" w:cs="Arial"/>
          <w:i/>
          <w:iCs/>
          <w:color w:val="222222"/>
          <w:shd w:val="clear" w:color="auto" w:fill="FFFFFF"/>
        </w:rPr>
        <w:t>European Management Journal</w:t>
      </w:r>
      <w:r w:rsidRPr="00E02386">
        <w:rPr>
          <w:rFonts w:ascii="Arial" w:hAnsi="Arial" w:cs="Arial"/>
          <w:color w:val="222222"/>
          <w:shd w:val="clear" w:color="auto" w:fill="FFFFFF"/>
        </w:rPr>
        <w:t>, </w:t>
      </w:r>
      <w:r w:rsidRPr="00E02386">
        <w:rPr>
          <w:rFonts w:ascii="Arial" w:hAnsi="Arial" w:cs="Arial"/>
          <w:i/>
          <w:iCs/>
          <w:color w:val="222222"/>
          <w:shd w:val="clear" w:color="auto" w:fill="FFFFFF"/>
        </w:rPr>
        <w:t>38</w:t>
      </w:r>
      <w:r w:rsidRPr="00E02386">
        <w:rPr>
          <w:rFonts w:ascii="Arial" w:hAnsi="Arial" w:cs="Arial"/>
          <w:color w:val="222222"/>
          <w:shd w:val="clear" w:color="auto" w:fill="FFFFFF"/>
        </w:rPr>
        <w:t>(1), pp.135-145.</w:t>
      </w:r>
      <w:r w:rsidRPr="00E02386">
        <w:rPr>
          <w:rFonts w:ascii="Arial" w:hAnsi="Arial" w:cs="Arial"/>
        </w:rPr>
        <w:t xml:space="preserve"> </w:t>
      </w:r>
      <w:hyperlink r:id="rId31" w:history="1">
        <w:r w:rsidRPr="00E02386">
          <w:rPr>
            <w:rStyle w:val="Hyperlink"/>
            <w:rFonts w:ascii="Arial" w:hAnsi="Arial" w:cs="Arial"/>
            <w:shd w:val="clear" w:color="auto" w:fill="FFFFFF"/>
          </w:rPr>
          <w:t>https://www.sciencedirect.com/science/article/pii/S0263237319300969</w:t>
        </w:r>
      </w:hyperlink>
    </w:p>
    <w:p w14:paraId="421C6AC1"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Mokhammad, A., 2025. Networks as part of strategy design for digital platform development in China. </w:t>
      </w:r>
      <w:r w:rsidRPr="00E02386">
        <w:rPr>
          <w:rFonts w:ascii="Arial" w:hAnsi="Arial" w:cs="Arial"/>
          <w:i/>
          <w:iCs/>
          <w:color w:val="222222"/>
          <w:shd w:val="clear" w:color="auto" w:fill="FFFFFF"/>
        </w:rPr>
        <w:t>BRICS Journal of Economics</w:t>
      </w:r>
      <w:r w:rsidRPr="00E02386">
        <w:rPr>
          <w:rFonts w:ascii="Arial" w:hAnsi="Arial" w:cs="Arial"/>
          <w:color w:val="222222"/>
          <w:shd w:val="clear" w:color="auto" w:fill="FFFFFF"/>
        </w:rPr>
        <w:t>, </w:t>
      </w:r>
      <w:r w:rsidRPr="00E02386">
        <w:rPr>
          <w:rFonts w:ascii="Arial" w:hAnsi="Arial" w:cs="Arial"/>
          <w:i/>
          <w:iCs/>
          <w:color w:val="222222"/>
          <w:shd w:val="clear" w:color="auto" w:fill="FFFFFF"/>
        </w:rPr>
        <w:t>6</w:t>
      </w:r>
      <w:r w:rsidRPr="00E02386">
        <w:rPr>
          <w:rFonts w:ascii="Arial" w:hAnsi="Arial" w:cs="Arial"/>
          <w:color w:val="222222"/>
          <w:shd w:val="clear" w:color="auto" w:fill="FFFFFF"/>
        </w:rPr>
        <w:t>(1), pp.73-90.</w:t>
      </w:r>
      <w:r w:rsidRPr="00E02386">
        <w:rPr>
          <w:rFonts w:ascii="Arial" w:hAnsi="Arial" w:cs="Arial"/>
        </w:rPr>
        <w:t xml:space="preserve"> </w:t>
      </w:r>
      <w:hyperlink r:id="rId32" w:history="1">
        <w:r w:rsidRPr="00E02386">
          <w:rPr>
            <w:rStyle w:val="Hyperlink"/>
            <w:rFonts w:ascii="Arial" w:hAnsi="Arial" w:cs="Arial"/>
            <w:shd w:val="clear" w:color="auto" w:fill="FFFFFF"/>
          </w:rPr>
          <w:t>https://brics-econ.arphahub.com/article/136888/download/pdf/</w:t>
        </w:r>
      </w:hyperlink>
    </w:p>
    <w:p w14:paraId="57383478"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Naqvi, S.G., Sheraz, S., Mehmood, I. and Yasin, M., 2023. Cyber-physical systems and artificial intelligence: the role of cyber security, machine learning, threats and benefits to modern economies and industries. </w:t>
      </w:r>
      <w:r w:rsidRPr="00E02386">
        <w:rPr>
          <w:rFonts w:ascii="Arial" w:hAnsi="Arial" w:cs="Arial"/>
          <w:i/>
          <w:iCs/>
          <w:color w:val="222222"/>
          <w:shd w:val="clear" w:color="auto" w:fill="FFFFFF"/>
        </w:rPr>
        <w:t>Pakistan Journal of Humanities and Social Sciences</w:t>
      </w:r>
      <w:r w:rsidRPr="00E02386">
        <w:rPr>
          <w:rFonts w:ascii="Arial" w:hAnsi="Arial" w:cs="Arial"/>
          <w:color w:val="222222"/>
          <w:shd w:val="clear" w:color="auto" w:fill="FFFFFF"/>
        </w:rPr>
        <w:t>, </w:t>
      </w:r>
      <w:r w:rsidRPr="00E02386">
        <w:rPr>
          <w:rFonts w:ascii="Arial" w:hAnsi="Arial" w:cs="Arial"/>
          <w:i/>
          <w:iCs/>
          <w:color w:val="222222"/>
          <w:shd w:val="clear" w:color="auto" w:fill="FFFFFF"/>
        </w:rPr>
        <w:t>11</w:t>
      </w:r>
      <w:r w:rsidRPr="00E02386">
        <w:rPr>
          <w:rFonts w:ascii="Arial" w:hAnsi="Arial" w:cs="Arial"/>
          <w:color w:val="222222"/>
          <w:shd w:val="clear" w:color="auto" w:fill="FFFFFF"/>
        </w:rPr>
        <w:t>(2), pp.1475-1484.</w:t>
      </w:r>
      <w:r w:rsidRPr="00E02386">
        <w:rPr>
          <w:rFonts w:ascii="Arial" w:hAnsi="Arial" w:cs="Arial"/>
        </w:rPr>
        <w:t xml:space="preserve"> </w:t>
      </w:r>
      <w:hyperlink r:id="rId33" w:history="1">
        <w:r w:rsidRPr="00E02386">
          <w:rPr>
            <w:rStyle w:val="Hyperlink"/>
            <w:rFonts w:ascii="Arial" w:hAnsi="Arial" w:cs="Arial"/>
            <w:shd w:val="clear" w:color="auto" w:fill="FFFFFF"/>
          </w:rPr>
          <w:t>https://www.internationalrasd.org/journals/index.php/pjhss/article/view/1398</w:t>
        </w:r>
      </w:hyperlink>
    </w:p>
    <w:p w14:paraId="2241CEF0"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Qiu, T., Analysis and Research on Supply Chain Optimization of e-Commerce Platform: Taking Amazon and Alibaba as Examples.</w:t>
      </w:r>
      <w:r w:rsidRPr="00E02386">
        <w:rPr>
          <w:rFonts w:ascii="Arial" w:hAnsi="Arial" w:cs="Arial"/>
        </w:rPr>
        <w:t xml:space="preserve"> </w:t>
      </w:r>
      <w:hyperlink r:id="rId34" w:history="1">
        <w:r w:rsidRPr="00E02386">
          <w:rPr>
            <w:rStyle w:val="Hyperlink"/>
            <w:rFonts w:ascii="Arial" w:hAnsi="Arial" w:cs="Arial"/>
            <w:shd w:val="clear" w:color="auto" w:fill="FFFFFF"/>
          </w:rPr>
          <w:t>https://www.scitepress.org/Papers/2024/129598/129598.pdf</w:t>
        </w:r>
      </w:hyperlink>
    </w:p>
    <w:p w14:paraId="51ACA3E1"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Rahman, M.D., 2024. E-commerce Evolution: A Strategic Analysis of Alibaba's Business Ecosystem. </w:t>
      </w:r>
      <w:r w:rsidRPr="00E02386">
        <w:rPr>
          <w:rFonts w:ascii="Arial" w:hAnsi="Arial" w:cs="Arial"/>
          <w:i/>
          <w:iCs/>
          <w:color w:val="222222"/>
          <w:shd w:val="clear" w:color="auto" w:fill="FFFFFF"/>
        </w:rPr>
        <w:t>Available at SSRN 5109165</w:t>
      </w:r>
      <w:r w:rsidRPr="00E02386">
        <w:rPr>
          <w:rFonts w:ascii="Arial" w:hAnsi="Arial" w:cs="Arial"/>
          <w:color w:val="222222"/>
          <w:shd w:val="clear" w:color="auto" w:fill="FFFFFF"/>
        </w:rPr>
        <w:t>.</w:t>
      </w:r>
      <w:r w:rsidRPr="00E02386">
        <w:rPr>
          <w:rFonts w:ascii="Arial" w:hAnsi="Arial" w:cs="Arial"/>
        </w:rPr>
        <w:t xml:space="preserve"> </w:t>
      </w:r>
      <w:hyperlink r:id="rId35" w:history="1">
        <w:r w:rsidRPr="00E02386">
          <w:rPr>
            <w:rStyle w:val="Hyperlink"/>
            <w:rFonts w:ascii="Arial" w:hAnsi="Arial" w:cs="Arial"/>
            <w:shd w:val="clear" w:color="auto" w:fill="FFFFFF"/>
          </w:rPr>
          <w:t>https://papers.ssrn.com/sol3/papers.cfm?abstract_id=5109165</w:t>
        </w:r>
      </w:hyperlink>
    </w:p>
    <w:p w14:paraId="175F7CF7"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Ren, Y., 2024. A Review of the Determinants of Outward Foreign Direct Investment (FDI): From the Perspective of the Eclectic Paradigm. </w:t>
      </w:r>
      <w:r w:rsidRPr="00E02386">
        <w:rPr>
          <w:rFonts w:ascii="Arial" w:hAnsi="Arial" w:cs="Arial"/>
          <w:i/>
          <w:iCs/>
          <w:color w:val="222222"/>
          <w:shd w:val="clear" w:color="auto" w:fill="FFFFFF"/>
        </w:rPr>
        <w:t>Academic Journal of Business &amp; Management</w:t>
      </w:r>
      <w:r w:rsidRPr="00E02386">
        <w:rPr>
          <w:rFonts w:ascii="Arial" w:hAnsi="Arial" w:cs="Arial"/>
          <w:color w:val="222222"/>
          <w:shd w:val="clear" w:color="auto" w:fill="FFFFFF"/>
        </w:rPr>
        <w:t>, </w:t>
      </w:r>
      <w:r w:rsidRPr="00E02386">
        <w:rPr>
          <w:rFonts w:ascii="Arial" w:hAnsi="Arial" w:cs="Arial"/>
          <w:i/>
          <w:iCs/>
          <w:color w:val="222222"/>
          <w:shd w:val="clear" w:color="auto" w:fill="FFFFFF"/>
        </w:rPr>
        <w:t>6</w:t>
      </w:r>
      <w:r w:rsidRPr="00E02386">
        <w:rPr>
          <w:rFonts w:ascii="Arial" w:hAnsi="Arial" w:cs="Arial"/>
          <w:color w:val="222222"/>
          <w:shd w:val="clear" w:color="auto" w:fill="FFFFFF"/>
        </w:rPr>
        <w:t>(11), pp.128-132.</w:t>
      </w:r>
      <w:r w:rsidRPr="00E02386">
        <w:rPr>
          <w:rFonts w:ascii="Arial" w:hAnsi="Arial" w:cs="Arial"/>
        </w:rPr>
        <w:t xml:space="preserve"> </w:t>
      </w:r>
      <w:hyperlink r:id="rId36" w:history="1">
        <w:r w:rsidRPr="00E02386">
          <w:rPr>
            <w:rStyle w:val="Hyperlink"/>
            <w:rFonts w:ascii="Arial" w:hAnsi="Arial" w:cs="Arial"/>
            <w:shd w:val="clear" w:color="auto" w:fill="FFFFFF"/>
          </w:rPr>
          <w:t>https://francis-press.com/uploads/papers/cJksIKQCNrkiwk9oBSd1mqSkMDZ8sHhcevxOHTXH.pdf</w:t>
        </w:r>
      </w:hyperlink>
    </w:p>
    <w:p w14:paraId="4549CE38"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Rudenko-Sudarieva, L. and Shevchenko, Y., 2022. Paradigm Fundamentals and the Practical Dilemma of Investment Behaviour of Transnational Corporations. </w:t>
      </w:r>
      <w:r w:rsidRPr="00E02386">
        <w:rPr>
          <w:rFonts w:ascii="Arial" w:hAnsi="Arial" w:cs="Arial"/>
          <w:i/>
          <w:iCs/>
          <w:color w:val="222222"/>
          <w:shd w:val="clear" w:color="auto" w:fill="FFFFFF"/>
        </w:rPr>
        <w:t>Journal of International Economic Policy</w:t>
      </w:r>
      <w:r w:rsidRPr="00E02386">
        <w:rPr>
          <w:rFonts w:ascii="Arial" w:hAnsi="Arial" w:cs="Arial"/>
          <w:color w:val="222222"/>
          <w:shd w:val="clear" w:color="auto" w:fill="FFFFFF"/>
        </w:rPr>
        <w:t>, </w:t>
      </w:r>
      <w:r w:rsidRPr="00E02386">
        <w:rPr>
          <w:rFonts w:ascii="Arial" w:hAnsi="Arial" w:cs="Arial"/>
          <w:i/>
          <w:iCs/>
          <w:color w:val="222222"/>
          <w:shd w:val="clear" w:color="auto" w:fill="FFFFFF"/>
        </w:rPr>
        <w:t>36</w:t>
      </w:r>
      <w:r w:rsidRPr="00E02386">
        <w:rPr>
          <w:rFonts w:ascii="Arial" w:hAnsi="Arial" w:cs="Arial"/>
          <w:color w:val="222222"/>
          <w:shd w:val="clear" w:color="auto" w:fill="FFFFFF"/>
        </w:rPr>
        <w:t>(1).</w:t>
      </w:r>
      <w:r w:rsidRPr="00E02386">
        <w:rPr>
          <w:rFonts w:ascii="Arial" w:hAnsi="Arial" w:cs="Arial"/>
        </w:rPr>
        <w:t xml:space="preserve"> </w:t>
      </w:r>
      <w:hyperlink r:id="rId37" w:history="1">
        <w:r w:rsidRPr="00E02386">
          <w:rPr>
            <w:rStyle w:val="Hyperlink"/>
            <w:rFonts w:ascii="Arial" w:hAnsi="Arial" w:cs="Arial"/>
            <w:shd w:val="clear" w:color="auto" w:fill="FFFFFF"/>
          </w:rPr>
          <w:t>http://iepjournal.com/journals_eng/36/2022_36_1_RudenkoSudareva_Shevchenko.pdf</w:t>
        </w:r>
      </w:hyperlink>
    </w:p>
    <w:p w14:paraId="3B7926EA"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Salama, M., El-</w:t>
      </w:r>
      <w:proofErr w:type="spellStart"/>
      <w:r w:rsidRPr="00E02386">
        <w:rPr>
          <w:rFonts w:ascii="Arial" w:hAnsi="Arial" w:cs="Arial"/>
          <w:color w:val="222222"/>
          <w:shd w:val="clear" w:color="auto" w:fill="FFFFFF"/>
        </w:rPr>
        <w:t>Dakhakhni</w:t>
      </w:r>
      <w:proofErr w:type="spellEnd"/>
      <w:r w:rsidRPr="00E02386">
        <w:rPr>
          <w:rFonts w:ascii="Arial" w:hAnsi="Arial" w:cs="Arial"/>
          <w:color w:val="222222"/>
          <w:shd w:val="clear" w:color="auto" w:fill="FFFFFF"/>
        </w:rPr>
        <w:t>, W. and Tait, M., 2023. Systemic risk mitigation strategy for power grid cascade failures using constrained spectral clustering. </w:t>
      </w:r>
      <w:r w:rsidRPr="00E02386">
        <w:rPr>
          <w:rFonts w:ascii="Arial" w:hAnsi="Arial" w:cs="Arial"/>
          <w:i/>
          <w:iCs/>
          <w:color w:val="222222"/>
          <w:shd w:val="clear" w:color="auto" w:fill="FFFFFF"/>
        </w:rPr>
        <w:t>International Journal of Critical Infrastructure Protection</w:t>
      </w:r>
      <w:r w:rsidRPr="00E02386">
        <w:rPr>
          <w:rFonts w:ascii="Arial" w:hAnsi="Arial" w:cs="Arial"/>
          <w:color w:val="222222"/>
          <w:shd w:val="clear" w:color="auto" w:fill="FFFFFF"/>
        </w:rPr>
        <w:t>, </w:t>
      </w:r>
      <w:r w:rsidRPr="00E02386">
        <w:rPr>
          <w:rFonts w:ascii="Arial" w:hAnsi="Arial" w:cs="Arial"/>
          <w:i/>
          <w:iCs/>
          <w:color w:val="222222"/>
          <w:shd w:val="clear" w:color="auto" w:fill="FFFFFF"/>
        </w:rPr>
        <w:t>42</w:t>
      </w:r>
      <w:r w:rsidRPr="00E02386">
        <w:rPr>
          <w:rFonts w:ascii="Arial" w:hAnsi="Arial" w:cs="Arial"/>
          <w:color w:val="222222"/>
          <w:shd w:val="clear" w:color="auto" w:fill="FFFFFF"/>
        </w:rPr>
        <w:t>, p.100622.</w:t>
      </w:r>
      <w:r w:rsidRPr="00E02386">
        <w:rPr>
          <w:rFonts w:ascii="Arial" w:hAnsi="Arial" w:cs="Arial"/>
        </w:rPr>
        <w:t xml:space="preserve"> </w:t>
      </w:r>
      <w:hyperlink r:id="rId38" w:history="1">
        <w:r w:rsidRPr="00E02386">
          <w:rPr>
            <w:rStyle w:val="Hyperlink"/>
            <w:rFonts w:ascii="Arial" w:hAnsi="Arial" w:cs="Arial"/>
            <w:shd w:val="clear" w:color="auto" w:fill="FFFFFF"/>
          </w:rPr>
          <w:t>https://www.sciencedirect.com/science/article/pii/S1874548223000355</w:t>
        </w:r>
      </w:hyperlink>
    </w:p>
    <w:p w14:paraId="31D6C06A"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lastRenderedPageBreak/>
        <w:t xml:space="preserve">Schlumberger, O., Edel, M., </w:t>
      </w:r>
      <w:proofErr w:type="spellStart"/>
      <w:r w:rsidRPr="00E02386">
        <w:rPr>
          <w:rFonts w:ascii="Arial" w:hAnsi="Arial" w:cs="Arial"/>
          <w:color w:val="222222"/>
          <w:shd w:val="clear" w:color="auto" w:fill="FFFFFF"/>
        </w:rPr>
        <w:t>Maati</w:t>
      </w:r>
      <w:proofErr w:type="spellEnd"/>
      <w:r w:rsidRPr="00E02386">
        <w:rPr>
          <w:rFonts w:ascii="Arial" w:hAnsi="Arial" w:cs="Arial"/>
          <w:color w:val="222222"/>
          <w:shd w:val="clear" w:color="auto" w:fill="FFFFFF"/>
        </w:rPr>
        <w:t>, A. and Saglam, K., 2024. How authoritarianism transforms: A framework for the study of digital dictatorship. </w:t>
      </w:r>
      <w:r w:rsidRPr="00E02386">
        <w:rPr>
          <w:rFonts w:ascii="Arial" w:hAnsi="Arial" w:cs="Arial"/>
          <w:i/>
          <w:iCs/>
          <w:color w:val="222222"/>
          <w:shd w:val="clear" w:color="auto" w:fill="FFFFFF"/>
        </w:rPr>
        <w:t>Government and Opposition</w:t>
      </w:r>
      <w:r w:rsidRPr="00E02386">
        <w:rPr>
          <w:rFonts w:ascii="Arial" w:hAnsi="Arial" w:cs="Arial"/>
          <w:color w:val="222222"/>
          <w:shd w:val="clear" w:color="auto" w:fill="FFFFFF"/>
        </w:rPr>
        <w:t>, </w:t>
      </w:r>
      <w:r w:rsidRPr="00E02386">
        <w:rPr>
          <w:rFonts w:ascii="Arial" w:hAnsi="Arial" w:cs="Arial"/>
          <w:i/>
          <w:iCs/>
          <w:color w:val="222222"/>
          <w:shd w:val="clear" w:color="auto" w:fill="FFFFFF"/>
        </w:rPr>
        <w:t>59</w:t>
      </w:r>
      <w:r w:rsidRPr="00E02386">
        <w:rPr>
          <w:rFonts w:ascii="Arial" w:hAnsi="Arial" w:cs="Arial"/>
          <w:color w:val="222222"/>
          <w:shd w:val="clear" w:color="auto" w:fill="FFFFFF"/>
        </w:rPr>
        <w:t>(3), pp.761-783.</w:t>
      </w:r>
      <w:r w:rsidRPr="00E02386">
        <w:rPr>
          <w:rFonts w:ascii="Arial" w:hAnsi="Arial" w:cs="Arial"/>
        </w:rPr>
        <w:t xml:space="preserve"> </w:t>
      </w:r>
      <w:hyperlink r:id="rId39" w:history="1">
        <w:r w:rsidRPr="00E02386">
          <w:rPr>
            <w:rStyle w:val="Hyperlink"/>
            <w:rFonts w:ascii="Arial" w:hAnsi="Arial" w:cs="Arial"/>
            <w:shd w:val="clear" w:color="auto" w:fill="FFFFFF"/>
          </w:rPr>
          <w:t>https://www.cambridge.org/core/journals/government-and-opposition/article/how-authoritarianism-transforms-a-framework-for-the-study-of-digital-dictatorship/EAFAD6D20EF6C02BF22E4F0EBCCB6267</w:t>
        </w:r>
      </w:hyperlink>
    </w:p>
    <w:p w14:paraId="16A08172"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Schmuck, R. and Benke, M., 2020. An overview of innovation strategies and the case of Alibaba. </w:t>
      </w:r>
      <w:r w:rsidRPr="00E02386">
        <w:rPr>
          <w:rFonts w:ascii="Arial" w:hAnsi="Arial" w:cs="Arial"/>
          <w:i/>
          <w:iCs/>
          <w:color w:val="222222"/>
          <w:shd w:val="clear" w:color="auto" w:fill="FFFFFF"/>
        </w:rPr>
        <w:t>Procedia Manufacturing</w:t>
      </w:r>
      <w:r w:rsidRPr="00E02386">
        <w:rPr>
          <w:rFonts w:ascii="Arial" w:hAnsi="Arial" w:cs="Arial"/>
          <w:color w:val="222222"/>
          <w:shd w:val="clear" w:color="auto" w:fill="FFFFFF"/>
        </w:rPr>
        <w:t>, </w:t>
      </w:r>
      <w:r w:rsidRPr="00E02386">
        <w:rPr>
          <w:rFonts w:ascii="Arial" w:hAnsi="Arial" w:cs="Arial"/>
          <w:i/>
          <w:iCs/>
          <w:color w:val="222222"/>
          <w:shd w:val="clear" w:color="auto" w:fill="FFFFFF"/>
        </w:rPr>
        <w:t>51</w:t>
      </w:r>
      <w:r w:rsidRPr="00E02386">
        <w:rPr>
          <w:rFonts w:ascii="Arial" w:hAnsi="Arial" w:cs="Arial"/>
          <w:color w:val="222222"/>
          <w:shd w:val="clear" w:color="auto" w:fill="FFFFFF"/>
        </w:rPr>
        <w:t>, pp.1259-1266.</w:t>
      </w:r>
      <w:r w:rsidRPr="00E02386">
        <w:rPr>
          <w:rFonts w:ascii="Arial" w:hAnsi="Arial" w:cs="Arial"/>
        </w:rPr>
        <w:t xml:space="preserve"> </w:t>
      </w:r>
      <w:hyperlink r:id="rId40" w:history="1">
        <w:r w:rsidRPr="00E02386">
          <w:rPr>
            <w:rStyle w:val="Hyperlink"/>
            <w:rFonts w:ascii="Arial" w:hAnsi="Arial" w:cs="Arial"/>
            <w:shd w:val="clear" w:color="auto" w:fill="FFFFFF"/>
          </w:rPr>
          <w:t>https://www.sciencedirect.com/science/article/pii/S2351978920320333</w:t>
        </w:r>
      </w:hyperlink>
    </w:p>
    <w:p w14:paraId="2692AB36" w14:textId="77777777" w:rsidR="00E02386" w:rsidRPr="00E02386" w:rsidRDefault="00E02386" w:rsidP="00E02386">
      <w:pPr>
        <w:spacing w:line="360" w:lineRule="auto"/>
        <w:jc w:val="both"/>
        <w:rPr>
          <w:rFonts w:ascii="Arial" w:hAnsi="Arial" w:cs="Arial"/>
          <w:lang w:val="en-US"/>
        </w:rPr>
      </w:pPr>
      <w:proofErr w:type="spellStart"/>
      <w:r w:rsidRPr="00E02386">
        <w:rPr>
          <w:rFonts w:ascii="Arial" w:hAnsi="Arial" w:cs="Arial"/>
          <w:color w:val="222222"/>
          <w:shd w:val="clear" w:color="auto" w:fill="FFFFFF"/>
        </w:rPr>
        <w:t>Schönsleben</w:t>
      </w:r>
      <w:proofErr w:type="spellEnd"/>
      <w:r w:rsidRPr="00E02386">
        <w:rPr>
          <w:rFonts w:ascii="Arial" w:hAnsi="Arial" w:cs="Arial"/>
          <w:color w:val="222222"/>
          <w:shd w:val="clear" w:color="auto" w:fill="FFFFFF"/>
        </w:rPr>
        <w:t>, P., 2022. Logistics, operations, and supply chain management. In </w:t>
      </w:r>
      <w:r w:rsidRPr="00E02386">
        <w:rPr>
          <w:rFonts w:ascii="Arial" w:hAnsi="Arial" w:cs="Arial"/>
          <w:i/>
          <w:iCs/>
          <w:color w:val="222222"/>
          <w:shd w:val="clear" w:color="auto" w:fill="FFFFFF"/>
        </w:rPr>
        <w:t>Handbook Integral Logistics Management: Operations and Supply Chain Management Within and Across Companies</w:t>
      </w:r>
      <w:r w:rsidRPr="00E02386">
        <w:rPr>
          <w:rFonts w:ascii="Arial" w:hAnsi="Arial" w:cs="Arial"/>
          <w:color w:val="222222"/>
          <w:shd w:val="clear" w:color="auto" w:fill="FFFFFF"/>
        </w:rPr>
        <w:t> (pp. 7-70). Berlin, Heidelberg: Springer Berlin Heidelberg.</w:t>
      </w:r>
      <w:r w:rsidRPr="00E02386">
        <w:rPr>
          <w:rFonts w:ascii="Arial" w:hAnsi="Arial" w:cs="Arial"/>
        </w:rPr>
        <w:t xml:space="preserve"> </w:t>
      </w:r>
      <w:hyperlink r:id="rId41" w:history="1">
        <w:r w:rsidRPr="00E02386">
          <w:rPr>
            <w:rStyle w:val="Hyperlink"/>
            <w:rFonts w:ascii="Arial" w:hAnsi="Arial" w:cs="Arial"/>
            <w:shd w:val="clear" w:color="auto" w:fill="FFFFFF"/>
          </w:rPr>
          <w:t>https://link.springer.com/chapter/10.1007/978-3-662-65625-9_1</w:t>
        </w:r>
      </w:hyperlink>
    </w:p>
    <w:p w14:paraId="63BF0451"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Skidmore, M.E., Moffette, F., Rausch, L., Christie, M., Munger, J. and Gibbs, H.K., 2021. Cattle ranchers and deforestation in the Brazilian Amazon: Production, location, and policies. </w:t>
      </w:r>
      <w:r w:rsidRPr="00E02386">
        <w:rPr>
          <w:rFonts w:ascii="Arial" w:hAnsi="Arial" w:cs="Arial"/>
          <w:i/>
          <w:iCs/>
          <w:color w:val="222222"/>
          <w:shd w:val="clear" w:color="auto" w:fill="FFFFFF"/>
        </w:rPr>
        <w:t>Global Environmental Change</w:t>
      </w:r>
      <w:r w:rsidRPr="00E02386">
        <w:rPr>
          <w:rFonts w:ascii="Arial" w:hAnsi="Arial" w:cs="Arial"/>
          <w:color w:val="222222"/>
          <w:shd w:val="clear" w:color="auto" w:fill="FFFFFF"/>
        </w:rPr>
        <w:t>, </w:t>
      </w:r>
      <w:r w:rsidRPr="00E02386">
        <w:rPr>
          <w:rFonts w:ascii="Arial" w:hAnsi="Arial" w:cs="Arial"/>
          <w:i/>
          <w:iCs/>
          <w:color w:val="222222"/>
          <w:shd w:val="clear" w:color="auto" w:fill="FFFFFF"/>
        </w:rPr>
        <w:t>68</w:t>
      </w:r>
      <w:r w:rsidRPr="00E02386">
        <w:rPr>
          <w:rFonts w:ascii="Arial" w:hAnsi="Arial" w:cs="Arial"/>
          <w:color w:val="222222"/>
          <w:shd w:val="clear" w:color="auto" w:fill="FFFFFF"/>
        </w:rPr>
        <w:t>, p.102280.</w:t>
      </w:r>
      <w:r w:rsidRPr="00E02386">
        <w:rPr>
          <w:rFonts w:ascii="Arial" w:hAnsi="Arial" w:cs="Arial"/>
        </w:rPr>
        <w:t xml:space="preserve"> </w:t>
      </w:r>
      <w:hyperlink r:id="rId42" w:history="1">
        <w:r w:rsidRPr="00E02386">
          <w:rPr>
            <w:rStyle w:val="Hyperlink"/>
            <w:rFonts w:ascii="Arial" w:hAnsi="Arial" w:cs="Arial"/>
            <w:shd w:val="clear" w:color="auto" w:fill="FFFFFF"/>
          </w:rPr>
          <w:t>https://www.sciencedirect.com/science/article/pii/S0959378021000595</w:t>
        </w:r>
      </w:hyperlink>
    </w:p>
    <w:p w14:paraId="32157F21"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Tear, M.J., Reader, T.W., Shorrock, S. and Kirwan, B., 2020. Safety culture and power: interactions between perceptions of safety culture, organisational hierarchy, and national culture. </w:t>
      </w:r>
      <w:r w:rsidRPr="00E02386">
        <w:rPr>
          <w:rFonts w:ascii="Arial" w:hAnsi="Arial" w:cs="Arial"/>
          <w:i/>
          <w:iCs/>
          <w:color w:val="222222"/>
          <w:shd w:val="clear" w:color="auto" w:fill="FFFFFF"/>
        </w:rPr>
        <w:t>Safety science</w:t>
      </w:r>
      <w:r w:rsidRPr="00E02386">
        <w:rPr>
          <w:rFonts w:ascii="Arial" w:hAnsi="Arial" w:cs="Arial"/>
          <w:color w:val="222222"/>
          <w:shd w:val="clear" w:color="auto" w:fill="FFFFFF"/>
        </w:rPr>
        <w:t>, </w:t>
      </w:r>
      <w:r w:rsidRPr="00E02386">
        <w:rPr>
          <w:rFonts w:ascii="Arial" w:hAnsi="Arial" w:cs="Arial"/>
          <w:i/>
          <w:iCs/>
          <w:color w:val="222222"/>
          <w:shd w:val="clear" w:color="auto" w:fill="FFFFFF"/>
        </w:rPr>
        <w:t>121</w:t>
      </w:r>
      <w:r w:rsidRPr="00E02386">
        <w:rPr>
          <w:rFonts w:ascii="Arial" w:hAnsi="Arial" w:cs="Arial"/>
          <w:color w:val="222222"/>
          <w:shd w:val="clear" w:color="auto" w:fill="FFFFFF"/>
        </w:rPr>
        <w:t>, pp.550-561.</w:t>
      </w:r>
      <w:r w:rsidRPr="00E02386">
        <w:rPr>
          <w:rFonts w:ascii="Arial" w:hAnsi="Arial" w:cs="Arial"/>
        </w:rPr>
        <w:t xml:space="preserve"> </w:t>
      </w:r>
      <w:hyperlink r:id="rId43" w:history="1">
        <w:r w:rsidRPr="00E02386">
          <w:rPr>
            <w:rStyle w:val="Hyperlink"/>
            <w:rFonts w:ascii="Arial" w:hAnsi="Arial" w:cs="Arial"/>
            <w:shd w:val="clear" w:color="auto" w:fill="FFFFFF"/>
          </w:rPr>
          <w:t>https://www.sciencedirect.com/science/article/pii/S0925753518303771</w:t>
        </w:r>
      </w:hyperlink>
    </w:p>
    <w:p w14:paraId="7DBAD772" w14:textId="77777777" w:rsidR="00E02386" w:rsidRPr="00E02386" w:rsidRDefault="00E02386" w:rsidP="00E02386">
      <w:pPr>
        <w:spacing w:line="360" w:lineRule="auto"/>
        <w:jc w:val="both"/>
        <w:rPr>
          <w:rFonts w:ascii="Arial" w:hAnsi="Arial" w:cs="Arial"/>
          <w:lang w:val="en-US"/>
        </w:rPr>
      </w:pPr>
      <w:proofErr w:type="spellStart"/>
      <w:r w:rsidRPr="00E02386">
        <w:rPr>
          <w:rFonts w:ascii="Arial" w:hAnsi="Arial" w:cs="Arial"/>
          <w:color w:val="222222"/>
          <w:shd w:val="clear" w:color="auto" w:fill="FFFFFF"/>
        </w:rPr>
        <w:t>Veenam</w:t>
      </w:r>
      <w:proofErr w:type="spellEnd"/>
      <w:r w:rsidRPr="00E02386">
        <w:rPr>
          <w:rFonts w:ascii="Arial" w:hAnsi="Arial" w:cs="Arial"/>
          <w:color w:val="222222"/>
          <w:shd w:val="clear" w:color="auto" w:fill="FFFFFF"/>
        </w:rPr>
        <w:t>, P., 2024. Cross-border e-commerce: Opportunities and challenges in the global market. </w:t>
      </w:r>
      <w:r w:rsidRPr="00E02386">
        <w:rPr>
          <w:rFonts w:ascii="Arial" w:hAnsi="Arial" w:cs="Arial"/>
          <w:i/>
          <w:iCs/>
          <w:color w:val="222222"/>
          <w:shd w:val="clear" w:color="auto" w:fill="FFFFFF"/>
        </w:rPr>
        <w:t>International Journal of Multidisciplinary Research and Growth Evaluation</w:t>
      </w:r>
      <w:r w:rsidRPr="00E02386">
        <w:rPr>
          <w:rFonts w:ascii="Arial" w:hAnsi="Arial" w:cs="Arial"/>
          <w:color w:val="222222"/>
          <w:shd w:val="clear" w:color="auto" w:fill="FFFFFF"/>
        </w:rPr>
        <w:t>, </w:t>
      </w:r>
      <w:r w:rsidRPr="00E02386">
        <w:rPr>
          <w:rFonts w:ascii="Arial" w:hAnsi="Arial" w:cs="Arial"/>
          <w:i/>
          <w:iCs/>
          <w:color w:val="222222"/>
          <w:shd w:val="clear" w:color="auto" w:fill="FFFFFF"/>
        </w:rPr>
        <w:t>5</w:t>
      </w:r>
      <w:r w:rsidRPr="00E02386">
        <w:rPr>
          <w:rFonts w:ascii="Arial" w:hAnsi="Arial" w:cs="Arial"/>
          <w:color w:val="222222"/>
          <w:shd w:val="clear" w:color="auto" w:fill="FFFFFF"/>
        </w:rPr>
        <w:t>(5), pp.272-281.</w:t>
      </w:r>
      <w:r w:rsidRPr="00E02386">
        <w:rPr>
          <w:rFonts w:ascii="Arial" w:hAnsi="Arial" w:cs="Arial"/>
        </w:rPr>
        <w:t xml:space="preserve"> </w:t>
      </w:r>
      <w:hyperlink r:id="rId44" w:history="1">
        <w:r w:rsidRPr="00E02386">
          <w:rPr>
            <w:rStyle w:val="Hyperlink"/>
            <w:rFonts w:ascii="Arial" w:hAnsi="Arial" w:cs="Arial"/>
            <w:shd w:val="clear" w:color="auto" w:fill="FFFFFF"/>
          </w:rPr>
          <w:t>https://www.advancedagronomyjournal.com/uploads/archives/20240913115103_E-24-49.1.1.pdf</w:t>
        </w:r>
      </w:hyperlink>
    </w:p>
    <w:p w14:paraId="03E8350B"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 xml:space="preserve">Wang, J., Si, F., Yang, S. and Wang, L., 2023. Business model innovation of Chinese logistics enterprises from the perspective of ecosystems: The case of </w:t>
      </w:r>
      <w:proofErr w:type="spellStart"/>
      <w:r w:rsidRPr="00E02386">
        <w:rPr>
          <w:rFonts w:ascii="Arial" w:hAnsi="Arial" w:cs="Arial"/>
          <w:color w:val="222222"/>
          <w:shd w:val="clear" w:color="auto" w:fill="FFFFFF"/>
        </w:rPr>
        <w:t>Cainiao</w:t>
      </w:r>
      <w:proofErr w:type="spellEnd"/>
      <w:r w:rsidRPr="00E02386">
        <w:rPr>
          <w:rFonts w:ascii="Arial" w:hAnsi="Arial" w:cs="Arial"/>
          <w:color w:val="222222"/>
          <w:shd w:val="clear" w:color="auto" w:fill="FFFFFF"/>
        </w:rPr>
        <w:t xml:space="preserve"> network.</w:t>
      </w:r>
      <w:r w:rsidRPr="00E02386">
        <w:rPr>
          <w:rFonts w:ascii="Arial" w:hAnsi="Arial" w:cs="Arial"/>
        </w:rPr>
        <w:t xml:space="preserve"> </w:t>
      </w:r>
      <w:hyperlink r:id="rId45" w:history="1">
        <w:r w:rsidRPr="00E02386">
          <w:rPr>
            <w:rStyle w:val="Hyperlink"/>
            <w:rFonts w:ascii="Arial" w:hAnsi="Arial" w:cs="Arial"/>
            <w:shd w:val="clear" w:color="auto" w:fill="FFFFFF"/>
          </w:rPr>
          <w:t>https://www.researchsquare.com/article/rs-3584501/latest</w:t>
        </w:r>
      </w:hyperlink>
    </w:p>
    <w:p w14:paraId="7E478796"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Wang, T., 2021. Discussion on business models of Alibaba and Amazon in three operating directions. </w:t>
      </w:r>
      <w:r w:rsidRPr="00E02386">
        <w:rPr>
          <w:rFonts w:ascii="Arial" w:hAnsi="Arial" w:cs="Arial"/>
          <w:i/>
          <w:iCs/>
          <w:color w:val="222222"/>
          <w:shd w:val="clear" w:color="auto" w:fill="FFFFFF"/>
        </w:rPr>
        <w:t>Frontiers</w:t>
      </w:r>
      <w:r w:rsidRPr="00E02386">
        <w:rPr>
          <w:rFonts w:ascii="Arial" w:hAnsi="Arial" w:cs="Arial"/>
          <w:color w:val="222222"/>
          <w:shd w:val="clear" w:color="auto" w:fill="FFFFFF"/>
        </w:rPr>
        <w:t>, </w:t>
      </w:r>
      <w:r w:rsidRPr="00E02386">
        <w:rPr>
          <w:rFonts w:ascii="Arial" w:hAnsi="Arial" w:cs="Arial"/>
          <w:i/>
          <w:iCs/>
          <w:color w:val="222222"/>
          <w:shd w:val="clear" w:color="auto" w:fill="FFFFFF"/>
        </w:rPr>
        <w:t>2</w:t>
      </w:r>
      <w:r w:rsidRPr="00E02386">
        <w:rPr>
          <w:rFonts w:ascii="Arial" w:hAnsi="Arial" w:cs="Arial"/>
          <w:color w:val="222222"/>
          <w:shd w:val="clear" w:color="auto" w:fill="FFFFFF"/>
        </w:rPr>
        <w:t>(4).</w:t>
      </w:r>
      <w:r w:rsidRPr="00E02386">
        <w:rPr>
          <w:rFonts w:ascii="Arial" w:hAnsi="Arial" w:cs="Arial"/>
        </w:rPr>
        <w:t xml:space="preserve"> </w:t>
      </w:r>
      <w:hyperlink r:id="rId46" w:history="1">
        <w:r w:rsidRPr="00E02386">
          <w:rPr>
            <w:rStyle w:val="Hyperlink"/>
            <w:rFonts w:ascii="Arial" w:hAnsi="Arial" w:cs="Arial"/>
            <w:shd w:val="clear" w:color="auto" w:fill="FFFFFF"/>
          </w:rPr>
          <w:t>http://www.fieam.org/download/FEM-2-4-15-21.pdf</w:t>
        </w:r>
      </w:hyperlink>
    </w:p>
    <w:p w14:paraId="19298639"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lastRenderedPageBreak/>
        <w:t>Wang, Z., 2025. A return of dominant paradigm in China: making Alibaba a development solution for rural China and the globe. </w:t>
      </w:r>
      <w:r w:rsidRPr="00E02386">
        <w:rPr>
          <w:rFonts w:ascii="Arial" w:hAnsi="Arial" w:cs="Arial"/>
          <w:i/>
          <w:iCs/>
          <w:color w:val="222222"/>
          <w:shd w:val="clear" w:color="auto" w:fill="FFFFFF"/>
        </w:rPr>
        <w:t>Information, Communication &amp; Society</w:t>
      </w:r>
      <w:r w:rsidRPr="00E02386">
        <w:rPr>
          <w:rFonts w:ascii="Arial" w:hAnsi="Arial" w:cs="Arial"/>
          <w:color w:val="222222"/>
          <w:shd w:val="clear" w:color="auto" w:fill="FFFFFF"/>
        </w:rPr>
        <w:t>, </w:t>
      </w:r>
      <w:r w:rsidRPr="00E02386">
        <w:rPr>
          <w:rFonts w:ascii="Arial" w:hAnsi="Arial" w:cs="Arial"/>
          <w:i/>
          <w:iCs/>
          <w:color w:val="222222"/>
          <w:shd w:val="clear" w:color="auto" w:fill="FFFFFF"/>
        </w:rPr>
        <w:t>28</w:t>
      </w:r>
      <w:r w:rsidRPr="00E02386">
        <w:rPr>
          <w:rFonts w:ascii="Arial" w:hAnsi="Arial" w:cs="Arial"/>
          <w:color w:val="222222"/>
          <w:shd w:val="clear" w:color="auto" w:fill="FFFFFF"/>
        </w:rPr>
        <w:t>(3), pp.396-416.</w:t>
      </w:r>
      <w:r w:rsidRPr="00E02386">
        <w:rPr>
          <w:rFonts w:ascii="Arial" w:hAnsi="Arial" w:cs="Arial"/>
        </w:rPr>
        <w:t xml:space="preserve"> </w:t>
      </w:r>
      <w:hyperlink r:id="rId47" w:history="1">
        <w:r w:rsidRPr="00E02386">
          <w:rPr>
            <w:rStyle w:val="Hyperlink"/>
            <w:rFonts w:ascii="Arial" w:hAnsi="Arial" w:cs="Arial"/>
            <w:shd w:val="clear" w:color="auto" w:fill="FFFFFF"/>
          </w:rPr>
          <w:t>https://www.tandfonline.com/doi/abs/10.1080/1369118X.2024.2363916</w:t>
        </w:r>
      </w:hyperlink>
    </w:p>
    <w:p w14:paraId="690EEE94"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 xml:space="preserve">Ying, Y. and </w:t>
      </w:r>
      <w:proofErr w:type="spellStart"/>
      <w:r w:rsidRPr="00E02386">
        <w:rPr>
          <w:rFonts w:ascii="Arial" w:hAnsi="Arial" w:cs="Arial"/>
          <w:color w:val="222222"/>
          <w:shd w:val="clear" w:color="auto" w:fill="FFFFFF"/>
        </w:rPr>
        <w:t>Idrakisyah</w:t>
      </w:r>
      <w:proofErr w:type="spellEnd"/>
      <w:r w:rsidRPr="00E02386">
        <w:rPr>
          <w:rFonts w:ascii="Arial" w:hAnsi="Arial" w:cs="Arial"/>
          <w:color w:val="222222"/>
          <w:shd w:val="clear" w:color="auto" w:fill="FFFFFF"/>
        </w:rPr>
        <w:t>, M., 2024. The Role of Market Segmentation and the Impact on Alibaba Company Online Business. </w:t>
      </w:r>
      <w:r w:rsidRPr="00E02386">
        <w:rPr>
          <w:rFonts w:ascii="Arial" w:hAnsi="Arial" w:cs="Arial"/>
          <w:i/>
          <w:iCs/>
          <w:color w:val="222222"/>
          <w:shd w:val="clear" w:color="auto" w:fill="FFFFFF"/>
        </w:rPr>
        <w:t>ALEXANDRIA (Journal of Economics, Business, &amp; Entrepreneurship)</w:t>
      </w:r>
      <w:r w:rsidRPr="00E02386">
        <w:rPr>
          <w:rFonts w:ascii="Arial" w:hAnsi="Arial" w:cs="Arial"/>
          <w:color w:val="222222"/>
          <w:shd w:val="clear" w:color="auto" w:fill="FFFFFF"/>
        </w:rPr>
        <w:t>, </w:t>
      </w:r>
      <w:r w:rsidRPr="00E02386">
        <w:rPr>
          <w:rFonts w:ascii="Arial" w:hAnsi="Arial" w:cs="Arial"/>
          <w:i/>
          <w:iCs/>
          <w:color w:val="222222"/>
          <w:shd w:val="clear" w:color="auto" w:fill="FFFFFF"/>
        </w:rPr>
        <w:t>5</w:t>
      </w:r>
      <w:r w:rsidRPr="00E02386">
        <w:rPr>
          <w:rFonts w:ascii="Arial" w:hAnsi="Arial" w:cs="Arial"/>
          <w:color w:val="222222"/>
          <w:shd w:val="clear" w:color="auto" w:fill="FFFFFF"/>
        </w:rPr>
        <w:t>(1), pp.53-59.</w:t>
      </w:r>
      <w:r w:rsidRPr="00E02386">
        <w:rPr>
          <w:rFonts w:ascii="Arial" w:hAnsi="Arial" w:cs="Arial"/>
        </w:rPr>
        <w:t xml:space="preserve"> </w:t>
      </w:r>
      <w:hyperlink r:id="rId48" w:history="1">
        <w:r w:rsidRPr="00E02386">
          <w:rPr>
            <w:rStyle w:val="Hyperlink"/>
            <w:rFonts w:ascii="Arial" w:hAnsi="Arial" w:cs="Arial"/>
            <w:shd w:val="clear" w:color="auto" w:fill="FFFFFF"/>
          </w:rPr>
          <w:t>https://jurnalpasca.unram.ac.id/index.php/alexandria/article/view/597</w:t>
        </w:r>
      </w:hyperlink>
    </w:p>
    <w:p w14:paraId="7CE3949B"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 xml:space="preserve">Ying, Y. and </w:t>
      </w:r>
      <w:proofErr w:type="spellStart"/>
      <w:r w:rsidRPr="00E02386">
        <w:rPr>
          <w:rFonts w:ascii="Arial" w:hAnsi="Arial" w:cs="Arial"/>
          <w:color w:val="222222"/>
          <w:shd w:val="clear" w:color="auto" w:fill="FFFFFF"/>
        </w:rPr>
        <w:t>Idrakisyah</w:t>
      </w:r>
      <w:proofErr w:type="spellEnd"/>
      <w:r w:rsidRPr="00E02386">
        <w:rPr>
          <w:rFonts w:ascii="Arial" w:hAnsi="Arial" w:cs="Arial"/>
          <w:color w:val="222222"/>
          <w:shd w:val="clear" w:color="auto" w:fill="FFFFFF"/>
        </w:rPr>
        <w:t>, M., 2024. The Role of Market Segmentation and the Impact on Alibaba Company Online Business. </w:t>
      </w:r>
      <w:r w:rsidRPr="00E02386">
        <w:rPr>
          <w:rFonts w:ascii="Arial" w:hAnsi="Arial" w:cs="Arial"/>
          <w:i/>
          <w:iCs/>
          <w:color w:val="222222"/>
          <w:shd w:val="clear" w:color="auto" w:fill="FFFFFF"/>
        </w:rPr>
        <w:t>ALEXANDRIA (Journal of Economics, Business, &amp; Entrepreneurship)</w:t>
      </w:r>
      <w:r w:rsidRPr="00E02386">
        <w:rPr>
          <w:rFonts w:ascii="Arial" w:hAnsi="Arial" w:cs="Arial"/>
          <w:color w:val="222222"/>
          <w:shd w:val="clear" w:color="auto" w:fill="FFFFFF"/>
        </w:rPr>
        <w:t>, </w:t>
      </w:r>
      <w:r w:rsidRPr="00E02386">
        <w:rPr>
          <w:rFonts w:ascii="Arial" w:hAnsi="Arial" w:cs="Arial"/>
          <w:i/>
          <w:iCs/>
          <w:color w:val="222222"/>
          <w:shd w:val="clear" w:color="auto" w:fill="FFFFFF"/>
        </w:rPr>
        <w:t>5</w:t>
      </w:r>
      <w:r w:rsidRPr="00E02386">
        <w:rPr>
          <w:rFonts w:ascii="Arial" w:hAnsi="Arial" w:cs="Arial"/>
          <w:color w:val="222222"/>
          <w:shd w:val="clear" w:color="auto" w:fill="FFFFFF"/>
        </w:rPr>
        <w:t>(1), pp.53-59.</w:t>
      </w:r>
      <w:r w:rsidRPr="00E02386">
        <w:rPr>
          <w:rFonts w:ascii="Arial" w:hAnsi="Arial" w:cs="Arial"/>
        </w:rPr>
        <w:t xml:space="preserve"> </w:t>
      </w:r>
      <w:hyperlink r:id="rId49" w:history="1">
        <w:r w:rsidRPr="00E02386">
          <w:rPr>
            <w:rStyle w:val="Hyperlink"/>
            <w:rFonts w:ascii="Arial" w:hAnsi="Arial" w:cs="Arial"/>
            <w:shd w:val="clear" w:color="auto" w:fill="FFFFFF"/>
          </w:rPr>
          <w:t>https://jurnalpasca.unram.ac.id/index.php/alexandria/article/view/597</w:t>
        </w:r>
      </w:hyperlink>
    </w:p>
    <w:p w14:paraId="41C8ED47"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 xml:space="preserve">Yun, J.J., Zhao, X., Park, K. and Shi, L., 2020. Sustainability condition of open innovation: Dynamic growth of </w:t>
      </w:r>
      <w:proofErr w:type="spellStart"/>
      <w:r w:rsidRPr="00E02386">
        <w:rPr>
          <w:rFonts w:ascii="Arial" w:hAnsi="Arial" w:cs="Arial"/>
          <w:color w:val="222222"/>
          <w:shd w:val="clear" w:color="auto" w:fill="FFFFFF"/>
        </w:rPr>
        <w:t>alibaba</w:t>
      </w:r>
      <w:proofErr w:type="spellEnd"/>
      <w:r w:rsidRPr="00E02386">
        <w:rPr>
          <w:rFonts w:ascii="Arial" w:hAnsi="Arial" w:cs="Arial"/>
          <w:color w:val="222222"/>
          <w:shd w:val="clear" w:color="auto" w:fill="FFFFFF"/>
        </w:rPr>
        <w:t xml:space="preserve"> from SME to large enterprise. </w:t>
      </w:r>
      <w:r w:rsidRPr="00E02386">
        <w:rPr>
          <w:rFonts w:ascii="Arial" w:hAnsi="Arial" w:cs="Arial"/>
          <w:i/>
          <w:iCs/>
          <w:color w:val="222222"/>
          <w:shd w:val="clear" w:color="auto" w:fill="FFFFFF"/>
        </w:rPr>
        <w:t>Sustainability</w:t>
      </w:r>
      <w:r w:rsidRPr="00E02386">
        <w:rPr>
          <w:rFonts w:ascii="Arial" w:hAnsi="Arial" w:cs="Arial"/>
          <w:color w:val="222222"/>
          <w:shd w:val="clear" w:color="auto" w:fill="FFFFFF"/>
        </w:rPr>
        <w:t>, </w:t>
      </w:r>
      <w:r w:rsidRPr="00E02386">
        <w:rPr>
          <w:rFonts w:ascii="Arial" w:hAnsi="Arial" w:cs="Arial"/>
          <w:i/>
          <w:iCs/>
          <w:color w:val="222222"/>
          <w:shd w:val="clear" w:color="auto" w:fill="FFFFFF"/>
        </w:rPr>
        <w:t>12</w:t>
      </w:r>
      <w:r w:rsidRPr="00E02386">
        <w:rPr>
          <w:rFonts w:ascii="Arial" w:hAnsi="Arial" w:cs="Arial"/>
          <w:color w:val="222222"/>
          <w:shd w:val="clear" w:color="auto" w:fill="FFFFFF"/>
        </w:rPr>
        <w:t>(11), p.4379.</w:t>
      </w:r>
      <w:r w:rsidRPr="00E02386">
        <w:rPr>
          <w:rFonts w:ascii="Arial" w:hAnsi="Arial" w:cs="Arial"/>
        </w:rPr>
        <w:t xml:space="preserve"> </w:t>
      </w:r>
      <w:hyperlink r:id="rId50" w:history="1">
        <w:r w:rsidRPr="00E02386">
          <w:rPr>
            <w:rStyle w:val="Hyperlink"/>
            <w:rFonts w:ascii="Arial" w:hAnsi="Arial" w:cs="Arial"/>
            <w:shd w:val="clear" w:color="auto" w:fill="FFFFFF"/>
          </w:rPr>
          <w:t>https://www.mdpi.com/2071-1050/12/11/4379</w:t>
        </w:r>
      </w:hyperlink>
    </w:p>
    <w:p w14:paraId="54439715"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Zhang, G. and Ravishankar, M.N., 2019. Exploring vendor capabilities in the cloud environment: A case study of Alibaba Cloud Computing. </w:t>
      </w:r>
      <w:r w:rsidRPr="00E02386">
        <w:rPr>
          <w:rFonts w:ascii="Arial" w:hAnsi="Arial" w:cs="Arial"/>
          <w:i/>
          <w:iCs/>
          <w:color w:val="222222"/>
          <w:shd w:val="clear" w:color="auto" w:fill="FFFFFF"/>
        </w:rPr>
        <w:t>Information &amp; Management</w:t>
      </w:r>
      <w:r w:rsidRPr="00E02386">
        <w:rPr>
          <w:rFonts w:ascii="Arial" w:hAnsi="Arial" w:cs="Arial"/>
          <w:color w:val="222222"/>
          <w:shd w:val="clear" w:color="auto" w:fill="FFFFFF"/>
        </w:rPr>
        <w:t>, </w:t>
      </w:r>
      <w:r w:rsidRPr="00E02386">
        <w:rPr>
          <w:rFonts w:ascii="Arial" w:hAnsi="Arial" w:cs="Arial"/>
          <w:i/>
          <w:iCs/>
          <w:color w:val="222222"/>
          <w:shd w:val="clear" w:color="auto" w:fill="FFFFFF"/>
        </w:rPr>
        <w:t>56</w:t>
      </w:r>
      <w:r w:rsidRPr="00E02386">
        <w:rPr>
          <w:rFonts w:ascii="Arial" w:hAnsi="Arial" w:cs="Arial"/>
          <w:color w:val="222222"/>
          <w:shd w:val="clear" w:color="auto" w:fill="FFFFFF"/>
        </w:rPr>
        <w:t>(3), pp.343-355.</w:t>
      </w:r>
      <w:r w:rsidRPr="00E02386">
        <w:rPr>
          <w:rFonts w:ascii="Arial" w:hAnsi="Arial" w:cs="Arial"/>
        </w:rPr>
        <w:t xml:space="preserve"> </w:t>
      </w:r>
      <w:hyperlink r:id="rId51" w:history="1">
        <w:r w:rsidRPr="00E02386">
          <w:rPr>
            <w:rStyle w:val="Hyperlink"/>
            <w:rFonts w:ascii="Arial" w:hAnsi="Arial" w:cs="Arial"/>
            <w:shd w:val="clear" w:color="auto" w:fill="FFFFFF"/>
          </w:rPr>
          <w:t>https://www.sciencedirect.com/science/article/pii/S0378720617311199</w:t>
        </w:r>
      </w:hyperlink>
    </w:p>
    <w:p w14:paraId="4007D5BF" w14:textId="77777777" w:rsidR="00E02386" w:rsidRPr="00E02386" w:rsidRDefault="00E02386" w:rsidP="00E02386">
      <w:pPr>
        <w:spacing w:line="360" w:lineRule="auto"/>
        <w:jc w:val="both"/>
        <w:rPr>
          <w:rFonts w:ascii="Arial" w:hAnsi="Arial" w:cs="Arial"/>
          <w:lang w:val="en-US"/>
        </w:rPr>
      </w:pPr>
      <w:r w:rsidRPr="00E02386">
        <w:rPr>
          <w:rFonts w:ascii="Arial" w:hAnsi="Arial" w:cs="Arial"/>
          <w:color w:val="222222"/>
          <w:shd w:val="clear" w:color="auto" w:fill="FFFFFF"/>
        </w:rPr>
        <w:t>Zimmermann, Y. and Stehr, C., TEACHING GLOBALISATION THROUGH A CASE STUDY: THE RISE OF ALI BABA.</w:t>
      </w:r>
      <w:r w:rsidRPr="00E02386">
        <w:rPr>
          <w:rFonts w:ascii="Arial" w:hAnsi="Arial" w:cs="Arial"/>
        </w:rPr>
        <w:t xml:space="preserve"> </w:t>
      </w:r>
      <w:hyperlink r:id="rId52" w:history="1">
        <w:r w:rsidRPr="00E02386">
          <w:rPr>
            <w:rStyle w:val="Hyperlink"/>
            <w:rFonts w:ascii="Arial" w:hAnsi="Arial" w:cs="Arial"/>
            <w:shd w:val="clear" w:color="auto" w:fill="FFFFFF"/>
          </w:rPr>
          <w:t>https://www.researchgate.net/profile/Yves-Zimmermann/publication/336578644_TEACHING_GLOBALISATION_THROUGH_A_CASE_STUDY_THE_RISE_OF_ALI_BABA_-_Educational_Alternatives_ISSN_1314-7277_Volume_17_2019/links/5da6c8f292851caa1ba6358c/TEACHING-GLOBALISATION-THROUGH-A-CASE-STUDY-THE-RISE-OF-ALI-BABA-Educational-Alternatives-ISSN-1314-7277-Volume-17-2019.pdf</w:t>
        </w:r>
      </w:hyperlink>
    </w:p>
    <w:sectPr w:rsidR="00E02386" w:rsidRPr="00E02386">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D6EB5" w14:textId="77777777" w:rsidR="00DF2323" w:rsidRDefault="00DF2323" w:rsidP="00E02386">
      <w:pPr>
        <w:spacing w:after="0" w:line="240" w:lineRule="auto"/>
      </w:pPr>
      <w:r>
        <w:separator/>
      </w:r>
    </w:p>
  </w:endnote>
  <w:endnote w:type="continuationSeparator" w:id="0">
    <w:p w14:paraId="78F56D1C" w14:textId="77777777" w:rsidR="00DF2323" w:rsidRDefault="00DF2323" w:rsidP="00E02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3760092"/>
      <w:docPartObj>
        <w:docPartGallery w:val="Page Numbers (Bottom of Page)"/>
        <w:docPartUnique/>
      </w:docPartObj>
    </w:sdtPr>
    <w:sdtEndPr>
      <w:rPr>
        <w:noProof/>
      </w:rPr>
    </w:sdtEndPr>
    <w:sdtContent>
      <w:p w14:paraId="69EEBBA7" w14:textId="4BC9887D" w:rsidR="00E02386" w:rsidRDefault="00E023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5EAA9F" w14:textId="77777777" w:rsidR="00E02386" w:rsidRDefault="00E02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C1D87" w14:textId="77777777" w:rsidR="00DF2323" w:rsidRDefault="00DF2323" w:rsidP="00E02386">
      <w:pPr>
        <w:spacing w:after="0" w:line="240" w:lineRule="auto"/>
      </w:pPr>
      <w:r>
        <w:separator/>
      </w:r>
    </w:p>
  </w:footnote>
  <w:footnote w:type="continuationSeparator" w:id="0">
    <w:p w14:paraId="009AC311" w14:textId="77777777" w:rsidR="00DF2323" w:rsidRDefault="00DF2323" w:rsidP="00E023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224"/>
    <w:multiLevelType w:val="hybridMultilevel"/>
    <w:tmpl w:val="0EBCC1EA"/>
    <w:lvl w:ilvl="0" w:tplc="4009000F">
      <w:start w:val="1"/>
      <w:numFmt w:val="decimal"/>
      <w:lvlText w:val="%1."/>
      <w:lvlJc w:val="left"/>
      <w:pPr>
        <w:ind w:left="502"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E676A25"/>
    <w:multiLevelType w:val="hybridMultilevel"/>
    <w:tmpl w:val="D696B8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EA52D02"/>
    <w:multiLevelType w:val="multilevel"/>
    <w:tmpl w:val="C64E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011EB5"/>
    <w:multiLevelType w:val="hybridMultilevel"/>
    <w:tmpl w:val="710C62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E020B48"/>
    <w:multiLevelType w:val="multilevel"/>
    <w:tmpl w:val="F7BA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9E1298"/>
    <w:multiLevelType w:val="hybridMultilevel"/>
    <w:tmpl w:val="096267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F66394F"/>
    <w:multiLevelType w:val="hybridMultilevel"/>
    <w:tmpl w:val="8512A2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25271331">
    <w:abstractNumId w:val="4"/>
  </w:num>
  <w:num w:numId="2" w16cid:durableId="1203131394">
    <w:abstractNumId w:val="2"/>
  </w:num>
  <w:num w:numId="3" w16cid:durableId="2106992768">
    <w:abstractNumId w:val="5"/>
  </w:num>
  <w:num w:numId="4" w16cid:durableId="1314093745">
    <w:abstractNumId w:val="1"/>
  </w:num>
  <w:num w:numId="5" w16cid:durableId="84308966">
    <w:abstractNumId w:val="6"/>
  </w:num>
  <w:num w:numId="6" w16cid:durableId="1125466325">
    <w:abstractNumId w:val="3"/>
  </w:num>
  <w:num w:numId="7" w16cid:durableId="1620140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5B7"/>
    <w:rsid w:val="00111BCC"/>
    <w:rsid w:val="001935B7"/>
    <w:rsid w:val="00196125"/>
    <w:rsid w:val="002419E2"/>
    <w:rsid w:val="00295766"/>
    <w:rsid w:val="00302001"/>
    <w:rsid w:val="00321CC1"/>
    <w:rsid w:val="004D5125"/>
    <w:rsid w:val="005647D4"/>
    <w:rsid w:val="00600ACA"/>
    <w:rsid w:val="0065525D"/>
    <w:rsid w:val="0066244F"/>
    <w:rsid w:val="00695875"/>
    <w:rsid w:val="00797266"/>
    <w:rsid w:val="00801156"/>
    <w:rsid w:val="0085355D"/>
    <w:rsid w:val="008911C3"/>
    <w:rsid w:val="008C416D"/>
    <w:rsid w:val="00926AB1"/>
    <w:rsid w:val="009854AA"/>
    <w:rsid w:val="00993740"/>
    <w:rsid w:val="009C2D18"/>
    <w:rsid w:val="00A73BCF"/>
    <w:rsid w:val="00A74F08"/>
    <w:rsid w:val="00AA03CC"/>
    <w:rsid w:val="00AB54C0"/>
    <w:rsid w:val="00B077FE"/>
    <w:rsid w:val="00B3492A"/>
    <w:rsid w:val="00C55713"/>
    <w:rsid w:val="00C94574"/>
    <w:rsid w:val="00CE2E9A"/>
    <w:rsid w:val="00D4063F"/>
    <w:rsid w:val="00D648E4"/>
    <w:rsid w:val="00DF2323"/>
    <w:rsid w:val="00E02386"/>
    <w:rsid w:val="00E13432"/>
    <w:rsid w:val="00FA14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8463E"/>
  <w15:chartTrackingRefBased/>
  <w15:docId w15:val="{71F783E4-74DC-4585-9034-F2B7F01D5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5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35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5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5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5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5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5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5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5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5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35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5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5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5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5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5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5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5B7"/>
    <w:rPr>
      <w:rFonts w:eastAsiaTheme="majorEastAsia" w:cstheme="majorBidi"/>
      <w:color w:val="272727" w:themeColor="text1" w:themeTint="D8"/>
    </w:rPr>
  </w:style>
  <w:style w:type="paragraph" w:styleId="Title">
    <w:name w:val="Title"/>
    <w:basedOn w:val="Normal"/>
    <w:next w:val="Normal"/>
    <w:link w:val="TitleChar"/>
    <w:uiPriority w:val="10"/>
    <w:qFormat/>
    <w:rsid w:val="001935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5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5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5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5B7"/>
    <w:pPr>
      <w:spacing w:before="160"/>
      <w:jc w:val="center"/>
    </w:pPr>
    <w:rPr>
      <w:i/>
      <w:iCs/>
      <w:color w:val="404040" w:themeColor="text1" w:themeTint="BF"/>
    </w:rPr>
  </w:style>
  <w:style w:type="character" w:customStyle="1" w:styleId="QuoteChar">
    <w:name w:val="Quote Char"/>
    <w:basedOn w:val="DefaultParagraphFont"/>
    <w:link w:val="Quote"/>
    <w:uiPriority w:val="29"/>
    <w:rsid w:val="001935B7"/>
    <w:rPr>
      <w:i/>
      <w:iCs/>
      <w:color w:val="404040" w:themeColor="text1" w:themeTint="BF"/>
    </w:rPr>
  </w:style>
  <w:style w:type="paragraph" w:styleId="ListParagraph">
    <w:name w:val="List Paragraph"/>
    <w:basedOn w:val="Normal"/>
    <w:uiPriority w:val="34"/>
    <w:qFormat/>
    <w:rsid w:val="001935B7"/>
    <w:pPr>
      <w:ind w:left="720"/>
      <w:contextualSpacing/>
    </w:pPr>
  </w:style>
  <w:style w:type="character" w:styleId="IntenseEmphasis">
    <w:name w:val="Intense Emphasis"/>
    <w:basedOn w:val="DefaultParagraphFont"/>
    <w:uiPriority w:val="21"/>
    <w:qFormat/>
    <w:rsid w:val="001935B7"/>
    <w:rPr>
      <w:i/>
      <w:iCs/>
      <w:color w:val="0F4761" w:themeColor="accent1" w:themeShade="BF"/>
    </w:rPr>
  </w:style>
  <w:style w:type="paragraph" w:styleId="IntenseQuote">
    <w:name w:val="Intense Quote"/>
    <w:basedOn w:val="Normal"/>
    <w:next w:val="Normal"/>
    <w:link w:val="IntenseQuoteChar"/>
    <w:uiPriority w:val="30"/>
    <w:qFormat/>
    <w:rsid w:val="001935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5B7"/>
    <w:rPr>
      <w:i/>
      <w:iCs/>
      <w:color w:val="0F4761" w:themeColor="accent1" w:themeShade="BF"/>
    </w:rPr>
  </w:style>
  <w:style w:type="character" w:styleId="IntenseReference">
    <w:name w:val="Intense Reference"/>
    <w:basedOn w:val="DefaultParagraphFont"/>
    <w:uiPriority w:val="32"/>
    <w:qFormat/>
    <w:rsid w:val="001935B7"/>
    <w:rPr>
      <w:b/>
      <w:bCs/>
      <w:smallCaps/>
      <w:color w:val="0F4761" w:themeColor="accent1" w:themeShade="BF"/>
      <w:spacing w:val="5"/>
    </w:rPr>
  </w:style>
  <w:style w:type="character" w:styleId="Hyperlink">
    <w:name w:val="Hyperlink"/>
    <w:basedOn w:val="DefaultParagraphFont"/>
    <w:uiPriority w:val="99"/>
    <w:unhideWhenUsed/>
    <w:rsid w:val="00E02386"/>
    <w:rPr>
      <w:color w:val="467886" w:themeColor="hyperlink"/>
      <w:u w:val="single"/>
    </w:rPr>
  </w:style>
  <w:style w:type="paragraph" w:styleId="Header">
    <w:name w:val="header"/>
    <w:basedOn w:val="Normal"/>
    <w:link w:val="HeaderChar"/>
    <w:uiPriority w:val="99"/>
    <w:unhideWhenUsed/>
    <w:rsid w:val="00E02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386"/>
  </w:style>
  <w:style w:type="paragraph" w:styleId="Footer">
    <w:name w:val="footer"/>
    <w:basedOn w:val="Normal"/>
    <w:link w:val="FooterChar"/>
    <w:uiPriority w:val="99"/>
    <w:unhideWhenUsed/>
    <w:rsid w:val="00E02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386"/>
  </w:style>
  <w:style w:type="paragraph" w:styleId="TOCHeading">
    <w:name w:val="TOC Heading"/>
    <w:basedOn w:val="Heading1"/>
    <w:next w:val="Normal"/>
    <w:uiPriority w:val="39"/>
    <w:unhideWhenUsed/>
    <w:qFormat/>
    <w:rsid w:val="00E0238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11BCC"/>
    <w:pPr>
      <w:tabs>
        <w:tab w:val="right" w:leader="dot" w:pos="9016"/>
      </w:tabs>
      <w:spacing w:after="100" w:line="360" w:lineRule="auto"/>
    </w:pPr>
  </w:style>
  <w:style w:type="paragraph" w:customStyle="1" w:styleId="Default">
    <w:name w:val="Default"/>
    <w:rsid w:val="00AA03CC"/>
    <w:pPr>
      <w:autoSpaceDE w:val="0"/>
      <w:autoSpaceDN w:val="0"/>
      <w:adjustRightInd w:val="0"/>
      <w:spacing w:after="0" w:line="240" w:lineRule="auto"/>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55487">
      <w:bodyDiv w:val="1"/>
      <w:marLeft w:val="0"/>
      <w:marRight w:val="0"/>
      <w:marTop w:val="0"/>
      <w:marBottom w:val="0"/>
      <w:divBdr>
        <w:top w:val="none" w:sz="0" w:space="0" w:color="auto"/>
        <w:left w:val="none" w:sz="0" w:space="0" w:color="auto"/>
        <w:bottom w:val="none" w:sz="0" w:space="0" w:color="auto"/>
        <w:right w:val="none" w:sz="0" w:space="0" w:color="auto"/>
      </w:divBdr>
    </w:div>
    <w:div w:id="156967464">
      <w:bodyDiv w:val="1"/>
      <w:marLeft w:val="0"/>
      <w:marRight w:val="0"/>
      <w:marTop w:val="0"/>
      <w:marBottom w:val="0"/>
      <w:divBdr>
        <w:top w:val="none" w:sz="0" w:space="0" w:color="auto"/>
        <w:left w:val="none" w:sz="0" w:space="0" w:color="auto"/>
        <w:bottom w:val="none" w:sz="0" w:space="0" w:color="auto"/>
        <w:right w:val="none" w:sz="0" w:space="0" w:color="auto"/>
      </w:divBdr>
    </w:div>
    <w:div w:id="245920028">
      <w:bodyDiv w:val="1"/>
      <w:marLeft w:val="0"/>
      <w:marRight w:val="0"/>
      <w:marTop w:val="0"/>
      <w:marBottom w:val="0"/>
      <w:divBdr>
        <w:top w:val="none" w:sz="0" w:space="0" w:color="auto"/>
        <w:left w:val="none" w:sz="0" w:space="0" w:color="auto"/>
        <w:bottom w:val="none" w:sz="0" w:space="0" w:color="auto"/>
        <w:right w:val="none" w:sz="0" w:space="0" w:color="auto"/>
      </w:divBdr>
    </w:div>
    <w:div w:id="331180386">
      <w:bodyDiv w:val="1"/>
      <w:marLeft w:val="0"/>
      <w:marRight w:val="0"/>
      <w:marTop w:val="0"/>
      <w:marBottom w:val="0"/>
      <w:divBdr>
        <w:top w:val="none" w:sz="0" w:space="0" w:color="auto"/>
        <w:left w:val="none" w:sz="0" w:space="0" w:color="auto"/>
        <w:bottom w:val="none" w:sz="0" w:space="0" w:color="auto"/>
        <w:right w:val="none" w:sz="0" w:space="0" w:color="auto"/>
      </w:divBdr>
    </w:div>
    <w:div w:id="337461174">
      <w:bodyDiv w:val="1"/>
      <w:marLeft w:val="0"/>
      <w:marRight w:val="0"/>
      <w:marTop w:val="0"/>
      <w:marBottom w:val="0"/>
      <w:divBdr>
        <w:top w:val="none" w:sz="0" w:space="0" w:color="auto"/>
        <w:left w:val="none" w:sz="0" w:space="0" w:color="auto"/>
        <w:bottom w:val="none" w:sz="0" w:space="0" w:color="auto"/>
        <w:right w:val="none" w:sz="0" w:space="0" w:color="auto"/>
      </w:divBdr>
    </w:div>
    <w:div w:id="400446325">
      <w:bodyDiv w:val="1"/>
      <w:marLeft w:val="0"/>
      <w:marRight w:val="0"/>
      <w:marTop w:val="0"/>
      <w:marBottom w:val="0"/>
      <w:divBdr>
        <w:top w:val="none" w:sz="0" w:space="0" w:color="auto"/>
        <w:left w:val="none" w:sz="0" w:space="0" w:color="auto"/>
        <w:bottom w:val="none" w:sz="0" w:space="0" w:color="auto"/>
        <w:right w:val="none" w:sz="0" w:space="0" w:color="auto"/>
      </w:divBdr>
    </w:div>
    <w:div w:id="418599572">
      <w:bodyDiv w:val="1"/>
      <w:marLeft w:val="0"/>
      <w:marRight w:val="0"/>
      <w:marTop w:val="0"/>
      <w:marBottom w:val="0"/>
      <w:divBdr>
        <w:top w:val="none" w:sz="0" w:space="0" w:color="auto"/>
        <w:left w:val="none" w:sz="0" w:space="0" w:color="auto"/>
        <w:bottom w:val="none" w:sz="0" w:space="0" w:color="auto"/>
        <w:right w:val="none" w:sz="0" w:space="0" w:color="auto"/>
      </w:divBdr>
    </w:div>
    <w:div w:id="419178204">
      <w:bodyDiv w:val="1"/>
      <w:marLeft w:val="0"/>
      <w:marRight w:val="0"/>
      <w:marTop w:val="0"/>
      <w:marBottom w:val="0"/>
      <w:divBdr>
        <w:top w:val="none" w:sz="0" w:space="0" w:color="auto"/>
        <w:left w:val="none" w:sz="0" w:space="0" w:color="auto"/>
        <w:bottom w:val="none" w:sz="0" w:space="0" w:color="auto"/>
        <w:right w:val="none" w:sz="0" w:space="0" w:color="auto"/>
      </w:divBdr>
    </w:div>
    <w:div w:id="440733384">
      <w:bodyDiv w:val="1"/>
      <w:marLeft w:val="0"/>
      <w:marRight w:val="0"/>
      <w:marTop w:val="0"/>
      <w:marBottom w:val="0"/>
      <w:divBdr>
        <w:top w:val="none" w:sz="0" w:space="0" w:color="auto"/>
        <w:left w:val="none" w:sz="0" w:space="0" w:color="auto"/>
        <w:bottom w:val="none" w:sz="0" w:space="0" w:color="auto"/>
        <w:right w:val="none" w:sz="0" w:space="0" w:color="auto"/>
      </w:divBdr>
    </w:div>
    <w:div w:id="469790766">
      <w:bodyDiv w:val="1"/>
      <w:marLeft w:val="0"/>
      <w:marRight w:val="0"/>
      <w:marTop w:val="0"/>
      <w:marBottom w:val="0"/>
      <w:divBdr>
        <w:top w:val="none" w:sz="0" w:space="0" w:color="auto"/>
        <w:left w:val="none" w:sz="0" w:space="0" w:color="auto"/>
        <w:bottom w:val="none" w:sz="0" w:space="0" w:color="auto"/>
        <w:right w:val="none" w:sz="0" w:space="0" w:color="auto"/>
      </w:divBdr>
    </w:div>
    <w:div w:id="543904869">
      <w:bodyDiv w:val="1"/>
      <w:marLeft w:val="0"/>
      <w:marRight w:val="0"/>
      <w:marTop w:val="0"/>
      <w:marBottom w:val="0"/>
      <w:divBdr>
        <w:top w:val="none" w:sz="0" w:space="0" w:color="auto"/>
        <w:left w:val="none" w:sz="0" w:space="0" w:color="auto"/>
        <w:bottom w:val="none" w:sz="0" w:space="0" w:color="auto"/>
        <w:right w:val="none" w:sz="0" w:space="0" w:color="auto"/>
      </w:divBdr>
    </w:div>
    <w:div w:id="548761189">
      <w:bodyDiv w:val="1"/>
      <w:marLeft w:val="0"/>
      <w:marRight w:val="0"/>
      <w:marTop w:val="0"/>
      <w:marBottom w:val="0"/>
      <w:divBdr>
        <w:top w:val="none" w:sz="0" w:space="0" w:color="auto"/>
        <w:left w:val="none" w:sz="0" w:space="0" w:color="auto"/>
        <w:bottom w:val="none" w:sz="0" w:space="0" w:color="auto"/>
        <w:right w:val="none" w:sz="0" w:space="0" w:color="auto"/>
      </w:divBdr>
    </w:div>
    <w:div w:id="565578885">
      <w:bodyDiv w:val="1"/>
      <w:marLeft w:val="0"/>
      <w:marRight w:val="0"/>
      <w:marTop w:val="0"/>
      <w:marBottom w:val="0"/>
      <w:divBdr>
        <w:top w:val="none" w:sz="0" w:space="0" w:color="auto"/>
        <w:left w:val="none" w:sz="0" w:space="0" w:color="auto"/>
        <w:bottom w:val="none" w:sz="0" w:space="0" w:color="auto"/>
        <w:right w:val="none" w:sz="0" w:space="0" w:color="auto"/>
      </w:divBdr>
    </w:div>
    <w:div w:id="682712016">
      <w:bodyDiv w:val="1"/>
      <w:marLeft w:val="0"/>
      <w:marRight w:val="0"/>
      <w:marTop w:val="0"/>
      <w:marBottom w:val="0"/>
      <w:divBdr>
        <w:top w:val="none" w:sz="0" w:space="0" w:color="auto"/>
        <w:left w:val="none" w:sz="0" w:space="0" w:color="auto"/>
        <w:bottom w:val="none" w:sz="0" w:space="0" w:color="auto"/>
        <w:right w:val="none" w:sz="0" w:space="0" w:color="auto"/>
      </w:divBdr>
    </w:div>
    <w:div w:id="701443836">
      <w:bodyDiv w:val="1"/>
      <w:marLeft w:val="0"/>
      <w:marRight w:val="0"/>
      <w:marTop w:val="0"/>
      <w:marBottom w:val="0"/>
      <w:divBdr>
        <w:top w:val="none" w:sz="0" w:space="0" w:color="auto"/>
        <w:left w:val="none" w:sz="0" w:space="0" w:color="auto"/>
        <w:bottom w:val="none" w:sz="0" w:space="0" w:color="auto"/>
        <w:right w:val="none" w:sz="0" w:space="0" w:color="auto"/>
      </w:divBdr>
    </w:div>
    <w:div w:id="762074322">
      <w:bodyDiv w:val="1"/>
      <w:marLeft w:val="0"/>
      <w:marRight w:val="0"/>
      <w:marTop w:val="0"/>
      <w:marBottom w:val="0"/>
      <w:divBdr>
        <w:top w:val="none" w:sz="0" w:space="0" w:color="auto"/>
        <w:left w:val="none" w:sz="0" w:space="0" w:color="auto"/>
        <w:bottom w:val="none" w:sz="0" w:space="0" w:color="auto"/>
        <w:right w:val="none" w:sz="0" w:space="0" w:color="auto"/>
      </w:divBdr>
    </w:div>
    <w:div w:id="804277063">
      <w:bodyDiv w:val="1"/>
      <w:marLeft w:val="0"/>
      <w:marRight w:val="0"/>
      <w:marTop w:val="0"/>
      <w:marBottom w:val="0"/>
      <w:divBdr>
        <w:top w:val="none" w:sz="0" w:space="0" w:color="auto"/>
        <w:left w:val="none" w:sz="0" w:space="0" w:color="auto"/>
        <w:bottom w:val="none" w:sz="0" w:space="0" w:color="auto"/>
        <w:right w:val="none" w:sz="0" w:space="0" w:color="auto"/>
      </w:divBdr>
    </w:div>
    <w:div w:id="825514865">
      <w:bodyDiv w:val="1"/>
      <w:marLeft w:val="0"/>
      <w:marRight w:val="0"/>
      <w:marTop w:val="0"/>
      <w:marBottom w:val="0"/>
      <w:divBdr>
        <w:top w:val="none" w:sz="0" w:space="0" w:color="auto"/>
        <w:left w:val="none" w:sz="0" w:space="0" w:color="auto"/>
        <w:bottom w:val="none" w:sz="0" w:space="0" w:color="auto"/>
        <w:right w:val="none" w:sz="0" w:space="0" w:color="auto"/>
      </w:divBdr>
    </w:div>
    <w:div w:id="912472119">
      <w:bodyDiv w:val="1"/>
      <w:marLeft w:val="0"/>
      <w:marRight w:val="0"/>
      <w:marTop w:val="0"/>
      <w:marBottom w:val="0"/>
      <w:divBdr>
        <w:top w:val="none" w:sz="0" w:space="0" w:color="auto"/>
        <w:left w:val="none" w:sz="0" w:space="0" w:color="auto"/>
        <w:bottom w:val="none" w:sz="0" w:space="0" w:color="auto"/>
        <w:right w:val="none" w:sz="0" w:space="0" w:color="auto"/>
      </w:divBdr>
    </w:div>
    <w:div w:id="914242391">
      <w:bodyDiv w:val="1"/>
      <w:marLeft w:val="0"/>
      <w:marRight w:val="0"/>
      <w:marTop w:val="0"/>
      <w:marBottom w:val="0"/>
      <w:divBdr>
        <w:top w:val="none" w:sz="0" w:space="0" w:color="auto"/>
        <w:left w:val="none" w:sz="0" w:space="0" w:color="auto"/>
        <w:bottom w:val="none" w:sz="0" w:space="0" w:color="auto"/>
        <w:right w:val="none" w:sz="0" w:space="0" w:color="auto"/>
      </w:divBdr>
    </w:div>
    <w:div w:id="1003900733">
      <w:bodyDiv w:val="1"/>
      <w:marLeft w:val="0"/>
      <w:marRight w:val="0"/>
      <w:marTop w:val="0"/>
      <w:marBottom w:val="0"/>
      <w:divBdr>
        <w:top w:val="none" w:sz="0" w:space="0" w:color="auto"/>
        <w:left w:val="none" w:sz="0" w:space="0" w:color="auto"/>
        <w:bottom w:val="none" w:sz="0" w:space="0" w:color="auto"/>
        <w:right w:val="none" w:sz="0" w:space="0" w:color="auto"/>
      </w:divBdr>
    </w:div>
    <w:div w:id="1086413935">
      <w:bodyDiv w:val="1"/>
      <w:marLeft w:val="0"/>
      <w:marRight w:val="0"/>
      <w:marTop w:val="0"/>
      <w:marBottom w:val="0"/>
      <w:divBdr>
        <w:top w:val="none" w:sz="0" w:space="0" w:color="auto"/>
        <w:left w:val="none" w:sz="0" w:space="0" w:color="auto"/>
        <w:bottom w:val="none" w:sz="0" w:space="0" w:color="auto"/>
        <w:right w:val="none" w:sz="0" w:space="0" w:color="auto"/>
      </w:divBdr>
    </w:div>
    <w:div w:id="1102149261">
      <w:bodyDiv w:val="1"/>
      <w:marLeft w:val="0"/>
      <w:marRight w:val="0"/>
      <w:marTop w:val="0"/>
      <w:marBottom w:val="0"/>
      <w:divBdr>
        <w:top w:val="none" w:sz="0" w:space="0" w:color="auto"/>
        <w:left w:val="none" w:sz="0" w:space="0" w:color="auto"/>
        <w:bottom w:val="none" w:sz="0" w:space="0" w:color="auto"/>
        <w:right w:val="none" w:sz="0" w:space="0" w:color="auto"/>
      </w:divBdr>
    </w:div>
    <w:div w:id="1105225055">
      <w:bodyDiv w:val="1"/>
      <w:marLeft w:val="0"/>
      <w:marRight w:val="0"/>
      <w:marTop w:val="0"/>
      <w:marBottom w:val="0"/>
      <w:divBdr>
        <w:top w:val="none" w:sz="0" w:space="0" w:color="auto"/>
        <w:left w:val="none" w:sz="0" w:space="0" w:color="auto"/>
        <w:bottom w:val="none" w:sz="0" w:space="0" w:color="auto"/>
        <w:right w:val="none" w:sz="0" w:space="0" w:color="auto"/>
      </w:divBdr>
    </w:div>
    <w:div w:id="1107458095">
      <w:bodyDiv w:val="1"/>
      <w:marLeft w:val="0"/>
      <w:marRight w:val="0"/>
      <w:marTop w:val="0"/>
      <w:marBottom w:val="0"/>
      <w:divBdr>
        <w:top w:val="none" w:sz="0" w:space="0" w:color="auto"/>
        <w:left w:val="none" w:sz="0" w:space="0" w:color="auto"/>
        <w:bottom w:val="none" w:sz="0" w:space="0" w:color="auto"/>
        <w:right w:val="none" w:sz="0" w:space="0" w:color="auto"/>
      </w:divBdr>
    </w:div>
    <w:div w:id="1119111292">
      <w:bodyDiv w:val="1"/>
      <w:marLeft w:val="0"/>
      <w:marRight w:val="0"/>
      <w:marTop w:val="0"/>
      <w:marBottom w:val="0"/>
      <w:divBdr>
        <w:top w:val="none" w:sz="0" w:space="0" w:color="auto"/>
        <w:left w:val="none" w:sz="0" w:space="0" w:color="auto"/>
        <w:bottom w:val="none" w:sz="0" w:space="0" w:color="auto"/>
        <w:right w:val="none" w:sz="0" w:space="0" w:color="auto"/>
      </w:divBdr>
    </w:div>
    <w:div w:id="1153106493">
      <w:bodyDiv w:val="1"/>
      <w:marLeft w:val="0"/>
      <w:marRight w:val="0"/>
      <w:marTop w:val="0"/>
      <w:marBottom w:val="0"/>
      <w:divBdr>
        <w:top w:val="none" w:sz="0" w:space="0" w:color="auto"/>
        <w:left w:val="none" w:sz="0" w:space="0" w:color="auto"/>
        <w:bottom w:val="none" w:sz="0" w:space="0" w:color="auto"/>
        <w:right w:val="none" w:sz="0" w:space="0" w:color="auto"/>
      </w:divBdr>
    </w:div>
    <w:div w:id="1156217524">
      <w:bodyDiv w:val="1"/>
      <w:marLeft w:val="0"/>
      <w:marRight w:val="0"/>
      <w:marTop w:val="0"/>
      <w:marBottom w:val="0"/>
      <w:divBdr>
        <w:top w:val="none" w:sz="0" w:space="0" w:color="auto"/>
        <w:left w:val="none" w:sz="0" w:space="0" w:color="auto"/>
        <w:bottom w:val="none" w:sz="0" w:space="0" w:color="auto"/>
        <w:right w:val="none" w:sz="0" w:space="0" w:color="auto"/>
      </w:divBdr>
    </w:div>
    <w:div w:id="1231422121">
      <w:bodyDiv w:val="1"/>
      <w:marLeft w:val="0"/>
      <w:marRight w:val="0"/>
      <w:marTop w:val="0"/>
      <w:marBottom w:val="0"/>
      <w:divBdr>
        <w:top w:val="none" w:sz="0" w:space="0" w:color="auto"/>
        <w:left w:val="none" w:sz="0" w:space="0" w:color="auto"/>
        <w:bottom w:val="none" w:sz="0" w:space="0" w:color="auto"/>
        <w:right w:val="none" w:sz="0" w:space="0" w:color="auto"/>
      </w:divBdr>
    </w:div>
    <w:div w:id="1269581786">
      <w:bodyDiv w:val="1"/>
      <w:marLeft w:val="0"/>
      <w:marRight w:val="0"/>
      <w:marTop w:val="0"/>
      <w:marBottom w:val="0"/>
      <w:divBdr>
        <w:top w:val="none" w:sz="0" w:space="0" w:color="auto"/>
        <w:left w:val="none" w:sz="0" w:space="0" w:color="auto"/>
        <w:bottom w:val="none" w:sz="0" w:space="0" w:color="auto"/>
        <w:right w:val="none" w:sz="0" w:space="0" w:color="auto"/>
      </w:divBdr>
    </w:div>
    <w:div w:id="1349482873">
      <w:bodyDiv w:val="1"/>
      <w:marLeft w:val="0"/>
      <w:marRight w:val="0"/>
      <w:marTop w:val="0"/>
      <w:marBottom w:val="0"/>
      <w:divBdr>
        <w:top w:val="none" w:sz="0" w:space="0" w:color="auto"/>
        <w:left w:val="none" w:sz="0" w:space="0" w:color="auto"/>
        <w:bottom w:val="none" w:sz="0" w:space="0" w:color="auto"/>
        <w:right w:val="none" w:sz="0" w:space="0" w:color="auto"/>
      </w:divBdr>
    </w:div>
    <w:div w:id="1366760182">
      <w:bodyDiv w:val="1"/>
      <w:marLeft w:val="0"/>
      <w:marRight w:val="0"/>
      <w:marTop w:val="0"/>
      <w:marBottom w:val="0"/>
      <w:divBdr>
        <w:top w:val="none" w:sz="0" w:space="0" w:color="auto"/>
        <w:left w:val="none" w:sz="0" w:space="0" w:color="auto"/>
        <w:bottom w:val="none" w:sz="0" w:space="0" w:color="auto"/>
        <w:right w:val="none" w:sz="0" w:space="0" w:color="auto"/>
      </w:divBdr>
    </w:div>
    <w:div w:id="1385104626">
      <w:bodyDiv w:val="1"/>
      <w:marLeft w:val="0"/>
      <w:marRight w:val="0"/>
      <w:marTop w:val="0"/>
      <w:marBottom w:val="0"/>
      <w:divBdr>
        <w:top w:val="none" w:sz="0" w:space="0" w:color="auto"/>
        <w:left w:val="none" w:sz="0" w:space="0" w:color="auto"/>
        <w:bottom w:val="none" w:sz="0" w:space="0" w:color="auto"/>
        <w:right w:val="none" w:sz="0" w:space="0" w:color="auto"/>
      </w:divBdr>
    </w:div>
    <w:div w:id="1390498986">
      <w:bodyDiv w:val="1"/>
      <w:marLeft w:val="0"/>
      <w:marRight w:val="0"/>
      <w:marTop w:val="0"/>
      <w:marBottom w:val="0"/>
      <w:divBdr>
        <w:top w:val="none" w:sz="0" w:space="0" w:color="auto"/>
        <w:left w:val="none" w:sz="0" w:space="0" w:color="auto"/>
        <w:bottom w:val="none" w:sz="0" w:space="0" w:color="auto"/>
        <w:right w:val="none" w:sz="0" w:space="0" w:color="auto"/>
      </w:divBdr>
    </w:div>
    <w:div w:id="1415515066">
      <w:bodyDiv w:val="1"/>
      <w:marLeft w:val="0"/>
      <w:marRight w:val="0"/>
      <w:marTop w:val="0"/>
      <w:marBottom w:val="0"/>
      <w:divBdr>
        <w:top w:val="none" w:sz="0" w:space="0" w:color="auto"/>
        <w:left w:val="none" w:sz="0" w:space="0" w:color="auto"/>
        <w:bottom w:val="none" w:sz="0" w:space="0" w:color="auto"/>
        <w:right w:val="none" w:sz="0" w:space="0" w:color="auto"/>
      </w:divBdr>
    </w:div>
    <w:div w:id="1416171416">
      <w:bodyDiv w:val="1"/>
      <w:marLeft w:val="0"/>
      <w:marRight w:val="0"/>
      <w:marTop w:val="0"/>
      <w:marBottom w:val="0"/>
      <w:divBdr>
        <w:top w:val="none" w:sz="0" w:space="0" w:color="auto"/>
        <w:left w:val="none" w:sz="0" w:space="0" w:color="auto"/>
        <w:bottom w:val="none" w:sz="0" w:space="0" w:color="auto"/>
        <w:right w:val="none" w:sz="0" w:space="0" w:color="auto"/>
      </w:divBdr>
    </w:div>
    <w:div w:id="1416900145">
      <w:bodyDiv w:val="1"/>
      <w:marLeft w:val="0"/>
      <w:marRight w:val="0"/>
      <w:marTop w:val="0"/>
      <w:marBottom w:val="0"/>
      <w:divBdr>
        <w:top w:val="none" w:sz="0" w:space="0" w:color="auto"/>
        <w:left w:val="none" w:sz="0" w:space="0" w:color="auto"/>
        <w:bottom w:val="none" w:sz="0" w:space="0" w:color="auto"/>
        <w:right w:val="none" w:sz="0" w:space="0" w:color="auto"/>
      </w:divBdr>
    </w:div>
    <w:div w:id="1509833066">
      <w:bodyDiv w:val="1"/>
      <w:marLeft w:val="0"/>
      <w:marRight w:val="0"/>
      <w:marTop w:val="0"/>
      <w:marBottom w:val="0"/>
      <w:divBdr>
        <w:top w:val="none" w:sz="0" w:space="0" w:color="auto"/>
        <w:left w:val="none" w:sz="0" w:space="0" w:color="auto"/>
        <w:bottom w:val="none" w:sz="0" w:space="0" w:color="auto"/>
        <w:right w:val="none" w:sz="0" w:space="0" w:color="auto"/>
      </w:divBdr>
    </w:div>
    <w:div w:id="1511793228">
      <w:bodyDiv w:val="1"/>
      <w:marLeft w:val="0"/>
      <w:marRight w:val="0"/>
      <w:marTop w:val="0"/>
      <w:marBottom w:val="0"/>
      <w:divBdr>
        <w:top w:val="none" w:sz="0" w:space="0" w:color="auto"/>
        <w:left w:val="none" w:sz="0" w:space="0" w:color="auto"/>
        <w:bottom w:val="none" w:sz="0" w:space="0" w:color="auto"/>
        <w:right w:val="none" w:sz="0" w:space="0" w:color="auto"/>
      </w:divBdr>
    </w:div>
    <w:div w:id="1553619524">
      <w:bodyDiv w:val="1"/>
      <w:marLeft w:val="0"/>
      <w:marRight w:val="0"/>
      <w:marTop w:val="0"/>
      <w:marBottom w:val="0"/>
      <w:divBdr>
        <w:top w:val="none" w:sz="0" w:space="0" w:color="auto"/>
        <w:left w:val="none" w:sz="0" w:space="0" w:color="auto"/>
        <w:bottom w:val="none" w:sz="0" w:space="0" w:color="auto"/>
        <w:right w:val="none" w:sz="0" w:space="0" w:color="auto"/>
      </w:divBdr>
    </w:div>
    <w:div w:id="1565800136">
      <w:bodyDiv w:val="1"/>
      <w:marLeft w:val="0"/>
      <w:marRight w:val="0"/>
      <w:marTop w:val="0"/>
      <w:marBottom w:val="0"/>
      <w:divBdr>
        <w:top w:val="none" w:sz="0" w:space="0" w:color="auto"/>
        <w:left w:val="none" w:sz="0" w:space="0" w:color="auto"/>
        <w:bottom w:val="none" w:sz="0" w:space="0" w:color="auto"/>
        <w:right w:val="none" w:sz="0" w:space="0" w:color="auto"/>
      </w:divBdr>
    </w:div>
    <w:div w:id="1576159963">
      <w:bodyDiv w:val="1"/>
      <w:marLeft w:val="0"/>
      <w:marRight w:val="0"/>
      <w:marTop w:val="0"/>
      <w:marBottom w:val="0"/>
      <w:divBdr>
        <w:top w:val="none" w:sz="0" w:space="0" w:color="auto"/>
        <w:left w:val="none" w:sz="0" w:space="0" w:color="auto"/>
        <w:bottom w:val="none" w:sz="0" w:space="0" w:color="auto"/>
        <w:right w:val="none" w:sz="0" w:space="0" w:color="auto"/>
      </w:divBdr>
    </w:div>
    <w:div w:id="1641111040">
      <w:bodyDiv w:val="1"/>
      <w:marLeft w:val="0"/>
      <w:marRight w:val="0"/>
      <w:marTop w:val="0"/>
      <w:marBottom w:val="0"/>
      <w:divBdr>
        <w:top w:val="none" w:sz="0" w:space="0" w:color="auto"/>
        <w:left w:val="none" w:sz="0" w:space="0" w:color="auto"/>
        <w:bottom w:val="none" w:sz="0" w:space="0" w:color="auto"/>
        <w:right w:val="none" w:sz="0" w:space="0" w:color="auto"/>
      </w:divBdr>
    </w:div>
    <w:div w:id="1646857595">
      <w:bodyDiv w:val="1"/>
      <w:marLeft w:val="0"/>
      <w:marRight w:val="0"/>
      <w:marTop w:val="0"/>
      <w:marBottom w:val="0"/>
      <w:divBdr>
        <w:top w:val="none" w:sz="0" w:space="0" w:color="auto"/>
        <w:left w:val="none" w:sz="0" w:space="0" w:color="auto"/>
        <w:bottom w:val="none" w:sz="0" w:space="0" w:color="auto"/>
        <w:right w:val="none" w:sz="0" w:space="0" w:color="auto"/>
      </w:divBdr>
    </w:div>
    <w:div w:id="1690376408">
      <w:bodyDiv w:val="1"/>
      <w:marLeft w:val="0"/>
      <w:marRight w:val="0"/>
      <w:marTop w:val="0"/>
      <w:marBottom w:val="0"/>
      <w:divBdr>
        <w:top w:val="none" w:sz="0" w:space="0" w:color="auto"/>
        <w:left w:val="none" w:sz="0" w:space="0" w:color="auto"/>
        <w:bottom w:val="none" w:sz="0" w:space="0" w:color="auto"/>
        <w:right w:val="none" w:sz="0" w:space="0" w:color="auto"/>
      </w:divBdr>
    </w:div>
    <w:div w:id="1704137004">
      <w:bodyDiv w:val="1"/>
      <w:marLeft w:val="0"/>
      <w:marRight w:val="0"/>
      <w:marTop w:val="0"/>
      <w:marBottom w:val="0"/>
      <w:divBdr>
        <w:top w:val="none" w:sz="0" w:space="0" w:color="auto"/>
        <w:left w:val="none" w:sz="0" w:space="0" w:color="auto"/>
        <w:bottom w:val="none" w:sz="0" w:space="0" w:color="auto"/>
        <w:right w:val="none" w:sz="0" w:space="0" w:color="auto"/>
      </w:divBdr>
    </w:div>
    <w:div w:id="1729722106">
      <w:bodyDiv w:val="1"/>
      <w:marLeft w:val="0"/>
      <w:marRight w:val="0"/>
      <w:marTop w:val="0"/>
      <w:marBottom w:val="0"/>
      <w:divBdr>
        <w:top w:val="none" w:sz="0" w:space="0" w:color="auto"/>
        <w:left w:val="none" w:sz="0" w:space="0" w:color="auto"/>
        <w:bottom w:val="none" w:sz="0" w:space="0" w:color="auto"/>
        <w:right w:val="none" w:sz="0" w:space="0" w:color="auto"/>
      </w:divBdr>
    </w:div>
    <w:div w:id="1762215471">
      <w:bodyDiv w:val="1"/>
      <w:marLeft w:val="0"/>
      <w:marRight w:val="0"/>
      <w:marTop w:val="0"/>
      <w:marBottom w:val="0"/>
      <w:divBdr>
        <w:top w:val="none" w:sz="0" w:space="0" w:color="auto"/>
        <w:left w:val="none" w:sz="0" w:space="0" w:color="auto"/>
        <w:bottom w:val="none" w:sz="0" w:space="0" w:color="auto"/>
        <w:right w:val="none" w:sz="0" w:space="0" w:color="auto"/>
      </w:divBdr>
    </w:div>
    <w:div w:id="1810782875">
      <w:bodyDiv w:val="1"/>
      <w:marLeft w:val="0"/>
      <w:marRight w:val="0"/>
      <w:marTop w:val="0"/>
      <w:marBottom w:val="0"/>
      <w:divBdr>
        <w:top w:val="none" w:sz="0" w:space="0" w:color="auto"/>
        <w:left w:val="none" w:sz="0" w:space="0" w:color="auto"/>
        <w:bottom w:val="none" w:sz="0" w:space="0" w:color="auto"/>
        <w:right w:val="none" w:sz="0" w:space="0" w:color="auto"/>
      </w:divBdr>
    </w:div>
    <w:div w:id="1841461799">
      <w:bodyDiv w:val="1"/>
      <w:marLeft w:val="0"/>
      <w:marRight w:val="0"/>
      <w:marTop w:val="0"/>
      <w:marBottom w:val="0"/>
      <w:divBdr>
        <w:top w:val="none" w:sz="0" w:space="0" w:color="auto"/>
        <w:left w:val="none" w:sz="0" w:space="0" w:color="auto"/>
        <w:bottom w:val="none" w:sz="0" w:space="0" w:color="auto"/>
        <w:right w:val="none" w:sz="0" w:space="0" w:color="auto"/>
      </w:divBdr>
    </w:div>
    <w:div w:id="1904874400">
      <w:bodyDiv w:val="1"/>
      <w:marLeft w:val="0"/>
      <w:marRight w:val="0"/>
      <w:marTop w:val="0"/>
      <w:marBottom w:val="0"/>
      <w:divBdr>
        <w:top w:val="none" w:sz="0" w:space="0" w:color="auto"/>
        <w:left w:val="none" w:sz="0" w:space="0" w:color="auto"/>
        <w:bottom w:val="none" w:sz="0" w:space="0" w:color="auto"/>
        <w:right w:val="none" w:sz="0" w:space="0" w:color="auto"/>
      </w:divBdr>
    </w:div>
    <w:div w:id="1959950197">
      <w:bodyDiv w:val="1"/>
      <w:marLeft w:val="0"/>
      <w:marRight w:val="0"/>
      <w:marTop w:val="0"/>
      <w:marBottom w:val="0"/>
      <w:divBdr>
        <w:top w:val="none" w:sz="0" w:space="0" w:color="auto"/>
        <w:left w:val="none" w:sz="0" w:space="0" w:color="auto"/>
        <w:bottom w:val="none" w:sz="0" w:space="0" w:color="auto"/>
        <w:right w:val="none" w:sz="0" w:space="0" w:color="auto"/>
      </w:divBdr>
    </w:div>
    <w:div w:id="2080058229">
      <w:bodyDiv w:val="1"/>
      <w:marLeft w:val="0"/>
      <w:marRight w:val="0"/>
      <w:marTop w:val="0"/>
      <w:marBottom w:val="0"/>
      <w:divBdr>
        <w:top w:val="none" w:sz="0" w:space="0" w:color="auto"/>
        <w:left w:val="none" w:sz="0" w:space="0" w:color="auto"/>
        <w:bottom w:val="none" w:sz="0" w:space="0" w:color="auto"/>
        <w:right w:val="none" w:sz="0" w:space="0" w:color="auto"/>
      </w:divBdr>
    </w:div>
    <w:div w:id="2095542855">
      <w:bodyDiv w:val="1"/>
      <w:marLeft w:val="0"/>
      <w:marRight w:val="0"/>
      <w:marTop w:val="0"/>
      <w:marBottom w:val="0"/>
      <w:divBdr>
        <w:top w:val="none" w:sz="0" w:space="0" w:color="auto"/>
        <w:left w:val="none" w:sz="0" w:space="0" w:color="auto"/>
        <w:bottom w:val="none" w:sz="0" w:space="0" w:color="auto"/>
        <w:right w:val="none" w:sz="0" w:space="0" w:color="auto"/>
      </w:divBdr>
    </w:div>
    <w:div w:id="211270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stor.org/stable/pdf/resrep35090.pdf" TargetMode="External"/><Relationship Id="rId18" Type="http://schemas.openxmlformats.org/officeDocument/2006/relationships/hyperlink" Target="https://www.preprints.org/manuscript/202503.1234" TargetMode="External"/><Relationship Id="rId26" Type="http://schemas.openxmlformats.org/officeDocument/2006/relationships/hyperlink" Target="https://www.ajhssr.com/wp-content/uploads/2025/01/A259010120.pdf" TargetMode="External"/><Relationship Id="rId39" Type="http://schemas.openxmlformats.org/officeDocument/2006/relationships/hyperlink" Target="https://www.cambridge.org/core/journals/government-and-opposition/article/how-authoritarianism-transforms-a-framework-for-the-study-of-digital-dictatorship/EAFAD6D20EF6C02BF22E4F0EBCCB6267" TargetMode="External"/><Relationship Id="rId21" Type="http://schemas.openxmlformats.org/officeDocument/2006/relationships/hyperlink" Target="https://journals.plos.org/plosone/article?id=10.1371/journal.pone.0302148" TargetMode="External"/><Relationship Id="rId34" Type="http://schemas.openxmlformats.org/officeDocument/2006/relationships/hyperlink" Target="https://www.scitepress.org/Papers/2024/129598/129598.pdf" TargetMode="External"/><Relationship Id="rId42" Type="http://schemas.openxmlformats.org/officeDocument/2006/relationships/hyperlink" Target="https://www.sciencedirect.com/science/article/pii/S0959378021000595" TargetMode="External"/><Relationship Id="rId47" Type="http://schemas.openxmlformats.org/officeDocument/2006/relationships/hyperlink" Target="https://www.tandfonline.com/doi/abs/10.1080/1369118X.2024.2363916" TargetMode="External"/><Relationship Id="rId50" Type="http://schemas.openxmlformats.org/officeDocument/2006/relationships/hyperlink" Target="https://www.mdpi.com/2071-1050/12/11/4379"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demia.edu/download/87247594/103982.pdf" TargetMode="External"/><Relationship Id="rId29" Type="http://schemas.openxmlformats.org/officeDocument/2006/relationships/hyperlink" Target="https://www.ijicc.net/images/vol11iss8/11825_Leonard_2020_E_R.pdf" TargetMode="External"/><Relationship Id="rId11" Type="http://schemas.openxmlformats.org/officeDocument/2006/relationships/hyperlink" Target="https://journal.adau.edu.az/back/uploads/20251030081110ENTRY%20CONDITIONS%20FOR%20TRANSNATIONAL%20CORPORATIONS.pdf" TargetMode="External"/><Relationship Id="rId24" Type="http://schemas.openxmlformats.org/officeDocument/2006/relationships/hyperlink" Target="https://link.springer.com/chapter/10.1007/978-3-031-68942-0_8" TargetMode="External"/><Relationship Id="rId32" Type="http://schemas.openxmlformats.org/officeDocument/2006/relationships/hyperlink" Target="https://brics-econ.arphahub.com/article/136888/download/pdf/" TargetMode="External"/><Relationship Id="rId37" Type="http://schemas.openxmlformats.org/officeDocument/2006/relationships/hyperlink" Target="http://iepjournal.com/journals_eng/36/2022_36_1_RudenkoSudareva_Shevchenko.pdf" TargetMode="External"/><Relationship Id="rId40" Type="http://schemas.openxmlformats.org/officeDocument/2006/relationships/hyperlink" Target="https://www.sciencedirect.com/science/article/pii/S2351978920320333" TargetMode="External"/><Relationship Id="rId45" Type="http://schemas.openxmlformats.org/officeDocument/2006/relationships/hyperlink" Target="https://www.researchsquare.com/article/rs-3584501/latest"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ciencedirect.com/science/article/pii/S0160791X2200224X" TargetMode="External"/><Relationship Id="rId19" Type="http://schemas.openxmlformats.org/officeDocument/2006/relationships/hyperlink" Target="https://link.springer.com/article/10.1057/s41267-018-0156-6" TargetMode="External"/><Relationship Id="rId31" Type="http://schemas.openxmlformats.org/officeDocument/2006/relationships/hyperlink" Target="https://www.sciencedirect.com/science/article/pii/S0263237319300969" TargetMode="External"/><Relationship Id="rId44" Type="http://schemas.openxmlformats.org/officeDocument/2006/relationships/hyperlink" Target="https://www.advancedagronomyjournal.com/uploads/archives/20240913115103_E-24-49.1.1.pdf" TargetMode="External"/><Relationship Id="rId52" Type="http://schemas.openxmlformats.org/officeDocument/2006/relationships/hyperlink" Target="https://www.researchgate.net/profile/Yves-Zimmermann/publication/336578644_TEACHING_GLOBALISATION_THROUGH_A_CASE_STUDY_THE_RISE_OF_ALI_BABA_-_Educational_Alternatives_ISSN_1314-7277_Volume_17_2019/links/5da6c8f292851caa1ba6358c/TEACHING-GLOBALISATION-THROUGH-A-CASE-STUDY-THE-RISE-OF-ALI-BABA-Educational-Alternatives-ISSN-1314-7277-Volume-17-2019.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article/10.1007/s10640-021-00600-x" TargetMode="External"/><Relationship Id="rId22" Type="http://schemas.openxmlformats.org/officeDocument/2006/relationships/hyperlink" Target="https://www.sciencedirect.com/science/article/pii/S0166497218303870" TargetMode="External"/><Relationship Id="rId27" Type="http://schemas.openxmlformats.org/officeDocument/2006/relationships/hyperlink" Target="https://www.sciencedirect.com/science/article/pii/S0921344920300835" TargetMode="External"/><Relationship Id="rId30" Type="http://schemas.openxmlformats.org/officeDocument/2006/relationships/hyperlink" Target="https://www.shs-conferences.org/articles/shsconf/abs/2024/27/shsconf_icdeba2024_03019/shsconf_icdeba2024_03019.html" TargetMode="External"/><Relationship Id="rId35" Type="http://schemas.openxmlformats.org/officeDocument/2006/relationships/hyperlink" Target="https://papers.ssrn.com/sol3/papers.cfm?abstract_id=5109165" TargetMode="External"/><Relationship Id="rId43" Type="http://schemas.openxmlformats.org/officeDocument/2006/relationships/hyperlink" Target="https://www.sciencedirect.com/science/article/pii/S0925753518303771" TargetMode="External"/><Relationship Id="rId48" Type="http://schemas.openxmlformats.org/officeDocument/2006/relationships/hyperlink" Target="https://jurnalpasca.unram.ac.id/index.php/alexandria/article/view/597" TargetMode="External"/><Relationship Id="rId8" Type="http://schemas.openxmlformats.org/officeDocument/2006/relationships/image" Target="media/image1.emf"/><Relationship Id="rId51" Type="http://schemas.openxmlformats.org/officeDocument/2006/relationships/hyperlink" Target="https://www.sciencedirect.com/science/article/pii/S0378720617311199" TargetMode="External"/><Relationship Id="rId3" Type="http://schemas.openxmlformats.org/officeDocument/2006/relationships/styles" Target="styles.xml"/><Relationship Id="rId12" Type="http://schemas.openxmlformats.org/officeDocument/2006/relationships/hyperlink" Target="https://www.researchgate.net/profile/Merlin-Balamurugan/publication/384535778_AI-Driven_Adaptive_Content_Marketing_Automating_Strategy_Adjustments_for_Enhanced_Consumer_Engagement/links/66fca10b553d245f9e478812/AI-Driven-Adaptive-Content-Marketing-Automating-Strategy-Adjustments-for-Enhanced-Consumer-Engagement.pdf" TargetMode="External"/><Relationship Id="rId17" Type="http://schemas.openxmlformats.org/officeDocument/2006/relationships/hyperlink" Target="https://books.google.com/books?hl=en&amp;lr=&amp;id=dydPEAAAQBAJ&amp;oi=fnd&amp;pg=PR1&amp;dq=Human+Resource+Management+and+Organisational+Process+Adjustments&amp;ots=gHPahvrWj0&amp;sig=_rfC8EKP3P33bJpqbSAquo6xepQ" TargetMode="External"/><Relationship Id="rId25" Type="http://schemas.openxmlformats.org/officeDocument/2006/relationships/hyperlink" Target="https://pdfs.semanticscholar.org/2738/122aab8506d4138b254a4788f0e950c55b8e.pdf\" TargetMode="External"/><Relationship Id="rId33" Type="http://schemas.openxmlformats.org/officeDocument/2006/relationships/hyperlink" Target="https://www.internationalrasd.org/journals/index.php/pjhss/article/view/1398" TargetMode="External"/><Relationship Id="rId38" Type="http://schemas.openxmlformats.org/officeDocument/2006/relationships/hyperlink" Target="https://www.sciencedirect.com/science/article/pii/S1874548223000355" TargetMode="External"/><Relationship Id="rId46" Type="http://schemas.openxmlformats.org/officeDocument/2006/relationships/hyperlink" Target="http://www.fieam.org/download/FEM-2-4-15-21.pdf" TargetMode="External"/><Relationship Id="rId20" Type="http://schemas.openxmlformats.org/officeDocument/2006/relationships/hyperlink" Target="https://www.sciencedirect.com/science/article/pii/S1040842823000513" TargetMode="External"/><Relationship Id="rId41" Type="http://schemas.openxmlformats.org/officeDocument/2006/relationships/hyperlink" Target="https://link.springer.com/chapter/10.1007/978-3-662-65625-9_1"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onlinelibrary.wiley.com/doi/abs/10.1111/isj.12326" TargetMode="External"/><Relationship Id="rId23" Type="http://schemas.openxmlformats.org/officeDocument/2006/relationships/hyperlink" Target="https://link.springer.com/article/10.1057/s41267-019-00237-5" TargetMode="External"/><Relationship Id="rId28" Type="http://schemas.openxmlformats.org/officeDocument/2006/relationships/hyperlink" Target="https://www.sciencedirect.com/science/article/pii/S0040162518309636" TargetMode="External"/><Relationship Id="rId36" Type="http://schemas.openxmlformats.org/officeDocument/2006/relationships/hyperlink" Target="https://francis-press.com/uploads/papers/cJksIKQCNrkiwk9oBSd1mqSkMDZ8sHhcevxOHTXH.pdf" TargetMode="External"/><Relationship Id="rId49" Type="http://schemas.openxmlformats.org/officeDocument/2006/relationships/hyperlink" Target="https://jurnalpasca.unram.ac.id/index.php/alexandria/article/view/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Liu241</b:Tag>
    <b:SourceType>JournalArticle</b:SourceType>
    <b:Guid>{9E78AB02-2FC8-45B2-AB7A-9A90FC44D22B}</b:Guid>
    <b:Author>
      <b:Author>
        <b:NameList>
          <b:Person>
            <b:Last>Liu</b:Last>
            <b:First>S.,</b:First>
          </b:Person>
        </b:NameList>
      </b:Author>
    </b:Author>
    <b:Title>The Impact of Capital Structure on Corporate Financial Performance: A Case Study of Alibaba and E-commerce Industry</b:Title>
    <b:Year>2024</b:Year>
    <b:RefOrder>36</b:RefOrder>
  </b:Source>
  <b:Source>
    <b:Tag>Rah24</b:Tag>
    <b:SourceType>JournalArticle</b:SourceType>
    <b:Guid>{0BB6C3C8-669D-4178-94CC-7B1FE335A237}</b:Guid>
    <b:Author>
      <b:Author>
        <b:NameList>
          <b:Person>
            <b:Last>Rahman</b:Last>
            <b:First>M.D.,</b:First>
          </b:Person>
        </b:NameList>
      </b:Author>
    </b:Author>
    <b:Title> E-commerce Evolution: A Strategic Analysis of Alibaba's Business Ecosystem. </b:Title>
    <b:Year>2024</b:Year>
    <b:RefOrder>37</b:RefOrder>
  </b:Source>
  <b:Source>
    <b:Tag>daS19</b:Tag>
    <b:SourceType>JournalArticle</b:SourceType>
    <b:Guid>{F3430A8E-21AE-445B-A343-1453DC275F8D}</b:Guid>
    <b:Author>
      <b:Author>
        <b:NameList>
          <b:Person>
            <b:Last>da Silva Lopes et al</b:Last>
            <b:First>T.,</b:First>
            <b:Middle>Casson, M. and Jones, G.,</b:Middle>
          </b:Person>
        </b:NameList>
      </b:Author>
    </b:Author>
    <b:Title>Organizational innovation in the multinational enterprise</b:Title>
    <b:Year> 2019</b:Year>
    <b:RefOrder>38</b:RefOrder>
  </b:Source>
  <b:Source>
    <b:Tag>Rud22</b:Tag>
    <b:SourceType>JournalArticle</b:SourceType>
    <b:Guid>{9E9853BC-22A9-4B53-9E54-137D6057DA78}</b:Guid>
    <b:Author>
      <b:Author>
        <b:NameList>
          <b:Person>
            <b:Last>Rudenko-Sudarieva et al</b:Last>
            <b:First>L.</b:First>
            <b:Middle>and Shevchenko, Y.,</b:Middle>
          </b:Person>
        </b:NameList>
      </b:Author>
    </b:Author>
    <b:Title> Paradigm Fundamentals and the Practical Dilemma of Investment Behaviour of Transnational Corporations</b:Title>
    <b:Year>2022</b:Year>
    <b:RefOrder>39</b:RefOrder>
  </b:Source>
  <b:Source>
    <b:Tag>Qiu</b:Tag>
    <b:SourceType>JournalArticle</b:SourceType>
    <b:Guid>{4D773756-AFCF-4BDA-AB24-AD81492C6501}</b:Guid>
    <b:Author>
      <b:Author>
        <b:NameList>
          <b:Person>
            <b:Last>Qiu</b:Last>
            <b:First>T.,</b:First>
          </b:Person>
        </b:NameList>
      </b:Author>
    </b:Author>
    <b:Title>Analysis and Research on Supply Chain Optimization of e-Commerce Platform: Taking Amazon and Alibaba as Examples</b:Title>
    <b:RefOrder>5</b:RefOrder>
  </b:Source>
  <b:Source>
    <b:Tag>Naq23</b:Tag>
    <b:SourceType>JournalArticle</b:SourceType>
    <b:Guid>{B1F9A013-B443-4270-A108-F2C066BFF382}</b:Guid>
    <b:Author>
      <b:Author>
        <b:NameList>
          <b:Person>
            <b:Last>Naqvi et al</b:Last>
            <b:First>S.G.,</b:First>
            <b:Middle>Sheraz, S., Mehmood, I. and Yasin, M.,</b:Middle>
          </b:Person>
        </b:NameList>
      </b:Author>
    </b:Author>
    <b:Title> Cyber-physical systems and artificial intelligence</b:Title>
    <b:Year>2023</b:Year>
    <b:RefOrder>6</b:RefOrder>
  </b:Source>
  <b:Source>
    <b:Tag>Zha191</b:Tag>
    <b:SourceType>JournalArticle</b:SourceType>
    <b:Guid>{1B3AB083-D251-474F-813E-D8C98E6F20FA}</b:Guid>
    <b:Author>
      <b:Author>
        <b:NameList>
          <b:Person>
            <b:Last>Zhang et al</b:Last>
            <b:First>G.</b:First>
            <b:Middle>and Ravishankar, M.N.,</b:Middle>
          </b:Person>
        </b:NameList>
      </b:Author>
    </b:Author>
    <b:Title>Exploring vendor capabilities in the cloud environment</b:Title>
    <b:Year> 2019</b:Year>
    <b:RefOrder>7</b:RefOrder>
  </b:Source>
  <b:Source>
    <b:Tag>Sch205</b:Tag>
    <b:SourceType>JournalArticle</b:SourceType>
    <b:Guid>{D708D892-66D5-4195-98E6-C165538CA88C}</b:Guid>
    <b:Author>
      <b:Author>
        <b:NameList>
          <b:Person>
            <b:Last>Schmuck et al</b:Last>
            <b:First>R.</b:First>
            <b:Middle>and Benke, M.,</b:Middle>
          </b:Person>
        </b:NameList>
      </b:Author>
    </b:Author>
    <b:Title>An overview of innovation strategies and the case of Alibaba</b:Title>
    <b:Year>2020</b:Year>
    <b:RefOrder>8</b:RefOrder>
  </b:Source>
  <b:Source>
    <b:Tag>Wan211</b:Tag>
    <b:SourceType>JournalArticle</b:SourceType>
    <b:Guid>{4ED37666-BAD6-4D1C-8571-C2A5597FF8F7}</b:Guid>
    <b:Author>
      <b:Author>
        <b:NameList>
          <b:Person>
            <b:Last>Wang</b:Last>
            <b:First>T.,</b:First>
          </b:Person>
        </b:NameList>
      </b:Author>
    </b:Author>
    <b:Title>Discussion on business models of Alibaba and Amazon in three operating directions</b:Title>
    <b:Year>2021</b:Year>
    <b:RefOrder>9</b:RefOrder>
  </b:Source>
  <b:Source>
    <b:Tag>Kwa19</b:Tag>
    <b:SourceType>JournalArticle</b:SourceType>
    <b:Guid>{0FC30EAE-B340-4A96-952E-AEAB3BC72533}</b:Guid>
    <b:Author>
      <b:Author>
        <b:NameList>
          <b:Person>
            <b:Last>Kwak et al</b:Last>
            <b:First>J.,</b:First>
            <b:Middle>Zhang, Y. and Yu, J.,</b:Middle>
          </b:Person>
        </b:NameList>
      </b:Author>
    </b:Author>
    <b:Title>Legitimacy building and e-commerce platform development in China</b:Title>
    <b:Year>2019</b:Year>
    <b:RefOrder>10</b:RefOrder>
  </b:Source>
  <b:Source>
    <b:Tag>Wan233</b:Tag>
    <b:SourceType>JournalArticle</b:SourceType>
    <b:Guid>{2234DE8A-78FA-4834-8125-BD79B05B293A}</b:Guid>
    <b:Author>
      <b:Author>
        <b:NameList>
          <b:Person>
            <b:Last>Wang et al</b:Last>
            <b:First>J.,</b:First>
            <b:Middle>Si, F., Yang, S. and Wang, L.</b:Middle>
          </b:Person>
        </b:NameList>
      </b:Author>
    </b:Author>
    <b:Title> Business model innovation of Chinese logistics enterprises from the perspective of ecosystems</b:Title>
    <b:Year>2023</b:Year>
    <b:RefOrder>11</b:RefOrder>
  </b:Source>
  <b:Source>
    <b:Tag>Wan251</b:Tag>
    <b:SourceType>JournalArticle</b:SourceType>
    <b:Guid>{4D57DAFD-1919-4A14-8B70-9AA4847C5F87}</b:Guid>
    <b:Author>
      <b:Author>
        <b:NameList>
          <b:Person>
            <b:Last>Wang</b:Last>
            <b:First>Z.,</b:First>
            <b:Middle>.</b:Middle>
          </b:Person>
        </b:NameList>
      </b:Author>
    </b:Author>
    <b:Title> A return of dominant paradigm in China: making Alibaba a development solution for rural China and the globe</b:Title>
    <b:Year>2025</b:Year>
    <b:RefOrder>12</b:RefOrder>
  </b:Source>
  <b:Source>
    <b:Tag>Bia21</b:Tag>
    <b:SourceType>JournalArticle</b:SourceType>
    <b:Guid>{A21551F0-307C-48AA-919B-9A1F85AAFA11}</b:Guid>
    <b:Author>
      <b:Author>
        <b:NameList>
          <b:Person>
            <b:Last>Bialek et al</b:Last>
            <b:First>S.</b:First>
            <b:Middle>and Weichenrieder, A.J.,</b:Middle>
          </b:Person>
        </b:NameList>
      </b:Author>
    </b:Author>
    <b:Title>Do stringent environmental policies deter FDI? M&amp;A versus Greenfield</b:Title>
    <b:Year>2021</b:Year>
    <b:RefOrder>13</b:RefOrder>
  </b:Source>
  <b:Source>
    <b:Tag>Vee24</b:Tag>
    <b:SourceType>JournalArticle</b:SourceType>
    <b:Guid>{83CEA8DA-2892-48EA-812A-F0AE3839F4AA}</b:Guid>
    <b:Author>
      <b:Author>
        <b:NameList>
          <b:Person>
            <b:Last>Veenam</b:Last>
            <b:First>P.,</b:First>
          </b:Person>
        </b:NameList>
      </b:Author>
    </b:Author>
    <b:Title>Cross-border e-commerce: Opportunities and challenges in the global market. </b:Title>
    <b:Year>2024</b:Year>
    <b:RefOrder>14</b:RefOrder>
  </b:Source>
  <b:Source>
    <b:Tag>Mok25</b:Tag>
    <b:SourceType>JournalArticle</b:SourceType>
    <b:Guid>{80197F3B-65B6-4A4D-B758-2CD4FEEE88F1}</b:Guid>
    <b:Author>
      <b:Author>
        <b:NameList>
          <b:Person>
            <b:Last>Mokhammad</b:Last>
            <b:First>A.,</b:First>
          </b:Person>
        </b:NameList>
      </b:Author>
    </b:Author>
    <b:Title> Networks as part of strategy design for digital platform development in China. </b:Title>
    <b:Year>2025</b:Year>
    <b:RefOrder>15</b:RefOrder>
  </b:Source>
  <b:Source>
    <b:Tag>Gra20</b:Tag>
    <b:SourceType>JournalArticle</b:SourceType>
    <b:Guid>{459B8490-6553-4A35-80A0-F0C686550B1F}</b:Guid>
    <b:Author>
      <b:Author>
        <b:NameList>
          <b:Person>
            <b:Last>Granstrand et al</b:Last>
            <b:First>O.</b:First>
            <b:Middle>and Holgersson, M.,</b:Middle>
          </b:Person>
        </b:NameList>
      </b:Author>
    </b:Author>
    <b:Title>Innovation ecosystems: A conceptual review and a new definition</b:Title>
    <b:Year>2020</b:Year>
    <b:RefOrder>16</b:RefOrder>
  </b:Source>
  <b:Source>
    <b:Tag>Sal23</b:Tag>
    <b:SourceType>JournalArticle</b:SourceType>
    <b:Guid>{E32EBCA5-9A72-4093-AF8A-4ABC9389B9B8}</b:Guid>
    <b:Author>
      <b:Author>
        <b:NameList>
          <b:Person>
            <b:Last>Salama et al</b:Last>
            <b:First>M.,</b:First>
            <b:Middle>El-Dakhakhni, W. and Tait, M.,</b:Middle>
          </b:Person>
        </b:NameList>
      </b:Author>
    </b:Author>
    <b:Title> Systemic risk mitigation strategy for power grid cascade failures </b:Title>
    <b:Year> 2023</b:Year>
    <b:RefOrder>17</b:RefOrder>
  </b:Source>
  <b:Source>
    <b:Tag>Ren24</b:Tag>
    <b:SourceType>JournalArticle</b:SourceType>
    <b:Guid>{6F577B3A-C3E7-4A10-9D7E-4B604373FD70}</b:Guid>
    <b:Author>
      <b:Author>
        <b:NameList>
          <b:Person>
            <b:Last>Ren</b:Last>
            <b:First>Y.,</b:First>
          </b:Person>
        </b:NameList>
      </b:Author>
    </b:Author>
    <b:Title>A Review of the Determinants of Outward Foreign Direct Investment (FDI): From the Perspective of the Eclectic Paradigm</b:Title>
    <b:Year>2024</b:Year>
    <b:RefOrder>18</b:RefOrder>
  </b:Source>
  <b:Source>
    <b:Tag>Cho252</b:Tag>
    <b:SourceType>JournalArticle</b:SourceType>
    <b:Guid>{AD54AD80-F450-48C4-AC6B-DF0D1A231ED2}</b:Guid>
    <b:Author>
      <b:Author>
        <b:NameList>
          <b:Person>
            <b:Last>Choi et al</b:Last>
            <b:First>W.C.,</b:First>
            <b:Middle>Lam, L.C., Cui, E., Chang, C.I. and Jie, F.X.,</b:Middle>
          </b:Person>
        </b:NameList>
      </b:Author>
    </b:Author>
    <b:Title> The Advantages and Challenges of Dual-Class Share Structure</b:Title>
    <b:Year>2025</b:Year>
    <b:RefOrder>40</b:RefOrder>
  </b:Source>
  <b:Source>
    <b:Tag>Yun20</b:Tag>
    <b:SourceType>JournalArticle</b:SourceType>
    <b:Guid>{FFD59939-E69A-4CAC-87B8-3D44CB7F5436}</b:Guid>
    <b:Author>
      <b:Author>
        <b:NameList>
          <b:Person>
            <b:Last>Yun et al</b:Last>
            <b:First>J.J.,</b:First>
            <b:Middle>Zhao, X., Park, K. and Shi, L.,</b:Middle>
          </b:Person>
        </b:NameList>
      </b:Author>
    </b:Author>
    <b:Title>Sustainability condition of open innovation: Dynamic growth of alibaba</b:Title>
    <b:Year> 2020</b:Year>
    <b:RefOrder>41</b:RefOrder>
  </b:Source>
  <b:Source>
    <b:Tag>Ski21</b:Tag>
    <b:SourceType>JournalArticle</b:SourceType>
    <b:Guid>{C20B87F8-1903-47CC-B444-B6F57099DE99}</b:Guid>
    <b:Author>
      <b:Author>
        <b:NameList>
          <b:Person>
            <b:Last>Skidmore et al</b:Last>
            <b:First>M.E.,</b:First>
            <b:Middle>Moffette, F., Rausch, L., Christie, M., Munger, J. and Gibbs, H.K.,</b:Middle>
          </b:Person>
        </b:NameList>
      </b:Author>
    </b:Author>
    <b:Title>Cattle ranchers and deforestation </b:Title>
    <b:Year>2021</b:Year>
    <b:RefOrder>42</b:RefOrder>
  </b:Source>
  <b:Source>
    <b:Tag>Zim</b:Tag>
    <b:SourceType>JournalArticle</b:SourceType>
    <b:Guid>{F8F13067-DD49-4367-AC98-18046931B910}</b:Guid>
    <b:Author>
      <b:Author>
        <b:NameList>
          <b:Person>
            <b:Last>Zimmermann et al</b:Last>
            <b:First>Y.</b:First>
            <b:Middle>and Stehr, C.,</b:Middle>
          </b:Person>
        </b:NameList>
      </b:Author>
    </b:Author>
    <b:Title> TEACHING GLOBALISATION THROUGH A CASE STUDY: THE RISE OF ALI BABA</b:Title>
    <b:RefOrder>43</b:RefOrder>
  </b:Source>
  <b:Source>
    <b:Tag>Grø19</b:Tag>
    <b:SourceType>JournalArticle</b:SourceType>
    <b:Guid>{59FC2A74-EE50-4CC4-9C7B-0D19523FD60D}</b:Guid>
    <b:Author>
      <b:Author>
        <b:NameList>
          <b:Person>
            <b:Last>Grøgaard et al</b:Last>
            <b:First>B.,</b:First>
            <b:Middle>Rygh, A. and Benito, G.R.,</b:Middle>
          </b:Person>
        </b:NameList>
      </b:Author>
    </b:Author>
    <b:Title>Bringing corporate governance into internalization theory</b:Title>
    <b:Year>2019</b:Year>
    <b:RefOrder>19</b:RefOrder>
  </b:Source>
  <b:Source>
    <b:Tag>Can212</b:Tag>
    <b:SourceType>JournalArticle</b:SourceType>
    <b:Guid>{6EDCAA35-8961-4776-96C2-8801A3035D0E}</b:Guid>
    <b:Author>
      <b:Author>
        <b:NameList>
          <b:Person>
            <b:Last>Canedo et al</b:Last>
            <b:First>E.,</b:First>
            <b:Middle>Cerqueira, A., Gravina, R., Ribeiro, V., Camões, R., Reis, V., Mendonça, F. and Sousa Jr, R.,</b:Middle>
          </b:Person>
        </b:NameList>
      </b:Author>
    </b:Author>
    <b:Title>Proposal of an implementation </b:Title>
    <b:Year>2021</b:Year>
    <b:RefOrder>20</b:RefOrder>
  </b:Source>
  <b:Source>
    <b:Tag>Moa201</b:Tag>
    <b:SourceType>JournalArticle</b:SourceType>
    <b:Guid>{28F4F9DC-13FA-4A3A-92CA-57EB7DCEFD64}</b:Guid>
    <b:Author>
      <b:Author>
        <b:NameList>
          <b:Person>
            <b:Last>Moalla et al</b:Last>
            <b:First>E.</b:First>
            <b:Middle>and Mayrhofer, U.,</b:Middle>
          </b:Person>
        </b:NameList>
      </b:Author>
    </b:Author>
    <b:Title>How does distance affect market entry mode choice? Evidence from French companies</b:Title>
    <b:Year> 2020</b:Year>
    <b:RefOrder>44</b:RefOrder>
  </b:Source>
  <b:Source>
    <b:Tag>Leo20</b:Tag>
    <b:SourceType>JournalArticle</b:SourceType>
    <b:Guid>{47753819-9219-422A-B483-78457D73DB86}</b:Guid>
    <b:Author>
      <b:Author>
        <b:NameList>
          <b:Person>
            <b:Last>Leonard et al</b:Last>
            <b:First>T.,</b:First>
            <b:Middle>Pakpahan, E.F., Heriyati, L.K. and Handayani, I.G.A.K.R.,</b:Middle>
          </b:Person>
        </b:NameList>
      </b:Author>
    </b:Author>
    <b:Title> Legal review of share ownership in a joint venture company</b:Title>
    <b:Year>2020</b:Year>
    <b:RefOrder>45</b:RefOrder>
  </b:Source>
  <b:Source>
    <b:Tag>Guo24</b:Tag>
    <b:SourceType>JournalArticle</b:SourceType>
    <b:Guid>{CDD04208-4569-4F6F-8EFD-BFEFB08449F6}</b:Guid>
    <b:Author>
      <b:Author>
        <b:NameList>
          <b:Person>
            <b:Last>Guo et al</b:Last>
            <b:First>C.</b:First>
            <b:Middle>and Wang, S.,</b:Middle>
          </b:Person>
        </b:NameList>
      </b:Author>
    </b:Author>
    <b:Title>The differences between alibaba’s domestic and overseas operations</b:Title>
    <b:Year>2024</b:Year>
    <b:RefOrder>46</b:RefOrder>
  </b:Source>
  <b:Source>
    <b:Tag>Ami</b:Tag>
    <b:SourceType>JournalArticle</b:SourceType>
    <b:Guid>{6618E49A-FA61-4AD9-A861-D02AF62EB016}</b:Guid>
    <b:Author>
      <b:Author>
        <b:NameList>
          <b:Person>
            <b:Last>Amiraslanov</b:Last>
            <b:First>K.T.,</b:First>
          </b:Person>
        </b:NameList>
      </b:Author>
    </b:Author>
    <b:Title>ENTRY CONDITIONS FOR TRANSNATIONAL CORPORATIONS IN HOST ECONOMIES</b:Title>
    <b:RefOrder>47</b:RefOrder>
  </b:Source>
  <b:Source>
    <b:Tag>Hee25</b:Tag>
    <b:SourceType>JournalArticle</b:SourceType>
    <b:Guid>{EB517B8B-9CF4-473D-8C77-AC82E5CBE63F}</b:Guid>
    <b:Author>
      <b:Author>
        <b:NameList>
          <b:Person>
            <b:Last>He et al</b:Last>
            <b:First>B.,</b:First>
            <b:Middle>Dong, J., Li, H., Chen, G. and Chen, Y.,</b:Middle>
          </b:Person>
        </b:NameList>
      </b:Author>
    </b:Author>
    <b:Title>The Business Expansion of Alibaba Group to Indonesia. </b:Title>
    <b:Year>2025</b:Year>
    <b:RefOrder>21</b:RefOrder>
  </b:Source>
  <b:Source>
    <b:Tag>Tea201</b:Tag>
    <b:SourceType>JournalArticle</b:SourceType>
    <b:Guid>{DA49406F-C555-4355-932A-DFC13BE44AD2}</b:Guid>
    <b:Author>
      <b:Author>
        <b:NameList>
          <b:Person>
            <b:Last>Tear et al</b:Last>
            <b:First>M.J.,</b:First>
            <b:Middle>Reader, T.W., Shorrock, S. and Kirwan, B.,</b:Middle>
          </b:Person>
        </b:NameList>
      </b:Author>
    </b:Author>
    <b:Title>Safety culture and power: interactions between </b:Title>
    <b:Year>2020</b:Year>
    <b:RefOrder>22</b:RefOrder>
  </b:Source>
  <b:Source>
    <b:Tag>Sch241</b:Tag>
    <b:SourceType>JournalArticle</b:SourceType>
    <b:Guid>{82506390-7A1A-42FD-B189-004918A5FDB1}</b:Guid>
    <b:Author>
      <b:Author>
        <b:NameList>
          <b:Person>
            <b:Last>Schlumberger et al</b:Last>
            <b:First>O.,</b:First>
            <b:Middle>Edel, M., Maati, A. and Saglam, K.,</b:Middle>
          </b:Person>
        </b:NameList>
      </b:Author>
    </b:Author>
    <b:Title>How authoritarianism transforms: A framework for the study of digital dictatorship</b:Title>
    <b:Year>2024</b:Year>
    <b:RefOrder>23</b:RefOrder>
  </b:Source>
  <b:Source>
    <b:Tag>Ian20</b:Tag>
    <b:SourceType>JournalArticle</b:SourceType>
    <b:Guid>{280D9AEE-8998-4A3A-9F9D-800C7E64FA99}</b:Guid>
    <b:Author>
      <b:Author>
        <b:NameList>
          <b:Person>
            <b:Last>Ianole-Călin et al</b:Last>
            <b:First>R.,</b:First>
            <b:Middle>Francioni, B., Masili, G., Druică, E. and Goschin, Z.,</b:Middle>
          </b:Person>
        </b:NameList>
      </b:Author>
    </b:Author>
    <b:Title> A cross-cultural analysis of how individualism and collectivism </b:Title>
    <b:Year>2020</b:Year>
    <b:RefOrder>24</b:RefOrder>
  </b:Source>
  <b:Source>
    <b:Tag>AlA22</b:Tag>
    <b:SourceType>JournalArticle</b:SourceType>
    <b:Guid>{0735DF5A-297D-4791-A1CD-FB82AB4B2DE1}</b:Guid>
    <b:Author>
      <b:Author>
        <b:NameList>
          <b:Person>
            <b:Last>Al-Adwan et al</b:Last>
            <b:First>A.S.,</b:First>
            <b:Middle>Al-Debei, M.M. and Dwivedi, Y.K.,</b:Middle>
          </b:Person>
        </b:NameList>
      </b:Author>
    </b:Author>
    <b:Title>E-commerce in high uncertainty avoidance cultures</b:Title>
    <b:Year>2022</b:Year>
    <b:RefOrder>25</b:RefOrder>
  </b:Source>
  <b:Source>
    <b:Tag>Fan24</b:Tag>
    <b:SourceType>JournalArticle</b:SourceType>
    <b:Guid>{63F94FDD-1DE0-4B9C-8C55-09910D7BB259}</b:Guid>
    <b:Author>
      <b:Author>
        <b:NameList>
          <b:Person>
            <b:Last>Fang et al</b:Last>
            <b:First>Q.,</b:First>
            <b:Middle>Wen, C. and Xu, H.,</b:Middle>
          </b:Person>
        </b:NameList>
      </b:Author>
    </b:Author>
    <b:Title> Long-term oriented culture, performance pressure and corporate innovation</b:Title>
    <b:Year>2024</b:Year>
    <b:RefOrder>26</b:RefOrder>
  </b:Source>
  <b:Source>
    <b:Tag>Yin24</b:Tag>
    <b:SourceType>JournalArticle</b:SourceType>
    <b:Guid>{92730FB0-03EF-45E7-9D6C-B4AB4EAFB779}</b:Guid>
    <b:Author>
      <b:Author>
        <b:NameList>
          <b:Person>
            <b:Last>Ying et al</b:Last>
            <b:First>Y.</b:First>
            <b:Middle>and Idrakisyah, M.,</b:Middle>
          </b:Person>
        </b:NameList>
      </b:Author>
    </b:Author>
    <b:Title>The Role of Market Segmentation and the Impact on Alibaba Company Online Business. </b:Title>
    <b:Year> 2024</b:Year>
    <b:RefOrder>27</b:RefOrder>
  </b:Source>
  <b:Source>
    <b:Tag>Yin241</b:Tag>
    <b:SourceType>JournalArticle</b:SourceType>
    <b:Guid>{84523E2F-81DD-45DC-8EBD-714E1E351F17}</b:Guid>
    <b:Author>
      <b:Author>
        <b:NameList>
          <b:Person>
            <b:Last>Ying et al</b:Last>
            <b:First>Y.</b:First>
            <b:Middle>and Idrakisyah, M.,</b:Middle>
          </b:Person>
        </b:NameList>
      </b:Author>
    </b:Author>
    <b:Title>The Role of Market Segmentation and the Impact on Alibaba Company Online Business</b:Title>
    <b:Year>2024</b:Year>
    <b:RefOrder>28</b:RefOrder>
  </b:Source>
  <b:Source>
    <b:Tag>Dam23</b:Tag>
    <b:SourceType>JournalArticle</b:SourceType>
    <b:Guid>{F5DB8FB0-3BEF-4338-B029-E6D3668AE982}</b:Guid>
    <b:Author>
      <b:Author>
        <b:NameList>
          <b:Person>
            <b:Last>Dameri et al</b:Last>
            <b:First>M.,</b:First>
            <b:Middle>Cirmena, G., Ravera, F., Ferrando, L., Cuccarolo, P., Stabile, M., Fanelli, G.N., Nuzzo, P.V., Calabrese, M., Tagliafico, A. and Ballestrero, A.,</b:Middle>
          </b:Person>
        </b:NameList>
      </b:Author>
    </b:Author>
    <b:Title>Standard Operating Procedures (SOPs) </b:Title>
    <b:Year>2023</b:Year>
    <b:RefOrder>29</b:RefOrder>
  </b:Source>
  <b:Source>
    <b:Tag>Sch22</b:Tag>
    <b:SourceType>JournalArticle</b:SourceType>
    <b:Guid>{A1AD1A3B-A5C5-4C8B-A752-72400AA856C4}</b:Guid>
    <b:Author>
      <b:Author>
        <b:NameList>
          <b:Person>
            <b:Last>Schönsleben</b:Last>
            <b:First>P.,</b:First>
          </b:Person>
        </b:NameList>
      </b:Author>
    </b:Author>
    <b:Title>Logistics, operations, and supply chain management</b:Title>
    <b:Year>2022</b:Year>
    <b:RefOrder>48</b:RefOrder>
  </b:Source>
  <b:Source>
    <b:Tag>Gro24</b:Tag>
    <b:SourceType>JournalArticle</b:SourceType>
    <b:Guid>{153E1A32-A198-4D91-B263-7C5EFC71FAAD}</b:Guid>
    <b:Author>
      <b:Author>
        <b:NameList>
          <b:Person>
            <b:Last>Grootjans</b:Last>
            <b:First>W.,</b:First>
          </b:Person>
        </b:NameList>
      </b:Author>
    </b:Author>
    <b:Title>Evaluation, Monitoring, and Improvement. </b:Title>
    <b:Year>2024</b:Year>
    <b:RefOrder>35</b:RefOrder>
  </b:Source>
  <b:Source>
    <b:Tag>Bal24</b:Tag>
    <b:SourceType>JournalArticle</b:SourceType>
    <b:Guid>{2F7197A0-455C-4ED6-8C91-F3A57410BBD9}</b:Guid>
    <b:Author>
      <b:Author>
        <b:NameList>
          <b:Person>
            <b:Last>Balamurugan</b:Last>
            <b:First>M.,</b:First>
          </b:Person>
        </b:NameList>
      </b:Author>
    </b:Author>
    <b:Title>AI-driven adaptive content marketing: Automating strategy adjustments for enhanced consumer engagement</b:Title>
    <b:Year>2024</b:Year>
    <b:RefOrder>34</b:RefOrder>
  </b:Source>
  <b:Source>
    <b:Tag>Che221</b:Tag>
    <b:SourceType>JournalArticle</b:SourceType>
    <b:Guid>{578F4FF0-A76F-4272-A6A7-4127ACA986E9}</b:Guid>
    <b:Author>
      <b:Author>
        <b:NameList>
          <b:Person>
            <b:Last>Chelladurai et al</b:Last>
            <b:First>P.</b:First>
            <b:Middle>and Kim, A.C.H.,</b:Middle>
          </b:Person>
        </b:NameList>
      </b:Author>
    </b:Author>
    <b:Title>Human resource management in sport and recreation. Human kinetics</b:Title>
    <b:Year>2022</b:Year>
    <b:RefOrder>33</b:RefOrder>
  </b:Source>
  <b:Source>
    <b:Tag>Ban211</b:Tag>
    <b:SourceType>JournalArticle</b:SourceType>
    <b:Guid>{48C0D29B-FE06-41EF-8F95-753DAB98B425}</b:Guid>
    <b:Author>
      <b:Author>
        <b:NameList>
          <b:Person>
            <b:Last>Bandura et al</b:Last>
            <b:First>R.</b:First>
            <b:Middle>and Ramanujam, S.R.,</b:Middle>
          </b:Person>
        </b:NameList>
      </b:Author>
    </b:Author>
    <b:Title>. Developing inclusive digital payment systems</b:Title>
    <b:Year>2021</b:Year>
    <b:RefOrder>31</b:RefOrder>
  </b:Source>
  <b:Source>
    <b:Tag>Bon211</b:Tag>
    <b:SourceType>JournalArticle</b:SourceType>
    <b:Guid>{8E8D9600-FB99-4283-BB6F-9DC0D7D87FAF}</b:Guid>
    <b:Author>
      <b:Author>
        <b:NameList>
          <b:Person>
            <b:Last>Bonina et al</b:Last>
            <b:First>C.,</b:First>
            <b:Middle>Koskinen, K., Eaton, B. and Gawer, A.,</b:Middle>
          </b:Person>
        </b:NameList>
      </b:Author>
    </b:Author>
    <b:Title> Digital platforms for development: Foundations and research</b:Title>
    <b:Year>2021</b:Year>
    <b:RefOrder>32</b:RefOrder>
  </b:Source>
  <b:Source>
    <b:Tag>Sch</b:Tag>
    <b:SourceType>JournalArticle</b:SourceType>
    <b:Guid>{66486143-12F2-4FB9-A3BE-A96386E331FD}</b:Guid>
    <b:Author>
      <b:Author>
        <b:NameList>
          <b:Person>
            <b:Last>Schönsleben</b:Last>
            <b:First>P.</b:First>
          </b:Person>
        </b:NameList>
      </b:Author>
    </b:Author>
    <b:Title> Logistics, operations, and supply chain management</b:Title>
    <b:Pages>2022</b:Pages>
    <b:RefOrder>30</b:RefOrder>
  </b:Source>
  <b:Source>
    <b:Tag>Rah241</b:Tag>
    <b:SourceType>JournalArticle</b:SourceType>
    <b:Guid>{65FFA4F1-4C81-4B4C-B7F3-4DC6BF6EED32}</b:Guid>
    <b:Author>
      <b:Author>
        <b:NameList>
          <b:Person>
            <b:Last>Rahman</b:Last>
            <b:First>M.D.,</b:First>
          </b:Person>
        </b:NameList>
      </b:Author>
    </b:Author>
    <b:Title>. E-commerce Evolution: A Strategic Analysis of Alibaba's Business Ecosystem</b:Title>
    <b:Year> 2024</b:Year>
    <b:RefOrder>2</b:RefOrder>
  </b:Source>
  <b:Source>
    <b:Tag>daS191</b:Tag>
    <b:SourceType>JournalArticle</b:SourceType>
    <b:Guid>{12C42455-3716-49F9-A40E-B136BBBAA623}</b:Guid>
    <b:Author>
      <b:Author>
        <b:NameList>
          <b:Person>
            <b:Last>da Silva Lopes et al</b:Last>
            <b:First>T.,</b:First>
            <b:Middle>Casson, M. and Jones, G.,</b:Middle>
          </b:Person>
        </b:NameList>
      </b:Author>
    </b:Author>
    <b:Title>Organizational innovation in the multinational enterprise</b:Title>
    <b:Year> 2019. </b:Year>
    <b:RefOrder>3</b:RefOrder>
  </b:Source>
  <b:Source>
    <b:Tag>Rud221</b:Tag>
    <b:SourceType>JournalArticle</b:SourceType>
    <b:Guid>{A7C49A5B-54F0-49AE-A85C-C371B048B18F}</b:Guid>
    <b:Author>
      <b:Author>
        <b:NameList>
          <b:Person>
            <b:Last>Rudenko-Sudarieva et al</b:Last>
            <b:First>L.</b:First>
            <b:Middle>and Shevchenko, Y.,</b:Middle>
          </b:Person>
        </b:NameList>
      </b:Author>
    </b:Author>
    <b:Title>Paradigm Fundamentals </b:Title>
    <b:Year>2022</b:Year>
    <b:RefOrder>4</b:RefOrder>
  </b:Source>
  <b:Source xmlns:b="http://schemas.openxmlformats.org/officeDocument/2006/bibliography">
    <b:Tag>Liu242</b:Tag>
    <b:SourceType>JournalArticle</b:SourceType>
    <b:Guid>{01CF4DAD-0080-4DC3-AB8C-A05697F6D9F6}</b:Guid>
    <b:Author>
      <b:Author>
        <b:NameList>
          <b:Person>
            <b:Last>Liu</b:Last>
            <b:First>S.,</b:First>
          </b:Person>
        </b:NameList>
      </b:Author>
    </b:Author>
    <b:Title>The Impact of Capital Structure on Corporate Financial </b:Title>
    <b:Year>2024</b:Year>
    <b:RefOrder>1</b:RefOrder>
  </b:Source>
</b:Sources>
</file>

<file path=customXml/itemProps1.xml><?xml version="1.0" encoding="utf-8"?>
<ds:datastoreItem xmlns:ds="http://schemas.openxmlformats.org/officeDocument/2006/customXml" ds:itemID="{B3B1A996-346B-4FDC-BCB5-B17CAEFA1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8594</Words>
  <Characters>48987</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2025-12-13T12:13:00Z</dcterms:created>
  <dcterms:modified xsi:type="dcterms:W3CDTF">2025-12-13T12:13:00Z</dcterms:modified>
</cp:coreProperties>
</file>