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2F2F2" w:themeColor="background1" w:themeShade="F2"/>
  <w:body>
    <w:p w14:paraId="25BC4163" w14:textId="77777777" w:rsidR="00530775" w:rsidRDefault="00530775">
      <w:pPr>
        <w:rPr>
          <w:rFonts w:ascii="Arial" w:hAnsi="Arial" w:cs="Arial"/>
          <w:b/>
          <w:color w:val="0F9ED5" w:themeColor="accent4"/>
          <w:sz w:val="40"/>
          <w:szCs w:val="40"/>
          <w14:textOutline w14:w="0" w14:cap="flat" w14:cmpd="sng" w14:algn="ctr">
            <w14:noFill/>
            <w14:prstDash w14:val="solid"/>
            <w14:round/>
          </w14:textOutline>
          <w14:props3d w14:extrusionH="57150" w14:contourW="0" w14:prstMaterial="softEdge">
            <w14:bevelT w14:w="25400" w14:h="38100" w14:prst="circle"/>
          </w14:props3d>
        </w:rPr>
      </w:pPr>
    </w:p>
    <w:p w14:paraId="024724DE" w14:textId="449F1382" w:rsidR="00FE1092" w:rsidRPr="00530775" w:rsidRDefault="00FE7057">
      <w:pPr>
        <w:rPr>
          <w:rFonts w:ascii="Arial" w:hAnsi="Arial" w:cs="Arial"/>
          <w:b/>
          <w:color w:val="0F9ED5" w:themeColor="accent4"/>
          <w:sz w:val="40"/>
          <w:szCs w:val="40"/>
          <w14:textOutline w14:w="0" w14:cap="flat" w14:cmpd="sng" w14:algn="ctr">
            <w14:noFill/>
            <w14:prstDash w14:val="solid"/>
            <w14:round/>
          </w14:textOutline>
          <w14:props3d w14:extrusionH="57150" w14:contourW="0" w14:prstMaterial="softEdge">
            <w14:bevelT w14:w="25400" w14:h="38100" w14:prst="circle"/>
          </w14:props3d>
        </w:rPr>
      </w:pPr>
      <w:r w:rsidRPr="00530775">
        <w:rPr>
          <w:rFonts w:ascii="Arial" w:hAnsi="Arial" w:cs="Arial"/>
          <w:b/>
          <w:color w:val="0F9ED5" w:themeColor="accent4"/>
          <w:sz w:val="40"/>
          <w:szCs w:val="40"/>
          <w14:textOutline w14:w="0" w14:cap="flat" w14:cmpd="sng" w14:algn="ctr">
            <w14:noFill/>
            <w14:prstDash w14:val="solid"/>
            <w14:round/>
          </w14:textOutline>
          <w14:props3d w14:extrusionH="57150" w14:contourW="0" w14:prstMaterial="softEdge">
            <w14:bevelT w14:w="25400" w14:h="38100" w14:prst="circle"/>
          </w14:props3d>
        </w:rPr>
        <w:t>Reflective Insights on Coaching and Mentoring: Application of Theory to Practice</w:t>
      </w:r>
    </w:p>
    <w:p w14:paraId="770A100F" w14:textId="77777777" w:rsidR="00FE1092" w:rsidRDefault="00FE1092">
      <w:pPr>
        <w:rPr>
          <w:rFonts w:ascii="Arial" w:hAnsi="Arial" w:cs="Arial"/>
          <w:sz w:val="40"/>
          <w:szCs w:val="40"/>
        </w:rPr>
      </w:pPr>
    </w:p>
    <w:p w14:paraId="44403F1E" w14:textId="77777777" w:rsidR="009C5D11" w:rsidRPr="00FE7057" w:rsidRDefault="009C5D11">
      <w:pPr>
        <w:rPr>
          <w:rFonts w:ascii="Arial" w:hAnsi="Arial" w:cs="Arial"/>
          <w:sz w:val="40"/>
          <w:szCs w:val="40"/>
        </w:rPr>
      </w:pPr>
    </w:p>
    <w:p w14:paraId="1971791A" w14:textId="77777777" w:rsidR="00FE1092" w:rsidRDefault="00FE1092"/>
    <w:p w14:paraId="6FF4D43B" w14:textId="77777777" w:rsidR="00FE1092" w:rsidRDefault="00FE1092"/>
    <w:p w14:paraId="7F5040EA" w14:textId="460D8C80" w:rsidR="00FE1092" w:rsidRDefault="00CC68EA">
      <w:r>
        <w:rPr>
          <w:noProof/>
        </w:rPr>
        <w:drawing>
          <wp:inline distT="0" distB="0" distL="0" distR="0" wp14:anchorId="10D3E877" wp14:editId="06D883EB">
            <wp:extent cx="5702300" cy="3429000"/>
            <wp:effectExtent l="0" t="0" r="0" b="0"/>
            <wp:docPr id="1757580691" name="Picture 1" descr="A group of people sitting at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7580691" name="Picture 1" descr="A group of people sitting at a computer screen&#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02300" cy="3429000"/>
                    </a:xfrm>
                    <a:prstGeom prst="rect">
                      <a:avLst/>
                    </a:prstGeom>
                    <a:noFill/>
                  </pic:spPr>
                </pic:pic>
              </a:graphicData>
            </a:graphic>
          </wp:inline>
        </w:drawing>
      </w:r>
    </w:p>
    <w:p w14:paraId="106AD7CA" w14:textId="77777777" w:rsidR="00FE1092" w:rsidRDefault="00FE1092"/>
    <w:p w14:paraId="0720DD24" w14:textId="77777777" w:rsidR="00FE1092" w:rsidRDefault="00FE1092"/>
    <w:p w14:paraId="0E5CA152" w14:textId="77777777" w:rsidR="00F22D42" w:rsidRDefault="00F22D42"/>
    <w:p w14:paraId="09E6182A" w14:textId="77777777" w:rsidR="009C5D11" w:rsidRDefault="009C5D11"/>
    <w:p w14:paraId="67CB0D92" w14:textId="77777777" w:rsidR="00C04185" w:rsidRDefault="00C04185"/>
    <w:tbl>
      <w:tblPr>
        <w:tblStyle w:val="TableGrid"/>
        <w:tblW w:w="0" w:type="auto"/>
        <w:tblLook w:val="04A0" w:firstRow="1" w:lastRow="0" w:firstColumn="1" w:lastColumn="0" w:noHBand="0" w:noVBand="1"/>
      </w:tblPr>
      <w:tblGrid>
        <w:gridCol w:w="2223"/>
        <w:gridCol w:w="6713"/>
      </w:tblGrid>
      <w:tr w:rsidR="00FE1092" w14:paraId="2FAB14C2" w14:textId="77777777" w:rsidTr="00C04185">
        <w:tc>
          <w:tcPr>
            <w:tcW w:w="2223" w:type="dxa"/>
            <w:tcBorders>
              <w:top w:val="single" w:sz="18" w:space="0" w:color="auto"/>
              <w:left w:val="single" w:sz="18" w:space="0" w:color="auto"/>
              <w:bottom w:val="single" w:sz="18" w:space="0" w:color="auto"/>
              <w:right w:val="single" w:sz="18" w:space="0" w:color="auto"/>
            </w:tcBorders>
            <w:shd w:val="clear" w:color="auto" w:fill="auto"/>
          </w:tcPr>
          <w:p w14:paraId="3AAD8E1F" w14:textId="604BFA95" w:rsidR="00FE1092" w:rsidRPr="00BD2DDE" w:rsidRDefault="00FE1092">
            <w:pPr>
              <w:rPr>
                <w:rFonts w:ascii="Arial" w:hAnsi="Arial" w:cs="Arial"/>
                <w:b/>
                <w:color w:val="0F9ED5" w:themeColor="accent4"/>
                <w:sz w:val="22"/>
                <w:szCs w:val="22"/>
                <w14:textOutline w14:w="0" w14:cap="flat" w14:cmpd="sng" w14:algn="ctr">
                  <w14:noFill/>
                  <w14:prstDash w14:val="solid"/>
                  <w14:round/>
                </w14:textOutline>
                <w14:props3d w14:extrusionH="57150" w14:contourW="0" w14:prstMaterial="softEdge">
                  <w14:bevelT w14:w="25400" w14:h="38100" w14:prst="circle"/>
                </w14:props3d>
              </w:rPr>
            </w:pPr>
            <w:r w:rsidRPr="00BD2DDE">
              <w:rPr>
                <w:rFonts w:ascii="Arial" w:hAnsi="Arial" w:cs="Arial"/>
                <w:b/>
                <w:color w:val="0F9ED5" w:themeColor="accent4"/>
                <w:sz w:val="22"/>
                <w:szCs w:val="22"/>
                <w14:textOutline w14:w="0" w14:cap="flat" w14:cmpd="sng" w14:algn="ctr">
                  <w14:noFill/>
                  <w14:prstDash w14:val="solid"/>
                  <w14:round/>
                </w14:textOutline>
                <w14:props3d w14:extrusionH="57150" w14:contourW="0" w14:prstMaterial="softEdge">
                  <w14:bevelT w14:w="25400" w14:h="38100" w14:prst="circle"/>
                </w14:props3d>
              </w:rPr>
              <w:t>Module</w:t>
            </w:r>
          </w:p>
        </w:tc>
        <w:tc>
          <w:tcPr>
            <w:tcW w:w="6713" w:type="dxa"/>
            <w:tcBorders>
              <w:top w:val="single" w:sz="18" w:space="0" w:color="auto"/>
              <w:left w:val="single" w:sz="18" w:space="0" w:color="auto"/>
              <w:bottom w:val="single" w:sz="18" w:space="0" w:color="auto"/>
              <w:right w:val="single" w:sz="18" w:space="0" w:color="auto"/>
            </w:tcBorders>
          </w:tcPr>
          <w:p w14:paraId="2F32170D" w14:textId="1DDCD6A1" w:rsidR="00FE1092" w:rsidRPr="00BD2DDE" w:rsidRDefault="00FE1092">
            <w:pPr>
              <w:rPr>
                <w:rFonts w:ascii="Arial" w:hAnsi="Arial" w:cs="Arial"/>
                <w:b/>
                <w:color w:val="0F9ED5" w:themeColor="accent4"/>
                <w:sz w:val="22"/>
                <w:szCs w:val="22"/>
                <w14:textOutline w14:w="0" w14:cap="flat" w14:cmpd="sng" w14:algn="ctr">
                  <w14:noFill/>
                  <w14:prstDash w14:val="solid"/>
                  <w14:round/>
                </w14:textOutline>
                <w14:props3d w14:extrusionH="57150" w14:contourW="0" w14:prstMaterial="softEdge">
                  <w14:bevelT w14:w="25400" w14:h="38100" w14:prst="circle"/>
                </w14:props3d>
              </w:rPr>
            </w:pPr>
            <w:r w:rsidRPr="00BD2DDE">
              <w:rPr>
                <w:rFonts w:ascii="Arial" w:hAnsi="Arial" w:cs="Arial"/>
                <w:b/>
                <w:color w:val="0F9ED5" w:themeColor="accent4"/>
                <w:sz w:val="22"/>
                <w:szCs w:val="22"/>
                <w14:textOutline w14:w="0" w14:cap="flat" w14:cmpd="sng" w14:algn="ctr">
                  <w14:noFill/>
                  <w14:prstDash w14:val="solid"/>
                  <w14:round/>
                </w14:textOutline>
                <w14:props3d w14:extrusionH="57150" w14:contourW="0" w14:prstMaterial="softEdge">
                  <w14:bevelT w14:w="25400" w14:h="38100" w14:prst="circle"/>
                </w14:props3d>
              </w:rPr>
              <w:t>Coaching and Mentoring Skills for the Workplace</w:t>
            </w:r>
          </w:p>
        </w:tc>
      </w:tr>
      <w:tr w:rsidR="00FE1092" w14:paraId="1B4ADE85" w14:textId="77777777" w:rsidTr="00C04185">
        <w:tc>
          <w:tcPr>
            <w:tcW w:w="2223" w:type="dxa"/>
            <w:tcBorders>
              <w:top w:val="single" w:sz="18" w:space="0" w:color="auto"/>
              <w:left w:val="single" w:sz="18" w:space="0" w:color="auto"/>
              <w:bottom w:val="single" w:sz="18" w:space="0" w:color="auto"/>
              <w:right w:val="single" w:sz="18" w:space="0" w:color="auto"/>
            </w:tcBorders>
          </w:tcPr>
          <w:p w14:paraId="51481172" w14:textId="5EFB0DC4" w:rsidR="00FE1092" w:rsidRPr="00BD2DDE" w:rsidRDefault="00FE1092">
            <w:pPr>
              <w:rPr>
                <w:rFonts w:ascii="Arial" w:hAnsi="Arial" w:cs="Arial"/>
                <w:b/>
                <w:color w:val="0F9ED5" w:themeColor="accent4"/>
                <w:sz w:val="22"/>
                <w:szCs w:val="22"/>
                <w14:textOutline w14:w="0" w14:cap="flat" w14:cmpd="sng" w14:algn="ctr">
                  <w14:noFill/>
                  <w14:prstDash w14:val="solid"/>
                  <w14:round/>
                </w14:textOutline>
                <w14:props3d w14:extrusionH="57150" w14:contourW="0" w14:prstMaterial="softEdge">
                  <w14:bevelT w14:w="25400" w14:h="38100" w14:prst="circle"/>
                </w14:props3d>
              </w:rPr>
            </w:pPr>
            <w:r w:rsidRPr="00BD2DDE">
              <w:rPr>
                <w:rFonts w:ascii="Arial" w:hAnsi="Arial" w:cs="Arial"/>
                <w:b/>
                <w:color w:val="0F9ED5" w:themeColor="accent4"/>
                <w:sz w:val="22"/>
                <w:szCs w:val="22"/>
                <w14:textOutline w14:w="0" w14:cap="flat" w14:cmpd="sng" w14:algn="ctr">
                  <w14:noFill/>
                  <w14:prstDash w14:val="solid"/>
                  <w14:round/>
                </w14:textOutline>
                <w14:props3d w14:extrusionH="57150" w14:contourW="0" w14:prstMaterial="softEdge">
                  <w14:bevelT w14:w="25400" w14:h="38100" w14:prst="circle"/>
                </w14:props3d>
              </w:rPr>
              <w:t>Module code</w:t>
            </w:r>
          </w:p>
        </w:tc>
        <w:tc>
          <w:tcPr>
            <w:tcW w:w="6713" w:type="dxa"/>
            <w:tcBorders>
              <w:top w:val="single" w:sz="18" w:space="0" w:color="auto"/>
              <w:left w:val="single" w:sz="18" w:space="0" w:color="auto"/>
              <w:bottom w:val="single" w:sz="18" w:space="0" w:color="auto"/>
              <w:right w:val="single" w:sz="18" w:space="0" w:color="auto"/>
            </w:tcBorders>
          </w:tcPr>
          <w:p w14:paraId="54D21A61" w14:textId="48A9632B" w:rsidR="00FE1092" w:rsidRPr="00BD2DDE" w:rsidRDefault="00FE1092">
            <w:pPr>
              <w:rPr>
                <w:rFonts w:ascii="Arial" w:hAnsi="Arial" w:cs="Arial"/>
                <w:b/>
                <w:color w:val="0F9ED5" w:themeColor="accent4"/>
                <w:sz w:val="22"/>
                <w:szCs w:val="22"/>
                <w14:textOutline w14:w="0" w14:cap="flat" w14:cmpd="sng" w14:algn="ctr">
                  <w14:noFill/>
                  <w14:prstDash w14:val="solid"/>
                  <w14:round/>
                </w14:textOutline>
                <w14:props3d w14:extrusionH="57150" w14:contourW="0" w14:prstMaterial="softEdge">
                  <w14:bevelT w14:w="25400" w14:h="38100" w14:prst="circle"/>
                </w14:props3d>
              </w:rPr>
            </w:pPr>
            <w:r w:rsidRPr="00BD2DDE">
              <w:rPr>
                <w:rFonts w:ascii="Arial" w:hAnsi="Arial" w:cs="Arial"/>
                <w:b/>
                <w:color w:val="0F9ED5" w:themeColor="accent4"/>
                <w:sz w:val="22"/>
                <w:szCs w:val="22"/>
                <w14:textOutline w14:w="0" w14:cap="flat" w14:cmpd="sng" w14:algn="ctr">
                  <w14:noFill/>
                  <w14:prstDash w14:val="solid"/>
                  <w14:round/>
                </w14:textOutline>
                <w14:props3d w14:extrusionH="57150" w14:contourW="0" w14:prstMaterial="softEdge">
                  <w14:bevelT w14:w="25400" w14:h="38100" w14:prst="circle"/>
                </w14:props3d>
              </w:rPr>
              <w:t>BMSW6105</w:t>
            </w:r>
          </w:p>
        </w:tc>
      </w:tr>
      <w:tr w:rsidR="00FE1092" w14:paraId="04267E8B" w14:textId="77777777" w:rsidTr="00C04185">
        <w:tc>
          <w:tcPr>
            <w:tcW w:w="2223" w:type="dxa"/>
            <w:tcBorders>
              <w:top w:val="single" w:sz="18" w:space="0" w:color="auto"/>
              <w:left w:val="single" w:sz="18" w:space="0" w:color="auto"/>
              <w:bottom w:val="single" w:sz="18" w:space="0" w:color="auto"/>
              <w:right w:val="single" w:sz="18" w:space="0" w:color="auto"/>
            </w:tcBorders>
          </w:tcPr>
          <w:p w14:paraId="224761A5" w14:textId="0C5712BB" w:rsidR="00FE1092" w:rsidRPr="00BD2DDE" w:rsidRDefault="00FE1092">
            <w:pPr>
              <w:rPr>
                <w:rFonts w:ascii="Arial" w:hAnsi="Arial" w:cs="Arial"/>
                <w:b/>
                <w:color w:val="0F9ED5" w:themeColor="accent4"/>
                <w:sz w:val="22"/>
                <w:szCs w:val="22"/>
                <w14:textOutline w14:w="0" w14:cap="flat" w14:cmpd="sng" w14:algn="ctr">
                  <w14:noFill/>
                  <w14:prstDash w14:val="solid"/>
                  <w14:round/>
                </w14:textOutline>
                <w14:props3d w14:extrusionH="57150" w14:contourW="0" w14:prstMaterial="softEdge">
                  <w14:bevelT w14:w="25400" w14:h="38100" w14:prst="circle"/>
                </w14:props3d>
              </w:rPr>
            </w:pPr>
            <w:r w:rsidRPr="00BD2DDE">
              <w:rPr>
                <w:rFonts w:ascii="Arial" w:hAnsi="Arial" w:cs="Arial"/>
                <w:b/>
                <w:bCs/>
                <w:color w:val="0F9ED5" w:themeColor="accent4"/>
                <w:sz w:val="22"/>
                <w:szCs w:val="22"/>
                <w14:textOutline w14:w="0" w14:cap="flat" w14:cmpd="sng" w14:algn="ctr">
                  <w14:noFill/>
                  <w14:prstDash w14:val="solid"/>
                  <w14:round/>
                </w14:textOutline>
                <w14:props3d w14:extrusionH="57150" w14:contourW="0" w14:prstMaterial="softEdge">
                  <w14:bevelT w14:w="25400" w14:h="38100" w14:prst="circle"/>
                </w14:props3d>
              </w:rPr>
              <w:t>Lecturer</w:t>
            </w:r>
          </w:p>
        </w:tc>
        <w:tc>
          <w:tcPr>
            <w:tcW w:w="6713" w:type="dxa"/>
            <w:tcBorders>
              <w:top w:val="single" w:sz="18" w:space="0" w:color="auto"/>
              <w:left w:val="single" w:sz="18" w:space="0" w:color="auto"/>
              <w:bottom w:val="single" w:sz="18" w:space="0" w:color="auto"/>
              <w:right w:val="single" w:sz="18" w:space="0" w:color="auto"/>
            </w:tcBorders>
          </w:tcPr>
          <w:p w14:paraId="2779BBCD" w14:textId="68D7BDDC" w:rsidR="00FE1092" w:rsidRPr="00BD2DDE" w:rsidRDefault="001370CA">
            <w:pPr>
              <w:rPr>
                <w:rFonts w:ascii="Arial" w:hAnsi="Arial" w:cs="Arial"/>
                <w:b/>
                <w:color w:val="0F9ED5" w:themeColor="accent4"/>
                <w:sz w:val="22"/>
                <w:szCs w:val="22"/>
                <w14:textOutline w14:w="0" w14:cap="flat" w14:cmpd="sng" w14:algn="ctr">
                  <w14:noFill/>
                  <w14:prstDash w14:val="solid"/>
                  <w14:round/>
                </w14:textOutline>
                <w14:props3d w14:extrusionH="57150" w14:contourW="0" w14:prstMaterial="softEdge">
                  <w14:bevelT w14:w="25400" w14:h="38100" w14:prst="circle"/>
                </w14:props3d>
              </w:rPr>
            </w:pPr>
            <w:r w:rsidRPr="00BD2DDE">
              <w:rPr>
                <w:rFonts w:ascii="Arial" w:hAnsi="Arial" w:cs="Arial"/>
                <w:b/>
                <w:bCs/>
                <w:color w:val="0F9ED5" w:themeColor="accent4"/>
                <w:sz w:val="22"/>
                <w:szCs w:val="22"/>
                <w14:textOutline w14:w="0" w14:cap="flat" w14:cmpd="sng" w14:algn="ctr">
                  <w14:noFill/>
                  <w14:prstDash w14:val="solid"/>
                  <w14:round/>
                </w14:textOutline>
                <w14:props3d w14:extrusionH="57150" w14:contourW="0" w14:prstMaterial="softEdge">
                  <w14:bevelT w14:w="25400" w14:h="38100" w14:prst="circle"/>
                </w14:props3d>
              </w:rPr>
              <w:t xml:space="preserve">Dr Mudassar Hasan </w:t>
            </w:r>
            <w:r w:rsidR="004C4180" w:rsidRPr="00BD2DDE">
              <w:rPr>
                <w:rFonts w:ascii="Arial" w:hAnsi="Arial" w:cs="Arial"/>
                <w:b/>
                <w:bCs/>
                <w:color w:val="0F9ED5" w:themeColor="accent4"/>
                <w:sz w:val="22"/>
                <w:szCs w:val="22"/>
                <w14:textOutline w14:w="0" w14:cap="flat" w14:cmpd="sng" w14:algn="ctr">
                  <w14:noFill/>
                  <w14:prstDash w14:val="solid"/>
                  <w14:round/>
                </w14:textOutline>
                <w14:props3d w14:extrusionH="57150" w14:contourW="0" w14:prstMaterial="softEdge">
                  <w14:bevelT w14:w="25400" w14:h="38100" w14:prst="circle"/>
                </w14:props3d>
              </w:rPr>
              <w:t>a</w:t>
            </w:r>
            <w:r w:rsidR="005B5C94" w:rsidRPr="00BD2DDE">
              <w:rPr>
                <w:rFonts w:ascii="Arial" w:hAnsi="Arial" w:cs="Arial"/>
                <w:b/>
                <w:bCs/>
                <w:color w:val="0F9ED5" w:themeColor="accent4"/>
                <w:sz w:val="22"/>
                <w:szCs w:val="22"/>
                <w14:textOutline w14:w="0" w14:cap="flat" w14:cmpd="sng" w14:algn="ctr">
                  <w14:noFill/>
                  <w14:prstDash w14:val="solid"/>
                  <w14:round/>
                </w14:textOutline>
                <w14:props3d w14:extrusionH="57150" w14:contourW="0" w14:prstMaterial="softEdge">
                  <w14:bevelT w14:w="25400" w14:h="38100" w14:prst="circle"/>
                </w14:props3d>
              </w:rPr>
              <w:t xml:space="preserve">nd </w:t>
            </w:r>
            <w:r w:rsidR="00FE1092" w:rsidRPr="00BD2DDE">
              <w:rPr>
                <w:rFonts w:ascii="Arial" w:hAnsi="Arial" w:cs="Arial"/>
                <w:b/>
                <w:bCs/>
                <w:color w:val="0F9ED5" w:themeColor="accent4"/>
                <w:sz w:val="22"/>
                <w:szCs w:val="22"/>
                <w14:textOutline w14:w="0" w14:cap="flat" w14:cmpd="sng" w14:algn="ctr">
                  <w14:noFill/>
                  <w14:prstDash w14:val="solid"/>
                  <w14:round/>
                </w14:textOutline>
                <w14:props3d w14:extrusionH="57150" w14:contourW="0" w14:prstMaterial="softEdge">
                  <w14:bevelT w14:w="25400" w14:h="38100" w14:prst="circle"/>
                </w14:props3d>
              </w:rPr>
              <w:t xml:space="preserve">Dr. Dennis Pepple </w:t>
            </w:r>
          </w:p>
        </w:tc>
      </w:tr>
      <w:tr w:rsidR="00FE1092" w14:paraId="5ADCAAA9" w14:textId="77777777" w:rsidTr="00C04185">
        <w:tc>
          <w:tcPr>
            <w:tcW w:w="2223" w:type="dxa"/>
            <w:tcBorders>
              <w:top w:val="single" w:sz="18" w:space="0" w:color="auto"/>
              <w:left w:val="single" w:sz="18" w:space="0" w:color="auto"/>
              <w:bottom w:val="single" w:sz="18" w:space="0" w:color="auto"/>
              <w:right w:val="single" w:sz="18" w:space="0" w:color="auto"/>
            </w:tcBorders>
          </w:tcPr>
          <w:p w14:paraId="53D15085" w14:textId="46A9F169" w:rsidR="00FE1092" w:rsidRPr="00BD2DDE" w:rsidRDefault="00FE1092">
            <w:pPr>
              <w:rPr>
                <w:rFonts w:ascii="Arial" w:hAnsi="Arial" w:cs="Arial"/>
                <w:b/>
                <w:color w:val="0F9ED5" w:themeColor="accent4"/>
                <w:sz w:val="22"/>
                <w:szCs w:val="22"/>
                <w14:textOutline w14:w="0" w14:cap="flat" w14:cmpd="sng" w14:algn="ctr">
                  <w14:noFill/>
                  <w14:prstDash w14:val="solid"/>
                  <w14:round/>
                </w14:textOutline>
                <w14:props3d w14:extrusionH="57150" w14:contourW="0" w14:prstMaterial="softEdge">
                  <w14:bevelT w14:w="25400" w14:h="38100" w14:prst="circle"/>
                </w14:props3d>
              </w:rPr>
            </w:pPr>
            <w:r w:rsidRPr="00BD2DDE">
              <w:rPr>
                <w:rFonts w:ascii="Arial" w:hAnsi="Arial" w:cs="Arial"/>
                <w:b/>
                <w:bCs/>
                <w:color w:val="0F9ED5" w:themeColor="accent4"/>
                <w:sz w:val="22"/>
                <w:szCs w:val="22"/>
                <w14:textOutline w14:w="0" w14:cap="flat" w14:cmpd="sng" w14:algn="ctr">
                  <w14:noFill/>
                  <w14:prstDash w14:val="solid"/>
                  <w14:round/>
                </w14:textOutline>
                <w14:props3d w14:extrusionH="57150" w14:contourW="0" w14:prstMaterial="softEdge">
                  <w14:bevelT w14:w="25400" w14:h="38100" w14:prst="circle"/>
                </w14:props3d>
              </w:rPr>
              <w:t>Student</w:t>
            </w:r>
          </w:p>
        </w:tc>
        <w:tc>
          <w:tcPr>
            <w:tcW w:w="6713" w:type="dxa"/>
            <w:tcBorders>
              <w:top w:val="single" w:sz="18" w:space="0" w:color="auto"/>
              <w:left w:val="single" w:sz="18" w:space="0" w:color="auto"/>
              <w:bottom w:val="single" w:sz="18" w:space="0" w:color="auto"/>
              <w:right w:val="single" w:sz="18" w:space="0" w:color="auto"/>
            </w:tcBorders>
          </w:tcPr>
          <w:p w14:paraId="200AD6BC" w14:textId="1C437CD6" w:rsidR="00FE1092" w:rsidRPr="00BD2DDE" w:rsidRDefault="00FE1092">
            <w:pPr>
              <w:rPr>
                <w:rFonts w:ascii="Arial" w:hAnsi="Arial" w:cs="Arial"/>
                <w:b/>
                <w:color w:val="0F9ED5" w:themeColor="accent4"/>
                <w:sz w:val="22"/>
                <w:szCs w:val="22"/>
                <w14:textOutline w14:w="0" w14:cap="flat" w14:cmpd="sng" w14:algn="ctr">
                  <w14:noFill/>
                  <w14:prstDash w14:val="solid"/>
                  <w14:round/>
                </w14:textOutline>
                <w14:props3d w14:extrusionH="57150" w14:contourW="0" w14:prstMaterial="softEdge">
                  <w14:bevelT w14:w="25400" w14:h="38100" w14:prst="circle"/>
                </w14:props3d>
              </w:rPr>
            </w:pPr>
            <w:r w:rsidRPr="00BD2DDE">
              <w:rPr>
                <w:rFonts w:ascii="Arial" w:hAnsi="Arial" w:cs="Arial"/>
                <w:b/>
                <w:bCs/>
                <w:color w:val="0F9ED5" w:themeColor="accent4"/>
                <w:sz w:val="22"/>
                <w:szCs w:val="22"/>
                <w14:textOutline w14:w="0" w14:cap="flat" w14:cmpd="sng" w14:algn="ctr">
                  <w14:noFill/>
                  <w14:prstDash w14:val="solid"/>
                  <w14:round/>
                </w14:textOutline>
                <w14:props3d w14:extrusionH="57150" w14:contourW="0" w14:prstMaterial="softEdge">
                  <w14:bevelT w14:w="25400" w14:h="38100" w14:prst="circle"/>
                </w14:props3d>
              </w:rPr>
              <w:t>Radoslav Nikolov</w:t>
            </w:r>
            <w:r w:rsidRPr="00BD2DDE">
              <w:rPr>
                <w:rFonts w:ascii="Arial" w:hAnsi="Arial" w:cs="Arial"/>
                <w:b/>
                <w:color w:val="0F9ED5" w:themeColor="accent4"/>
                <w:sz w:val="22"/>
                <w:szCs w:val="22"/>
                <w14:textOutline w14:w="0" w14:cap="flat" w14:cmpd="sng" w14:algn="ctr">
                  <w14:noFill/>
                  <w14:prstDash w14:val="solid"/>
                  <w14:round/>
                </w14:textOutline>
                <w14:props3d w14:extrusionH="57150" w14:contourW="0" w14:prstMaterial="softEdge">
                  <w14:bevelT w14:w="25400" w14:h="38100" w14:prst="circle"/>
                </w14:props3d>
              </w:rPr>
              <w:t xml:space="preserve"> </w:t>
            </w:r>
            <w:r w:rsidRPr="00BD2DDE">
              <w:rPr>
                <w:rFonts w:ascii="Arial" w:hAnsi="Arial" w:cs="Arial"/>
                <w:b/>
                <w:bCs/>
                <w:color w:val="0F9ED5" w:themeColor="accent4"/>
                <w:sz w:val="22"/>
                <w:szCs w:val="22"/>
                <w14:textOutline w14:w="0" w14:cap="flat" w14:cmpd="sng" w14:algn="ctr">
                  <w14:noFill/>
                  <w14:prstDash w14:val="solid"/>
                  <w14:round/>
                </w14:textOutline>
                <w14:props3d w14:extrusionH="57150" w14:contourW="0" w14:prstMaterial="softEdge">
                  <w14:bevelT w14:w="25400" w14:h="38100" w14:prst="circle"/>
                </w14:props3d>
              </w:rPr>
              <w:t>(2118366)</w:t>
            </w:r>
          </w:p>
        </w:tc>
      </w:tr>
    </w:tbl>
    <w:p w14:paraId="19304CA0" w14:textId="70817F4B" w:rsidR="005C6445" w:rsidRDefault="005C6445">
      <w:pPr>
        <w:rPr>
          <w:rFonts w:ascii="Arial" w:hAnsi="Arial" w:cs="Arial"/>
        </w:rPr>
      </w:pPr>
    </w:p>
    <w:p w14:paraId="32FD61F3" w14:textId="77777777" w:rsidR="005C6445" w:rsidRDefault="005C6445">
      <w:pPr>
        <w:rPr>
          <w:rFonts w:ascii="Arial" w:hAnsi="Arial" w:cs="Arial"/>
        </w:rPr>
      </w:pPr>
      <w:r>
        <w:rPr>
          <w:rFonts w:ascii="Arial" w:hAnsi="Arial" w:cs="Arial"/>
        </w:rPr>
        <w:br w:type="page"/>
      </w:r>
    </w:p>
    <w:sdt>
      <w:sdtPr>
        <w:rPr>
          <w:rFonts w:asciiTheme="minorHAnsi" w:eastAsiaTheme="minorEastAsia" w:hAnsiTheme="minorHAnsi" w:cstheme="minorBidi"/>
          <w:color w:val="auto"/>
          <w:sz w:val="21"/>
          <w:szCs w:val="21"/>
        </w:rPr>
        <w:id w:val="1409429809"/>
        <w:docPartObj>
          <w:docPartGallery w:val="Table of Contents"/>
          <w:docPartUnique/>
        </w:docPartObj>
      </w:sdtPr>
      <w:sdtEndPr>
        <w:rPr>
          <w:b/>
          <w:bCs/>
          <w:noProof/>
        </w:rPr>
      </w:sdtEndPr>
      <w:sdtContent>
        <w:p w14:paraId="3AD5C2F2" w14:textId="477834C7" w:rsidR="005C6445" w:rsidRDefault="005C6445">
          <w:pPr>
            <w:pStyle w:val="TOCHeading"/>
          </w:pPr>
          <w:r>
            <w:t>Table of Contents</w:t>
          </w:r>
        </w:p>
        <w:p w14:paraId="77EF89F3" w14:textId="77777777" w:rsidR="00F22D42" w:rsidRDefault="00F22D42">
          <w:pPr>
            <w:pStyle w:val="TOC1"/>
            <w:tabs>
              <w:tab w:val="right" w:leader="dot" w:pos="9016"/>
            </w:tabs>
          </w:pPr>
        </w:p>
        <w:p w14:paraId="09827067" w14:textId="77777777" w:rsidR="00F22D42" w:rsidRDefault="00F22D42">
          <w:pPr>
            <w:pStyle w:val="TOC1"/>
            <w:tabs>
              <w:tab w:val="right" w:leader="dot" w:pos="9016"/>
            </w:tabs>
          </w:pPr>
        </w:p>
        <w:p w14:paraId="7460B82C" w14:textId="26075892" w:rsidR="003A7FD2" w:rsidRDefault="005C6445">
          <w:pPr>
            <w:pStyle w:val="TOC1"/>
            <w:tabs>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182643401" w:history="1">
            <w:r w:rsidR="003A7FD2" w:rsidRPr="00673ED6">
              <w:rPr>
                <w:rStyle w:val="Hyperlink"/>
                <w:noProof/>
              </w:rPr>
              <w:t>Introduction</w:t>
            </w:r>
            <w:r w:rsidR="003A7FD2">
              <w:rPr>
                <w:noProof/>
                <w:webHidden/>
              </w:rPr>
              <w:tab/>
            </w:r>
            <w:r w:rsidR="003A7FD2">
              <w:rPr>
                <w:noProof/>
                <w:webHidden/>
              </w:rPr>
              <w:fldChar w:fldCharType="begin"/>
            </w:r>
            <w:r w:rsidR="003A7FD2">
              <w:rPr>
                <w:noProof/>
                <w:webHidden/>
              </w:rPr>
              <w:instrText xml:space="preserve"> PAGEREF _Toc182643401 \h </w:instrText>
            </w:r>
            <w:r w:rsidR="003A7FD2">
              <w:rPr>
                <w:noProof/>
                <w:webHidden/>
              </w:rPr>
            </w:r>
            <w:r w:rsidR="003A7FD2">
              <w:rPr>
                <w:noProof/>
                <w:webHidden/>
              </w:rPr>
              <w:fldChar w:fldCharType="separate"/>
            </w:r>
            <w:r w:rsidR="003A7FD2">
              <w:rPr>
                <w:noProof/>
                <w:webHidden/>
              </w:rPr>
              <w:t>3</w:t>
            </w:r>
            <w:r w:rsidR="003A7FD2">
              <w:rPr>
                <w:noProof/>
                <w:webHidden/>
              </w:rPr>
              <w:fldChar w:fldCharType="end"/>
            </w:r>
          </w:hyperlink>
        </w:p>
        <w:p w14:paraId="3D86786E" w14:textId="72F60F77" w:rsidR="003A7FD2" w:rsidRDefault="003A7FD2">
          <w:pPr>
            <w:pStyle w:val="TOC1"/>
            <w:tabs>
              <w:tab w:val="right" w:leader="dot" w:pos="9016"/>
            </w:tabs>
            <w:rPr>
              <w:noProof/>
              <w:kern w:val="2"/>
              <w:sz w:val="24"/>
              <w:szCs w:val="24"/>
              <w:lang w:eastAsia="en-GB"/>
              <w14:ligatures w14:val="standardContextual"/>
            </w:rPr>
          </w:pPr>
          <w:hyperlink w:anchor="_Toc182643402" w:history="1">
            <w:r w:rsidRPr="00673ED6">
              <w:rPr>
                <w:rStyle w:val="Hyperlink"/>
                <w:noProof/>
              </w:rPr>
              <w:t>Critical Evaluation of the Purpose of Coaching and Mentoring within a Workplace</w:t>
            </w:r>
            <w:r>
              <w:rPr>
                <w:noProof/>
                <w:webHidden/>
              </w:rPr>
              <w:tab/>
            </w:r>
            <w:r>
              <w:rPr>
                <w:noProof/>
                <w:webHidden/>
              </w:rPr>
              <w:fldChar w:fldCharType="begin"/>
            </w:r>
            <w:r>
              <w:rPr>
                <w:noProof/>
                <w:webHidden/>
              </w:rPr>
              <w:instrText xml:space="preserve"> PAGEREF _Toc182643402 \h </w:instrText>
            </w:r>
            <w:r>
              <w:rPr>
                <w:noProof/>
                <w:webHidden/>
              </w:rPr>
            </w:r>
            <w:r>
              <w:rPr>
                <w:noProof/>
                <w:webHidden/>
              </w:rPr>
              <w:fldChar w:fldCharType="separate"/>
            </w:r>
            <w:r>
              <w:rPr>
                <w:noProof/>
                <w:webHidden/>
              </w:rPr>
              <w:t>4</w:t>
            </w:r>
            <w:r>
              <w:rPr>
                <w:noProof/>
                <w:webHidden/>
              </w:rPr>
              <w:fldChar w:fldCharType="end"/>
            </w:r>
          </w:hyperlink>
        </w:p>
        <w:p w14:paraId="6AC6E4F5" w14:textId="36FFFD87" w:rsidR="003A7FD2" w:rsidRDefault="003A7FD2">
          <w:pPr>
            <w:pStyle w:val="TOC1"/>
            <w:tabs>
              <w:tab w:val="right" w:leader="dot" w:pos="9016"/>
            </w:tabs>
            <w:rPr>
              <w:noProof/>
              <w:kern w:val="2"/>
              <w:sz w:val="24"/>
              <w:szCs w:val="24"/>
              <w:lang w:eastAsia="en-GB"/>
              <w14:ligatures w14:val="standardContextual"/>
            </w:rPr>
          </w:pPr>
          <w:hyperlink w:anchor="_Toc182643403" w:history="1">
            <w:r w:rsidRPr="00673ED6">
              <w:rPr>
                <w:rStyle w:val="Hyperlink"/>
                <w:noProof/>
              </w:rPr>
              <w:t>Critical Analysis of a Goals Model of Coaching (GROW Model)</w:t>
            </w:r>
            <w:r>
              <w:rPr>
                <w:noProof/>
                <w:webHidden/>
              </w:rPr>
              <w:tab/>
            </w:r>
            <w:r>
              <w:rPr>
                <w:noProof/>
                <w:webHidden/>
              </w:rPr>
              <w:fldChar w:fldCharType="begin"/>
            </w:r>
            <w:r>
              <w:rPr>
                <w:noProof/>
                <w:webHidden/>
              </w:rPr>
              <w:instrText xml:space="preserve"> PAGEREF _Toc182643403 \h </w:instrText>
            </w:r>
            <w:r>
              <w:rPr>
                <w:noProof/>
                <w:webHidden/>
              </w:rPr>
            </w:r>
            <w:r>
              <w:rPr>
                <w:noProof/>
                <w:webHidden/>
              </w:rPr>
              <w:fldChar w:fldCharType="separate"/>
            </w:r>
            <w:r>
              <w:rPr>
                <w:noProof/>
                <w:webHidden/>
              </w:rPr>
              <w:t>6</w:t>
            </w:r>
            <w:r>
              <w:rPr>
                <w:noProof/>
                <w:webHidden/>
              </w:rPr>
              <w:fldChar w:fldCharType="end"/>
            </w:r>
          </w:hyperlink>
        </w:p>
        <w:p w14:paraId="6B4A7267" w14:textId="069407E0" w:rsidR="003A7FD2" w:rsidRDefault="003A7FD2">
          <w:pPr>
            <w:pStyle w:val="TOC1"/>
            <w:tabs>
              <w:tab w:val="right" w:leader="dot" w:pos="9016"/>
            </w:tabs>
            <w:rPr>
              <w:noProof/>
              <w:kern w:val="2"/>
              <w:sz w:val="24"/>
              <w:szCs w:val="24"/>
              <w:lang w:eastAsia="en-GB"/>
              <w14:ligatures w14:val="standardContextual"/>
            </w:rPr>
          </w:pPr>
          <w:hyperlink w:anchor="_Toc182643404" w:history="1">
            <w:r w:rsidRPr="00673ED6">
              <w:rPr>
                <w:rStyle w:val="Hyperlink"/>
                <w:noProof/>
              </w:rPr>
              <w:t>Reflection on Practical 1</w:t>
            </w:r>
            <w:r>
              <w:rPr>
                <w:noProof/>
                <w:webHidden/>
              </w:rPr>
              <w:tab/>
            </w:r>
            <w:r>
              <w:rPr>
                <w:noProof/>
                <w:webHidden/>
              </w:rPr>
              <w:fldChar w:fldCharType="begin"/>
            </w:r>
            <w:r>
              <w:rPr>
                <w:noProof/>
                <w:webHidden/>
              </w:rPr>
              <w:instrText xml:space="preserve"> PAGEREF _Toc182643404 \h </w:instrText>
            </w:r>
            <w:r>
              <w:rPr>
                <w:noProof/>
                <w:webHidden/>
              </w:rPr>
            </w:r>
            <w:r>
              <w:rPr>
                <w:noProof/>
                <w:webHidden/>
              </w:rPr>
              <w:fldChar w:fldCharType="separate"/>
            </w:r>
            <w:r>
              <w:rPr>
                <w:noProof/>
                <w:webHidden/>
              </w:rPr>
              <w:t>8</w:t>
            </w:r>
            <w:r>
              <w:rPr>
                <w:noProof/>
                <w:webHidden/>
              </w:rPr>
              <w:fldChar w:fldCharType="end"/>
            </w:r>
          </w:hyperlink>
        </w:p>
        <w:p w14:paraId="2213CCBC" w14:textId="494360DF" w:rsidR="003A7FD2" w:rsidRDefault="003A7FD2">
          <w:pPr>
            <w:pStyle w:val="TOC1"/>
            <w:tabs>
              <w:tab w:val="right" w:leader="dot" w:pos="9016"/>
            </w:tabs>
            <w:rPr>
              <w:noProof/>
              <w:kern w:val="2"/>
              <w:sz w:val="24"/>
              <w:szCs w:val="24"/>
              <w:lang w:eastAsia="en-GB"/>
              <w14:ligatures w14:val="standardContextual"/>
            </w:rPr>
          </w:pPr>
          <w:hyperlink w:anchor="_Toc182643405" w:history="1">
            <w:r w:rsidRPr="00673ED6">
              <w:rPr>
                <w:rStyle w:val="Hyperlink"/>
                <w:noProof/>
              </w:rPr>
              <w:t>Reflection on Practical 2</w:t>
            </w:r>
            <w:r>
              <w:rPr>
                <w:noProof/>
                <w:webHidden/>
              </w:rPr>
              <w:tab/>
            </w:r>
            <w:r>
              <w:rPr>
                <w:noProof/>
                <w:webHidden/>
              </w:rPr>
              <w:fldChar w:fldCharType="begin"/>
            </w:r>
            <w:r>
              <w:rPr>
                <w:noProof/>
                <w:webHidden/>
              </w:rPr>
              <w:instrText xml:space="preserve"> PAGEREF _Toc182643405 \h </w:instrText>
            </w:r>
            <w:r>
              <w:rPr>
                <w:noProof/>
                <w:webHidden/>
              </w:rPr>
            </w:r>
            <w:r>
              <w:rPr>
                <w:noProof/>
                <w:webHidden/>
              </w:rPr>
              <w:fldChar w:fldCharType="separate"/>
            </w:r>
            <w:r>
              <w:rPr>
                <w:noProof/>
                <w:webHidden/>
              </w:rPr>
              <w:t>10</w:t>
            </w:r>
            <w:r>
              <w:rPr>
                <w:noProof/>
                <w:webHidden/>
              </w:rPr>
              <w:fldChar w:fldCharType="end"/>
            </w:r>
          </w:hyperlink>
        </w:p>
        <w:p w14:paraId="6CA210C0" w14:textId="74533FF1" w:rsidR="003A7FD2" w:rsidRDefault="003A7FD2">
          <w:pPr>
            <w:pStyle w:val="TOC1"/>
            <w:tabs>
              <w:tab w:val="right" w:leader="dot" w:pos="9016"/>
            </w:tabs>
            <w:rPr>
              <w:noProof/>
              <w:kern w:val="2"/>
              <w:sz w:val="24"/>
              <w:szCs w:val="24"/>
              <w:lang w:eastAsia="en-GB"/>
              <w14:ligatures w14:val="standardContextual"/>
            </w:rPr>
          </w:pPr>
          <w:hyperlink w:anchor="_Toc182643406" w:history="1">
            <w:r w:rsidRPr="00673ED6">
              <w:rPr>
                <w:rStyle w:val="Hyperlink"/>
                <w:noProof/>
              </w:rPr>
              <w:t>Conclusion</w:t>
            </w:r>
            <w:r>
              <w:rPr>
                <w:noProof/>
                <w:webHidden/>
              </w:rPr>
              <w:tab/>
            </w:r>
            <w:r>
              <w:rPr>
                <w:noProof/>
                <w:webHidden/>
              </w:rPr>
              <w:fldChar w:fldCharType="begin"/>
            </w:r>
            <w:r>
              <w:rPr>
                <w:noProof/>
                <w:webHidden/>
              </w:rPr>
              <w:instrText xml:space="preserve"> PAGEREF _Toc182643406 \h </w:instrText>
            </w:r>
            <w:r>
              <w:rPr>
                <w:noProof/>
                <w:webHidden/>
              </w:rPr>
            </w:r>
            <w:r>
              <w:rPr>
                <w:noProof/>
                <w:webHidden/>
              </w:rPr>
              <w:fldChar w:fldCharType="separate"/>
            </w:r>
            <w:r>
              <w:rPr>
                <w:noProof/>
                <w:webHidden/>
              </w:rPr>
              <w:t>12</w:t>
            </w:r>
            <w:r>
              <w:rPr>
                <w:noProof/>
                <w:webHidden/>
              </w:rPr>
              <w:fldChar w:fldCharType="end"/>
            </w:r>
          </w:hyperlink>
        </w:p>
        <w:p w14:paraId="20698864" w14:textId="0B3B90F0" w:rsidR="003A7FD2" w:rsidRDefault="003A7FD2">
          <w:pPr>
            <w:pStyle w:val="TOC1"/>
            <w:tabs>
              <w:tab w:val="right" w:leader="dot" w:pos="9016"/>
            </w:tabs>
            <w:rPr>
              <w:noProof/>
              <w:kern w:val="2"/>
              <w:sz w:val="24"/>
              <w:szCs w:val="24"/>
              <w:lang w:eastAsia="en-GB"/>
              <w14:ligatures w14:val="standardContextual"/>
            </w:rPr>
          </w:pPr>
          <w:hyperlink w:anchor="_Toc182643407" w:history="1">
            <w:r w:rsidRPr="00673ED6">
              <w:rPr>
                <w:rStyle w:val="Hyperlink"/>
                <w:noProof/>
              </w:rPr>
              <w:t>References</w:t>
            </w:r>
            <w:r>
              <w:rPr>
                <w:noProof/>
                <w:webHidden/>
              </w:rPr>
              <w:tab/>
            </w:r>
            <w:r>
              <w:rPr>
                <w:noProof/>
                <w:webHidden/>
              </w:rPr>
              <w:fldChar w:fldCharType="begin"/>
            </w:r>
            <w:r>
              <w:rPr>
                <w:noProof/>
                <w:webHidden/>
              </w:rPr>
              <w:instrText xml:space="preserve"> PAGEREF _Toc182643407 \h </w:instrText>
            </w:r>
            <w:r>
              <w:rPr>
                <w:noProof/>
                <w:webHidden/>
              </w:rPr>
            </w:r>
            <w:r>
              <w:rPr>
                <w:noProof/>
                <w:webHidden/>
              </w:rPr>
              <w:fldChar w:fldCharType="separate"/>
            </w:r>
            <w:r>
              <w:rPr>
                <w:noProof/>
                <w:webHidden/>
              </w:rPr>
              <w:t>14</w:t>
            </w:r>
            <w:r>
              <w:rPr>
                <w:noProof/>
                <w:webHidden/>
              </w:rPr>
              <w:fldChar w:fldCharType="end"/>
            </w:r>
          </w:hyperlink>
        </w:p>
        <w:p w14:paraId="0BA23AE0" w14:textId="3A005054" w:rsidR="003A7FD2" w:rsidRDefault="003A7FD2">
          <w:pPr>
            <w:pStyle w:val="TOC1"/>
            <w:tabs>
              <w:tab w:val="right" w:leader="dot" w:pos="9016"/>
            </w:tabs>
            <w:rPr>
              <w:noProof/>
              <w:kern w:val="2"/>
              <w:sz w:val="24"/>
              <w:szCs w:val="24"/>
              <w:lang w:eastAsia="en-GB"/>
              <w14:ligatures w14:val="standardContextual"/>
            </w:rPr>
          </w:pPr>
          <w:hyperlink w:anchor="_Toc182643408" w:history="1">
            <w:r w:rsidRPr="00673ED6">
              <w:rPr>
                <w:rStyle w:val="Hyperlink"/>
                <w:noProof/>
              </w:rPr>
              <w:t>Appendix</w:t>
            </w:r>
            <w:r>
              <w:rPr>
                <w:noProof/>
                <w:webHidden/>
              </w:rPr>
              <w:tab/>
            </w:r>
            <w:r>
              <w:rPr>
                <w:noProof/>
                <w:webHidden/>
              </w:rPr>
              <w:fldChar w:fldCharType="begin"/>
            </w:r>
            <w:r>
              <w:rPr>
                <w:noProof/>
                <w:webHidden/>
              </w:rPr>
              <w:instrText xml:space="preserve"> PAGEREF _Toc182643408 \h </w:instrText>
            </w:r>
            <w:r>
              <w:rPr>
                <w:noProof/>
                <w:webHidden/>
              </w:rPr>
            </w:r>
            <w:r>
              <w:rPr>
                <w:noProof/>
                <w:webHidden/>
              </w:rPr>
              <w:fldChar w:fldCharType="separate"/>
            </w:r>
            <w:r>
              <w:rPr>
                <w:noProof/>
                <w:webHidden/>
              </w:rPr>
              <w:t>15</w:t>
            </w:r>
            <w:r>
              <w:rPr>
                <w:noProof/>
                <w:webHidden/>
              </w:rPr>
              <w:fldChar w:fldCharType="end"/>
            </w:r>
          </w:hyperlink>
        </w:p>
        <w:p w14:paraId="35A47FDA" w14:textId="69B94EFB" w:rsidR="005C6445" w:rsidRDefault="005C6445">
          <w:r>
            <w:rPr>
              <w:b/>
              <w:bCs/>
              <w:noProof/>
            </w:rPr>
            <w:fldChar w:fldCharType="end"/>
          </w:r>
        </w:p>
      </w:sdtContent>
    </w:sdt>
    <w:p w14:paraId="559042DD" w14:textId="77777777" w:rsidR="005C6445" w:rsidRDefault="005C6445">
      <w:pPr>
        <w:rPr>
          <w:rFonts w:ascii="Arial" w:hAnsi="Arial" w:cs="Arial"/>
        </w:rPr>
      </w:pPr>
    </w:p>
    <w:p w14:paraId="3AC0853A" w14:textId="77777777" w:rsidR="005C6445" w:rsidRDefault="005C6445">
      <w:pPr>
        <w:rPr>
          <w:rFonts w:ascii="Arial" w:hAnsi="Arial" w:cs="Arial"/>
        </w:rPr>
      </w:pPr>
    </w:p>
    <w:p w14:paraId="2464F979" w14:textId="77777777" w:rsidR="005C6445" w:rsidRDefault="005C6445">
      <w:pPr>
        <w:rPr>
          <w:rFonts w:ascii="Arial" w:hAnsi="Arial" w:cs="Arial"/>
        </w:rPr>
      </w:pPr>
    </w:p>
    <w:p w14:paraId="6FFCCB21" w14:textId="77777777" w:rsidR="005C6445" w:rsidRDefault="005C6445">
      <w:pPr>
        <w:rPr>
          <w:rFonts w:ascii="Arial" w:hAnsi="Arial" w:cs="Arial"/>
        </w:rPr>
      </w:pPr>
    </w:p>
    <w:p w14:paraId="1EABB8E1" w14:textId="77777777" w:rsidR="005C6445" w:rsidRDefault="005C6445">
      <w:pPr>
        <w:rPr>
          <w:rFonts w:ascii="Arial" w:hAnsi="Arial" w:cs="Arial"/>
        </w:rPr>
      </w:pPr>
    </w:p>
    <w:p w14:paraId="0317BFCD" w14:textId="77777777" w:rsidR="005C6445" w:rsidRDefault="005C6445">
      <w:pPr>
        <w:rPr>
          <w:rFonts w:ascii="Arial" w:hAnsi="Arial" w:cs="Arial"/>
        </w:rPr>
      </w:pPr>
    </w:p>
    <w:p w14:paraId="64331E6C" w14:textId="77777777" w:rsidR="005C6445" w:rsidRDefault="005C6445">
      <w:pPr>
        <w:rPr>
          <w:rFonts w:ascii="Arial" w:hAnsi="Arial" w:cs="Arial"/>
        </w:rPr>
      </w:pPr>
    </w:p>
    <w:p w14:paraId="1156E544" w14:textId="77777777" w:rsidR="005C6445" w:rsidRDefault="005C6445">
      <w:pPr>
        <w:rPr>
          <w:rFonts w:ascii="Arial" w:hAnsi="Arial" w:cs="Arial"/>
        </w:rPr>
      </w:pPr>
    </w:p>
    <w:p w14:paraId="7656A517" w14:textId="77777777" w:rsidR="005C6445" w:rsidRDefault="005C6445">
      <w:pPr>
        <w:rPr>
          <w:rFonts w:ascii="Arial" w:hAnsi="Arial" w:cs="Arial"/>
        </w:rPr>
      </w:pPr>
    </w:p>
    <w:p w14:paraId="5A486014" w14:textId="77777777" w:rsidR="005C6445" w:rsidRDefault="005C6445">
      <w:pPr>
        <w:rPr>
          <w:rFonts w:ascii="Arial" w:hAnsi="Arial" w:cs="Arial"/>
        </w:rPr>
      </w:pPr>
    </w:p>
    <w:p w14:paraId="3EE0EE45" w14:textId="77777777" w:rsidR="005C6445" w:rsidRDefault="005C6445">
      <w:pPr>
        <w:rPr>
          <w:rFonts w:ascii="Arial" w:hAnsi="Arial" w:cs="Arial"/>
        </w:rPr>
      </w:pPr>
    </w:p>
    <w:p w14:paraId="6388A9E6" w14:textId="77777777" w:rsidR="005C6445" w:rsidRDefault="005C6445">
      <w:pPr>
        <w:rPr>
          <w:rFonts w:ascii="Arial" w:hAnsi="Arial" w:cs="Arial"/>
        </w:rPr>
      </w:pPr>
    </w:p>
    <w:p w14:paraId="28BC54CE" w14:textId="77777777" w:rsidR="005C6445" w:rsidRDefault="005C6445">
      <w:pPr>
        <w:rPr>
          <w:rFonts w:ascii="Arial" w:hAnsi="Arial" w:cs="Arial"/>
        </w:rPr>
      </w:pPr>
    </w:p>
    <w:p w14:paraId="2865D417" w14:textId="77777777" w:rsidR="005C6445" w:rsidRDefault="005C6445">
      <w:pPr>
        <w:rPr>
          <w:rFonts w:ascii="Arial" w:hAnsi="Arial" w:cs="Arial"/>
        </w:rPr>
      </w:pPr>
    </w:p>
    <w:p w14:paraId="6C6363F9" w14:textId="77777777" w:rsidR="005C6445" w:rsidRDefault="005C6445">
      <w:pPr>
        <w:rPr>
          <w:rFonts w:ascii="Arial" w:hAnsi="Arial" w:cs="Arial"/>
        </w:rPr>
      </w:pPr>
    </w:p>
    <w:p w14:paraId="481FD62A" w14:textId="77777777" w:rsidR="005C6445" w:rsidRDefault="005C6445">
      <w:pPr>
        <w:rPr>
          <w:rFonts w:ascii="Arial" w:hAnsi="Arial" w:cs="Arial"/>
        </w:rPr>
      </w:pPr>
    </w:p>
    <w:p w14:paraId="1312F82E" w14:textId="77777777" w:rsidR="005C6445" w:rsidRDefault="005C6445">
      <w:pPr>
        <w:rPr>
          <w:rFonts w:ascii="Arial" w:hAnsi="Arial" w:cs="Arial"/>
        </w:rPr>
      </w:pPr>
    </w:p>
    <w:p w14:paraId="605F6956" w14:textId="77777777" w:rsidR="005C6445" w:rsidRDefault="005C6445">
      <w:pPr>
        <w:rPr>
          <w:rFonts w:ascii="Arial" w:hAnsi="Arial" w:cs="Arial"/>
        </w:rPr>
      </w:pPr>
    </w:p>
    <w:p w14:paraId="39925E08" w14:textId="77777777" w:rsidR="005C6445" w:rsidRDefault="005C6445">
      <w:pPr>
        <w:rPr>
          <w:rFonts w:ascii="Arial" w:hAnsi="Arial" w:cs="Arial"/>
        </w:rPr>
      </w:pPr>
    </w:p>
    <w:p w14:paraId="6A43BC38" w14:textId="77777777" w:rsidR="005C6445" w:rsidRDefault="005C6445">
      <w:pPr>
        <w:rPr>
          <w:rFonts w:ascii="Arial" w:hAnsi="Arial" w:cs="Arial"/>
        </w:rPr>
      </w:pPr>
    </w:p>
    <w:p w14:paraId="53779F81" w14:textId="77777777" w:rsidR="005C6445" w:rsidRDefault="005C6445">
      <w:pPr>
        <w:rPr>
          <w:rFonts w:ascii="Arial" w:hAnsi="Arial" w:cs="Arial"/>
        </w:rPr>
      </w:pPr>
    </w:p>
    <w:p w14:paraId="399ED9AC" w14:textId="77777777" w:rsidR="005C6445" w:rsidRDefault="005C6445">
      <w:pPr>
        <w:rPr>
          <w:rFonts w:ascii="Arial" w:hAnsi="Arial" w:cs="Arial"/>
        </w:rPr>
      </w:pPr>
    </w:p>
    <w:p w14:paraId="1D5633C5" w14:textId="77777777" w:rsidR="005C6445" w:rsidRDefault="005C6445">
      <w:pPr>
        <w:rPr>
          <w:rFonts w:ascii="Arial" w:hAnsi="Arial" w:cs="Arial"/>
        </w:rPr>
      </w:pPr>
    </w:p>
    <w:p w14:paraId="778953A8" w14:textId="77777777" w:rsidR="005C6445" w:rsidRDefault="005C6445">
      <w:pPr>
        <w:rPr>
          <w:rFonts w:ascii="Arial" w:hAnsi="Arial" w:cs="Arial"/>
        </w:rPr>
      </w:pPr>
    </w:p>
    <w:p w14:paraId="6B45D176" w14:textId="06A12FB1" w:rsidR="00D16EDA" w:rsidRDefault="005C6445" w:rsidP="005C6445">
      <w:pPr>
        <w:pStyle w:val="Heading1"/>
      </w:pPr>
      <w:bookmarkStart w:id="0" w:name="_Toc182643401"/>
      <w:r w:rsidRPr="005C6445">
        <w:lastRenderedPageBreak/>
        <w:t>Introduction</w:t>
      </w:r>
      <w:bookmarkEnd w:id="0"/>
    </w:p>
    <w:p w14:paraId="3B93DE9F" w14:textId="77777777" w:rsidR="005C6445" w:rsidRDefault="005C6445">
      <w:pPr>
        <w:rPr>
          <w:rFonts w:ascii="Arial" w:hAnsi="Arial" w:cs="Arial"/>
        </w:rPr>
      </w:pPr>
    </w:p>
    <w:p w14:paraId="6376745D" w14:textId="77777777" w:rsidR="004C4180" w:rsidRDefault="004C4180">
      <w:pPr>
        <w:rPr>
          <w:rFonts w:ascii="Arial" w:hAnsi="Arial" w:cs="Arial"/>
        </w:rPr>
      </w:pPr>
    </w:p>
    <w:p w14:paraId="3E906B2C" w14:textId="77777777" w:rsidR="005C6445" w:rsidRPr="009C5D11" w:rsidRDefault="005C6445" w:rsidP="0064637B">
      <w:pPr>
        <w:spacing w:line="360" w:lineRule="auto"/>
        <w:rPr>
          <w:rFonts w:ascii="Arial" w:hAnsi="Arial" w:cs="Arial"/>
          <w:sz w:val="22"/>
          <w:szCs w:val="22"/>
        </w:rPr>
      </w:pPr>
      <w:r w:rsidRPr="009C5D11">
        <w:rPr>
          <w:rFonts w:ascii="Arial" w:hAnsi="Arial" w:cs="Arial"/>
          <w:sz w:val="22"/>
          <w:szCs w:val="22"/>
        </w:rPr>
        <w:t>The purposes of coaching and mentoring within a workplace setting are numerous, often aimed at improving performance, enhancing skillsets, fostering leadership, and building a supportive culture. Coaching generally targets immediate performance improvements, skill-building, and the attainment of specific objectives. For example, Smither and London (2009) describe coaching as a strategy for enhancing employee competencies by setting clear goals, receiving feedback, and working on specific action plans.</w:t>
      </w:r>
    </w:p>
    <w:p w14:paraId="456C54CB" w14:textId="77777777" w:rsidR="005C6445" w:rsidRPr="009C5D11" w:rsidRDefault="005C6445" w:rsidP="0064637B">
      <w:pPr>
        <w:spacing w:line="360" w:lineRule="auto"/>
        <w:rPr>
          <w:rFonts w:ascii="Arial" w:hAnsi="Arial" w:cs="Arial"/>
          <w:sz w:val="22"/>
          <w:szCs w:val="22"/>
        </w:rPr>
      </w:pPr>
    </w:p>
    <w:p w14:paraId="67FDD978" w14:textId="77777777" w:rsidR="005C6445" w:rsidRPr="009C5D11" w:rsidRDefault="005C6445" w:rsidP="0064637B">
      <w:pPr>
        <w:spacing w:line="360" w:lineRule="auto"/>
        <w:rPr>
          <w:rFonts w:ascii="Arial" w:hAnsi="Arial" w:cs="Arial"/>
          <w:sz w:val="22"/>
          <w:szCs w:val="22"/>
        </w:rPr>
      </w:pPr>
      <w:r w:rsidRPr="009C5D11">
        <w:rPr>
          <w:rFonts w:ascii="Arial" w:hAnsi="Arial" w:cs="Arial"/>
          <w:sz w:val="22"/>
          <w:szCs w:val="22"/>
        </w:rPr>
        <w:t>Mentoring, by contrast, focuses on professional and personal growth over time, often involving guidance from a more experienced professional. Mentoring aids in long-term career progression, networking, and building self-confidence (Clutterbuck &amp; Megginson, 2005). It is relationship-driven, as opposed to task-driven, allowing for the mentee’s development to unfold more organically over time.</w:t>
      </w:r>
    </w:p>
    <w:p w14:paraId="108CB5C0" w14:textId="77777777" w:rsidR="005C6445" w:rsidRPr="009C5D11" w:rsidRDefault="005C6445" w:rsidP="0064637B">
      <w:pPr>
        <w:spacing w:line="360" w:lineRule="auto"/>
        <w:rPr>
          <w:rFonts w:ascii="Arial" w:hAnsi="Arial" w:cs="Arial"/>
          <w:sz w:val="22"/>
          <w:szCs w:val="22"/>
        </w:rPr>
      </w:pPr>
    </w:p>
    <w:p w14:paraId="79C89348" w14:textId="11FD308B" w:rsidR="005C6445" w:rsidRPr="009C5D11" w:rsidRDefault="005C6445" w:rsidP="0064637B">
      <w:pPr>
        <w:spacing w:line="360" w:lineRule="auto"/>
        <w:rPr>
          <w:rFonts w:ascii="Arial" w:hAnsi="Arial" w:cs="Arial"/>
          <w:sz w:val="22"/>
          <w:szCs w:val="22"/>
        </w:rPr>
      </w:pPr>
      <w:r w:rsidRPr="009C5D11">
        <w:rPr>
          <w:rFonts w:ascii="Arial" w:hAnsi="Arial" w:cs="Arial"/>
          <w:sz w:val="22"/>
          <w:szCs w:val="22"/>
        </w:rPr>
        <w:t>While coaching and mentoring share some overlapping qualities, including support, guidance, and development, their primary distinctions lie in focus and duration. Coaching is usually performance-oriented and short-term, while mentoring is developmental and tends to be a longer-term commitment (Grant &amp; Cavanagh, 2004). By comparing and contrasting these approaches, it becomes clear that both serve distinct yet complementary purposes, providing tailored developmental support to employees across various stages of their careers. These processes are critical for fostering a supportive organizational culture, improving job satisfaction, and promoting knowledge transfer across organizational levels (Hawkins &amp; Smith, 2013).</w:t>
      </w:r>
    </w:p>
    <w:p w14:paraId="393BF4CA" w14:textId="77777777" w:rsidR="005C6445" w:rsidRDefault="005C6445" w:rsidP="0064637B">
      <w:pPr>
        <w:spacing w:line="360" w:lineRule="auto"/>
        <w:rPr>
          <w:rFonts w:ascii="Arial" w:hAnsi="Arial" w:cs="Arial"/>
        </w:rPr>
      </w:pPr>
      <w:r>
        <w:rPr>
          <w:rFonts w:ascii="Arial" w:hAnsi="Arial" w:cs="Arial"/>
        </w:rPr>
        <w:br w:type="page"/>
      </w:r>
    </w:p>
    <w:p w14:paraId="2A0CD3B4" w14:textId="1B1A33AE" w:rsidR="005C6445" w:rsidRDefault="005C6445" w:rsidP="005C6445">
      <w:pPr>
        <w:pStyle w:val="Heading1"/>
      </w:pPr>
      <w:bookmarkStart w:id="1" w:name="_Toc182643402"/>
      <w:r w:rsidRPr="005C6445">
        <w:lastRenderedPageBreak/>
        <w:t>Critical Evaluation of the Purpose of Coaching and Mentoring within a Workplace</w:t>
      </w:r>
      <w:bookmarkEnd w:id="1"/>
    </w:p>
    <w:p w14:paraId="29584317" w14:textId="77777777" w:rsidR="005C6445" w:rsidRDefault="005C6445">
      <w:pPr>
        <w:rPr>
          <w:rFonts w:ascii="Arial" w:hAnsi="Arial" w:cs="Arial"/>
        </w:rPr>
      </w:pPr>
    </w:p>
    <w:p w14:paraId="5EA8C9A9" w14:textId="53089F4E" w:rsidR="00DD3283" w:rsidRDefault="00DD3283" w:rsidP="00AB4E53">
      <w:pPr>
        <w:spacing w:line="360" w:lineRule="auto"/>
        <w:rPr>
          <w:rFonts w:ascii="Arial" w:hAnsi="Arial" w:cs="Arial"/>
          <w:sz w:val="22"/>
          <w:szCs w:val="22"/>
        </w:rPr>
      </w:pPr>
      <w:r>
        <w:rPr>
          <w:rFonts w:ascii="Arial" w:hAnsi="Arial" w:cs="Arial"/>
          <w:noProof/>
          <w:sz w:val="22"/>
          <w:szCs w:val="22"/>
        </w:rPr>
        <w:drawing>
          <wp:inline distT="0" distB="0" distL="0" distR="0" wp14:anchorId="09E3DB0B" wp14:editId="73C5E203">
            <wp:extent cx="5758971" cy="2217420"/>
            <wp:effectExtent l="0" t="0" r="0" b="0"/>
            <wp:docPr id="212591360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63276" cy="2219078"/>
                    </a:xfrm>
                    <a:prstGeom prst="rect">
                      <a:avLst/>
                    </a:prstGeom>
                    <a:noFill/>
                  </pic:spPr>
                </pic:pic>
              </a:graphicData>
            </a:graphic>
          </wp:inline>
        </w:drawing>
      </w:r>
    </w:p>
    <w:p w14:paraId="09676FA5" w14:textId="77777777" w:rsidR="00DD3283" w:rsidRDefault="00DD3283" w:rsidP="00AB4E53">
      <w:pPr>
        <w:spacing w:line="360" w:lineRule="auto"/>
        <w:rPr>
          <w:rFonts w:ascii="Arial" w:hAnsi="Arial" w:cs="Arial"/>
          <w:sz w:val="22"/>
          <w:szCs w:val="22"/>
        </w:rPr>
      </w:pPr>
    </w:p>
    <w:p w14:paraId="44C44328" w14:textId="2BD959E2" w:rsidR="00AB4E53" w:rsidRPr="00AB4E53" w:rsidRDefault="00AB4E53" w:rsidP="00AB4E53">
      <w:pPr>
        <w:spacing w:line="360" w:lineRule="auto"/>
        <w:rPr>
          <w:rFonts w:ascii="Arial" w:hAnsi="Arial" w:cs="Arial"/>
          <w:sz w:val="22"/>
          <w:szCs w:val="22"/>
        </w:rPr>
      </w:pPr>
      <w:r w:rsidRPr="00AB4E53">
        <w:rPr>
          <w:rFonts w:ascii="Arial" w:hAnsi="Arial" w:cs="Arial"/>
          <w:sz w:val="22"/>
          <w:szCs w:val="22"/>
        </w:rPr>
        <w:t>The purposes of coaching and mentoring within a workplace setting are diverse, with the overarching goal of enhancing both individual and organisational performance. These practices are often aimed at improving specific competencies, fostering leadership abilities, supporting long-term career development, and cultivating a supportive workplace culture that promotes continuous learning (Hawkins &amp; Smith, 2013). Coaching primarily focuses on immediate performance improvements and skill development, supporting employees in achieving specific, short-term goals that align with organisational objectives. Smither and London (2009) describe coaching as a targeted approach that uses structured feedback and action planning to build employee competencies and close skill gaps. This method can be particularly effective in helping employees improve job performance, achieve specific work-related goals, and develop skills in areas where rapid improvement is needed, such as communication or technical proficiency (Passmore, 2015).</w:t>
      </w:r>
    </w:p>
    <w:p w14:paraId="38512089" w14:textId="77777777" w:rsidR="00AB4E53" w:rsidRPr="00AB4E53" w:rsidRDefault="00AB4E53" w:rsidP="00AB4E53">
      <w:pPr>
        <w:spacing w:line="360" w:lineRule="auto"/>
        <w:rPr>
          <w:rFonts w:ascii="Arial" w:hAnsi="Arial" w:cs="Arial"/>
          <w:sz w:val="22"/>
          <w:szCs w:val="22"/>
        </w:rPr>
      </w:pPr>
    </w:p>
    <w:p w14:paraId="1B59FACB" w14:textId="77777777" w:rsidR="00AB4E53" w:rsidRPr="00AB4E53" w:rsidRDefault="00AB4E53" w:rsidP="00AB4E53">
      <w:pPr>
        <w:spacing w:line="360" w:lineRule="auto"/>
        <w:rPr>
          <w:rFonts w:ascii="Arial" w:hAnsi="Arial" w:cs="Arial"/>
          <w:sz w:val="22"/>
          <w:szCs w:val="22"/>
        </w:rPr>
      </w:pPr>
      <w:r w:rsidRPr="00AB4E53">
        <w:rPr>
          <w:rFonts w:ascii="Arial" w:hAnsi="Arial" w:cs="Arial"/>
          <w:sz w:val="22"/>
          <w:szCs w:val="22"/>
        </w:rPr>
        <w:t xml:space="preserve">In contrast, mentoring emphasises long-term professional and personal growth, often involving a more experienced professional guiding a less experienced colleague. Mentoring fosters career progression by providing mentees with insights into navigating their careers, networking opportunities, and developing self-confidence, often through an informal but supportive relationship (Clutterbuck &amp; Megginson, 2005). Unlike coaching, which is typically task-driven, mentoring is more relationship-driven, enabling the mentee’s development to unfold gradually and organically over time. This approach allows mentees to gain not only </w:t>
      </w:r>
      <w:r w:rsidRPr="00AB4E53">
        <w:rPr>
          <w:rFonts w:ascii="Arial" w:hAnsi="Arial" w:cs="Arial"/>
          <w:sz w:val="22"/>
          <w:szCs w:val="22"/>
        </w:rPr>
        <w:lastRenderedPageBreak/>
        <w:t>technical skills but also emotional and interpersonal insights, which are essential for leadership development and personal fulfilment (Eby et al., 2013).</w:t>
      </w:r>
    </w:p>
    <w:p w14:paraId="65F6FB1C" w14:textId="77777777" w:rsidR="00AB4E53" w:rsidRPr="00AB4E53" w:rsidRDefault="00AB4E53" w:rsidP="00AB4E53">
      <w:pPr>
        <w:spacing w:line="360" w:lineRule="auto"/>
        <w:rPr>
          <w:rFonts w:ascii="Arial" w:hAnsi="Arial" w:cs="Arial"/>
          <w:sz w:val="22"/>
          <w:szCs w:val="22"/>
        </w:rPr>
      </w:pPr>
    </w:p>
    <w:p w14:paraId="4F0C584F" w14:textId="77777777" w:rsidR="00AB4E53" w:rsidRPr="00AB4E53" w:rsidRDefault="00AB4E53" w:rsidP="00AB4E53">
      <w:pPr>
        <w:spacing w:line="360" w:lineRule="auto"/>
        <w:rPr>
          <w:rFonts w:ascii="Arial" w:hAnsi="Arial" w:cs="Arial"/>
          <w:sz w:val="22"/>
          <w:szCs w:val="22"/>
        </w:rPr>
      </w:pPr>
      <w:r w:rsidRPr="00AB4E53">
        <w:rPr>
          <w:rFonts w:ascii="Arial" w:hAnsi="Arial" w:cs="Arial"/>
          <w:sz w:val="22"/>
          <w:szCs w:val="22"/>
        </w:rPr>
        <w:t>While coaching and mentoring share overlapping qualities—such as providing guidance, support, and developmental opportunities—their distinctions are evident in both focus and duration. Coaching tends to be short-term, goal-oriented, and performance-focused, offering solutions to immediate challenges and measurable outcomes within a defined period (Grant &amp; Cavanagh, 2004). Mentoring, on the other hand, is typically a longer-term commitment aimed at fostering holistic, sustainable growth in the mentee, often extending beyond specific job skills to include broader life and career guidance (Garvey, Stokes &amp; Megginson, 2014). This comparison highlights the unique, complementary nature of these two approaches: coaching addresses specific, immediate needs, while mentoring offers a pathway for broader personal and professional development over time.</w:t>
      </w:r>
    </w:p>
    <w:p w14:paraId="27A4A132" w14:textId="77777777" w:rsidR="00AB4E53" w:rsidRPr="00AB4E53" w:rsidRDefault="00AB4E53" w:rsidP="00AB4E53">
      <w:pPr>
        <w:spacing w:line="360" w:lineRule="auto"/>
        <w:rPr>
          <w:rFonts w:ascii="Arial" w:hAnsi="Arial" w:cs="Arial"/>
          <w:sz w:val="22"/>
          <w:szCs w:val="22"/>
        </w:rPr>
      </w:pPr>
    </w:p>
    <w:p w14:paraId="71C8D47A" w14:textId="77777777" w:rsidR="00AB4E53" w:rsidRPr="00AB4E53" w:rsidRDefault="00AB4E53" w:rsidP="00AB4E53">
      <w:pPr>
        <w:spacing w:line="360" w:lineRule="auto"/>
        <w:rPr>
          <w:rFonts w:ascii="Arial" w:hAnsi="Arial" w:cs="Arial"/>
          <w:sz w:val="22"/>
          <w:szCs w:val="22"/>
        </w:rPr>
      </w:pPr>
      <w:r w:rsidRPr="00AB4E53">
        <w:rPr>
          <w:rFonts w:ascii="Arial" w:hAnsi="Arial" w:cs="Arial"/>
          <w:sz w:val="22"/>
          <w:szCs w:val="22"/>
        </w:rPr>
        <w:t>Both coaching and mentoring are critical components of a well-rounded organisational development strategy. Together, they contribute to building a supportive workplace culture where employees feel valued and invested in, thus fostering higher levels of job satisfaction and engagement (Garvey et al., 2014). Furthermore, these practices facilitate knowledge transfer and leadership development across organisational levels, as senior employees share their expertise and insights with less experienced colleagues. This collaborative culture not only enhances individual performance and satisfaction but also strengthens organisational resilience and adaptability, essential in today’s rapidly changing work environments (Hawkins &amp; Smith, 2013).</w:t>
      </w:r>
    </w:p>
    <w:p w14:paraId="75E39FAA" w14:textId="5C0EF470" w:rsidR="005C6445" w:rsidRPr="00DC67F9" w:rsidRDefault="005C6445" w:rsidP="00DC67F9">
      <w:pPr>
        <w:spacing w:line="360" w:lineRule="auto"/>
        <w:rPr>
          <w:rFonts w:ascii="Arial" w:hAnsi="Arial" w:cs="Arial"/>
          <w:sz w:val="22"/>
          <w:szCs w:val="22"/>
        </w:rPr>
      </w:pPr>
    </w:p>
    <w:p w14:paraId="7DD7F9DA" w14:textId="77777777" w:rsidR="005C6445" w:rsidRDefault="005C6445">
      <w:pPr>
        <w:rPr>
          <w:rFonts w:ascii="Arial" w:hAnsi="Arial" w:cs="Arial"/>
        </w:rPr>
      </w:pPr>
      <w:r>
        <w:rPr>
          <w:rFonts w:ascii="Arial" w:hAnsi="Arial" w:cs="Arial"/>
        </w:rPr>
        <w:br w:type="page"/>
      </w:r>
    </w:p>
    <w:p w14:paraId="1D137FFD" w14:textId="2548D475" w:rsidR="005C6445" w:rsidRDefault="005C6445" w:rsidP="005C6445">
      <w:pPr>
        <w:pStyle w:val="Heading1"/>
      </w:pPr>
      <w:bookmarkStart w:id="2" w:name="_Toc182643403"/>
      <w:r w:rsidRPr="005C6445">
        <w:lastRenderedPageBreak/>
        <w:t>Critical Analysis of a Goals Model of Coaching (GROW Model)</w:t>
      </w:r>
      <w:bookmarkEnd w:id="2"/>
    </w:p>
    <w:p w14:paraId="038F2418" w14:textId="77777777" w:rsidR="005C6445" w:rsidRDefault="005C6445" w:rsidP="005C6445">
      <w:pPr>
        <w:rPr>
          <w:rFonts w:ascii="Arial" w:hAnsi="Arial" w:cs="Arial"/>
        </w:rPr>
      </w:pPr>
    </w:p>
    <w:p w14:paraId="67D22A28" w14:textId="77777777" w:rsidR="00E25718" w:rsidRDefault="00E25718" w:rsidP="005C6445">
      <w:pPr>
        <w:rPr>
          <w:rFonts w:ascii="Arial" w:hAnsi="Arial" w:cs="Arial"/>
        </w:rPr>
      </w:pPr>
    </w:p>
    <w:p w14:paraId="409559D9" w14:textId="016C6BD3" w:rsidR="00E25718" w:rsidRDefault="008A4ACB" w:rsidP="005C6445">
      <w:pPr>
        <w:rPr>
          <w:rFonts w:ascii="Arial" w:hAnsi="Arial" w:cs="Arial"/>
        </w:rPr>
      </w:pPr>
      <w:r>
        <w:rPr>
          <w:rFonts w:ascii="Arial" w:hAnsi="Arial" w:cs="Arial"/>
          <w:noProof/>
        </w:rPr>
        <w:drawing>
          <wp:inline distT="0" distB="0" distL="0" distR="0" wp14:anchorId="164D5582" wp14:editId="013EA85C">
            <wp:extent cx="5775960" cy="2087880"/>
            <wp:effectExtent l="0" t="0" r="0" b="7620"/>
            <wp:docPr id="169813863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77006" cy="2088258"/>
                    </a:xfrm>
                    <a:prstGeom prst="rect">
                      <a:avLst/>
                    </a:prstGeom>
                    <a:noFill/>
                  </pic:spPr>
                </pic:pic>
              </a:graphicData>
            </a:graphic>
          </wp:inline>
        </w:drawing>
      </w:r>
    </w:p>
    <w:p w14:paraId="13F85165" w14:textId="77777777" w:rsidR="00E25718" w:rsidRDefault="00E25718" w:rsidP="005C6445">
      <w:pPr>
        <w:rPr>
          <w:rFonts w:ascii="Arial" w:hAnsi="Arial" w:cs="Arial"/>
        </w:rPr>
      </w:pPr>
    </w:p>
    <w:p w14:paraId="077EF160" w14:textId="77777777" w:rsidR="00E25718" w:rsidRDefault="00E25718" w:rsidP="005C6445">
      <w:pPr>
        <w:rPr>
          <w:rFonts w:ascii="Arial" w:hAnsi="Arial" w:cs="Arial"/>
        </w:rPr>
      </w:pPr>
    </w:p>
    <w:p w14:paraId="705B81FE" w14:textId="5A85C498" w:rsidR="002C4D90" w:rsidRPr="002C4D90" w:rsidRDefault="002C4D90" w:rsidP="002C4D90">
      <w:pPr>
        <w:spacing w:line="360" w:lineRule="auto"/>
        <w:rPr>
          <w:rFonts w:ascii="Arial" w:hAnsi="Arial" w:cs="Arial"/>
          <w:sz w:val="22"/>
          <w:szCs w:val="22"/>
        </w:rPr>
      </w:pPr>
      <w:r w:rsidRPr="002C4D90">
        <w:rPr>
          <w:rFonts w:ascii="Arial" w:hAnsi="Arial" w:cs="Arial"/>
          <w:sz w:val="22"/>
          <w:szCs w:val="22"/>
        </w:rPr>
        <w:t xml:space="preserve">The GROW model, developed by Sir John Whitmore, remains one of the most widely adopted frameworks for coaching and </w:t>
      </w:r>
      <w:r w:rsidR="00EB0FB8" w:rsidRPr="002C4D90">
        <w:rPr>
          <w:rFonts w:ascii="Arial" w:hAnsi="Arial" w:cs="Arial"/>
          <w:sz w:val="22"/>
          <w:szCs w:val="22"/>
        </w:rPr>
        <w:t>goal setting</w:t>
      </w:r>
      <w:r w:rsidRPr="002C4D90">
        <w:rPr>
          <w:rFonts w:ascii="Arial" w:hAnsi="Arial" w:cs="Arial"/>
          <w:sz w:val="22"/>
          <w:szCs w:val="22"/>
        </w:rPr>
        <w:t>, owing to its structured yet flexible approach (Whitmore, 2010). GROW, an acronym for Goal, Reality, Options, and Way Forward, offers a systematic method for coaching conversations, guiding coachees from identifying their objectives to defining practical steps for achieving them. This model is designed to foster collaborative exploration, where both coach and coachee work together to clarify the coachee’s goals, examine the current situation, explore possible pathways, and decide on a concrete action plan (Wilson, 2011).</w:t>
      </w:r>
    </w:p>
    <w:p w14:paraId="0196E7EF" w14:textId="77777777" w:rsidR="002C4D90" w:rsidRPr="002C4D90" w:rsidRDefault="002C4D90" w:rsidP="002C4D90">
      <w:pPr>
        <w:spacing w:line="360" w:lineRule="auto"/>
        <w:rPr>
          <w:rFonts w:ascii="Arial" w:hAnsi="Arial" w:cs="Arial"/>
          <w:sz w:val="22"/>
          <w:szCs w:val="22"/>
        </w:rPr>
      </w:pPr>
    </w:p>
    <w:p w14:paraId="154C7CA4" w14:textId="77777777" w:rsidR="002C4D90" w:rsidRPr="002C4D90" w:rsidRDefault="002C4D90" w:rsidP="002C4D90">
      <w:pPr>
        <w:spacing w:line="360" w:lineRule="auto"/>
        <w:rPr>
          <w:rFonts w:ascii="Arial" w:hAnsi="Arial" w:cs="Arial"/>
          <w:sz w:val="22"/>
          <w:szCs w:val="22"/>
        </w:rPr>
      </w:pPr>
      <w:r w:rsidRPr="002C4D90">
        <w:rPr>
          <w:rFonts w:ascii="Arial" w:hAnsi="Arial" w:cs="Arial"/>
          <w:sz w:val="22"/>
          <w:szCs w:val="22"/>
        </w:rPr>
        <w:t>One of the primary advantages of the GROW model is its simplicity, which makes it easy to use and adaptable across a wide range of coaching contexts. Its straightforward structure enables coaches to facilitate goal-oriented conversations that are focused and productive without overwhelming the coachee. This model’s adaptability means it can be tailored to the individual’s specific needs, goals, and organisational context, allowing it to be effectively applied in different industries and coaching scenarios (Passmore, 2015). For instance, the model is frequently used in performance coaching, where clear, measurable goals and immediate actions are central to success. Its structured progression helps coachees to build a sense of momentum, supporting them in making concrete progress toward their objectives (Grant, 2011).</w:t>
      </w:r>
    </w:p>
    <w:p w14:paraId="325657A0" w14:textId="77777777" w:rsidR="002C4D90" w:rsidRPr="002C4D90" w:rsidRDefault="002C4D90" w:rsidP="002C4D90">
      <w:pPr>
        <w:spacing w:line="360" w:lineRule="auto"/>
        <w:rPr>
          <w:rFonts w:ascii="Arial" w:hAnsi="Arial" w:cs="Arial"/>
          <w:sz w:val="22"/>
          <w:szCs w:val="22"/>
        </w:rPr>
      </w:pPr>
    </w:p>
    <w:p w14:paraId="356C755F" w14:textId="77777777" w:rsidR="002C4D90" w:rsidRPr="002C4D90" w:rsidRDefault="002C4D90" w:rsidP="002C4D90">
      <w:pPr>
        <w:spacing w:line="360" w:lineRule="auto"/>
        <w:rPr>
          <w:rFonts w:ascii="Arial" w:hAnsi="Arial" w:cs="Arial"/>
          <w:sz w:val="22"/>
          <w:szCs w:val="22"/>
        </w:rPr>
      </w:pPr>
      <w:r w:rsidRPr="002C4D90">
        <w:rPr>
          <w:rFonts w:ascii="Arial" w:hAnsi="Arial" w:cs="Arial"/>
          <w:sz w:val="22"/>
          <w:szCs w:val="22"/>
        </w:rPr>
        <w:lastRenderedPageBreak/>
        <w:t>However, one limitation of the GROW model is that it may lack the depth required for addressing complex or deeply ingrained issues. The model is inherently goal-focused, which can be limiting in situations that require deep-rooted behavioural change or long-term developmental coaching, as it does not provide mechanisms for exploring underlying psychological factors. According to Downey (2014), GROW is ideal for short-term, results-oriented coaching but may be insufficient for addressing more intricate challenges where additional psychological or behavioural insight is needed. In such cases, models like the CLEAR model (Contracting, Listening, Exploring, Action, and Review) or developmental coaching approaches may offer a more nuanced exploration of the coachee’s inner motivations, which can lead to more sustainable transformation (Hawkins &amp; Smith, 2013).</w:t>
      </w:r>
    </w:p>
    <w:p w14:paraId="1CDF9059" w14:textId="77777777" w:rsidR="002C4D90" w:rsidRPr="002C4D90" w:rsidRDefault="002C4D90" w:rsidP="002C4D90">
      <w:pPr>
        <w:spacing w:line="360" w:lineRule="auto"/>
        <w:rPr>
          <w:rFonts w:ascii="Arial" w:hAnsi="Arial" w:cs="Arial"/>
          <w:sz w:val="22"/>
          <w:szCs w:val="22"/>
        </w:rPr>
      </w:pPr>
    </w:p>
    <w:p w14:paraId="47B1656C" w14:textId="77777777" w:rsidR="002C4D90" w:rsidRPr="002C4D90" w:rsidRDefault="002C4D90" w:rsidP="002C4D90">
      <w:pPr>
        <w:spacing w:line="360" w:lineRule="auto"/>
        <w:rPr>
          <w:rFonts w:ascii="Arial" w:hAnsi="Arial" w:cs="Arial"/>
          <w:sz w:val="22"/>
          <w:szCs w:val="22"/>
        </w:rPr>
      </w:pPr>
      <w:r w:rsidRPr="002C4D90">
        <w:rPr>
          <w:rFonts w:ascii="Arial" w:hAnsi="Arial" w:cs="Arial"/>
          <w:sz w:val="22"/>
          <w:szCs w:val="22"/>
        </w:rPr>
        <w:t>For example, in a performance improvement scenario, the GROW model demonstrates particular effectiveness. Consider an employee who is struggling to meet their quarterly sales targets. By using GROW, the coach can help the employee set a specific and measurable objective, such as achieving a 10% increase in sales by the next quarter (Goal). The coach and coachee can then analyse the current sales process and identify obstacles, such as limited client engagement or a lack of follow-up (Reality). Together, they can brainstorm new strategies, such as enhancing product knowledge, refining the pitch, or increasing client outreach efforts (Options). Finally, they can create a detailed action plan (Way Forward) that includes specific steps and timelines for implementing these strategies, allowing for accountability and progress tracking (Whitmore, 2010).</w:t>
      </w:r>
    </w:p>
    <w:p w14:paraId="7B8CB7D2" w14:textId="77777777" w:rsidR="002C4D90" w:rsidRPr="002C4D90" w:rsidRDefault="002C4D90" w:rsidP="002C4D90">
      <w:pPr>
        <w:spacing w:line="360" w:lineRule="auto"/>
        <w:rPr>
          <w:rFonts w:ascii="Arial" w:hAnsi="Arial" w:cs="Arial"/>
          <w:sz w:val="22"/>
          <w:szCs w:val="22"/>
        </w:rPr>
      </w:pPr>
    </w:p>
    <w:p w14:paraId="2314C8F7" w14:textId="2BFA0643" w:rsidR="005C6445" w:rsidRDefault="002C4D90" w:rsidP="00036F74">
      <w:pPr>
        <w:spacing w:line="360" w:lineRule="auto"/>
        <w:rPr>
          <w:rFonts w:ascii="Arial" w:hAnsi="Arial" w:cs="Arial"/>
        </w:rPr>
      </w:pPr>
      <w:r w:rsidRPr="002C4D90">
        <w:rPr>
          <w:rFonts w:ascii="Arial" w:hAnsi="Arial" w:cs="Arial"/>
          <w:sz w:val="22"/>
          <w:szCs w:val="22"/>
        </w:rPr>
        <w:t>Thus, while the GROW model provides a practical, results-oriented framework suitable for short-term coaching focused on performance, it may benefit from being supplemented with additional tools in situations that require greater psychological insight or sustained behavioural change.</w:t>
      </w:r>
      <w:r w:rsidR="005C6445">
        <w:rPr>
          <w:rFonts w:ascii="Arial" w:hAnsi="Arial" w:cs="Arial"/>
        </w:rPr>
        <w:br w:type="page"/>
      </w:r>
    </w:p>
    <w:p w14:paraId="106D5923" w14:textId="37CBD1CD" w:rsidR="005C6445" w:rsidRDefault="005C6445" w:rsidP="005C6445">
      <w:pPr>
        <w:pStyle w:val="Heading1"/>
      </w:pPr>
      <w:bookmarkStart w:id="3" w:name="_Toc182643404"/>
      <w:r w:rsidRPr="005C6445">
        <w:lastRenderedPageBreak/>
        <w:t>Reflection on Practical 1</w:t>
      </w:r>
      <w:bookmarkEnd w:id="3"/>
    </w:p>
    <w:p w14:paraId="74E455ED" w14:textId="77777777" w:rsidR="0064637B" w:rsidRDefault="0064637B" w:rsidP="001314BB">
      <w:pPr>
        <w:rPr>
          <w:rFonts w:ascii="Arial" w:hAnsi="Arial" w:cs="Arial"/>
          <w:sz w:val="22"/>
          <w:szCs w:val="22"/>
        </w:rPr>
      </w:pPr>
    </w:p>
    <w:p w14:paraId="154A4016" w14:textId="77777777" w:rsidR="002B4849" w:rsidRPr="002B4849" w:rsidRDefault="002B4849" w:rsidP="002B4849">
      <w:pPr>
        <w:spacing w:line="360" w:lineRule="auto"/>
        <w:rPr>
          <w:rFonts w:ascii="Arial" w:hAnsi="Arial" w:cs="Arial"/>
          <w:sz w:val="22"/>
          <w:szCs w:val="22"/>
        </w:rPr>
      </w:pPr>
      <w:r w:rsidRPr="002B4849">
        <w:rPr>
          <w:rFonts w:ascii="Arial" w:hAnsi="Arial" w:cs="Arial"/>
          <w:sz w:val="22"/>
          <w:szCs w:val="22"/>
        </w:rPr>
        <w:t>For my initial coaching session, I employed the GROW model to guide a coachee in setting goals aimed at enhancing their communication skills within a team leadership context. At the outset, I focused on establishing rapport, which helped create a sense of trust and openness—a crucial element in coaching as suggested by Whitmore (2010). I also clarified that we would be using the GROW model as our framework, as recommended by Starr (2008), to ensure a structured and effective approach to our conversation.</w:t>
      </w:r>
    </w:p>
    <w:p w14:paraId="5C8943F6" w14:textId="77777777" w:rsidR="002B4849" w:rsidRPr="002B4849" w:rsidRDefault="002B4849" w:rsidP="002B4849">
      <w:pPr>
        <w:spacing w:line="360" w:lineRule="auto"/>
        <w:rPr>
          <w:rFonts w:ascii="Arial" w:hAnsi="Arial" w:cs="Arial"/>
          <w:sz w:val="22"/>
          <w:szCs w:val="22"/>
        </w:rPr>
      </w:pPr>
    </w:p>
    <w:p w14:paraId="19012882" w14:textId="77777777" w:rsidR="002B4849" w:rsidRPr="002B4849" w:rsidRDefault="002B4849" w:rsidP="002B4849">
      <w:pPr>
        <w:spacing w:line="360" w:lineRule="auto"/>
        <w:rPr>
          <w:rFonts w:ascii="Arial" w:hAnsi="Arial" w:cs="Arial"/>
          <w:sz w:val="22"/>
          <w:szCs w:val="22"/>
        </w:rPr>
      </w:pPr>
      <w:r w:rsidRPr="002B4849">
        <w:rPr>
          <w:rFonts w:ascii="Arial" w:hAnsi="Arial" w:cs="Arial"/>
          <w:sz w:val="22"/>
          <w:szCs w:val="22"/>
        </w:rPr>
        <w:t>We commenced with the "Goal" phase, defining a clear and measurable objective: for the coachee to improve their confidence and assertiveness in team meetings over the course of one month. During the "Reality" phase, we explored the coachee’s current experiences with public speaking, which revealed insecurities around speaking in front of groups and a self-perceived lack of assertiveness. This process aligned with Grant’s (2003) emphasis on understanding an individual’s present reality to provide a foundation for meaningful development.</w:t>
      </w:r>
    </w:p>
    <w:p w14:paraId="5C7BCB88" w14:textId="77777777" w:rsidR="002B4849" w:rsidRPr="002B4849" w:rsidRDefault="002B4849" w:rsidP="002B4849">
      <w:pPr>
        <w:spacing w:line="360" w:lineRule="auto"/>
        <w:rPr>
          <w:rFonts w:ascii="Arial" w:hAnsi="Arial" w:cs="Arial"/>
          <w:sz w:val="22"/>
          <w:szCs w:val="22"/>
        </w:rPr>
      </w:pPr>
    </w:p>
    <w:p w14:paraId="143C051D" w14:textId="77777777" w:rsidR="002B4849" w:rsidRPr="002B4849" w:rsidRDefault="002B4849" w:rsidP="002B4849">
      <w:pPr>
        <w:spacing w:line="360" w:lineRule="auto"/>
        <w:rPr>
          <w:rFonts w:ascii="Arial" w:hAnsi="Arial" w:cs="Arial"/>
          <w:sz w:val="22"/>
          <w:szCs w:val="22"/>
        </w:rPr>
      </w:pPr>
      <w:r w:rsidRPr="002B4849">
        <w:rPr>
          <w:rFonts w:ascii="Arial" w:hAnsi="Arial" w:cs="Arial"/>
          <w:sz w:val="22"/>
          <w:szCs w:val="22"/>
        </w:rPr>
        <w:t>In the "Options" phase, I prompted the coachee to consider various strategies, such as practising brief presentations during smaller team meetings and seeking constructive feedback from colleagues. This exploration encouraged the coachee to generate feasible and supportive solutions, reinforcing the value of an options-focused approach in coaching (Parsloe &amp; Leedham, 2009). Finally, in the "Way Forward" phase, we co-created an action plan with specific steps and a timeline. We agreed on weekly check-ins to track progress and scheduled a follow-up in one month to assess achievements and adjust the plan as needed.</w:t>
      </w:r>
    </w:p>
    <w:p w14:paraId="5D9CE1CE" w14:textId="77777777" w:rsidR="002B4849" w:rsidRPr="002B4849" w:rsidRDefault="002B4849" w:rsidP="002B4849">
      <w:pPr>
        <w:spacing w:line="360" w:lineRule="auto"/>
        <w:rPr>
          <w:rFonts w:ascii="Arial" w:hAnsi="Arial" w:cs="Arial"/>
          <w:sz w:val="22"/>
          <w:szCs w:val="22"/>
        </w:rPr>
      </w:pPr>
    </w:p>
    <w:p w14:paraId="668F857C" w14:textId="77777777" w:rsidR="002B4849" w:rsidRPr="002B4849" w:rsidRDefault="002B4849" w:rsidP="002B4849">
      <w:pPr>
        <w:spacing w:line="360" w:lineRule="auto"/>
        <w:rPr>
          <w:rFonts w:ascii="Arial" w:hAnsi="Arial" w:cs="Arial"/>
          <w:sz w:val="22"/>
          <w:szCs w:val="22"/>
        </w:rPr>
      </w:pPr>
      <w:r w:rsidRPr="002B4849">
        <w:rPr>
          <w:rFonts w:ascii="Arial" w:hAnsi="Arial" w:cs="Arial"/>
          <w:sz w:val="22"/>
          <w:szCs w:val="22"/>
        </w:rPr>
        <w:t xml:space="preserve">To reflect on this coaching experience, I utilised Gibbs' Reflective Cycle (Gibbs, 1988), which allowed me to systematically evaluate and analyse the session while considering areas for improvement. In the Description stage, I documented the session's use of the GROW </w:t>
      </w:r>
      <w:proofErr w:type="gramStart"/>
      <w:r w:rsidRPr="002B4849">
        <w:rPr>
          <w:rFonts w:ascii="Arial" w:hAnsi="Arial" w:cs="Arial"/>
          <w:sz w:val="22"/>
          <w:szCs w:val="22"/>
        </w:rPr>
        <w:t>model</w:t>
      </w:r>
      <w:proofErr w:type="gramEnd"/>
      <w:r w:rsidRPr="002B4849">
        <w:rPr>
          <w:rFonts w:ascii="Arial" w:hAnsi="Arial" w:cs="Arial"/>
          <w:sz w:val="22"/>
          <w:szCs w:val="22"/>
        </w:rPr>
        <w:t xml:space="preserve"> and the outcomes achieved. The Feelings stage allowed me to acknowledge a mix of satisfaction with the structure of the session and an awareness of the challenges in addressing deep-seated confidence issues. During the Evaluation phase, I identified strengths such as establishing rapport and creating a clear action plan but also recognised the limitations of a single session in fostering lasting behavioural change.</w:t>
      </w:r>
    </w:p>
    <w:p w14:paraId="2B00C43C" w14:textId="77777777" w:rsidR="002B4849" w:rsidRPr="002B4849" w:rsidRDefault="002B4849" w:rsidP="002B4849">
      <w:pPr>
        <w:spacing w:line="360" w:lineRule="auto"/>
        <w:rPr>
          <w:rFonts w:ascii="Arial" w:hAnsi="Arial" w:cs="Arial"/>
          <w:sz w:val="22"/>
          <w:szCs w:val="22"/>
        </w:rPr>
      </w:pPr>
    </w:p>
    <w:p w14:paraId="5774F1A2" w14:textId="5ED5A22B" w:rsidR="002B4849" w:rsidRPr="002B4849" w:rsidRDefault="002B4849" w:rsidP="002B4849">
      <w:pPr>
        <w:spacing w:line="360" w:lineRule="auto"/>
        <w:rPr>
          <w:rFonts w:ascii="Arial" w:hAnsi="Arial" w:cs="Arial"/>
          <w:sz w:val="22"/>
          <w:szCs w:val="22"/>
        </w:rPr>
      </w:pPr>
      <w:r w:rsidRPr="002B4849">
        <w:rPr>
          <w:rFonts w:ascii="Arial" w:hAnsi="Arial" w:cs="Arial"/>
          <w:sz w:val="22"/>
          <w:szCs w:val="22"/>
        </w:rPr>
        <w:t xml:space="preserve">In the Analysis phase, I noted that while the GROW model provided an excellent structure, the session could have been enhanced by incorporating more emotional support, as suggested by Smither and London (2009), to address the coachee's underlying insecurities. The Conclusion stage reinforced the importance of integrating flexibility and encouragement within a structured framework. Finally, the Action Plan highlighted steps for future improvement, including offering follow-up sessions to provide consistent support and incorporating techniques to build </w:t>
      </w:r>
      <w:r w:rsidR="004C084F" w:rsidRPr="002B4849">
        <w:rPr>
          <w:rFonts w:ascii="Arial" w:hAnsi="Arial" w:cs="Arial"/>
          <w:sz w:val="22"/>
          <w:szCs w:val="22"/>
        </w:rPr>
        <w:t>coaches’</w:t>
      </w:r>
      <w:r w:rsidRPr="002B4849">
        <w:rPr>
          <w:rFonts w:ascii="Arial" w:hAnsi="Arial" w:cs="Arial"/>
          <w:sz w:val="22"/>
          <w:szCs w:val="22"/>
        </w:rPr>
        <w:t xml:space="preserve"> emotional resilience alongside their skills.</w:t>
      </w:r>
    </w:p>
    <w:p w14:paraId="3C66CAC3" w14:textId="77777777" w:rsidR="002B4849" w:rsidRPr="002B4849" w:rsidRDefault="002B4849" w:rsidP="002B4849">
      <w:pPr>
        <w:spacing w:line="360" w:lineRule="auto"/>
        <w:rPr>
          <w:rFonts w:ascii="Arial" w:hAnsi="Arial" w:cs="Arial"/>
          <w:sz w:val="22"/>
          <w:szCs w:val="22"/>
        </w:rPr>
      </w:pPr>
    </w:p>
    <w:p w14:paraId="4E7D7ECB" w14:textId="77777777" w:rsidR="002B4849" w:rsidRPr="002B4849" w:rsidRDefault="002B4849" w:rsidP="002B4849">
      <w:pPr>
        <w:spacing w:line="360" w:lineRule="auto"/>
        <w:rPr>
          <w:rFonts w:ascii="Arial" w:hAnsi="Arial" w:cs="Arial"/>
          <w:sz w:val="22"/>
          <w:szCs w:val="22"/>
        </w:rPr>
      </w:pPr>
      <w:r w:rsidRPr="002B4849">
        <w:rPr>
          <w:rFonts w:ascii="Arial" w:hAnsi="Arial" w:cs="Arial"/>
          <w:sz w:val="22"/>
          <w:szCs w:val="22"/>
        </w:rPr>
        <w:t>This practical experience highlighted the GROW model’s strength in offering structured guidance but also underscored the need for adaptability and ongoing emotional encouragement to meet each coachee’s unique and evolving needs.</w:t>
      </w:r>
    </w:p>
    <w:p w14:paraId="4ED30605" w14:textId="2B346D1A" w:rsidR="005C6445" w:rsidRDefault="005C6445" w:rsidP="001C273B">
      <w:pPr>
        <w:spacing w:line="360" w:lineRule="auto"/>
        <w:rPr>
          <w:rFonts w:ascii="Arial" w:hAnsi="Arial" w:cs="Arial"/>
        </w:rPr>
      </w:pPr>
      <w:r>
        <w:rPr>
          <w:rFonts w:ascii="Arial" w:hAnsi="Arial" w:cs="Arial"/>
        </w:rPr>
        <w:br w:type="page"/>
      </w:r>
    </w:p>
    <w:p w14:paraId="47E17E02" w14:textId="2AB4F4EA" w:rsidR="005C6445" w:rsidRDefault="005C6445" w:rsidP="005C6445">
      <w:pPr>
        <w:pStyle w:val="Heading1"/>
      </w:pPr>
      <w:bookmarkStart w:id="4" w:name="_Toc182643405"/>
      <w:r w:rsidRPr="005C6445">
        <w:lastRenderedPageBreak/>
        <w:t>Reflection on Practical 2</w:t>
      </w:r>
      <w:bookmarkEnd w:id="4"/>
    </w:p>
    <w:p w14:paraId="202CD584" w14:textId="77777777" w:rsidR="005C6445" w:rsidRDefault="005C6445" w:rsidP="005C6445">
      <w:pPr>
        <w:rPr>
          <w:rFonts w:ascii="Arial" w:hAnsi="Arial" w:cs="Arial"/>
        </w:rPr>
      </w:pPr>
    </w:p>
    <w:p w14:paraId="2FF80555" w14:textId="77777777" w:rsidR="00CD07A9" w:rsidRDefault="00CD07A9" w:rsidP="00CD07A9">
      <w:pPr>
        <w:spacing w:line="360" w:lineRule="auto"/>
        <w:rPr>
          <w:rFonts w:ascii="Arial" w:hAnsi="Arial" w:cs="Arial"/>
          <w:sz w:val="22"/>
          <w:szCs w:val="22"/>
        </w:rPr>
      </w:pPr>
      <w:r w:rsidRPr="00CD07A9">
        <w:rPr>
          <w:rFonts w:ascii="Arial" w:hAnsi="Arial" w:cs="Arial"/>
          <w:sz w:val="22"/>
          <w:szCs w:val="22"/>
        </w:rPr>
        <w:t>n my second practical mentoring session, I applied the Johari Window model, focusing on providing feedback to a mentee seeking career advancement advice. The Johari Window, developed by Luft and Ingham (1955), is a framework that emphasises self-awareness and feedback, aiming to enhance understanding of how personal attributes are perceived by oneself and others. To reflect on this mentoring session, I used Gibbs’ Reflective Cycle (1988), a structured model that guides reflection through six stages: Description, Feelings, Evaluation, Analysis, Conclusion, and Action Plan. This reflective framework helped me critically evaluate my mentoring practice and identify areas for improvement.</w:t>
      </w:r>
    </w:p>
    <w:p w14:paraId="32808717" w14:textId="77777777" w:rsidR="00641B17" w:rsidRPr="00CD07A9" w:rsidRDefault="00641B17" w:rsidP="00CD07A9">
      <w:pPr>
        <w:spacing w:line="360" w:lineRule="auto"/>
        <w:rPr>
          <w:rFonts w:ascii="Arial" w:hAnsi="Arial" w:cs="Arial"/>
          <w:sz w:val="22"/>
          <w:szCs w:val="22"/>
        </w:rPr>
      </w:pPr>
    </w:p>
    <w:p w14:paraId="3F2D9AA3" w14:textId="77777777" w:rsidR="00CD07A9" w:rsidRPr="00CD07A9" w:rsidRDefault="00CD07A9" w:rsidP="00CD07A9">
      <w:pPr>
        <w:spacing w:line="360" w:lineRule="auto"/>
        <w:rPr>
          <w:rFonts w:ascii="Arial" w:hAnsi="Arial" w:cs="Arial"/>
          <w:sz w:val="22"/>
          <w:szCs w:val="22"/>
        </w:rPr>
      </w:pPr>
      <w:r w:rsidRPr="00CD07A9">
        <w:rPr>
          <w:rFonts w:ascii="Arial" w:hAnsi="Arial" w:cs="Arial"/>
          <w:sz w:val="22"/>
          <w:szCs w:val="22"/>
        </w:rPr>
        <w:t>The Johari Window model was instrumental in structuring my feedback to the mentee. By focusing on revealing aspects of their potential that were previously hidden, I sought to enhance their self-awareness while fostering an environment of mutual trust and transparency—key components of effective mentoring relationships (Luft &amp; Ingham, 1955). Gibbs’ reflective process provided a means to systematically assess the strengths and weaknesses of my approach, ensuring a comprehensive understanding of the session’s dynamics and outcomes.</w:t>
      </w:r>
    </w:p>
    <w:p w14:paraId="2CF110C2" w14:textId="77777777" w:rsidR="00CD07A9" w:rsidRPr="00CD07A9" w:rsidRDefault="00CD07A9" w:rsidP="00CD07A9">
      <w:pPr>
        <w:spacing w:line="360" w:lineRule="auto"/>
        <w:rPr>
          <w:rFonts w:ascii="Arial" w:hAnsi="Arial" w:cs="Arial"/>
          <w:sz w:val="22"/>
          <w:szCs w:val="22"/>
        </w:rPr>
      </w:pPr>
      <w:r w:rsidRPr="00CD07A9">
        <w:rPr>
          <w:rFonts w:ascii="Arial" w:hAnsi="Arial" w:cs="Arial"/>
          <w:sz w:val="22"/>
          <w:szCs w:val="22"/>
        </w:rPr>
        <w:t>Strengths in Mentoring Practice</w:t>
      </w:r>
    </w:p>
    <w:p w14:paraId="371CAA2F" w14:textId="77777777" w:rsidR="00CD07A9" w:rsidRPr="00CD07A9" w:rsidRDefault="00CD07A9" w:rsidP="00CD07A9">
      <w:pPr>
        <w:spacing w:line="360" w:lineRule="auto"/>
        <w:rPr>
          <w:rFonts w:ascii="Arial" w:hAnsi="Arial" w:cs="Arial"/>
          <w:sz w:val="22"/>
          <w:szCs w:val="22"/>
        </w:rPr>
      </w:pPr>
      <w:r w:rsidRPr="00CD07A9">
        <w:rPr>
          <w:rFonts w:ascii="Arial" w:hAnsi="Arial" w:cs="Arial"/>
          <w:sz w:val="22"/>
          <w:szCs w:val="22"/>
        </w:rPr>
        <w:t>Throughout this session, I applied structured questioning, enabling the mentee to engage in self-reflection and uncover strengths they were not fully aware of, particularly in collaborative skills—an essential quality for career progression. My ability to follow up with relevant questions and link them to a timeframe demonstrated practical application of the Johari Window, supporting the mentee’s development through increased self-awareness. This approach aligns with Clutterbuck’s (2004) emphasis on effective questioning as a method to facilitate mentee development and promote self-awareness.</w:t>
      </w:r>
    </w:p>
    <w:p w14:paraId="294B1BEF" w14:textId="77777777" w:rsidR="00CD07A9" w:rsidRDefault="00CD07A9" w:rsidP="00CD07A9">
      <w:pPr>
        <w:spacing w:line="360" w:lineRule="auto"/>
        <w:rPr>
          <w:rFonts w:ascii="Arial" w:hAnsi="Arial" w:cs="Arial"/>
          <w:sz w:val="22"/>
          <w:szCs w:val="22"/>
        </w:rPr>
      </w:pPr>
      <w:r w:rsidRPr="00CD07A9">
        <w:rPr>
          <w:rFonts w:ascii="Arial" w:hAnsi="Arial" w:cs="Arial"/>
          <w:sz w:val="22"/>
          <w:szCs w:val="22"/>
        </w:rPr>
        <w:t>Feedback from my mentor, Dr Mudassar Hasan, highlighted effective questioning and active listening as key strengths in my mentoring practice. These skills allowed me to provide targeted feedback, helping the mentee recognise their collaborative strengths in a new light and connect them to tangible career advancement opportunities. According to Starr (2008), active listening is fundamental in building rapport and ensuring that feedback is meaningful and relevant, which was evident in this session.</w:t>
      </w:r>
    </w:p>
    <w:p w14:paraId="2C2B136F" w14:textId="77777777" w:rsidR="00EE117E" w:rsidRDefault="00EE117E" w:rsidP="00CD07A9">
      <w:pPr>
        <w:spacing w:line="360" w:lineRule="auto"/>
        <w:rPr>
          <w:rFonts w:ascii="Arial" w:hAnsi="Arial" w:cs="Arial"/>
          <w:sz w:val="22"/>
          <w:szCs w:val="22"/>
        </w:rPr>
      </w:pPr>
    </w:p>
    <w:p w14:paraId="789AA703" w14:textId="77777777" w:rsidR="00EE117E" w:rsidRPr="00CD07A9" w:rsidRDefault="00EE117E" w:rsidP="00CD07A9">
      <w:pPr>
        <w:spacing w:line="360" w:lineRule="auto"/>
        <w:rPr>
          <w:rFonts w:ascii="Arial" w:hAnsi="Arial" w:cs="Arial"/>
          <w:sz w:val="22"/>
          <w:szCs w:val="22"/>
        </w:rPr>
      </w:pPr>
    </w:p>
    <w:p w14:paraId="35230C88" w14:textId="77777777" w:rsidR="00CD07A9" w:rsidRPr="00CD07A9" w:rsidRDefault="00CD07A9" w:rsidP="00CD07A9">
      <w:pPr>
        <w:spacing w:line="360" w:lineRule="auto"/>
        <w:rPr>
          <w:rFonts w:ascii="Arial" w:hAnsi="Arial" w:cs="Arial"/>
          <w:sz w:val="22"/>
          <w:szCs w:val="22"/>
        </w:rPr>
      </w:pPr>
      <w:r w:rsidRPr="00CD07A9">
        <w:rPr>
          <w:rFonts w:ascii="Arial" w:hAnsi="Arial" w:cs="Arial"/>
          <w:sz w:val="22"/>
          <w:szCs w:val="22"/>
        </w:rPr>
        <w:lastRenderedPageBreak/>
        <w:t>Areas for Improvement</w:t>
      </w:r>
    </w:p>
    <w:p w14:paraId="1CA488A3" w14:textId="77777777" w:rsidR="00CD07A9" w:rsidRPr="00CD07A9" w:rsidRDefault="00CD07A9" w:rsidP="00CD07A9">
      <w:pPr>
        <w:spacing w:line="360" w:lineRule="auto"/>
        <w:rPr>
          <w:rFonts w:ascii="Arial" w:hAnsi="Arial" w:cs="Arial"/>
          <w:sz w:val="22"/>
          <w:szCs w:val="22"/>
        </w:rPr>
      </w:pPr>
      <w:r w:rsidRPr="00CD07A9">
        <w:rPr>
          <w:rFonts w:ascii="Arial" w:hAnsi="Arial" w:cs="Arial"/>
          <w:sz w:val="22"/>
          <w:szCs w:val="22"/>
        </w:rPr>
        <w:t>Despite these strengths, there are several areas for improvement. One key issue was a lack of clarity regarding the specific Johari Window quadrant I intended to expand during the session. The Johari Window encourages mentors to work across four quadrants—open, blind, hidden, and unknown—to effectively enhance the mentee’s self-awareness. Future sessions would benefit from explicitly identifying and focusing on the relevant quadrant, ensuring that both the mentee and I are aligned on the objectives of our discussion (Luft &amp; Ingham, 1955).</w:t>
      </w:r>
    </w:p>
    <w:p w14:paraId="6A1727A8" w14:textId="77777777" w:rsidR="00CD07A9" w:rsidRPr="00CD07A9" w:rsidRDefault="00CD07A9" w:rsidP="00CD07A9">
      <w:pPr>
        <w:spacing w:line="360" w:lineRule="auto"/>
        <w:rPr>
          <w:rFonts w:ascii="Arial" w:hAnsi="Arial" w:cs="Arial"/>
          <w:sz w:val="22"/>
          <w:szCs w:val="22"/>
        </w:rPr>
      </w:pPr>
      <w:r w:rsidRPr="00CD07A9">
        <w:rPr>
          <w:rFonts w:ascii="Arial" w:hAnsi="Arial" w:cs="Arial"/>
          <w:sz w:val="22"/>
          <w:szCs w:val="22"/>
        </w:rPr>
        <w:t>Additionally, feedback from my mentor noted a lack of non-verbal communication cues, such as eye contact and facial expressions, which are critical for creating an engaging and supportive environment. Egan (2013) highlights that non-verbal communication, including attentive body language, conveys empathy and builds trust in mentoring relationships. My weak eye contact may have hindered the mentee’s experience, potentially affecting their perception of my attentiveness. Moving forward, I plan to consciously improve my non-verbal communication by maintaining consistent eye contact and adopting more open and supportive body language.</w:t>
      </w:r>
    </w:p>
    <w:p w14:paraId="1E6FD4EC" w14:textId="77777777" w:rsidR="00CD07A9" w:rsidRPr="00CD07A9" w:rsidRDefault="00CD07A9" w:rsidP="00CD07A9">
      <w:pPr>
        <w:spacing w:line="360" w:lineRule="auto"/>
        <w:rPr>
          <w:rFonts w:ascii="Arial" w:hAnsi="Arial" w:cs="Arial"/>
          <w:sz w:val="22"/>
          <w:szCs w:val="22"/>
        </w:rPr>
      </w:pPr>
      <w:r w:rsidRPr="00CD07A9">
        <w:rPr>
          <w:rFonts w:ascii="Arial" w:hAnsi="Arial" w:cs="Arial"/>
          <w:sz w:val="22"/>
          <w:szCs w:val="22"/>
        </w:rPr>
        <w:t>Another area for improvement was the summarisation of key points at the session’s conclusion. Summarising is essential for reinforcing understanding and ensuring that both mentor and mentee leave with clear takeaways (Starr, 2008). My failure to provide a structured wrap-up resulted in a less organised ending, which could have impacted the mentee’s retention of feedback. Additionally, exceeding the allocated time disrupted the session’s flow and effectiveness. To address this, I intend to practise delivering concise summaries and managing time more effectively in future sessions.</w:t>
      </w:r>
    </w:p>
    <w:p w14:paraId="43481B5B" w14:textId="77777777" w:rsidR="00CD07A9" w:rsidRPr="00CD07A9" w:rsidRDefault="00CD07A9" w:rsidP="00CD07A9">
      <w:pPr>
        <w:spacing w:line="360" w:lineRule="auto"/>
        <w:rPr>
          <w:rFonts w:ascii="Arial" w:hAnsi="Arial" w:cs="Arial"/>
          <w:sz w:val="22"/>
          <w:szCs w:val="22"/>
        </w:rPr>
      </w:pPr>
    </w:p>
    <w:p w14:paraId="0CED1A2D" w14:textId="14EDFD4F" w:rsidR="005C6445" w:rsidRDefault="00CD07A9" w:rsidP="00CD07A9">
      <w:pPr>
        <w:spacing w:line="360" w:lineRule="auto"/>
        <w:rPr>
          <w:rFonts w:ascii="Arial" w:hAnsi="Arial" w:cs="Arial"/>
        </w:rPr>
      </w:pPr>
      <w:r w:rsidRPr="00CD07A9">
        <w:rPr>
          <w:rFonts w:ascii="Arial" w:hAnsi="Arial" w:cs="Arial"/>
          <w:sz w:val="22"/>
          <w:szCs w:val="22"/>
        </w:rPr>
        <w:t>This mentoring session highlighted several strengths, including effective questioning and active listening skills, which facilitated meaningful feedback and promoted the mentee’s self-awareness. However, areas for improvement, such as clarifying the Johari Window quadrant in use, enhancing non-verbal communication, and improving time management, were also identified. By using Gibbs’ Reflective Cycle (1988) to critically analyse my practice, I have gained valuable insights into how I can refine my mentoring approach. Addressing these areas will enable me to fully utilise the Johari Window model and foster more engaging, structured, and impactful mentoring sessions that support the mentee’s career growth and self-awareness.</w:t>
      </w:r>
      <w:r w:rsidR="005C6445">
        <w:rPr>
          <w:rFonts w:ascii="Arial" w:hAnsi="Arial" w:cs="Arial"/>
        </w:rPr>
        <w:br w:type="page"/>
      </w:r>
    </w:p>
    <w:p w14:paraId="0B690370" w14:textId="1B3BAD80" w:rsidR="005C6445" w:rsidRDefault="005C6445" w:rsidP="005C6445">
      <w:pPr>
        <w:pStyle w:val="Heading1"/>
      </w:pPr>
      <w:bookmarkStart w:id="5" w:name="_Toc182643406"/>
      <w:r w:rsidRPr="005C6445">
        <w:lastRenderedPageBreak/>
        <w:t>Conclusion</w:t>
      </w:r>
      <w:bookmarkEnd w:id="5"/>
    </w:p>
    <w:p w14:paraId="7319C55C" w14:textId="77777777" w:rsidR="005C6445" w:rsidRDefault="005C6445" w:rsidP="005C6445">
      <w:pPr>
        <w:rPr>
          <w:rFonts w:ascii="Arial" w:hAnsi="Arial" w:cs="Arial"/>
        </w:rPr>
      </w:pPr>
    </w:p>
    <w:p w14:paraId="0C96E311" w14:textId="77777777" w:rsidR="000C454E" w:rsidRPr="000C454E" w:rsidRDefault="000C454E" w:rsidP="000C0B69">
      <w:pPr>
        <w:spacing w:line="360" w:lineRule="auto"/>
        <w:rPr>
          <w:rFonts w:ascii="Arial" w:hAnsi="Arial" w:cs="Arial"/>
          <w:sz w:val="22"/>
          <w:szCs w:val="22"/>
        </w:rPr>
      </w:pPr>
      <w:r w:rsidRPr="000C454E">
        <w:rPr>
          <w:rFonts w:ascii="Arial" w:hAnsi="Arial" w:cs="Arial"/>
          <w:sz w:val="22"/>
          <w:szCs w:val="22"/>
        </w:rPr>
        <w:t>In conclusion, my experiences in coaching and mentoring have highlighted the value of structured models, particularly the GROW and Johari Window models, in promoting both personal and professional growth. The GROW model, developed by Whitmore (2010), with its clear, goal-oriented structure, proves especially effective for short-term, performance-based coaching, as it enables coaches to guide coachees through the process of setting specific objectives, assessing current realities, exploring available options, and defining actionable steps forward. This structured approach is valuable in work environments where performance improvements and measurable outcomes are prioritised (Grant, 2011).</w:t>
      </w:r>
    </w:p>
    <w:p w14:paraId="1391C783" w14:textId="77777777" w:rsidR="000C454E" w:rsidRPr="000C454E" w:rsidRDefault="000C454E" w:rsidP="000C0B69">
      <w:pPr>
        <w:spacing w:line="360" w:lineRule="auto"/>
        <w:rPr>
          <w:rFonts w:ascii="Arial" w:hAnsi="Arial" w:cs="Arial"/>
          <w:sz w:val="22"/>
          <w:szCs w:val="22"/>
        </w:rPr>
      </w:pPr>
    </w:p>
    <w:p w14:paraId="5A9FB93D" w14:textId="77777777" w:rsidR="000C454E" w:rsidRPr="000C454E" w:rsidRDefault="000C454E" w:rsidP="000C0B69">
      <w:pPr>
        <w:spacing w:line="360" w:lineRule="auto"/>
        <w:rPr>
          <w:rFonts w:ascii="Arial" w:hAnsi="Arial" w:cs="Arial"/>
          <w:sz w:val="22"/>
          <w:szCs w:val="22"/>
        </w:rPr>
      </w:pPr>
      <w:r w:rsidRPr="000C454E">
        <w:rPr>
          <w:rFonts w:ascii="Arial" w:hAnsi="Arial" w:cs="Arial"/>
          <w:sz w:val="22"/>
          <w:szCs w:val="22"/>
        </w:rPr>
        <w:t>In contrast, the Johari Window model, conceptualised by Luft and Ingham (1955), is particularly useful in mentoring relationships focused on enhancing self-awareness and fostering constructive, open feedback. By working across the model’s four quadrants—open, blind, hidden, and unknown—the Johari Window facilitates deeper understanding of self-perception and external feedback, which are essential for personal development and effective long-term career mentoring (Luft &amp; Ingham, 1955). Through its application, I have learned how critical trust and transparency are in mentoring, as these factors help mentees gain insight into strengths and areas for development, which they may not be fully aware of.</w:t>
      </w:r>
    </w:p>
    <w:p w14:paraId="3C925265" w14:textId="77777777" w:rsidR="000C454E" w:rsidRPr="000C454E" w:rsidRDefault="000C454E" w:rsidP="000C0B69">
      <w:pPr>
        <w:spacing w:line="360" w:lineRule="auto"/>
        <w:rPr>
          <w:rFonts w:ascii="Arial" w:hAnsi="Arial" w:cs="Arial"/>
          <w:sz w:val="22"/>
          <w:szCs w:val="22"/>
        </w:rPr>
      </w:pPr>
    </w:p>
    <w:p w14:paraId="546FC27C" w14:textId="77777777" w:rsidR="000C454E" w:rsidRPr="000C454E" w:rsidRDefault="000C454E" w:rsidP="000C0B69">
      <w:pPr>
        <w:spacing w:line="360" w:lineRule="auto"/>
        <w:rPr>
          <w:rFonts w:ascii="Arial" w:hAnsi="Arial" w:cs="Arial"/>
          <w:sz w:val="22"/>
          <w:szCs w:val="22"/>
        </w:rPr>
      </w:pPr>
      <w:r w:rsidRPr="000C454E">
        <w:rPr>
          <w:rFonts w:ascii="Arial" w:hAnsi="Arial" w:cs="Arial"/>
          <w:sz w:val="22"/>
          <w:szCs w:val="22"/>
        </w:rPr>
        <w:t>Through the practical applications of both models, I have gained a greater understanding of the distinct yet complementary roles of coaching and mentoring within a workplace context. These experiences have underscored that while coaching is often short-term and task-oriented, mentoring provides a more holistic approach to personal development, one that is highly relational and supportive over the long term (Clutterbuck, 2004). This distinction has also highlighted the importance of adaptability, active listening, and empathy as core skills for effectively supporting colleagues’ growth. As Egan (2013) notes, these skills are essential for establishing rapport and fostering a sense of safety and support in developmental relationships, whether in coaching or mentoring contexts.</w:t>
      </w:r>
    </w:p>
    <w:p w14:paraId="5E84E80F" w14:textId="77777777" w:rsidR="000C454E" w:rsidRPr="000C454E" w:rsidRDefault="000C454E" w:rsidP="000C0B69">
      <w:pPr>
        <w:spacing w:line="360" w:lineRule="auto"/>
        <w:rPr>
          <w:rFonts w:ascii="Arial" w:hAnsi="Arial" w:cs="Arial"/>
          <w:sz w:val="22"/>
          <w:szCs w:val="22"/>
        </w:rPr>
      </w:pPr>
    </w:p>
    <w:p w14:paraId="4A51ECB0" w14:textId="2BC77F90" w:rsidR="005C6445" w:rsidRDefault="000C454E" w:rsidP="000C0B69">
      <w:pPr>
        <w:spacing w:line="360" w:lineRule="auto"/>
        <w:rPr>
          <w:rFonts w:ascii="Arial" w:hAnsi="Arial" w:cs="Arial"/>
        </w:rPr>
      </w:pPr>
      <w:r w:rsidRPr="000C454E">
        <w:rPr>
          <w:rFonts w:ascii="Arial" w:hAnsi="Arial" w:cs="Arial"/>
          <w:sz w:val="22"/>
          <w:szCs w:val="22"/>
        </w:rPr>
        <w:t xml:space="preserve">Moving forward, I intend to adopt a more flexible approach, recognising that while structured models like GROW and Johari Window offer valuable frameworks, every individual has unique needs and goals that may require customisation beyond these structures. Tailoring my approach to suit each individual’s unique circumstances will be essential to fostering </w:t>
      </w:r>
      <w:r w:rsidRPr="000C454E">
        <w:rPr>
          <w:rFonts w:ascii="Arial" w:hAnsi="Arial" w:cs="Arial"/>
          <w:sz w:val="22"/>
          <w:szCs w:val="22"/>
        </w:rPr>
        <w:lastRenderedPageBreak/>
        <w:t>deeper engagement and personal relevance in these developmental interactions. This reflection has reinforced my commitment to cultivating supportive, growth-oriented professional relationships in my future career, and I am confident that integrating adaptability with the structured guidance of models like GROW and Johari Window will enhance my effectiveness as both a coach and mentor.</w:t>
      </w:r>
    </w:p>
    <w:p w14:paraId="794D58F5" w14:textId="77777777" w:rsidR="005C6445" w:rsidRPr="001C273B" w:rsidRDefault="005C6445">
      <w:pPr>
        <w:rPr>
          <w:rFonts w:ascii="Arial" w:hAnsi="Arial" w:cs="Arial"/>
          <w:sz w:val="22"/>
          <w:szCs w:val="22"/>
        </w:rPr>
      </w:pPr>
      <w:r>
        <w:rPr>
          <w:rFonts w:ascii="Arial" w:hAnsi="Arial" w:cs="Arial"/>
        </w:rPr>
        <w:br w:type="page"/>
      </w:r>
    </w:p>
    <w:p w14:paraId="0E0686C2" w14:textId="68DFEEE4" w:rsidR="005C6445" w:rsidRDefault="005C6445" w:rsidP="005C6445">
      <w:pPr>
        <w:pStyle w:val="Heading1"/>
      </w:pPr>
      <w:bookmarkStart w:id="6" w:name="_Toc182643407"/>
      <w:r w:rsidRPr="005C6445">
        <w:lastRenderedPageBreak/>
        <w:t>References</w:t>
      </w:r>
      <w:bookmarkEnd w:id="6"/>
    </w:p>
    <w:p w14:paraId="289BB559" w14:textId="77777777" w:rsidR="005C6445" w:rsidRDefault="005C6445" w:rsidP="005C6445">
      <w:pPr>
        <w:rPr>
          <w:rFonts w:ascii="Arial" w:hAnsi="Arial" w:cs="Arial"/>
        </w:rPr>
      </w:pPr>
    </w:p>
    <w:p w14:paraId="1EC1D656" w14:textId="77777777" w:rsidR="005C6445" w:rsidRDefault="005C6445" w:rsidP="005C6445">
      <w:pPr>
        <w:rPr>
          <w:rFonts w:ascii="Arial" w:hAnsi="Arial" w:cs="Arial"/>
        </w:rPr>
      </w:pPr>
      <w:r w:rsidRPr="005C6445">
        <w:rPr>
          <w:rFonts w:ascii="Arial" w:hAnsi="Arial" w:cs="Arial"/>
        </w:rPr>
        <w:t>Clutterbuck, D. (2004). Everyone Needs a Mentor. London: Chartered Institute of Personnel and Development.</w:t>
      </w:r>
    </w:p>
    <w:p w14:paraId="15A7A09B" w14:textId="599428B6" w:rsidR="003261E3" w:rsidRDefault="003261E3" w:rsidP="005C6445">
      <w:pPr>
        <w:rPr>
          <w:rFonts w:ascii="Arial" w:hAnsi="Arial" w:cs="Arial"/>
        </w:rPr>
      </w:pPr>
      <w:r w:rsidRPr="003261E3">
        <w:rPr>
          <w:rFonts w:ascii="Arial" w:hAnsi="Arial" w:cs="Arial"/>
        </w:rPr>
        <w:t>Downey, M. (2014) Effective Coaching: Lessons from the Coach’s Coach. 3rd edn. Boston: Cengage Learning.</w:t>
      </w:r>
    </w:p>
    <w:p w14:paraId="7E59A250" w14:textId="56BFE58B" w:rsidR="00E923FA" w:rsidRDefault="00E923FA" w:rsidP="005C6445">
      <w:pPr>
        <w:rPr>
          <w:rFonts w:ascii="Arial" w:hAnsi="Arial" w:cs="Arial"/>
        </w:rPr>
      </w:pPr>
      <w:r w:rsidRPr="00E923FA">
        <w:rPr>
          <w:rFonts w:ascii="Arial" w:hAnsi="Arial" w:cs="Arial"/>
        </w:rPr>
        <w:t>Eby, L.T., Allen, T.D., Evans, S.C., Ng, T. and DuBois, D.L. (2013) ‘Does mentoring matter? A multidisciplinary meta-analysis comparing mentored and non-mentored individuals’, Journal of Vocational Behavior, 83(1), pp. 106-116.</w:t>
      </w:r>
    </w:p>
    <w:p w14:paraId="7EB63F80" w14:textId="3067646D" w:rsidR="00166DEB" w:rsidRDefault="00166DEB" w:rsidP="005C6445">
      <w:pPr>
        <w:rPr>
          <w:rFonts w:ascii="Arial" w:hAnsi="Arial" w:cs="Arial"/>
        </w:rPr>
      </w:pPr>
      <w:r w:rsidRPr="00166DEB">
        <w:rPr>
          <w:rFonts w:ascii="Arial" w:hAnsi="Arial" w:cs="Arial"/>
        </w:rPr>
        <w:t>Egan, G. (2013) The Skilled Helper: A Problem-Management and Opportunity-Development Approach to Helping. 10th edn. Cengage Learning.</w:t>
      </w:r>
    </w:p>
    <w:p w14:paraId="7044C77E" w14:textId="6C8BBB95" w:rsidR="00B56C90" w:rsidRDefault="00B56C90" w:rsidP="005C6445">
      <w:pPr>
        <w:rPr>
          <w:rFonts w:ascii="Arial" w:hAnsi="Arial" w:cs="Arial"/>
        </w:rPr>
      </w:pPr>
      <w:r w:rsidRPr="00B56C90">
        <w:rPr>
          <w:rFonts w:ascii="Arial" w:hAnsi="Arial" w:cs="Arial"/>
        </w:rPr>
        <w:t>Gibbs, G. (1988) Learning by Doing: A Guide to Teaching and Learning Methods. Oxford: Further Education Unit, Oxford Polytechnic.</w:t>
      </w:r>
    </w:p>
    <w:p w14:paraId="49B35652" w14:textId="2A5C68C5" w:rsidR="0063046A" w:rsidRPr="005C6445" w:rsidRDefault="0063046A" w:rsidP="005C6445">
      <w:pPr>
        <w:rPr>
          <w:rFonts w:ascii="Arial" w:hAnsi="Arial" w:cs="Arial"/>
        </w:rPr>
      </w:pPr>
      <w:r w:rsidRPr="0063046A">
        <w:rPr>
          <w:rFonts w:ascii="Arial" w:hAnsi="Arial" w:cs="Arial"/>
        </w:rPr>
        <w:t>Garvey, R., Stokes, P. and Megginson, D. (2014) Coaching and Mentoring: Theory and Practice. 2nd edn. London: Sage Publications.</w:t>
      </w:r>
    </w:p>
    <w:p w14:paraId="0D486C2D" w14:textId="77777777" w:rsidR="005C6445" w:rsidRPr="005C6445" w:rsidRDefault="005C6445" w:rsidP="005C6445">
      <w:pPr>
        <w:rPr>
          <w:rFonts w:ascii="Arial" w:hAnsi="Arial" w:cs="Arial"/>
        </w:rPr>
      </w:pPr>
      <w:r w:rsidRPr="005C6445">
        <w:rPr>
          <w:rFonts w:ascii="Arial" w:hAnsi="Arial" w:cs="Arial"/>
        </w:rPr>
        <w:t>Grant, A. M. (2003). The impact of life coaching on goal attainment, metacognition and mental health. Social Behavior and Personality: An international journal, 31(3), 253-264.</w:t>
      </w:r>
    </w:p>
    <w:p w14:paraId="2E6AA00A" w14:textId="77777777" w:rsidR="005C6445" w:rsidRPr="005C6445" w:rsidRDefault="005C6445" w:rsidP="005C6445">
      <w:pPr>
        <w:rPr>
          <w:rFonts w:ascii="Arial" w:hAnsi="Arial" w:cs="Arial"/>
        </w:rPr>
      </w:pPr>
      <w:r w:rsidRPr="005C6445">
        <w:rPr>
          <w:rFonts w:ascii="Arial" w:hAnsi="Arial" w:cs="Arial"/>
        </w:rPr>
        <w:t>Grant, A. M., &amp; Cavanagh, M. J. (2004). Toward a profession of coaching: Sixty-five years of progress and challenges for the future. International Journal of Evidence Based Coaching and Mentoring, 2(1), 1-16.</w:t>
      </w:r>
    </w:p>
    <w:p w14:paraId="4B8A611F" w14:textId="77777777" w:rsidR="005C6445" w:rsidRPr="005C6445" w:rsidRDefault="005C6445" w:rsidP="005C6445">
      <w:pPr>
        <w:rPr>
          <w:rFonts w:ascii="Arial" w:hAnsi="Arial" w:cs="Arial"/>
        </w:rPr>
      </w:pPr>
      <w:r w:rsidRPr="005C6445">
        <w:rPr>
          <w:rFonts w:ascii="Arial" w:hAnsi="Arial" w:cs="Arial"/>
        </w:rPr>
        <w:t>Hawkins, P., &amp; Smith, N. (2013). Coaching, Mentoring and Organizational Consultancy: Supervision and Development. Open University Press.</w:t>
      </w:r>
    </w:p>
    <w:p w14:paraId="16BCB2AA" w14:textId="77777777" w:rsidR="005C6445" w:rsidRDefault="005C6445" w:rsidP="005C6445">
      <w:pPr>
        <w:rPr>
          <w:rFonts w:ascii="Arial" w:hAnsi="Arial" w:cs="Arial"/>
        </w:rPr>
      </w:pPr>
      <w:r w:rsidRPr="005C6445">
        <w:rPr>
          <w:rFonts w:ascii="Arial" w:hAnsi="Arial" w:cs="Arial"/>
        </w:rPr>
        <w:t>Luft, J., &amp; Ingham, H. (1955). The Johari window: A graphic model for interpersonal relations. University of California Western Training Laboratory in Group Development.</w:t>
      </w:r>
    </w:p>
    <w:p w14:paraId="7039B177" w14:textId="77777777" w:rsidR="00A56546" w:rsidRDefault="00A56546" w:rsidP="00A56546">
      <w:pPr>
        <w:rPr>
          <w:rFonts w:ascii="Arial" w:hAnsi="Arial" w:cs="Arial"/>
        </w:rPr>
      </w:pPr>
      <w:r w:rsidRPr="00A56546">
        <w:rPr>
          <w:rFonts w:ascii="Arial" w:hAnsi="Arial" w:cs="Arial"/>
        </w:rPr>
        <w:t>Parsloe, E. and Leedham, M. (2009) Coaching and Mentoring: Practical Conversations to Improve Learning. London: Kogan Page.</w:t>
      </w:r>
    </w:p>
    <w:p w14:paraId="4AC8D549" w14:textId="1CB79F74" w:rsidR="007E4C26" w:rsidRPr="00A56546" w:rsidRDefault="007E4C26" w:rsidP="00A56546">
      <w:pPr>
        <w:rPr>
          <w:rFonts w:ascii="Arial" w:hAnsi="Arial" w:cs="Arial"/>
        </w:rPr>
      </w:pPr>
      <w:r w:rsidRPr="007E4C26">
        <w:rPr>
          <w:rFonts w:ascii="Arial" w:hAnsi="Arial" w:cs="Arial"/>
        </w:rPr>
        <w:t>Passmore, J. (2015) Excellence in Coaching: The Industry Guide. 3rd edn. London: Kogan Page.</w:t>
      </w:r>
    </w:p>
    <w:p w14:paraId="496C7D58" w14:textId="705A225B" w:rsidR="00E40ED9" w:rsidRPr="005C6445" w:rsidRDefault="00A56546" w:rsidP="00A56546">
      <w:pPr>
        <w:rPr>
          <w:rFonts w:ascii="Arial" w:hAnsi="Arial" w:cs="Arial"/>
        </w:rPr>
      </w:pPr>
      <w:r w:rsidRPr="00A56546">
        <w:rPr>
          <w:rFonts w:ascii="Arial" w:hAnsi="Arial" w:cs="Arial"/>
        </w:rPr>
        <w:t>Smither, J. W. and London, M. (Eds.) (2009) Performance Management: Putting Research into Action. Hoboken, NJ: John Wiley &amp; Sons.</w:t>
      </w:r>
    </w:p>
    <w:p w14:paraId="601ED369" w14:textId="77777777" w:rsidR="005C6445" w:rsidRPr="005C6445" w:rsidRDefault="005C6445" w:rsidP="005C6445">
      <w:pPr>
        <w:rPr>
          <w:rFonts w:ascii="Arial" w:hAnsi="Arial" w:cs="Arial"/>
        </w:rPr>
      </w:pPr>
      <w:r w:rsidRPr="005C6445">
        <w:rPr>
          <w:rFonts w:ascii="Arial" w:hAnsi="Arial" w:cs="Arial"/>
        </w:rPr>
        <w:t>Smither, J. W., &amp; London, M. (Eds.). (2009). Performance Management: Putting Research into Action. John Wiley &amp; Sons.</w:t>
      </w:r>
    </w:p>
    <w:p w14:paraId="19A15111" w14:textId="77777777" w:rsidR="005C6445" w:rsidRPr="005C6445" w:rsidRDefault="005C6445" w:rsidP="005C6445">
      <w:pPr>
        <w:rPr>
          <w:rFonts w:ascii="Arial" w:hAnsi="Arial" w:cs="Arial"/>
        </w:rPr>
      </w:pPr>
      <w:r w:rsidRPr="005C6445">
        <w:rPr>
          <w:rFonts w:ascii="Arial" w:hAnsi="Arial" w:cs="Arial"/>
        </w:rPr>
        <w:t>Starr, J. (2008). The Coaching Manual. Pearson Education.</w:t>
      </w:r>
    </w:p>
    <w:p w14:paraId="3714E81E" w14:textId="5CAFBE8F" w:rsidR="005C6445" w:rsidRDefault="005C6445" w:rsidP="005C6445">
      <w:pPr>
        <w:rPr>
          <w:rFonts w:ascii="Arial" w:hAnsi="Arial" w:cs="Arial"/>
        </w:rPr>
      </w:pPr>
      <w:r w:rsidRPr="005C6445">
        <w:rPr>
          <w:rFonts w:ascii="Arial" w:hAnsi="Arial" w:cs="Arial"/>
        </w:rPr>
        <w:t>Whitmore, J. (2010). Coaching for Performance: GROWing Human Potential and Purpose. Nicholas Brealey Publishing.</w:t>
      </w:r>
    </w:p>
    <w:p w14:paraId="4A86DB1A" w14:textId="77777777" w:rsidR="005C6445" w:rsidRDefault="005C6445" w:rsidP="005C6445">
      <w:pPr>
        <w:rPr>
          <w:rFonts w:ascii="Arial" w:hAnsi="Arial" w:cs="Arial"/>
        </w:rPr>
      </w:pPr>
    </w:p>
    <w:p w14:paraId="6304501D" w14:textId="2FD40734" w:rsidR="002D7699" w:rsidRDefault="002D7699" w:rsidP="005C6445">
      <w:pPr>
        <w:rPr>
          <w:rFonts w:ascii="Arial" w:hAnsi="Arial" w:cs="Arial"/>
        </w:rPr>
      </w:pPr>
    </w:p>
    <w:p w14:paraId="742517C0" w14:textId="77777777" w:rsidR="002D7699" w:rsidRDefault="002D7699">
      <w:pPr>
        <w:rPr>
          <w:rFonts w:ascii="Arial" w:hAnsi="Arial" w:cs="Arial"/>
        </w:rPr>
      </w:pPr>
      <w:r>
        <w:rPr>
          <w:rFonts w:ascii="Arial" w:hAnsi="Arial" w:cs="Arial"/>
        </w:rPr>
        <w:br w:type="page"/>
      </w:r>
    </w:p>
    <w:p w14:paraId="5EF31E08" w14:textId="364B1572" w:rsidR="005C6445" w:rsidRDefault="00A728DE" w:rsidP="00A728DE">
      <w:pPr>
        <w:pStyle w:val="Heading1"/>
      </w:pPr>
      <w:bookmarkStart w:id="7" w:name="_Toc182643408"/>
      <w:r>
        <w:lastRenderedPageBreak/>
        <w:t>Appendix</w:t>
      </w:r>
      <w:bookmarkEnd w:id="7"/>
      <w:r>
        <w:t xml:space="preserve"> </w:t>
      </w:r>
    </w:p>
    <w:p w14:paraId="67727251" w14:textId="77777777" w:rsidR="005F462C" w:rsidRDefault="005F462C" w:rsidP="005C6445">
      <w:pPr>
        <w:rPr>
          <w:rFonts w:ascii="Arial" w:hAnsi="Arial" w:cs="Arial"/>
        </w:rPr>
      </w:pPr>
    </w:p>
    <w:p w14:paraId="6E45874B" w14:textId="77777777" w:rsidR="005F462C" w:rsidRDefault="005F462C" w:rsidP="005C6445">
      <w:pPr>
        <w:rPr>
          <w:rFonts w:ascii="Arial" w:hAnsi="Arial" w:cs="Arial"/>
        </w:rPr>
      </w:pPr>
    </w:p>
    <w:p w14:paraId="2DE31976" w14:textId="77777777" w:rsidR="005F462C" w:rsidRDefault="005F462C" w:rsidP="005C6445">
      <w:pPr>
        <w:rPr>
          <w:rFonts w:ascii="Arial" w:hAnsi="Arial" w:cs="Arial"/>
        </w:rPr>
      </w:pPr>
    </w:p>
    <w:p w14:paraId="514AA76E" w14:textId="77777777" w:rsidR="005F462C" w:rsidRDefault="005F462C" w:rsidP="005C6445">
      <w:pPr>
        <w:rPr>
          <w:rFonts w:ascii="Arial" w:hAnsi="Arial" w:cs="Arial"/>
        </w:rPr>
      </w:pPr>
    </w:p>
    <w:p w14:paraId="5B817150" w14:textId="38E499D4" w:rsidR="005F462C" w:rsidRDefault="005F462C" w:rsidP="005C6445">
      <w:pPr>
        <w:rPr>
          <w:rFonts w:ascii="Arial" w:hAnsi="Arial" w:cs="Arial"/>
        </w:rPr>
      </w:pPr>
      <w:r w:rsidRPr="005F462C">
        <w:rPr>
          <w:rFonts w:ascii="Arial" w:hAnsi="Arial" w:cs="Arial"/>
          <w:noProof/>
        </w:rPr>
        <w:drawing>
          <wp:inline distT="0" distB="0" distL="0" distR="0" wp14:anchorId="34EE34C1" wp14:editId="426621DF">
            <wp:extent cx="5723467" cy="6562725"/>
            <wp:effectExtent l="0" t="0" r="0" b="0"/>
            <wp:docPr id="1659241679" name="Picture 1" descr="A screenshot of a web p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9241679" name="Picture 1" descr="A screenshot of a web page&#10;&#10;Description automatically generated"/>
                    <pic:cNvPicPr/>
                  </pic:nvPicPr>
                  <pic:blipFill>
                    <a:blip r:embed="rId10"/>
                    <a:stretch>
                      <a:fillRect/>
                    </a:stretch>
                  </pic:blipFill>
                  <pic:spPr>
                    <a:xfrm>
                      <a:off x="0" y="0"/>
                      <a:ext cx="5763215" cy="6608302"/>
                    </a:xfrm>
                    <a:prstGeom prst="rect">
                      <a:avLst/>
                    </a:prstGeom>
                  </pic:spPr>
                </pic:pic>
              </a:graphicData>
            </a:graphic>
          </wp:inline>
        </w:drawing>
      </w:r>
    </w:p>
    <w:p w14:paraId="54031228" w14:textId="14062767" w:rsidR="00C26454" w:rsidRDefault="00C26454" w:rsidP="005C6445">
      <w:pPr>
        <w:rPr>
          <w:rFonts w:ascii="Arial" w:hAnsi="Arial" w:cs="Arial"/>
        </w:rPr>
      </w:pPr>
    </w:p>
    <w:p w14:paraId="00DBFBCB" w14:textId="77777777" w:rsidR="00A87EDE" w:rsidRDefault="00A87EDE" w:rsidP="005C6445">
      <w:pPr>
        <w:rPr>
          <w:rFonts w:ascii="Arial" w:hAnsi="Arial" w:cs="Arial"/>
        </w:rPr>
      </w:pPr>
    </w:p>
    <w:p w14:paraId="3C605B5C" w14:textId="77777777" w:rsidR="00A87EDE" w:rsidRDefault="00A87EDE" w:rsidP="005C6445">
      <w:pPr>
        <w:rPr>
          <w:rFonts w:ascii="Arial" w:hAnsi="Arial" w:cs="Arial"/>
        </w:rPr>
      </w:pPr>
    </w:p>
    <w:p w14:paraId="58C24AFE" w14:textId="77777777" w:rsidR="00A87EDE" w:rsidRDefault="00A87EDE" w:rsidP="005C6445">
      <w:pPr>
        <w:rPr>
          <w:rFonts w:ascii="Arial" w:hAnsi="Arial" w:cs="Arial"/>
        </w:rPr>
      </w:pPr>
    </w:p>
    <w:p w14:paraId="61DF0D30" w14:textId="77777777" w:rsidR="00A87EDE" w:rsidRDefault="00A87EDE" w:rsidP="005C6445">
      <w:pPr>
        <w:rPr>
          <w:rFonts w:ascii="Arial" w:hAnsi="Arial" w:cs="Arial"/>
        </w:rPr>
      </w:pPr>
    </w:p>
    <w:p w14:paraId="01B5DF5A" w14:textId="08230966" w:rsidR="00460A26" w:rsidRPr="00FE1092" w:rsidRDefault="0002052B" w:rsidP="005C6445">
      <w:pPr>
        <w:rPr>
          <w:rFonts w:ascii="Arial" w:hAnsi="Arial" w:cs="Arial"/>
        </w:rPr>
      </w:pPr>
      <w:r w:rsidRPr="0002052B">
        <w:rPr>
          <w:rFonts w:ascii="Arial" w:hAnsi="Arial" w:cs="Arial"/>
          <w:noProof/>
        </w:rPr>
        <w:drawing>
          <wp:inline distT="0" distB="0" distL="0" distR="0" wp14:anchorId="432C340B" wp14:editId="632E2DB1">
            <wp:extent cx="5731510" cy="4495165"/>
            <wp:effectExtent l="0" t="0" r="2540" b="635"/>
            <wp:docPr id="16525821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2582185" name=""/>
                    <pic:cNvPicPr/>
                  </pic:nvPicPr>
                  <pic:blipFill>
                    <a:blip r:embed="rId11"/>
                    <a:stretch>
                      <a:fillRect/>
                    </a:stretch>
                  </pic:blipFill>
                  <pic:spPr>
                    <a:xfrm>
                      <a:off x="0" y="0"/>
                      <a:ext cx="5731510" cy="4495165"/>
                    </a:xfrm>
                    <a:prstGeom prst="rect">
                      <a:avLst/>
                    </a:prstGeom>
                  </pic:spPr>
                </pic:pic>
              </a:graphicData>
            </a:graphic>
          </wp:inline>
        </w:drawing>
      </w:r>
    </w:p>
    <w:sectPr w:rsidR="00460A26" w:rsidRPr="00FE1092" w:rsidSect="008635BF">
      <w:footerReference w:type="default" r:id="rId12"/>
      <w:pgSz w:w="11906" w:h="16838"/>
      <w:pgMar w:top="1440" w:right="1440" w:bottom="1440" w:left="1440" w:header="708" w:footer="708" w:gutter="0"/>
      <w:pgBorders w:offsetFrom="page">
        <w:top w:val="single" w:sz="6" w:space="24" w:color="DAE9F7" w:themeColor="text2" w:themeTint="1A"/>
        <w:left w:val="single" w:sz="6" w:space="24" w:color="DAE9F7" w:themeColor="text2" w:themeTint="1A"/>
        <w:bottom w:val="single" w:sz="6" w:space="24" w:color="DAE9F7" w:themeColor="text2" w:themeTint="1A"/>
        <w:right w:val="single" w:sz="6" w:space="24" w:color="DAE9F7" w:themeColor="text2" w:themeTint="1A"/>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B0E77FF" w14:textId="77777777" w:rsidR="008E3FA0" w:rsidRDefault="008E3FA0" w:rsidP="00FE1092">
      <w:pPr>
        <w:spacing w:after="0" w:line="240" w:lineRule="auto"/>
      </w:pPr>
      <w:r>
        <w:separator/>
      </w:r>
    </w:p>
  </w:endnote>
  <w:endnote w:type="continuationSeparator" w:id="0">
    <w:p w14:paraId="195315B0" w14:textId="77777777" w:rsidR="008E3FA0" w:rsidRDefault="008E3FA0" w:rsidP="00FE10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08122570"/>
      <w:docPartObj>
        <w:docPartGallery w:val="Page Numbers (Bottom of Page)"/>
        <w:docPartUnique/>
      </w:docPartObj>
    </w:sdtPr>
    <w:sdtEndPr>
      <w:rPr>
        <w:noProof/>
      </w:rPr>
    </w:sdtEndPr>
    <w:sdtContent>
      <w:p w14:paraId="7C55AC78" w14:textId="4130E764" w:rsidR="00207BE4" w:rsidRDefault="00207BE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9DE8E11" w14:textId="77777777" w:rsidR="00207BE4" w:rsidRDefault="00207B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A7EEB2D" w14:textId="77777777" w:rsidR="008E3FA0" w:rsidRDefault="008E3FA0" w:rsidP="00FE1092">
      <w:pPr>
        <w:spacing w:after="0" w:line="240" w:lineRule="auto"/>
      </w:pPr>
      <w:r>
        <w:separator/>
      </w:r>
    </w:p>
  </w:footnote>
  <w:footnote w:type="continuationSeparator" w:id="0">
    <w:p w14:paraId="2DB73754" w14:textId="77777777" w:rsidR="008E3FA0" w:rsidRDefault="008E3FA0" w:rsidP="00FE109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30"/>
  <w:displayBackgroundShape/>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1092"/>
    <w:rsid w:val="0002052B"/>
    <w:rsid w:val="00036F74"/>
    <w:rsid w:val="00077299"/>
    <w:rsid w:val="000C0B69"/>
    <w:rsid w:val="000C454E"/>
    <w:rsid w:val="001314BB"/>
    <w:rsid w:val="001370CA"/>
    <w:rsid w:val="00166DEB"/>
    <w:rsid w:val="0019015F"/>
    <w:rsid w:val="001C273B"/>
    <w:rsid w:val="00207BE4"/>
    <w:rsid w:val="002979EE"/>
    <w:rsid w:val="002A1789"/>
    <w:rsid w:val="002B4849"/>
    <w:rsid w:val="002C4D90"/>
    <w:rsid w:val="002D7699"/>
    <w:rsid w:val="003261E3"/>
    <w:rsid w:val="0035554D"/>
    <w:rsid w:val="003A7FD2"/>
    <w:rsid w:val="003E2502"/>
    <w:rsid w:val="00460A26"/>
    <w:rsid w:val="00492C47"/>
    <w:rsid w:val="004B6AE3"/>
    <w:rsid w:val="004C084F"/>
    <w:rsid w:val="004C4180"/>
    <w:rsid w:val="00530775"/>
    <w:rsid w:val="00582839"/>
    <w:rsid w:val="005B5C94"/>
    <w:rsid w:val="005C6445"/>
    <w:rsid w:val="005F462C"/>
    <w:rsid w:val="0063046A"/>
    <w:rsid w:val="00641B17"/>
    <w:rsid w:val="0064637B"/>
    <w:rsid w:val="006F3839"/>
    <w:rsid w:val="00717049"/>
    <w:rsid w:val="007755C5"/>
    <w:rsid w:val="00787E83"/>
    <w:rsid w:val="0079344E"/>
    <w:rsid w:val="007A2437"/>
    <w:rsid w:val="007C280F"/>
    <w:rsid w:val="007C5561"/>
    <w:rsid w:val="007E4C26"/>
    <w:rsid w:val="008353E5"/>
    <w:rsid w:val="00856B9E"/>
    <w:rsid w:val="008617B9"/>
    <w:rsid w:val="008635BF"/>
    <w:rsid w:val="008A4ACB"/>
    <w:rsid w:val="008B0079"/>
    <w:rsid w:val="008C5F12"/>
    <w:rsid w:val="008D77CB"/>
    <w:rsid w:val="008E3FA0"/>
    <w:rsid w:val="009408A2"/>
    <w:rsid w:val="0096490B"/>
    <w:rsid w:val="00964930"/>
    <w:rsid w:val="009A7324"/>
    <w:rsid w:val="009C1E20"/>
    <w:rsid w:val="009C5D11"/>
    <w:rsid w:val="009D484B"/>
    <w:rsid w:val="00A12E52"/>
    <w:rsid w:val="00A56546"/>
    <w:rsid w:val="00A728DE"/>
    <w:rsid w:val="00A87EDE"/>
    <w:rsid w:val="00AB4E53"/>
    <w:rsid w:val="00B3278F"/>
    <w:rsid w:val="00B36BD4"/>
    <w:rsid w:val="00B56C90"/>
    <w:rsid w:val="00B620E8"/>
    <w:rsid w:val="00B832A5"/>
    <w:rsid w:val="00BC632D"/>
    <w:rsid w:val="00BD2DDE"/>
    <w:rsid w:val="00BE3FB4"/>
    <w:rsid w:val="00C04185"/>
    <w:rsid w:val="00C26454"/>
    <w:rsid w:val="00CB4E26"/>
    <w:rsid w:val="00CC68EA"/>
    <w:rsid w:val="00CD07A9"/>
    <w:rsid w:val="00D16EDA"/>
    <w:rsid w:val="00D85D58"/>
    <w:rsid w:val="00DC67F9"/>
    <w:rsid w:val="00DD3283"/>
    <w:rsid w:val="00DE414C"/>
    <w:rsid w:val="00DF6440"/>
    <w:rsid w:val="00E25718"/>
    <w:rsid w:val="00E40ED9"/>
    <w:rsid w:val="00E5450E"/>
    <w:rsid w:val="00E923FA"/>
    <w:rsid w:val="00EB0FB8"/>
    <w:rsid w:val="00EE117E"/>
    <w:rsid w:val="00F22D42"/>
    <w:rsid w:val="00F6101E"/>
    <w:rsid w:val="00FE1092"/>
    <w:rsid w:val="00FE7057"/>
    <w:rsid w:val="00FE7B95"/>
  </w:rsids>
  <m:mathPr>
    <m:mathFont m:val="Cambria Math"/>
    <m:brkBin m:val="before"/>
    <m:brkBinSub m:val="--"/>
    <m:smallFrac m:val="0"/>
    <m:dispDef/>
    <m:lMargin m:val="0"/>
    <m:rMargin m:val="0"/>
    <m:defJc m:val="centerGroup"/>
    <m:wrapIndent m:val="1440"/>
    <m:intLim m:val="subSup"/>
    <m:naryLim m:val="undOvr"/>
  </m:mathPr>
  <w:themeFontLang w:val="bg-BG"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82377F"/>
  <w15:chartTrackingRefBased/>
  <w15:docId w15:val="{A25E6178-0DB1-4BBD-B9F0-298D43B386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1"/>
        <w:szCs w:val="21"/>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7299"/>
  </w:style>
  <w:style w:type="paragraph" w:styleId="Heading1">
    <w:name w:val="heading 1"/>
    <w:basedOn w:val="Normal"/>
    <w:next w:val="Normal"/>
    <w:link w:val="Heading1Char"/>
    <w:uiPriority w:val="9"/>
    <w:qFormat/>
    <w:rsid w:val="00077299"/>
    <w:pPr>
      <w:keepNext/>
      <w:keepLines/>
      <w:pBdr>
        <w:bottom w:val="single" w:sz="4" w:space="1" w:color="156082" w:themeColor="accent1"/>
      </w:pBdr>
      <w:spacing w:before="400" w:after="40" w:line="240" w:lineRule="auto"/>
      <w:outlineLvl w:val="0"/>
    </w:pPr>
    <w:rPr>
      <w:rFonts w:asciiTheme="majorHAnsi" w:eastAsiaTheme="majorEastAsia" w:hAnsiTheme="majorHAnsi" w:cstheme="majorBidi"/>
      <w:color w:val="0F4761" w:themeColor="accent1" w:themeShade="BF"/>
      <w:sz w:val="36"/>
      <w:szCs w:val="36"/>
    </w:rPr>
  </w:style>
  <w:style w:type="paragraph" w:styleId="Heading2">
    <w:name w:val="heading 2"/>
    <w:basedOn w:val="Normal"/>
    <w:next w:val="Normal"/>
    <w:link w:val="Heading2Char"/>
    <w:uiPriority w:val="9"/>
    <w:semiHidden/>
    <w:unhideWhenUsed/>
    <w:qFormat/>
    <w:rsid w:val="00077299"/>
    <w:pPr>
      <w:keepNext/>
      <w:keepLines/>
      <w:spacing w:before="160" w:after="0" w:line="240" w:lineRule="auto"/>
      <w:outlineLvl w:val="1"/>
    </w:pPr>
    <w:rPr>
      <w:rFonts w:asciiTheme="majorHAnsi" w:eastAsiaTheme="majorEastAsia" w:hAnsiTheme="majorHAnsi" w:cstheme="majorBidi"/>
      <w:color w:val="0F4761" w:themeColor="accent1" w:themeShade="BF"/>
      <w:sz w:val="28"/>
      <w:szCs w:val="28"/>
    </w:rPr>
  </w:style>
  <w:style w:type="paragraph" w:styleId="Heading3">
    <w:name w:val="heading 3"/>
    <w:basedOn w:val="Normal"/>
    <w:next w:val="Normal"/>
    <w:link w:val="Heading3Char"/>
    <w:uiPriority w:val="9"/>
    <w:semiHidden/>
    <w:unhideWhenUsed/>
    <w:qFormat/>
    <w:rsid w:val="00077299"/>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semiHidden/>
    <w:unhideWhenUsed/>
    <w:qFormat/>
    <w:rsid w:val="00077299"/>
    <w:pPr>
      <w:keepNext/>
      <w:keepLines/>
      <w:spacing w:before="80" w:after="0"/>
      <w:outlineLvl w:val="3"/>
    </w:pPr>
    <w:rPr>
      <w:rFonts w:asciiTheme="majorHAnsi" w:eastAsiaTheme="majorEastAsia" w:hAnsiTheme="majorHAnsi" w:cstheme="majorBidi"/>
      <w:sz w:val="24"/>
      <w:szCs w:val="24"/>
    </w:rPr>
  </w:style>
  <w:style w:type="paragraph" w:styleId="Heading5">
    <w:name w:val="heading 5"/>
    <w:basedOn w:val="Normal"/>
    <w:next w:val="Normal"/>
    <w:link w:val="Heading5Char"/>
    <w:uiPriority w:val="9"/>
    <w:semiHidden/>
    <w:unhideWhenUsed/>
    <w:qFormat/>
    <w:rsid w:val="00077299"/>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077299"/>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077299"/>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077299"/>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077299"/>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7299"/>
    <w:rPr>
      <w:rFonts w:asciiTheme="majorHAnsi" w:eastAsiaTheme="majorEastAsia" w:hAnsiTheme="majorHAnsi" w:cstheme="majorBidi"/>
      <w:color w:val="0F4761" w:themeColor="accent1" w:themeShade="BF"/>
      <w:sz w:val="36"/>
      <w:szCs w:val="36"/>
    </w:rPr>
  </w:style>
  <w:style w:type="character" w:customStyle="1" w:styleId="Heading2Char">
    <w:name w:val="Heading 2 Char"/>
    <w:basedOn w:val="DefaultParagraphFont"/>
    <w:link w:val="Heading2"/>
    <w:uiPriority w:val="9"/>
    <w:semiHidden/>
    <w:rsid w:val="00077299"/>
    <w:rPr>
      <w:rFonts w:asciiTheme="majorHAnsi" w:eastAsiaTheme="majorEastAsia" w:hAnsiTheme="majorHAnsi" w:cstheme="majorBidi"/>
      <w:color w:val="0F4761" w:themeColor="accent1" w:themeShade="BF"/>
      <w:sz w:val="28"/>
      <w:szCs w:val="28"/>
    </w:rPr>
  </w:style>
  <w:style w:type="character" w:customStyle="1" w:styleId="Heading3Char">
    <w:name w:val="Heading 3 Char"/>
    <w:basedOn w:val="DefaultParagraphFont"/>
    <w:link w:val="Heading3"/>
    <w:uiPriority w:val="9"/>
    <w:semiHidden/>
    <w:rsid w:val="00077299"/>
    <w:rPr>
      <w:rFonts w:asciiTheme="majorHAnsi" w:eastAsiaTheme="majorEastAsia" w:hAnsiTheme="majorHAnsi" w:cstheme="majorBidi"/>
      <w:color w:val="404040" w:themeColor="text1" w:themeTint="BF"/>
      <w:sz w:val="26"/>
      <w:szCs w:val="26"/>
    </w:rPr>
  </w:style>
  <w:style w:type="character" w:customStyle="1" w:styleId="Heading4Char">
    <w:name w:val="Heading 4 Char"/>
    <w:basedOn w:val="DefaultParagraphFont"/>
    <w:link w:val="Heading4"/>
    <w:uiPriority w:val="9"/>
    <w:semiHidden/>
    <w:rsid w:val="00077299"/>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077299"/>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077299"/>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077299"/>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077299"/>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077299"/>
    <w:rPr>
      <w:rFonts w:asciiTheme="majorHAnsi" w:eastAsiaTheme="majorEastAsia" w:hAnsiTheme="majorHAnsi" w:cstheme="majorBidi"/>
      <w:i/>
      <w:iCs/>
      <w:smallCaps/>
      <w:color w:val="595959" w:themeColor="text1" w:themeTint="A6"/>
    </w:rPr>
  </w:style>
  <w:style w:type="paragraph" w:styleId="Title">
    <w:name w:val="Title"/>
    <w:basedOn w:val="Normal"/>
    <w:next w:val="Normal"/>
    <w:link w:val="TitleChar"/>
    <w:uiPriority w:val="10"/>
    <w:qFormat/>
    <w:rsid w:val="00077299"/>
    <w:pPr>
      <w:spacing w:after="0" w:line="240" w:lineRule="auto"/>
      <w:contextualSpacing/>
    </w:pPr>
    <w:rPr>
      <w:rFonts w:asciiTheme="majorHAnsi" w:eastAsiaTheme="majorEastAsia" w:hAnsiTheme="majorHAnsi" w:cstheme="majorBidi"/>
      <w:color w:val="0F4761" w:themeColor="accent1" w:themeShade="BF"/>
      <w:spacing w:val="-7"/>
      <w:sz w:val="80"/>
      <w:szCs w:val="80"/>
    </w:rPr>
  </w:style>
  <w:style w:type="character" w:customStyle="1" w:styleId="TitleChar">
    <w:name w:val="Title Char"/>
    <w:basedOn w:val="DefaultParagraphFont"/>
    <w:link w:val="Title"/>
    <w:uiPriority w:val="10"/>
    <w:rsid w:val="00077299"/>
    <w:rPr>
      <w:rFonts w:asciiTheme="majorHAnsi" w:eastAsiaTheme="majorEastAsia" w:hAnsiTheme="majorHAnsi" w:cstheme="majorBidi"/>
      <w:color w:val="0F4761" w:themeColor="accent1" w:themeShade="BF"/>
      <w:spacing w:val="-7"/>
      <w:sz w:val="80"/>
      <w:szCs w:val="80"/>
    </w:rPr>
  </w:style>
  <w:style w:type="paragraph" w:styleId="Subtitle">
    <w:name w:val="Subtitle"/>
    <w:basedOn w:val="Normal"/>
    <w:next w:val="Normal"/>
    <w:link w:val="SubtitleChar"/>
    <w:uiPriority w:val="11"/>
    <w:qFormat/>
    <w:rsid w:val="00077299"/>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077299"/>
    <w:rPr>
      <w:rFonts w:asciiTheme="majorHAnsi" w:eastAsiaTheme="majorEastAsia" w:hAnsiTheme="majorHAnsi" w:cstheme="majorBidi"/>
      <w:color w:val="404040" w:themeColor="text1" w:themeTint="BF"/>
      <w:sz w:val="30"/>
      <w:szCs w:val="30"/>
    </w:rPr>
  </w:style>
  <w:style w:type="paragraph" w:styleId="Quote">
    <w:name w:val="Quote"/>
    <w:basedOn w:val="Normal"/>
    <w:next w:val="Normal"/>
    <w:link w:val="QuoteChar"/>
    <w:uiPriority w:val="29"/>
    <w:qFormat/>
    <w:rsid w:val="00077299"/>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077299"/>
    <w:rPr>
      <w:i/>
      <w:iCs/>
    </w:rPr>
  </w:style>
  <w:style w:type="paragraph" w:styleId="ListParagraph">
    <w:name w:val="List Paragraph"/>
    <w:basedOn w:val="Normal"/>
    <w:uiPriority w:val="34"/>
    <w:qFormat/>
    <w:rsid w:val="00FE1092"/>
    <w:pPr>
      <w:ind w:left="720"/>
      <w:contextualSpacing/>
    </w:pPr>
  </w:style>
  <w:style w:type="character" w:styleId="IntenseEmphasis">
    <w:name w:val="Intense Emphasis"/>
    <w:basedOn w:val="DefaultParagraphFont"/>
    <w:uiPriority w:val="21"/>
    <w:qFormat/>
    <w:rsid w:val="00077299"/>
    <w:rPr>
      <w:b/>
      <w:bCs/>
      <w:i/>
      <w:iCs/>
    </w:rPr>
  </w:style>
  <w:style w:type="paragraph" w:styleId="IntenseQuote">
    <w:name w:val="Intense Quote"/>
    <w:basedOn w:val="Normal"/>
    <w:next w:val="Normal"/>
    <w:link w:val="IntenseQuoteChar"/>
    <w:uiPriority w:val="30"/>
    <w:qFormat/>
    <w:rsid w:val="00077299"/>
    <w:pPr>
      <w:spacing w:before="100" w:beforeAutospacing="1" w:after="240"/>
      <w:ind w:left="864" w:right="864"/>
      <w:jc w:val="center"/>
    </w:pPr>
    <w:rPr>
      <w:rFonts w:asciiTheme="majorHAnsi" w:eastAsiaTheme="majorEastAsia" w:hAnsiTheme="majorHAnsi" w:cstheme="majorBidi"/>
      <w:color w:val="156082" w:themeColor="accent1"/>
      <w:sz w:val="28"/>
      <w:szCs w:val="28"/>
    </w:rPr>
  </w:style>
  <w:style w:type="character" w:customStyle="1" w:styleId="IntenseQuoteChar">
    <w:name w:val="Intense Quote Char"/>
    <w:basedOn w:val="DefaultParagraphFont"/>
    <w:link w:val="IntenseQuote"/>
    <w:uiPriority w:val="30"/>
    <w:rsid w:val="00077299"/>
    <w:rPr>
      <w:rFonts w:asciiTheme="majorHAnsi" w:eastAsiaTheme="majorEastAsia" w:hAnsiTheme="majorHAnsi" w:cstheme="majorBidi"/>
      <w:color w:val="156082" w:themeColor="accent1"/>
      <w:sz w:val="28"/>
      <w:szCs w:val="28"/>
    </w:rPr>
  </w:style>
  <w:style w:type="character" w:styleId="IntenseReference">
    <w:name w:val="Intense Reference"/>
    <w:basedOn w:val="DefaultParagraphFont"/>
    <w:uiPriority w:val="32"/>
    <w:qFormat/>
    <w:rsid w:val="00077299"/>
    <w:rPr>
      <w:b/>
      <w:bCs/>
      <w:smallCaps/>
      <w:u w:val="single"/>
    </w:rPr>
  </w:style>
  <w:style w:type="table" w:styleId="TableGrid">
    <w:name w:val="Table Grid"/>
    <w:basedOn w:val="TableNormal"/>
    <w:uiPriority w:val="39"/>
    <w:rsid w:val="00FE109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E10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1092"/>
  </w:style>
  <w:style w:type="paragraph" w:styleId="Footer">
    <w:name w:val="footer"/>
    <w:basedOn w:val="Normal"/>
    <w:link w:val="FooterChar"/>
    <w:uiPriority w:val="99"/>
    <w:unhideWhenUsed/>
    <w:rsid w:val="00FE10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1092"/>
  </w:style>
  <w:style w:type="paragraph" w:styleId="TOCHeading">
    <w:name w:val="TOC Heading"/>
    <w:basedOn w:val="Heading1"/>
    <w:next w:val="Normal"/>
    <w:uiPriority w:val="39"/>
    <w:unhideWhenUsed/>
    <w:qFormat/>
    <w:rsid w:val="00077299"/>
    <w:pPr>
      <w:outlineLvl w:val="9"/>
    </w:pPr>
  </w:style>
  <w:style w:type="paragraph" w:styleId="TOC1">
    <w:name w:val="toc 1"/>
    <w:basedOn w:val="Normal"/>
    <w:next w:val="Normal"/>
    <w:autoRedefine/>
    <w:uiPriority w:val="39"/>
    <w:unhideWhenUsed/>
    <w:rsid w:val="00207BE4"/>
    <w:pPr>
      <w:spacing w:after="100"/>
    </w:pPr>
  </w:style>
  <w:style w:type="character" w:styleId="Hyperlink">
    <w:name w:val="Hyperlink"/>
    <w:basedOn w:val="DefaultParagraphFont"/>
    <w:uiPriority w:val="99"/>
    <w:unhideWhenUsed/>
    <w:rsid w:val="00207BE4"/>
    <w:rPr>
      <w:color w:val="467886" w:themeColor="hyperlink"/>
      <w:u w:val="single"/>
    </w:rPr>
  </w:style>
  <w:style w:type="paragraph" w:styleId="Caption">
    <w:name w:val="caption"/>
    <w:basedOn w:val="Normal"/>
    <w:next w:val="Normal"/>
    <w:uiPriority w:val="35"/>
    <w:semiHidden/>
    <w:unhideWhenUsed/>
    <w:qFormat/>
    <w:rsid w:val="00077299"/>
    <w:pPr>
      <w:spacing w:line="240" w:lineRule="auto"/>
    </w:pPr>
    <w:rPr>
      <w:b/>
      <w:bCs/>
      <w:color w:val="404040" w:themeColor="text1" w:themeTint="BF"/>
      <w:sz w:val="20"/>
      <w:szCs w:val="20"/>
    </w:rPr>
  </w:style>
  <w:style w:type="character" w:styleId="Strong">
    <w:name w:val="Strong"/>
    <w:basedOn w:val="DefaultParagraphFont"/>
    <w:uiPriority w:val="22"/>
    <w:qFormat/>
    <w:rsid w:val="00077299"/>
    <w:rPr>
      <w:b/>
      <w:bCs/>
    </w:rPr>
  </w:style>
  <w:style w:type="character" w:styleId="Emphasis">
    <w:name w:val="Emphasis"/>
    <w:basedOn w:val="DefaultParagraphFont"/>
    <w:uiPriority w:val="20"/>
    <w:qFormat/>
    <w:rsid w:val="00077299"/>
    <w:rPr>
      <w:i/>
      <w:iCs/>
    </w:rPr>
  </w:style>
  <w:style w:type="paragraph" w:styleId="NoSpacing">
    <w:name w:val="No Spacing"/>
    <w:uiPriority w:val="1"/>
    <w:qFormat/>
    <w:rsid w:val="00077299"/>
    <w:pPr>
      <w:spacing w:after="0" w:line="240" w:lineRule="auto"/>
    </w:pPr>
  </w:style>
  <w:style w:type="character" w:styleId="SubtleEmphasis">
    <w:name w:val="Subtle Emphasis"/>
    <w:basedOn w:val="DefaultParagraphFont"/>
    <w:uiPriority w:val="19"/>
    <w:qFormat/>
    <w:rsid w:val="00077299"/>
    <w:rPr>
      <w:i/>
      <w:iCs/>
      <w:color w:val="595959" w:themeColor="text1" w:themeTint="A6"/>
    </w:rPr>
  </w:style>
  <w:style w:type="character" w:styleId="SubtleReference">
    <w:name w:val="Subtle Reference"/>
    <w:basedOn w:val="DefaultParagraphFont"/>
    <w:uiPriority w:val="31"/>
    <w:qFormat/>
    <w:rsid w:val="00077299"/>
    <w:rPr>
      <w:smallCaps/>
      <w:color w:val="404040" w:themeColor="text1" w:themeTint="BF"/>
    </w:rPr>
  </w:style>
  <w:style w:type="character" w:styleId="BookTitle">
    <w:name w:val="Book Title"/>
    <w:basedOn w:val="DefaultParagraphFont"/>
    <w:uiPriority w:val="33"/>
    <w:qFormat/>
    <w:rsid w:val="00077299"/>
    <w:rPr>
      <w:b/>
      <w:bCs/>
      <w:smallCap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3736711">
      <w:bodyDiv w:val="1"/>
      <w:marLeft w:val="0"/>
      <w:marRight w:val="0"/>
      <w:marTop w:val="0"/>
      <w:marBottom w:val="0"/>
      <w:divBdr>
        <w:top w:val="none" w:sz="0" w:space="0" w:color="auto"/>
        <w:left w:val="none" w:sz="0" w:space="0" w:color="auto"/>
        <w:bottom w:val="none" w:sz="0" w:space="0" w:color="auto"/>
        <w:right w:val="none" w:sz="0" w:space="0" w:color="auto"/>
      </w:divBdr>
    </w:div>
    <w:div w:id="200868439">
      <w:bodyDiv w:val="1"/>
      <w:marLeft w:val="0"/>
      <w:marRight w:val="0"/>
      <w:marTop w:val="0"/>
      <w:marBottom w:val="0"/>
      <w:divBdr>
        <w:top w:val="none" w:sz="0" w:space="0" w:color="auto"/>
        <w:left w:val="none" w:sz="0" w:space="0" w:color="auto"/>
        <w:bottom w:val="none" w:sz="0" w:space="0" w:color="auto"/>
        <w:right w:val="none" w:sz="0" w:space="0" w:color="auto"/>
      </w:divBdr>
    </w:div>
    <w:div w:id="203102224">
      <w:bodyDiv w:val="1"/>
      <w:marLeft w:val="0"/>
      <w:marRight w:val="0"/>
      <w:marTop w:val="0"/>
      <w:marBottom w:val="0"/>
      <w:divBdr>
        <w:top w:val="none" w:sz="0" w:space="0" w:color="auto"/>
        <w:left w:val="none" w:sz="0" w:space="0" w:color="auto"/>
        <w:bottom w:val="none" w:sz="0" w:space="0" w:color="auto"/>
        <w:right w:val="none" w:sz="0" w:space="0" w:color="auto"/>
      </w:divBdr>
    </w:div>
    <w:div w:id="278268952">
      <w:bodyDiv w:val="1"/>
      <w:marLeft w:val="0"/>
      <w:marRight w:val="0"/>
      <w:marTop w:val="0"/>
      <w:marBottom w:val="0"/>
      <w:divBdr>
        <w:top w:val="none" w:sz="0" w:space="0" w:color="auto"/>
        <w:left w:val="none" w:sz="0" w:space="0" w:color="auto"/>
        <w:bottom w:val="none" w:sz="0" w:space="0" w:color="auto"/>
        <w:right w:val="none" w:sz="0" w:space="0" w:color="auto"/>
      </w:divBdr>
    </w:div>
    <w:div w:id="297105556">
      <w:bodyDiv w:val="1"/>
      <w:marLeft w:val="0"/>
      <w:marRight w:val="0"/>
      <w:marTop w:val="0"/>
      <w:marBottom w:val="0"/>
      <w:divBdr>
        <w:top w:val="none" w:sz="0" w:space="0" w:color="auto"/>
        <w:left w:val="none" w:sz="0" w:space="0" w:color="auto"/>
        <w:bottom w:val="none" w:sz="0" w:space="0" w:color="auto"/>
        <w:right w:val="none" w:sz="0" w:space="0" w:color="auto"/>
      </w:divBdr>
    </w:div>
    <w:div w:id="311522315">
      <w:bodyDiv w:val="1"/>
      <w:marLeft w:val="0"/>
      <w:marRight w:val="0"/>
      <w:marTop w:val="0"/>
      <w:marBottom w:val="0"/>
      <w:divBdr>
        <w:top w:val="none" w:sz="0" w:space="0" w:color="auto"/>
        <w:left w:val="none" w:sz="0" w:space="0" w:color="auto"/>
        <w:bottom w:val="none" w:sz="0" w:space="0" w:color="auto"/>
        <w:right w:val="none" w:sz="0" w:space="0" w:color="auto"/>
      </w:divBdr>
    </w:div>
    <w:div w:id="386760063">
      <w:bodyDiv w:val="1"/>
      <w:marLeft w:val="0"/>
      <w:marRight w:val="0"/>
      <w:marTop w:val="0"/>
      <w:marBottom w:val="0"/>
      <w:divBdr>
        <w:top w:val="none" w:sz="0" w:space="0" w:color="auto"/>
        <w:left w:val="none" w:sz="0" w:space="0" w:color="auto"/>
        <w:bottom w:val="none" w:sz="0" w:space="0" w:color="auto"/>
        <w:right w:val="none" w:sz="0" w:space="0" w:color="auto"/>
      </w:divBdr>
    </w:div>
    <w:div w:id="948901563">
      <w:bodyDiv w:val="1"/>
      <w:marLeft w:val="0"/>
      <w:marRight w:val="0"/>
      <w:marTop w:val="0"/>
      <w:marBottom w:val="0"/>
      <w:divBdr>
        <w:top w:val="none" w:sz="0" w:space="0" w:color="auto"/>
        <w:left w:val="none" w:sz="0" w:space="0" w:color="auto"/>
        <w:bottom w:val="none" w:sz="0" w:space="0" w:color="auto"/>
        <w:right w:val="none" w:sz="0" w:space="0" w:color="auto"/>
      </w:divBdr>
    </w:div>
    <w:div w:id="1070927878">
      <w:bodyDiv w:val="1"/>
      <w:marLeft w:val="0"/>
      <w:marRight w:val="0"/>
      <w:marTop w:val="0"/>
      <w:marBottom w:val="0"/>
      <w:divBdr>
        <w:top w:val="none" w:sz="0" w:space="0" w:color="auto"/>
        <w:left w:val="none" w:sz="0" w:space="0" w:color="auto"/>
        <w:bottom w:val="none" w:sz="0" w:space="0" w:color="auto"/>
        <w:right w:val="none" w:sz="0" w:space="0" w:color="auto"/>
      </w:divBdr>
    </w:div>
    <w:div w:id="1305157360">
      <w:bodyDiv w:val="1"/>
      <w:marLeft w:val="0"/>
      <w:marRight w:val="0"/>
      <w:marTop w:val="0"/>
      <w:marBottom w:val="0"/>
      <w:divBdr>
        <w:top w:val="none" w:sz="0" w:space="0" w:color="auto"/>
        <w:left w:val="none" w:sz="0" w:space="0" w:color="auto"/>
        <w:bottom w:val="none" w:sz="0" w:space="0" w:color="auto"/>
        <w:right w:val="none" w:sz="0" w:space="0" w:color="auto"/>
      </w:divBdr>
    </w:div>
    <w:div w:id="1583250280">
      <w:bodyDiv w:val="1"/>
      <w:marLeft w:val="0"/>
      <w:marRight w:val="0"/>
      <w:marTop w:val="0"/>
      <w:marBottom w:val="0"/>
      <w:divBdr>
        <w:top w:val="none" w:sz="0" w:space="0" w:color="auto"/>
        <w:left w:val="none" w:sz="0" w:space="0" w:color="auto"/>
        <w:bottom w:val="none" w:sz="0" w:space="0" w:color="auto"/>
        <w:right w:val="none" w:sz="0" w:space="0" w:color="auto"/>
      </w:divBdr>
    </w:div>
    <w:div w:id="1618222951">
      <w:bodyDiv w:val="1"/>
      <w:marLeft w:val="0"/>
      <w:marRight w:val="0"/>
      <w:marTop w:val="0"/>
      <w:marBottom w:val="0"/>
      <w:divBdr>
        <w:top w:val="none" w:sz="0" w:space="0" w:color="auto"/>
        <w:left w:val="none" w:sz="0" w:space="0" w:color="auto"/>
        <w:bottom w:val="none" w:sz="0" w:space="0" w:color="auto"/>
        <w:right w:val="none" w:sz="0" w:space="0" w:color="auto"/>
      </w:divBdr>
    </w:div>
    <w:div w:id="1813869190">
      <w:bodyDiv w:val="1"/>
      <w:marLeft w:val="0"/>
      <w:marRight w:val="0"/>
      <w:marTop w:val="0"/>
      <w:marBottom w:val="0"/>
      <w:divBdr>
        <w:top w:val="none" w:sz="0" w:space="0" w:color="auto"/>
        <w:left w:val="none" w:sz="0" w:space="0" w:color="auto"/>
        <w:bottom w:val="none" w:sz="0" w:space="0" w:color="auto"/>
        <w:right w:val="none" w:sz="0" w:space="0" w:color="auto"/>
      </w:divBdr>
    </w:div>
    <w:div w:id="1858958164">
      <w:bodyDiv w:val="1"/>
      <w:marLeft w:val="0"/>
      <w:marRight w:val="0"/>
      <w:marTop w:val="0"/>
      <w:marBottom w:val="0"/>
      <w:divBdr>
        <w:top w:val="none" w:sz="0" w:space="0" w:color="auto"/>
        <w:left w:val="none" w:sz="0" w:space="0" w:color="auto"/>
        <w:bottom w:val="none" w:sz="0" w:space="0" w:color="auto"/>
        <w:right w:val="none" w:sz="0" w:space="0" w:color="auto"/>
      </w:divBdr>
    </w:div>
    <w:div w:id="19951412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D88A82E-940A-4DAE-BC4D-309EA3C99C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3450</Words>
  <Characters>19670</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Radoslav Nikolov (2118366)</dc:creator>
  <cp:keywords/>
  <dc:description/>
  <cp:lastModifiedBy>Radoslav Nikolov (2118366)</cp:lastModifiedBy>
  <cp:revision>74</cp:revision>
  <dcterms:created xsi:type="dcterms:W3CDTF">2024-11-12T10:20:00Z</dcterms:created>
  <dcterms:modified xsi:type="dcterms:W3CDTF">2024-11-16T09:57:00Z</dcterms:modified>
</cp:coreProperties>
</file>