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EEBAD" w14:textId="1779D1AD" w:rsidR="00F1330F" w:rsidRPr="00F1330F" w:rsidRDefault="00F1330F" w:rsidP="00F1330F">
      <w:pPr>
        <w:jc w:val="center"/>
        <w:rPr>
          <w:rFonts w:asciiTheme="majorHAnsi" w:hAnsiTheme="majorHAnsi"/>
          <w:sz w:val="24"/>
          <w:szCs w:val="24"/>
          <w:u w:val="single"/>
        </w:rPr>
      </w:pPr>
      <w:r w:rsidRPr="00F1330F">
        <w:rPr>
          <w:rFonts w:asciiTheme="majorHAnsi" w:hAnsiTheme="majorHAnsi"/>
          <w:sz w:val="24"/>
          <w:szCs w:val="24"/>
          <w:u w:val="single"/>
        </w:rPr>
        <w:t>To What Extent Did the First World War Accelerate the Development of Modern Medicine?</w:t>
      </w:r>
    </w:p>
    <w:p w14:paraId="3DCC3CFE" w14:textId="77777777" w:rsidR="00F1330F" w:rsidRDefault="00F1330F" w:rsidP="007039CB"/>
    <w:p w14:paraId="2B0A7023" w14:textId="5EB41666" w:rsidR="007039CB" w:rsidRPr="007039CB" w:rsidRDefault="007039CB" w:rsidP="007039CB">
      <w:r w:rsidRPr="007039CB">
        <w:t>The First World War (1914–1918) marked a pivotal moment in the evolution of modern medicine, as the unprecedented scale of human suffering demanded innovative responses to complex medical challenges. With over 40 million casualties, soldiers faced injuries, infections, and psychological trauma that exposed the limitations of early 20th-century medicine and spurred rapid advancements in fields such as trauma surgery, infection control, prosthetics, and medical logistics. However, whether these developments were truly revolutionary or merely evolutionary remains a key debate.</w:t>
      </w:r>
    </w:p>
    <w:p w14:paraId="48013CCE" w14:textId="5F30A521" w:rsidR="007039CB" w:rsidRDefault="007039CB" w:rsidP="007039CB">
      <w:r w:rsidRPr="007039CB">
        <w:t>Historians such as Mark Harrison argue that the war acted as a catalyst for systemic innovation, driving breakthroughs like blood transfusion techniques and battlefield triage systems.</w:t>
      </w:r>
      <w:r>
        <w:rPr>
          <w:rStyle w:val="FootnoteReference"/>
        </w:rPr>
        <w:footnoteReference w:id="1"/>
      </w:r>
      <w:r w:rsidRPr="007039CB">
        <w:t xml:space="preserve"> In contrast, W.F. Bynum contends that many wartime advancements built on pre-existing practices rather than establishing entirely new paradigms.</w:t>
      </w:r>
      <w:r>
        <w:rPr>
          <w:rStyle w:val="FootnoteReference"/>
        </w:rPr>
        <w:footnoteReference w:id="2"/>
      </w:r>
      <w:r w:rsidRPr="007039CB">
        <w:t xml:space="preserve"> Primary accounts from medical practitioners reveal a dual narrative: on one hand, the desperate need to adapt to battlefield conditions, and on the other, the gradual institutionalization of these practices in post-war civilian healthcare.</w:t>
      </w:r>
      <w:r>
        <w:t xml:space="preserve"> </w:t>
      </w:r>
      <w:r w:rsidRPr="007039CB">
        <w:t>This essay examines the extent to which the First World War accelerated the development of modern medicine, focusing on four key areas: surgical and trauma care, infection control, rehabilitation, and public health. Through a critical analysis of primary and secondary sources, this essay argues that while the war undeniably advanced medical practices, many of these innovations evolved from earlier foundations, reflecting a complex interplay of necessity, invention, and continuity.</w:t>
      </w:r>
    </w:p>
    <w:p w14:paraId="1015D1B4" w14:textId="46B9A024" w:rsidR="00F1330F" w:rsidRDefault="007039CB" w:rsidP="007039CB">
      <w:r w:rsidRPr="007039CB">
        <w:t>The First World War marked a pivotal moment in trauma care, as the unprecedented scale and complexity of battlefield injuries compelled medical professionals to innovate rapidly. The conflict necessitated significant advancements in surgical techniques, blood transfusion, and battlefield evacuation systems, each of which contributed to the development of modern emergency medicine.</w:t>
      </w:r>
      <w:r w:rsidR="00F1330F">
        <w:t xml:space="preserve">                                          </w:t>
      </w:r>
    </w:p>
    <w:p w14:paraId="3E4413E7" w14:textId="5A416236" w:rsidR="007039CB" w:rsidRPr="007039CB" w:rsidRDefault="00F1330F" w:rsidP="007039CB">
      <w:r>
        <w:rPr>
          <w:noProof/>
        </w:rPr>
        <w:drawing>
          <wp:anchor distT="0" distB="0" distL="114300" distR="114300" simplePos="0" relativeHeight="251660288" behindDoc="1" locked="0" layoutInCell="1" allowOverlap="1" wp14:anchorId="4C80BEF0" wp14:editId="6756A825">
            <wp:simplePos x="0" y="0"/>
            <wp:positionH relativeFrom="margin">
              <wp:align>right</wp:align>
            </wp:positionH>
            <wp:positionV relativeFrom="paragraph">
              <wp:posOffset>238443</wp:posOffset>
            </wp:positionV>
            <wp:extent cx="1771015" cy="2661920"/>
            <wp:effectExtent l="0" t="0" r="635" b="5080"/>
            <wp:wrapTight wrapText="bothSides">
              <wp:wrapPolygon edited="0">
                <wp:start x="0" y="0"/>
                <wp:lineTo x="0" y="21487"/>
                <wp:lineTo x="21375" y="21487"/>
                <wp:lineTo x="21375" y="0"/>
                <wp:lineTo x="0" y="0"/>
              </wp:wrapPolygon>
            </wp:wrapTight>
            <wp:docPr id="1345027774" name="Picture 3" descr="WWI -Plastic Surgery of War Wounds by Howard Gillies, 1920, via arch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WI -Plastic Surgery of War Wounds by Howard Gillies, 1920, via archiv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771015" cy="2661920"/>
                    </a:xfrm>
                    <a:prstGeom prst="rect">
                      <a:avLst/>
                    </a:prstGeom>
                    <a:noFill/>
                    <a:ln>
                      <a:noFill/>
                    </a:ln>
                  </pic:spPr>
                </pic:pic>
              </a:graphicData>
            </a:graphic>
            <wp14:sizeRelH relativeFrom="page">
              <wp14:pctWidth>0</wp14:pctWidth>
            </wp14:sizeRelH>
            <wp14:sizeRelV relativeFrom="page">
              <wp14:pctHeight>0</wp14:pctHeight>
            </wp14:sizeRelV>
          </wp:anchor>
        </w:drawing>
      </w:r>
      <w:r w:rsidR="007039CB" w:rsidRPr="007039CB">
        <w:rPr>
          <w:b/>
          <w:bCs/>
        </w:rPr>
        <w:t>Advances in Surgery</w:t>
      </w:r>
      <w:r>
        <w:rPr>
          <w:b/>
          <w:bCs/>
        </w:rPr>
        <w:t xml:space="preserve"> </w:t>
      </w:r>
    </w:p>
    <w:p w14:paraId="5627F134" w14:textId="1B685DCB" w:rsidR="007039CB" w:rsidRPr="007039CB" w:rsidRDefault="007039CB" w:rsidP="007039CB">
      <w:r w:rsidRPr="007039CB">
        <w:t>The variety of battlefield injuries, including shrapnel wounds, compound fractures, and severe burns, pushed surgeons to refine their practices. Techniques such as debridement, the surgical removal of dead or infected tissue, became routine during the war. While debridement was not a new concept, its widespread adoption significantly reduced infection-related mortality, marking a step forward in surgical care. Harold Gillies, often called the father of modern plastic surgery, pioneered facial reconstruction techniques to rebuild soldiers’ disfigured faces using skin grafts.</w:t>
      </w:r>
      <w:r w:rsidR="00CA37B5">
        <w:rPr>
          <w:rStyle w:val="FootnoteReference"/>
        </w:rPr>
        <w:footnoteReference w:id="3"/>
      </w:r>
      <w:r w:rsidRPr="007039CB">
        <w:t xml:space="preserve"> These methods not only addressed the physical and psychological needs of injured soldiers but also laid the groundwork for plastic surgery as a medical discipline (Harrison, 2010).</w:t>
      </w:r>
      <w:r w:rsidR="00CA37B5">
        <w:t xml:space="preserve"> </w:t>
      </w:r>
      <w:r w:rsidRPr="007039CB">
        <w:t xml:space="preserve">Historians debate whether these advancements were revolutionary or evolutionary. Mark </w:t>
      </w:r>
      <w:r w:rsidRPr="007039CB">
        <w:lastRenderedPageBreak/>
        <w:t>Harrison argues that the war’s unprecedented demands fostered systemic innovation by institutionalizing practices like debridement and plastic surgery, allowing them to be applied systematically on a scale not seen before. In contrast, W.F. Bynum suggests that these techniques built on pre-existing knowledge, with the war accelerating their application rather than introducing entirely new paradigms. Primary accounts, such as Captain Leonard Joyce’s wartime memoirs, illustrate this dual narrative of necessity and adaptation, where surgeons relied on pre-war principles but were forced to adapt them to the chaotic conditions of the battlefield.</w:t>
      </w:r>
      <w:r w:rsidR="00F1330F">
        <w:rPr>
          <w:rStyle w:val="FootnoteReference"/>
        </w:rPr>
        <w:footnoteReference w:id="4"/>
      </w:r>
    </w:p>
    <w:p w14:paraId="555D4237" w14:textId="33570054" w:rsidR="007039CB" w:rsidRPr="007039CB" w:rsidRDefault="007039CB" w:rsidP="007039CB">
      <w:pPr>
        <w:rPr>
          <w:b/>
          <w:bCs/>
        </w:rPr>
      </w:pPr>
      <w:r w:rsidRPr="007039CB">
        <w:rPr>
          <w:b/>
          <w:bCs/>
        </w:rPr>
        <w:t>Blood Transfusion</w:t>
      </w:r>
    </w:p>
    <w:p w14:paraId="75C20827" w14:textId="61DA496F" w:rsidR="007039CB" w:rsidRPr="007039CB" w:rsidRDefault="007039CB" w:rsidP="007039CB">
      <w:r w:rsidRPr="007039CB">
        <w:t>The development of blood transfusion techniques during the war represented another transformative step in trauma care. Belgian physician Albert Hustin’s 1914 discovery that sodium citrate could prevent blood clotting during storage enabled blood to be preserved and transported to the front lines. This breakthrough allowed transfusions to be performed on critically injured soldiers, improving survival rates significantly. Field hospital records from the later years of the war document the increasing reliance on transfusions, underscoring their role in reducing mortality among the severely wounded.</w:t>
      </w:r>
      <w:r w:rsidR="00CA37B5">
        <w:rPr>
          <w:rStyle w:val="FootnoteReference"/>
        </w:rPr>
        <w:footnoteReference w:id="5"/>
      </w:r>
    </w:p>
    <w:p w14:paraId="2FBFA7A5" w14:textId="4994DE50" w:rsidR="007039CB" w:rsidRPr="007039CB" w:rsidRDefault="007039CB" w:rsidP="007039CB">
      <w:r w:rsidRPr="007039CB">
        <w:t>The organizational infrastructure for blood transfusions evolved in response to wartime needs. Mobile blood banks, introduced during the conflict, ensured that life-saving transfusions could be performed near the front lines. Jay Winter highlights this as a clear example of wartime-driven innovation, arguing that the logistical demands of the battlefield directly shaped the development of transfusion practices.</w:t>
      </w:r>
      <w:r w:rsidR="00CA37B5">
        <w:rPr>
          <w:rStyle w:val="FootnoteReference"/>
        </w:rPr>
        <w:footnoteReference w:id="6"/>
      </w:r>
      <w:r w:rsidRPr="007039CB">
        <w:t xml:space="preserve"> However, critics like Bynum caution against overstating the war’s role, pointing out that the scientific principles underpinning blood preservation predate the conflict. </w:t>
      </w:r>
      <w:r w:rsidR="00E5033A" w:rsidRPr="00E5033A">
        <w:t>The innovations in blood transfusion logistics, such as mobile blood banks, underscore the transformative potential of wartime necessity. Yet, as Bynum points out, these developments were rooted in earlier discoveries, illustrating how the war accelerated existing trends rather than sparking an entirely new field of medical practice</w:t>
      </w:r>
      <w:r w:rsidR="00E5033A">
        <w:t>.</w:t>
      </w:r>
    </w:p>
    <w:p w14:paraId="668F38EF" w14:textId="3BBB15B7" w:rsidR="007039CB" w:rsidRPr="007039CB" w:rsidRDefault="007039CB" w:rsidP="007039CB">
      <w:pPr>
        <w:rPr>
          <w:b/>
          <w:bCs/>
        </w:rPr>
      </w:pPr>
      <w:r w:rsidRPr="007039CB">
        <w:rPr>
          <w:b/>
          <w:bCs/>
        </w:rPr>
        <w:t>Ambulance Systems and Battlefield Evacuation</w:t>
      </w:r>
    </w:p>
    <w:p w14:paraId="5D9D45B0" w14:textId="133CD44A" w:rsidR="007039CB" w:rsidRPr="007039CB" w:rsidRDefault="00F1330F" w:rsidP="007039CB">
      <w:r>
        <w:rPr>
          <w:noProof/>
        </w:rPr>
        <w:drawing>
          <wp:anchor distT="0" distB="0" distL="114300" distR="114300" simplePos="0" relativeHeight="251659264" behindDoc="0" locked="0" layoutInCell="1" allowOverlap="1" wp14:anchorId="1F823666" wp14:editId="05ECC538">
            <wp:simplePos x="0" y="0"/>
            <wp:positionH relativeFrom="margin">
              <wp:align>left</wp:align>
            </wp:positionH>
            <wp:positionV relativeFrom="paragraph">
              <wp:posOffset>26352</wp:posOffset>
            </wp:positionV>
            <wp:extent cx="2524125" cy="1699895"/>
            <wp:effectExtent l="0" t="0" r="9525" b="0"/>
            <wp:wrapSquare wrapText="bothSides"/>
            <wp:docPr id="486304496" name="Picture 2" descr="r/AustralianMilitary - Australian Imperial Force field ambulance, 1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AustralianMilitary - Australian Imperial Force field ambulance, 191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31053" cy="1704496"/>
                    </a:xfrm>
                    <a:prstGeom prst="rect">
                      <a:avLst/>
                    </a:prstGeom>
                    <a:noFill/>
                    <a:ln>
                      <a:noFill/>
                    </a:ln>
                  </pic:spPr>
                </pic:pic>
              </a:graphicData>
            </a:graphic>
            <wp14:sizeRelH relativeFrom="page">
              <wp14:pctWidth>0</wp14:pctWidth>
            </wp14:sizeRelH>
            <wp14:sizeRelV relativeFrom="page">
              <wp14:pctHeight>0</wp14:pctHeight>
            </wp14:sizeRelV>
          </wp:anchor>
        </w:drawing>
      </w:r>
      <w:r w:rsidR="007039CB" w:rsidRPr="007039CB">
        <w:t>The war also transformed the way wounded soldiers were evacuated from the battlefield. Prior to the conflict, evacuation relied heavily on horse-drawn carriages, which were slow and inefficient. The introduction of motorized ambulances by organizations like the British Red Cross drastically reduced response times and increased survival rates.</w:t>
      </w:r>
      <w:r w:rsidR="00CA37B5">
        <w:rPr>
          <w:rStyle w:val="FootnoteReference"/>
        </w:rPr>
        <w:footnoteReference w:id="7"/>
      </w:r>
      <w:r w:rsidR="007039CB" w:rsidRPr="007039CB">
        <w:t xml:space="preserve"> Innovations in triage systems further streamlined battlefield care, prioritizing patients based on the severity of their injuries and ensuring that medical resources were used effectively (Harrison, 2010).</w:t>
      </w:r>
      <w:r w:rsidR="007039CB">
        <w:t xml:space="preserve"> </w:t>
      </w:r>
      <w:r w:rsidR="007039CB" w:rsidRPr="007039CB">
        <w:t xml:space="preserve">The Battle of the Somme in 1916 serves as a case study of these advancements. The coordinated use of motorized ambulances and triage protocols demonstrated the effectiveness of these systems in managing mass casualties. Reports from military medical corps detail how these logistical improvements </w:t>
      </w:r>
      <w:r w:rsidR="007039CB" w:rsidRPr="007039CB">
        <w:lastRenderedPageBreak/>
        <w:t>allowed medics to handle the unprecedented scale of injuries during major offensives. Historians such as Richard Gabriel argue that these innovations laid the groundwork for modern emergency medical systems, providing a blueprint for civilian and military trauma care in subsequent conflicts (Gabriel, 2012).</w:t>
      </w:r>
      <w:r>
        <w:t xml:space="preserve"> </w:t>
      </w:r>
    </w:p>
    <w:p w14:paraId="630F1021" w14:textId="4FE4A6F3" w:rsidR="003E06AD" w:rsidRDefault="007039CB" w:rsidP="007039CB">
      <w:r w:rsidRPr="007039CB">
        <w:t>The evidence suggests that while the war drove significant advancements in the application and refinement of surgical techniques, it rarely introduced entirely new concepts. Instead, the war served as a crucible for adapting and institutionalizing pre-existing knowledge to meet unprecedented challenges. Advances such as Harold Gillies’ work in facial reconstruction and the development of mobile blood transfusion systems highlight the transformative impact of the war on the logistics of trauma care. At the same time, innovations like debridement and triage systems reflect the interplay between pre-war practices and wartime necessity.</w:t>
      </w:r>
      <w:r w:rsidR="00E5033A">
        <w:t xml:space="preserve"> </w:t>
      </w:r>
      <w:r w:rsidR="00E5033A" w:rsidRPr="00E5033A">
        <w:t>While the advancements in trauma care</w:t>
      </w:r>
      <w:r w:rsidR="00E5033A">
        <w:t xml:space="preserve"> </w:t>
      </w:r>
      <w:r w:rsidR="00E5033A" w:rsidRPr="00E5033A">
        <w:t>were undeniably impactful, they reveal a broader trend of adapting pre-existing practices under extraordinary circumstances rather than introducing entirely novel methodologies</w:t>
      </w:r>
      <w:r w:rsidR="00E5033A">
        <w:t>.</w:t>
      </w:r>
    </w:p>
    <w:p w14:paraId="76C7511C" w14:textId="77777777" w:rsidR="003E06AD" w:rsidRPr="003E06AD" w:rsidRDefault="003E06AD" w:rsidP="003E06AD">
      <w:r w:rsidRPr="003E06AD">
        <w:t>Building on the immediate challenges of trauma care, the First World War also highlighted the critical importance of infection control. Battlefield conditions—including pervasive mud, shrapnel, and inadequate sanitation—created a breeding ground for infections such as gangrene and sepsis. In response, medical professionals developed and standardized innovative antiseptic techniques, while the urgency of war underscored the need for systemic approaches to managing infection. These wartime advancements paved the way for later breakthroughs in bacteriology and antibiotic research.</w:t>
      </w:r>
    </w:p>
    <w:p w14:paraId="577F908A" w14:textId="58CCAC60" w:rsidR="003E06AD" w:rsidRPr="003E06AD" w:rsidRDefault="000E2DB1" w:rsidP="003E06AD">
      <w:pPr>
        <w:rPr>
          <w:b/>
          <w:bCs/>
        </w:rPr>
      </w:pPr>
      <w:r>
        <w:rPr>
          <w:noProof/>
        </w:rPr>
        <w:drawing>
          <wp:anchor distT="0" distB="0" distL="114300" distR="114300" simplePos="0" relativeHeight="251658240" behindDoc="1" locked="0" layoutInCell="1" allowOverlap="1" wp14:anchorId="41D52D0B" wp14:editId="644EC926">
            <wp:simplePos x="0" y="0"/>
            <wp:positionH relativeFrom="margin">
              <wp:align>right</wp:align>
            </wp:positionH>
            <wp:positionV relativeFrom="paragraph">
              <wp:posOffset>3810</wp:posOffset>
            </wp:positionV>
            <wp:extent cx="1751965" cy="2199005"/>
            <wp:effectExtent l="0" t="0" r="635" b="0"/>
            <wp:wrapTight wrapText="bothSides">
              <wp:wrapPolygon edited="0">
                <wp:start x="0" y="0"/>
                <wp:lineTo x="0" y="21332"/>
                <wp:lineTo x="21373" y="21332"/>
                <wp:lineTo x="21373" y="0"/>
                <wp:lineTo x="0" y="0"/>
              </wp:wrapPolygon>
            </wp:wrapTight>
            <wp:docPr id="1755986414" name="Picture 1" descr="Method of sterilising wounds using Dakin's sodium hypochlorite 0.05 p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thod of sterilising wounds using Dakin's sodium hypochlorite 0.05 per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751965" cy="2199005"/>
                    </a:xfrm>
                    <a:prstGeom prst="rect">
                      <a:avLst/>
                    </a:prstGeom>
                    <a:noFill/>
                    <a:ln>
                      <a:noFill/>
                    </a:ln>
                  </pic:spPr>
                </pic:pic>
              </a:graphicData>
            </a:graphic>
            <wp14:sizeRelH relativeFrom="page">
              <wp14:pctWidth>0</wp14:pctWidth>
            </wp14:sizeRelH>
            <wp14:sizeRelV relativeFrom="page">
              <wp14:pctHeight>0</wp14:pctHeight>
            </wp14:sizeRelV>
          </wp:anchor>
        </w:drawing>
      </w:r>
      <w:r w:rsidR="003E06AD" w:rsidRPr="003E06AD">
        <w:rPr>
          <w:b/>
          <w:bCs/>
        </w:rPr>
        <w:t>Antiseptic Techniques</w:t>
      </w:r>
    </w:p>
    <w:p w14:paraId="6DDE5736" w14:textId="01DB655F" w:rsidR="007272F8" w:rsidRPr="007272F8" w:rsidRDefault="007272F8" w:rsidP="007272F8">
      <w:r w:rsidRPr="007272F8">
        <w:t xml:space="preserve">The Carrel-Dakin method, introduced during the war, became a cornerstone of infection control. This technique involved irrigating wounds with a sodium hypochlorite solution to kill bacteria and prevent gangrene. In their seminal work, </w:t>
      </w:r>
      <w:r w:rsidRPr="007272F8">
        <w:rPr>
          <w:i/>
          <w:iCs/>
        </w:rPr>
        <w:t>The Treatment of Infected Wounds</w:t>
      </w:r>
      <w:r w:rsidRPr="007272F8">
        <w:t>, Carrel and Dakin described the process as "a practical solution to the lethal infections caused by deep wounds on the battlefield," emphasizing its ability to reduce mortality rates when applied systematically.</w:t>
      </w:r>
      <w:r>
        <w:rPr>
          <w:rStyle w:val="FootnoteReference"/>
        </w:rPr>
        <w:footnoteReference w:id="8"/>
      </w:r>
      <w:r w:rsidRPr="007272F8">
        <w:t xml:space="preserve"> By 1915, the method was widely adopted in field hospitals, with records from British and French units documenting its effectiveness</w:t>
      </w:r>
      <w:r>
        <w:t>.</w:t>
      </w:r>
    </w:p>
    <w:p w14:paraId="3FDF88C5" w14:textId="02F79B3A" w:rsidR="003E06AD" w:rsidRPr="003E06AD" w:rsidRDefault="003E06AD" w:rsidP="003E06AD">
      <w:r w:rsidRPr="003E06AD">
        <w:t>Historians differ on the degree to which this method was a wartime innovation. Mark Harrison argues that the Carrel-Dakin method exemplifies how the war accelerated the standardization and widespread application of antiseptic practices that had previously been limited in scope. By contrast, Michael Howard emphasizes its roots in pre-war science, noting that it refined principles established by Joseph Lister in the late 19th century.</w:t>
      </w:r>
      <w:r w:rsidR="007272F8">
        <w:rPr>
          <w:rStyle w:val="FootnoteReference"/>
        </w:rPr>
        <w:footnoteReference w:id="9"/>
      </w:r>
      <w:r w:rsidRPr="003E06AD">
        <w:t xml:space="preserve"> Wartime surgical manuals reveal that while the method was not wholly new, its systematic implementation across battlefronts during the war represented a significant step forward (Gabriel, 2012).</w:t>
      </w:r>
    </w:p>
    <w:p w14:paraId="7D8EBA37" w14:textId="77777777" w:rsidR="003E06AD" w:rsidRPr="003E06AD" w:rsidRDefault="003E06AD" w:rsidP="003E06AD">
      <w:pPr>
        <w:rPr>
          <w:b/>
          <w:bCs/>
        </w:rPr>
      </w:pPr>
      <w:r w:rsidRPr="003E06AD">
        <w:rPr>
          <w:b/>
          <w:bCs/>
        </w:rPr>
        <w:t>Hygiene and Prevention</w:t>
      </w:r>
    </w:p>
    <w:p w14:paraId="525618EC" w14:textId="1BCF1735" w:rsidR="003E06AD" w:rsidRPr="003E06AD" w:rsidRDefault="003E06AD" w:rsidP="003E06AD">
      <w:r w:rsidRPr="003E06AD">
        <w:lastRenderedPageBreak/>
        <w:t>In addition to antiseptics, the war underscored the vital role of preventive hygiene in infection control. Overcrowding, poor sanitation, and trench warfare contributed to the spread of diseases like typhoid, trench fever, and dysentery. In response, military medical services introduced sanitation protocols, including disinfecting clothing, sterilizing surgical instruments, and improving drainage in trenches. Reports from medical officers on the Western Front describe the role of hygiene inspections in reducing outbreaks of communicable diseases (Winter, 2000).</w:t>
      </w:r>
      <w:r w:rsidR="000E2DB1">
        <w:t xml:space="preserve"> </w:t>
      </w:r>
      <w:r w:rsidRPr="003E06AD">
        <w:t xml:space="preserve">However, the effectiveness of these measures varied across </w:t>
      </w:r>
      <w:r w:rsidR="007272F8" w:rsidRPr="003E06AD">
        <w:t>theatres</w:t>
      </w:r>
      <w:r w:rsidRPr="003E06AD">
        <w:t>. For example, while the Western Front saw organized hygiene campaigns, conditions in Gallipoli were catastrophic, with limited medical facilities and high rates of infection-related deaths. John Keegan highlights how these contrasting experiences exposed both the potential and the limitations of military medicine’s reach, particularly in remote or poorly resourced campaigns.</w:t>
      </w:r>
      <w:r w:rsidR="000E2DB1">
        <w:rPr>
          <w:rStyle w:val="FootnoteReference"/>
        </w:rPr>
        <w:footnoteReference w:id="10"/>
      </w:r>
    </w:p>
    <w:p w14:paraId="4C06FCAF" w14:textId="77777777" w:rsidR="003E06AD" w:rsidRPr="003E06AD" w:rsidRDefault="003E06AD" w:rsidP="003E06AD">
      <w:pPr>
        <w:rPr>
          <w:b/>
          <w:bCs/>
        </w:rPr>
      </w:pPr>
      <w:r w:rsidRPr="003E06AD">
        <w:rPr>
          <w:b/>
          <w:bCs/>
        </w:rPr>
        <w:t>Antibiotics and Long-Term Impact</w:t>
      </w:r>
    </w:p>
    <w:p w14:paraId="4318B571" w14:textId="60092E7E" w:rsidR="003E06AD" w:rsidRPr="003E06AD" w:rsidRDefault="003E06AD" w:rsidP="003E06AD">
      <w:r w:rsidRPr="003E06AD">
        <w:t>Although the First World War predated the discovery of antibiotics like penicillin, it underscored the critical need for bacteriological research. The Carrel-Dakin method, while effective for surface wounds, was labour-intensive and could not address systemic infections like pneumonia and sepsis. This recognition drove post-war efforts to develop chemical treatments and antibiotics. Notably, Alexander Fleming, who served as a battlefield doctor, later cited his experiences treating infected wounds during the war as a key influence in his discovery of penicillin in 1928.</w:t>
      </w:r>
      <w:r w:rsidR="000E2DB1">
        <w:rPr>
          <w:rStyle w:val="FootnoteReference"/>
        </w:rPr>
        <w:footnoteReference w:id="11"/>
      </w:r>
    </w:p>
    <w:p w14:paraId="2436394E" w14:textId="6BA122F5" w:rsidR="00E5033A" w:rsidRDefault="003E06AD" w:rsidP="003E06AD">
      <w:r w:rsidRPr="003E06AD">
        <w:t>Historians are divided on the war’s role in advancing antibiotic research. Gabriel argues that the high mortality rates from infection directly influenced researchers like Fleming, emphasizing the continuity between wartime challenges and interwar scientific breakthroughs. Conversely, Martin Gilbert views antibiotics as part of a post-war revolution in science, largely independent of the war’s direct influence. Despite these debates, the war undoubtedly shaped bacteriological understanding, drawing attention to infection pathways and laying the groundwork for future innovation.</w:t>
      </w:r>
      <w:r w:rsidR="00E5033A" w:rsidRPr="00E5033A">
        <w:t xml:space="preserve"> The adoption of the Carrel-Dakin method and other hygiene protocols highlights the wartime acceleration of infection control strategies, yet these measures often relied on refinements of late 19th-century principles, suggesting an evolutionary trajectory rather than a dramatic paradigm shift</w:t>
      </w:r>
      <w:r w:rsidRPr="003E06AD">
        <w:t>. The war’s greatest contribution lay in scaling these practices and highlighting their limitations, thereby influencing the trajectory of post-war research in antibiotics and systemic infection control.</w:t>
      </w:r>
    </w:p>
    <w:p w14:paraId="0F3B74B1" w14:textId="77777777" w:rsidR="00023777" w:rsidRPr="00023777" w:rsidRDefault="00023777" w:rsidP="00023777">
      <w:r w:rsidRPr="00023777">
        <w:t>The First World War left millions of soldiers with permanent injuries, including amputations and psychological trauma, necessitating significant advancements in rehabilitation. Innovations in prosthetics and mental health care laid the foundation for modern approaches to physical and psychological recovery. However, historians debate whether these developments reflect transformative progress or merely address the unprecedented scale of wartime demands.</w:t>
      </w:r>
    </w:p>
    <w:p w14:paraId="76F86A10" w14:textId="77777777" w:rsidR="00023777" w:rsidRPr="00023777" w:rsidRDefault="00023777" w:rsidP="00023777">
      <w:pPr>
        <w:rPr>
          <w:b/>
          <w:bCs/>
        </w:rPr>
      </w:pPr>
      <w:r w:rsidRPr="00023777">
        <w:rPr>
          <w:b/>
          <w:bCs/>
        </w:rPr>
        <w:t>Prosthetic Innovations</w:t>
      </w:r>
    </w:p>
    <w:p w14:paraId="3309D7C2" w14:textId="3A3A2160" w:rsidR="00023777" w:rsidRPr="00023777" w:rsidRDefault="00023777" w:rsidP="00023777">
      <w:r w:rsidRPr="00023777">
        <w:t xml:space="preserve">The war’s high number of amputees drove a wave of innovation in prosthetic design and manufacturing. Traditional wooden limbs gave way to lighter and more functional materials such as aluminium and steel, while advances in biomechanics enabled more anatomically accurate designs. Rehabilitation centres like Roehampton Hospital in England became key </w:t>
      </w:r>
      <w:r w:rsidRPr="00023777">
        <w:lastRenderedPageBreak/>
        <w:t>hubs for these developments, producing over 40,000 artificial limbs during the war (Gabriel, 2012; Geyer &amp; Tooze, 2014).</w:t>
      </w:r>
      <w:r>
        <w:rPr>
          <w:rStyle w:val="FootnoteReference"/>
        </w:rPr>
        <w:footnoteReference w:id="12"/>
      </w:r>
    </w:p>
    <w:p w14:paraId="1BA6EF57" w14:textId="32182582" w:rsidR="00023777" w:rsidRPr="00023777" w:rsidRDefault="00023777" w:rsidP="00023777">
      <w:r>
        <w:rPr>
          <w:noProof/>
        </w:rPr>
        <w:drawing>
          <wp:anchor distT="0" distB="0" distL="114300" distR="114300" simplePos="0" relativeHeight="251662336" behindDoc="1" locked="0" layoutInCell="1" allowOverlap="1" wp14:anchorId="21ADE747" wp14:editId="72C3B113">
            <wp:simplePos x="0" y="0"/>
            <wp:positionH relativeFrom="page">
              <wp:posOffset>880745</wp:posOffset>
            </wp:positionH>
            <wp:positionV relativeFrom="paragraph">
              <wp:posOffset>0</wp:posOffset>
            </wp:positionV>
            <wp:extent cx="2228850" cy="1880870"/>
            <wp:effectExtent l="0" t="0" r="0" b="5080"/>
            <wp:wrapTight wrapText="bothSides">
              <wp:wrapPolygon edited="0">
                <wp:start x="0" y="0"/>
                <wp:lineTo x="0" y="21440"/>
                <wp:lineTo x="21415" y="21440"/>
                <wp:lineTo x="21415" y="0"/>
                <wp:lineTo x="0" y="0"/>
              </wp:wrapPolygon>
            </wp:wrapTight>
            <wp:docPr id="1673287819" name="Picture 4" descr="Image result for first world war prosthetics (With images) | World wa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irst world war prosthetics (With images) | World war ..."/>
                    <pic:cNvPicPr>
                      <a:picLocks noChangeAspect="1" noChangeArrowheads="1"/>
                    </pic:cNvPicPr>
                  </pic:nvPicPr>
                  <pic:blipFill rotWithShape="1">
                    <a:blip r:embed="rId10">
                      <a:extLst>
                        <a:ext uri="{28A0092B-C50C-407E-A947-70E740481C1C}">
                          <a14:useLocalDpi xmlns:a14="http://schemas.microsoft.com/office/drawing/2010/main" val="0"/>
                        </a:ext>
                      </a:extLst>
                    </a:blip>
                    <a:srcRect l="3125" r="2084"/>
                    <a:stretch/>
                  </pic:blipFill>
                  <pic:spPr bwMode="auto">
                    <a:xfrm>
                      <a:off x="0" y="0"/>
                      <a:ext cx="2228850" cy="18808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23777">
        <w:t>Jo</w:t>
      </w:r>
      <w:r w:rsidR="007650BB">
        <w:t>anna</w:t>
      </w:r>
      <w:r w:rsidRPr="00023777">
        <w:t xml:space="preserve"> Bourke emphasizes that prosthetic innovation during WWI was closely tied to societal pressures to restore soldiers as symbols of resilience and national pride. This perspective highlights the cultural significance of physical recovery in shaping public morale.</w:t>
      </w:r>
      <w:r w:rsidR="007650BB">
        <w:t xml:space="preserve"> Bourke also</w:t>
      </w:r>
      <w:r w:rsidRPr="00023777">
        <w:t xml:space="preserve"> notes a tension between these advancements and the social stigma faced by amputees, arguing that societal narratives often reduced injured soldiers to tools of propaganda while neglecting their broader needs.</w:t>
      </w:r>
      <w:r w:rsidR="007650BB">
        <w:rPr>
          <w:rStyle w:val="FootnoteReference"/>
        </w:rPr>
        <w:footnoteReference w:id="13"/>
      </w:r>
      <w:r w:rsidRPr="00023777">
        <w:t xml:space="preserve"> Primary accounts from Roehampton patients capture this complexity: soldiers expressed gratitude for improved mobility but also frustration at societal perceptions of their disabilities.</w:t>
      </w:r>
      <w:r w:rsidRPr="00023777">
        <w:rPr>
          <w:noProof/>
        </w:rPr>
        <w:t xml:space="preserve"> </w:t>
      </w:r>
    </w:p>
    <w:p w14:paraId="6E38A97B" w14:textId="77777777" w:rsidR="00023777" w:rsidRPr="00023777" w:rsidRDefault="00023777" w:rsidP="00023777">
      <w:pPr>
        <w:rPr>
          <w:b/>
          <w:bCs/>
        </w:rPr>
      </w:pPr>
      <w:r w:rsidRPr="00023777">
        <w:rPr>
          <w:b/>
          <w:bCs/>
        </w:rPr>
        <w:t>Psychological Rehabilitation</w:t>
      </w:r>
    </w:p>
    <w:p w14:paraId="0ECABB76" w14:textId="6D02C1EF" w:rsidR="00023777" w:rsidRPr="00023777" w:rsidRDefault="007650BB" w:rsidP="00023777">
      <w:r>
        <w:rPr>
          <w:noProof/>
        </w:rPr>
        <w:drawing>
          <wp:anchor distT="0" distB="0" distL="114300" distR="114300" simplePos="0" relativeHeight="251663360" behindDoc="1" locked="0" layoutInCell="1" allowOverlap="1" wp14:anchorId="1CF130E0" wp14:editId="5240403A">
            <wp:simplePos x="0" y="0"/>
            <wp:positionH relativeFrom="margin">
              <wp:align>right</wp:align>
            </wp:positionH>
            <wp:positionV relativeFrom="paragraph">
              <wp:posOffset>615633</wp:posOffset>
            </wp:positionV>
            <wp:extent cx="2144395" cy="2305050"/>
            <wp:effectExtent l="0" t="0" r="8255" b="0"/>
            <wp:wrapTight wrapText="bothSides">
              <wp:wrapPolygon edited="0">
                <wp:start x="0" y="0"/>
                <wp:lineTo x="0" y="21421"/>
                <wp:lineTo x="21491" y="21421"/>
                <wp:lineTo x="21491" y="0"/>
                <wp:lineTo x="0" y="0"/>
              </wp:wrapPolygon>
            </wp:wrapTight>
            <wp:docPr id="638366392" name="Picture 5" descr="12 Harrowing Vintage Photos of Soldiers in Complete Shell Shoc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12 Harrowing Vintage Photos of Soldiers in Complete Shell Shock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44395" cy="2305050"/>
                    </a:xfrm>
                    <a:prstGeom prst="rect">
                      <a:avLst/>
                    </a:prstGeom>
                    <a:noFill/>
                    <a:ln>
                      <a:noFill/>
                    </a:ln>
                  </pic:spPr>
                </pic:pic>
              </a:graphicData>
            </a:graphic>
            <wp14:sizeRelH relativeFrom="page">
              <wp14:pctWidth>0</wp14:pctWidth>
            </wp14:sizeRelH>
            <wp14:sizeRelV relativeFrom="page">
              <wp14:pctHeight>0</wp14:pctHeight>
            </wp14:sizeRelV>
          </wp:anchor>
        </w:drawing>
      </w:r>
      <w:r w:rsidR="00023777" w:rsidRPr="00023777">
        <w:t>The war also marked a turning point in the recognition of psychological trauma, as “shell shock” emerged as a critical medical and social issue. Early treatments for shell shock included rest cures, occupational therapy, and talk therapy, reflecting a growing but nascent understanding of mental health recovery. Specialized hospitals, such as Craiglockhart War Hospital in Scotland, played a pioneering role in treating psychological trauma.</w:t>
      </w:r>
      <w:r>
        <w:t xml:space="preserve"> </w:t>
      </w:r>
      <w:r w:rsidRPr="007650BB">
        <w:t>This image of a shell-shocked soldier, taken in the trenches, captures the visible psychological impact of the First World War. Such photographs became emblematic of the condition referred to as 'shell shock,' a term used to describe the mental and emotional strain experienced by soldiers subjected to the horrors of trench warfare. The strained expression and detached demeanour reflect the symptoms described in accounts from Craiglockhart War Hospital, where figures like W.H.R. Rivers pioneered treatments for trauma.</w:t>
      </w:r>
      <w:r>
        <w:rPr>
          <w:rStyle w:val="FootnoteReference"/>
        </w:rPr>
        <w:footnoteReference w:id="14"/>
      </w:r>
    </w:p>
    <w:p w14:paraId="12866760" w14:textId="4945A860" w:rsidR="00023777" w:rsidRDefault="00023777" w:rsidP="00023777">
      <w:r w:rsidRPr="00023777">
        <w:t xml:space="preserve">Historians diverge on the war’s impact on psychological rehabilitation. Elaine Showalter argues that WWI </w:t>
      </w:r>
      <w:r w:rsidR="007650BB" w:rsidRPr="00023777">
        <w:t>catalysed</w:t>
      </w:r>
      <w:r w:rsidRPr="00023777">
        <w:t xml:space="preserve"> the modern field of psychiatry, as physicians adapted their practices to address the immense psychological toll of the conflict. Jay Winter, however, highlights the uneven nature of this progress, pointing out that many soldiers were stigmatized and received inadequate care upon their return to civilian life. Fiona Reid further critiques the conservative attitudes of wartime institutions, noting that treatments often relied on pre-war theories of hysteria and nervous disorders.</w:t>
      </w:r>
      <w:r w:rsidR="00406068">
        <w:rPr>
          <w:rStyle w:val="FootnoteReference"/>
        </w:rPr>
        <w:footnoteReference w:id="15"/>
      </w:r>
      <w:r w:rsidRPr="00023777">
        <w:t xml:space="preserve"> Diaries and letters from soldiers treated at Craiglockhart provide vivid insights into both the breakthroughs in therapeutic care and the enduring challenges of societal reintegration.</w:t>
      </w:r>
      <w:r w:rsidR="00E5033A">
        <w:t xml:space="preserve"> </w:t>
      </w:r>
      <w:r w:rsidR="00E5033A" w:rsidRPr="00E5033A">
        <w:t xml:space="preserve">Prosthetic innovations and mental health care during the war reflect a critical turning point in addressing the long-term effects of battlefield injuries. </w:t>
      </w:r>
      <w:r w:rsidR="00E5033A" w:rsidRPr="00E5033A">
        <w:lastRenderedPageBreak/>
        <w:t>However, the societal framing of these advancements often prioritized restoring soldiers as symbols of resilience over fully addressing their psychological and social needs</w:t>
      </w:r>
    </w:p>
    <w:p w14:paraId="6631D430" w14:textId="36D7FAE1" w:rsidR="00406068" w:rsidRPr="00406068" w:rsidRDefault="00406068" w:rsidP="00406068">
      <w:r w:rsidRPr="00406068">
        <w:t>The War fundamentally transformed public health and medical systems, as the unprecedented scale of the conflict required innovations in medical organization, sanitation, and disease prevention. From battlefield hospitals to large-scale casualty management, these developments not only improved wartime care but also had lasting implications for civilian healthcare systems.</w:t>
      </w:r>
    </w:p>
    <w:p w14:paraId="20A62E13" w14:textId="7AC0BAF3" w:rsidR="00406068" w:rsidRPr="00406068" w:rsidRDefault="00406068" w:rsidP="00406068">
      <w:pPr>
        <w:rPr>
          <w:b/>
          <w:bCs/>
        </w:rPr>
      </w:pPr>
      <w:r w:rsidRPr="00406068">
        <w:rPr>
          <w:b/>
          <w:bCs/>
        </w:rPr>
        <w:t>Organized Medical Systems</w:t>
      </w:r>
    </w:p>
    <w:p w14:paraId="22425350" w14:textId="10594937" w:rsidR="00406068" w:rsidRPr="00406068" w:rsidRDefault="00DF0B2D" w:rsidP="00406068">
      <w:r>
        <w:rPr>
          <w:noProof/>
        </w:rPr>
        <w:drawing>
          <wp:anchor distT="0" distB="0" distL="114300" distR="114300" simplePos="0" relativeHeight="251665408" behindDoc="1" locked="0" layoutInCell="1" allowOverlap="1" wp14:anchorId="470258DA" wp14:editId="1310512C">
            <wp:simplePos x="0" y="0"/>
            <wp:positionH relativeFrom="margin">
              <wp:align>left</wp:align>
            </wp:positionH>
            <wp:positionV relativeFrom="paragraph">
              <wp:posOffset>3493</wp:posOffset>
            </wp:positionV>
            <wp:extent cx="1477010" cy="2109470"/>
            <wp:effectExtent l="0" t="0" r="8890" b="5080"/>
            <wp:wrapTight wrapText="bothSides">
              <wp:wrapPolygon edited="0">
                <wp:start x="0" y="0"/>
                <wp:lineTo x="0" y="21457"/>
                <wp:lineTo x="21451" y="21457"/>
                <wp:lineTo x="21451" y="0"/>
                <wp:lineTo x="0" y="0"/>
              </wp:wrapPolygon>
            </wp:wrapTight>
            <wp:docPr id="1278183413" name="Picture 7" descr="What was medicine like during World War One? - BBC Bite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What was medicine like during World War One? - BBC Bitesiz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77010" cy="2109470"/>
                    </a:xfrm>
                    <a:prstGeom prst="rect">
                      <a:avLst/>
                    </a:prstGeom>
                    <a:noFill/>
                    <a:ln>
                      <a:noFill/>
                    </a:ln>
                  </pic:spPr>
                </pic:pic>
              </a:graphicData>
            </a:graphic>
            <wp14:sizeRelH relativeFrom="page">
              <wp14:pctWidth>0</wp14:pctWidth>
            </wp14:sizeRelH>
            <wp14:sizeRelV relativeFrom="page">
              <wp14:pctHeight>0</wp14:pctHeight>
            </wp14:sizeRelV>
          </wp:anchor>
        </w:drawing>
      </w:r>
      <w:r w:rsidR="00406068" w:rsidRPr="00406068">
        <w:t>The war introduced a more structured approach to medical logistics, with innovations such as field hospitals, triage systems, and mobile units. Field hospitals, often located close to the front lines, streamlined the treatment of casualties by specializing in immediate stabilization before transferring patients to larger base hospitals. Triage systems, which prioritized care based on the severity of injuries, became a cornerstone of modern emergency medicine.</w:t>
      </w:r>
      <w:r w:rsidR="00406068">
        <w:rPr>
          <w:rStyle w:val="FootnoteReference"/>
        </w:rPr>
        <w:footnoteReference w:id="16"/>
      </w:r>
    </w:p>
    <w:p w14:paraId="6582F7AE" w14:textId="09444904" w:rsidR="00406068" w:rsidRPr="00406068" w:rsidRDefault="00406068" w:rsidP="00406068">
      <w:r w:rsidRPr="00406068">
        <w:t>Primary accounts from military medics document the evolution of these systems, particularly during high-casualty battles like Verdun. Casualty records show that triage protocols reduced mortality by ensuring that critical cases received timely attention. Roger Cooter emphasizes that these logistical advancements were pivotal in shaping contemporary emergency care systems, setting a precedent for systematic medical organization. However, Jessica Meyer</w:t>
      </w:r>
      <w:r>
        <w:rPr>
          <w:rStyle w:val="FootnoteReference"/>
        </w:rPr>
        <w:footnoteReference w:id="17"/>
      </w:r>
      <w:r w:rsidRPr="00406068">
        <w:t xml:space="preserve"> notes their limitations, as overburdened facilities often struggled to keep pace with the sheer volume of casualties.</w:t>
      </w:r>
      <w:r w:rsidR="00DF0B2D" w:rsidRPr="00DF0B2D">
        <w:t xml:space="preserve"> </w:t>
      </w:r>
    </w:p>
    <w:p w14:paraId="6C64C352" w14:textId="4EE4DBE3" w:rsidR="00406068" w:rsidRPr="00406068" w:rsidRDefault="00406068" w:rsidP="00406068">
      <w:pPr>
        <w:rPr>
          <w:b/>
          <w:bCs/>
        </w:rPr>
      </w:pPr>
      <w:r w:rsidRPr="00406068">
        <w:rPr>
          <w:b/>
          <w:bCs/>
        </w:rPr>
        <w:t>Sanitation and Disease Prevention</w:t>
      </w:r>
    </w:p>
    <w:p w14:paraId="70A61D51" w14:textId="52417394" w:rsidR="00406068" w:rsidRPr="00406068" w:rsidRDefault="00DF0B2D" w:rsidP="00406068">
      <w:r>
        <w:rPr>
          <w:noProof/>
        </w:rPr>
        <w:drawing>
          <wp:anchor distT="0" distB="0" distL="114300" distR="114300" simplePos="0" relativeHeight="251664384" behindDoc="1" locked="0" layoutInCell="1" allowOverlap="1" wp14:anchorId="5A50B493" wp14:editId="383634C3">
            <wp:simplePos x="0" y="0"/>
            <wp:positionH relativeFrom="column">
              <wp:posOffset>4314825</wp:posOffset>
            </wp:positionH>
            <wp:positionV relativeFrom="paragraph">
              <wp:posOffset>949960</wp:posOffset>
            </wp:positionV>
            <wp:extent cx="1366520" cy="2000885"/>
            <wp:effectExtent l="0" t="0" r="5080" b="0"/>
            <wp:wrapTight wrapText="bothSides">
              <wp:wrapPolygon edited="0">
                <wp:start x="0" y="0"/>
                <wp:lineTo x="0" y="21387"/>
                <wp:lineTo x="21379" y="21387"/>
                <wp:lineTo x="21379" y="0"/>
                <wp:lineTo x="0" y="0"/>
              </wp:wrapPolygon>
            </wp:wrapTight>
            <wp:docPr id="1900670514" name="Picture 6" descr="A person in military uni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0670514" name="Picture 6" descr="A person in military unifor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66520" cy="2000885"/>
                    </a:xfrm>
                    <a:prstGeom prst="rect">
                      <a:avLst/>
                    </a:prstGeom>
                    <a:noFill/>
                    <a:ln>
                      <a:noFill/>
                    </a:ln>
                  </pic:spPr>
                </pic:pic>
              </a:graphicData>
            </a:graphic>
            <wp14:sizeRelH relativeFrom="page">
              <wp14:pctWidth>0</wp14:pctWidth>
            </wp14:sizeRelH>
            <wp14:sizeRelV relativeFrom="page">
              <wp14:pctHeight>0</wp14:pctHeight>
            </wp14:sizeRelV>
          </wp:anchor>
        </w:drawing>
      </w:r>
      <w:r w:rsidR="00406068" w:rsidRPr="00406068">
        <w:t>In addition to addressing battlefield injuries, military medical services faced the challenge of preventing disease outbreaks in overcrowded and unsanitary conditions. Efforts to improve sanitation included trench drainage, delousing campaigns to combat lice and trench fever, and vaccination programs for diseases such as typhoid. While unevenly implemented, these measures significantly reduced disease-related mortality, particularly on the Western Front.</w:t>
      </w:r>
      <w:r w:rsidR="00406068">
        <w:rPr>
          <w:rStyle w:val="FootnoteReference"/>
        </w:rPr>
        <w:footnoteReference w:id="18"/>
      </w:r>
    </w:p>
    <w:p w14:paraId="2FBFA86F" w14:textId="527449D6" w:rsidR="00406068" w:rsidRPr="00406068" w:rsidRDefault="00406068" w:rsidP="00406068">
      <w:r w:rsidRPr="00406068">
        <w:t>Historians hold differing views on the broader significance of these public health measures. Jessica Meyer regards them as pragmatic solutions to wartime challenges, whereas Leo van Bergen</w:t>
      </w:r>
      <w:r>
        <w:rPr>
          <w:rStyle w:val="FootnoteReference"/>
        </w:rPr>
        <w:footnoteReference w:id="19"/>
      </w:r>
      <w:r w:rsidRPr="00406068">
        <w:t xml:space="preserve"> highlights their long-term impact on global public health standards. Van Bergen argues that the war accelerated the adoption of systematic sanitation practices, shaping interwar public health policies across Europe and influencing healthcare systems in colonial contexts. These measures, he suggests, marked a shift toward a more institutionalized approach to public health.</w:t>
      </w:r>
      <w:r w:rsidR="00DF0B2D">
        <w:t xml:space="preserve"> </w:t>
      </w:r>
    </w:p>
    <w:p w14:paraId="62525757" w14:textId="77777777" w:rsidR="00DF0B2D" w:rsidRDefault="00DF0B2D" w:rsidP="00406068">
      <w:pPr>
        <w:rPr>
          <w:b/>
          <w:bCs/>
        </w:rPr>
      </w:pPr>
    </w:p>
    <w:p w14:paraId="66AD757A" w14:textId="43B06CFF" w:rsidR="00406068" w:rsidRPr="00406068" w:rsidRDefault="00406068" w:rsidP="00406068">
      <w:pPr>
        <w:rPr>
          <w:b/>
          <w:bCs/>
        </w:rPr>
      </w:pPr>
      <w:r w:rsidRPr="00406068">
        <w:rPr>
          <w:b/>
          <w:bCs/>
        </w:rPr>
        <w:lastRenderedPageBreak/>
        <w:t>Legacy in Civilian Healthcare</w:t>
      </w:r>
    </w:p>
    <w:p w14:paraId="2780AA48" w14:textId="56A9DFA9" w:rsidR="00406068" w:rsidRPr="00406068" w:rsidRDefault="00406068" w:rsidP="00406068">
      <w:r w:rsidRPr="00406068">
        <w:t>The organizational principles developed during the First World War had enduring implications for civilian healthcare systems. In Britain, the experience of managing mass casualties during the war contributed to the eventual establishment of the National Health Service (NHS) in 1948. Policymakers drew on wartime practices to emphasize the value of centralized and accessible healthcare. Similarly, advances in hospital infrastructure and sanitation set new benchmarks for public health standards globally, particularly in colonial and post-colonial regions.</w:t>
      </w:r>
      <w:r>
        <w:rPr>
          <w:rStyle w:val="FootnoteReference"/>
        </w:rPr>
        <w:footnoteReference w:id="20"/>
      </w:r>
    </w:p>
    <w:p w14:paraId="41540E66" w14:textId="0217E5D1" w:rsidR="00C332A2" w:rsidRDefault="00406068" w:rsidP="00C332A2">
      <w:r w:rsidRPr="00406068">
        <w:t>Van Bergen further notes that wartime public health innovations, such as improved hygiene and vaccination protocols, influenced the design of public health policies in the interwar years, bridging the gap between military and civilian medical systems. These lessons underscored the need for coordinated approaches to healthcare, ultimately reshaping medical practice on a global scale.</w:t>
      </w:r>
      <w:r w:rsidR="00C332A2">
        <w:t xml:space="preserve"> </w:t>
      </w:r>
      <w:r w:rsidR="00DF0B2D" w:rsidRPr="00DF0B2D">
        <w:t>While wartime hygiene campaigns marked significant progress in reducing disease-related mortality, their uneven implementation across theatres highlights the persistent challenge of extending medical innovation to less-resourced or remote contexts—a dilemma that continues to shape global health initiatives today.</w:t>
      </w:r>
    </w:p>
    <w:p w14:paraId="5168A95D" w14:textId="3CED16B9" w:rsidR="00E5033A" w:rsidRPr="00E5033A" w:rsidRDefault="00E5033A" w:rsidP="00E5033A">
      <w:r>
        <w:t xml:space="preserve">To conclude, </w:t>
      </w:r>
      <w:r w:rsidRPr="00E5033A">
        <w:t>The First World War accelerated the development of modern medicine to a significant extent, acting as both a catalyst for urgent innovation and a crucible for refining pre-existing practices. The scale and urgency of the conflict demanded transformative advancements in trauma care, infection control, rehabilitation, and public health systems, many of which continue to shape modern medical practices. However, these developments were often evolutionary rather than revolutionary, building on earlier foundations rather than introducing entirely new paradigms.</w:t>
      </w:r>
    </w:p>
    <w:p w14:paraId="33D88B1C" w14:textId="78B00081" w:rsidR="00E5033A" w:rsidRPr="00E5033A" w:rsidRDefault="00E5033A" w:rsidP="00E5033A">
      <w:r w:rsidRPr="00E5033A">
        <w:t>In areas like trauma care, the systematic implementation of triage systems and advances in surgical techniques demonstrated the war’s ability to institutionalize practices that had previously been limited in scope. Similarly, the adoption of the Carrel-Dakin method in infection control and the establishment of mobile blood transfusion units showcased how wartime necessity could drive the practical application of pre-existing knowledge on an unprecedented scale. While these advancements were undoubtedly significant, they primarily represent an acceleration of trends already underway rather than a complete transformation of medical science.</w:t>
      </w:r>
      <w:r w:rsidR="00DF0B2D">
        <w:t xml:space="preserve"> </w:t>
      </w:r>
      <w:r w:rsidRPr="00E5033A">
        <w:t xml:space="preserve">Psychological medicine, however, reveals a more complex narrative. The recognition and treatment of shell shock marked an important step toward understanding psychological trauma, yet societal stigma and uneven implementation limited its long-term impact during the war itself. Public health systems, too, benefited from the war’s sanitation campaigns and vaccination programs, which helped reduce mortality and established a template for interwar healthcare policies. Yet these measures also exposed the constraints of resource allocation and systemic inequalities, limiting their effectiveness across different </w:t>
      </w:r>
      <w:r w:rsidR="00DF0B2D" w:rsidRPr="00E5033A">
        <w:t>theatres</w:t>
      </w:r>
      <w:r w:rsidRPr="00E5033A">
        <w:t xml:space="preserve"> of war.</w:t>
      </w:r>
    </w:p>
    <w:p w14:paraId="140DCF38" w14:textId="77777777" w:rsidR="00DF0B2D" w:rsidRDefault="00E5033A">
      <w:r w:rsidRPr="00E5033A">
        <w:t xml:space="preserve">To a great extent, the First World War advanced medicine by bridging the gap between the practices of the 19th century and the institutionalized, organized systems that underpin modern healthcare. It </w:t>
      </w:r>
      <w:r w:rsidR="00DF0B2D" w:rsidRPr="00E5033A">
        <w:t>catalysed</w:t>
      </w:r>
      <w:r w:rsidRPr="00E5033A">
        <w:t xml:space="preserve"> systemic change, not by introducing entirely new paradigms, but by scaling, refining, and adapting existing practices to meet unprecedented challenges. The war’s legacy lies in its dual role as an accelerator of medical progress and a reflection of continuity, offering a nuanced understanding of how necessity, invention, and context intersect to shape the trajectory of modern medicine.</w:t>
      </w:r>
    </w:p>
    <w:p w14:paraId="0636F9D8" w14:textId="0B06844A" w:rsidR="007039CB" w:rsidRPr="00DF0B2D" w:rsidRDefault="007039CB">
      <w:r w:rsidRPr="00DF0B2D">
        <w:rPr>
          <w:sz w:val="24"/>
          <w:szCs w:val="24"/>
          <w:u w:val="single"/>
        </w:rPr>
        <w:lastRenderedPageBreak/>
        <w:t>Ref</w:t>
      </w:r>
      <w:r w:rsidR="00DF0B2D" w:rsidRPr="00DF0B2D">
        <w:rPr>
          <w:sz w:val="24"/>
          <w:szCs w:val="24"/>
          <w:u w:val="single"/>
        </w:rPr>
        <w:t xml:space="preserve">erence </w:t>
      </w:r>
      <w:r w:rsidRPr="00DF0B2D">
        <w:rPr>
          <w:sz w:val="24"/>
          <w:szCs w:val="24"/>
          <w:u w:val="single"/>
        </w:rPr>
        <w:t>list</w:t>
      </w:r>
    </w:p>
    <w:p w14:paraId="1B92EBAF" w14:textId="77777777" w:rsidR="007039CB" w:rsidRDefault="007039CB"/>
    <w:p w14:paraId="34AA2455" w14:textId="486CCEDD" w:rsidR="007039CB" w:rsidRPr="00F1330F" w:rsidRDefault="007039CB" w:rsidP="007039CB">
      <w:pPr>
        <w:pStyle w:val="ListParagraph"/>
        <w:numPr>
          <w:ilvl w:val="0"/>
          <w:numId w:val="3"/>
        </w:numPr>
        <w:rPr>
          <w:sz w:val="24"/>
          <w:szCs w:val="24"/>
        </w:rPr>
      </w:pPr>
      <w:r w:rsidRPr="00F1330F">
        <w:rPr>
          <w:sz w:val="24"/>
          <w:szCs w:val="24"/>
        </w:rPr>
        <w:t>Harrison, Mark. The Medical War: British Military Medicine in the First World War. Oxford University Press, 2010.</w:t>
      </w:r>
    </w:p>
    <w:p w14:paraId="57ED2A01" w14:textId="66DC64A1" w:rsidR="007039CB" w:rsidRPr="00F1330F" w:rsidRDefault="007039CB" w:rsidP="007039CB">
      <w:pPr>
        <w:pStyle w:val="ListParagraph"/>
        <w:numPr>
          <w:ilvl w:val="0"/>
          <w:numId w:val="3"/>
        </w:numPr>
        <w:rPr>
          <w:sz w:val="24"/>
          <w:szCs w:val="24"/>
        </w:rPr>
      </w:pPr>
      <w:r w:rsidRPr="00F1330F">
        <w:rPr>
          <w:sz w:val="24"/>
          <w:szCs w:val="24"/>
        </w:rPr>
        <w:t>Bynum, W.F. Science and the Practice of Medicine in the Nineteenth Century. Cambridge University Press, 1994.</w:t>
      </w:r>
    </w:p>
    <w:p w14:paraId="617CF975" w14:textId="77777777" w:rsidR="003E06AD" w:rsidRPr="00F1330F" w:rsidRDefault="003E06AD" w:rsidP="003E06AD">
      <w:pPr>
        <w:pStyle w:val="FootnoteText"/>
        <w:numPr>
          <w:ilvl w:val="0"/>
          <w:numId w:val="3"/>
        </w:numPr>
        <w:rPr>
          <w:sz w:val="24"/>
          <w:szCs w:val="24"/>
        </w:rPr>
      </w:pPr>
      <w:r w:rsidRPr="00F1330F">
        <w:rPr>
          <w:sz w:val="24"/>
          <w:szCs w:val="24"/>
        </w:rPr>
        <w:t>Gillies, Harold. Plastic Surgery of the Face. Oxford Medical Publications, 1920.</w:t>
      </w:r>
    </w:p>
    <w:p w14:paraId="582631B5" w14:textId="53029A50" w:rsidR="00F1330F" w:rsidRPr="00F1330F" w:rsidRDefault="00F1330F" w:rsidP="00F1330F">
      <w:pPr>
        <w:pStyle w:val="FootnoteText"/>
        <w:numPr>
          <w:ilvl w:val="0"/>
          <w:numId w:val="3"/>
        </w:numPr>
        <w:rPr>
          <w:sz w:val="24"/>
          <w:szCs w:val="24"/>
        </w:rPr>
      </w:pPr>
      <w:r w:rsidRPr="00F1330F">
        <w:rPr>
          <w:sz w:val="24"/>
          <w:szCs w:val="24"/>
        </w:rPr>
        <w:t>Adkins, N. Hospital archives give a picture of Reading during the First World War.</w:t>
      </w:r>
      <w:r w:rsidR="000E2DB1">
        <w:rPr>
          <w:sz w:val="24"/>
          <w:szCs w:val="24"/>
        </w:rPr>
        <w:t xml:space="preserve"> 2014</w:t>
      </w:r>
      <w:r w:rsidRPr="00F1330F">
        <w:rPr>
          <w:sz w:val="24"/>
          <w:szCs w:val="24"/>
        </w:rPr>
        <w:t xml:space="preserve"> </w:t>
      </w:r>
      <w:hyperlink r:id="rId14" w:history="1">
        <w:r w:rsidRPr="00F1330F">
          <w:rPr>
            <w:rStyle w:val="Hyperlink"/>
            <w:sz w:val="24"/>
            <w:szCs w:val="24"/>
          </w:rPr>
          <w:t>Hospital archives give a picture of Reading during the First World War - Berkshire Live</w:t>
        </w:r>
      </w:hyperlink>
    </w:p>
    <w:p w14:paraId="767AF8FF" w14:textId="01348D87" w:rsidR="003E06AD" w:rsidRPr="00F1330F" w:rsidRDefault="003E06AD" w:rsidP="003E06AD">
      <w:pPr>
        <w:pStyle w:val="ListParagraph"/>
        <w:numPr>
          <w:ilvl w:val="0"/>
          <w:numId w:val="3"/>
        </w:numPr>
        <w:rPr>
          <w:sz w:val="24"/>
          <w:szCs w:val="24"/>
        </w:rPr>
      </w:pPr>
      <w:r w:rsidRPr="00F1330F">
        <w:rPr>
          <w:sz w:val="24"/>
          <w:szCs w:val="24"/>
        </w:rPr>
        <w:t>Gabriel, Richard A. Between Flesh and Steel: A History of Military Medicine. Potomac Books, 2012.</w:t>
      </w:r>
    </w:p>
    <w:p w14:paraId="4C6B734B" w14:textId="77777777" w:rsidR="003E06AD" w:rsidRPr="00F1330F" w:rsidRDefault="003E06AD" w:rsidP="003E06AD">
      <w:pPr>
        <w:pStyle w:val="FootnoteText"/>
        <w:numPr>
          <w:ilvl w:val="0"/>
          <w:numId w:val="3"/>
        </w:numPr>
        <w:rPr>
          <w:sz w:val="24"/>
          <w:szCs w:val="24"/>
        </w:rPr>
      </w:pPr>
      <w:r w:rsidRPr="00F1330F">
        <w:rPr>
          <w:sz w:val="24"/>
          <w:szCs w:val="24"/>
        </w:rPr>
        <w:t>Jay Winter: The Experience of World War I. Oxford University Press, 1988.</w:t>
      </w:r>
    </w:p>
    <w:p w14:paraId="2667F036" w14:textId="77777777" w:rsidR="003E06AD" w:rsidRPr="00F1330F" w:rsidRDefault="003E06AD" w:rsidP="003E06AD">
      <w:pPr>
        <w:pStyle w:val="FootnoteText"/>
        <w:numPr>
          <w:ilvl w:val="0"/>
          <w:numId w:val="3"/>
        </w:numPr>
        <w:rPr>
          <w:sz w:val="24"/>
          <w:szCs w:val="24"/>
        </w:rPr>
      </w:pPr>
      <w:r w:rsidRPr="00F1330F">
        <w:rPr>
          <w:sz w:val="24"/>
          <w:szCs w:val="24"/>
        </w:rPr>
        <w:t>MacPherson, W.G. (1921–1924): History of the Great War: Medical Services General History. (4 Volumes). HMSO.</w:t>
      </w:r>
    </w:p>
    <w:p w14:paraId="16AEEA84" w14:textId="02B6AC05" w:rsidR="000E2DB1" w:rsidRDefault="000E2DB1" w:rsidP="000E2DB1">
      <w:pPr>
        <w:pStyle w:val="ListParagraph"/>
        <w:numPr>
          <w:ilvl w:val="0"/>
          <w:numId w:val="3"/>
        </w:numPr>
        <w:rPr>
          <w:sz w:val="24"/>
          <w:szCs w:val="24"/>
        </w:rPr>
      </w:pPr>
      <w:r w:rsidRPr="000E2DB1">
        <w:rPr>
          <w:sz w:val="24"/>
          <w:szCs w:val="24"/>
        </w:rPr>
        <w:t>Carrel, Alexis, and Dakin, Henry Drysdale (1917): The Treatment of Infected Wounds. Macmillan</w:t>
      </w:r>
    </w:p>
    <w:p w14:paraId="08583ED2" w14:textId="2F6D7F07" w:rsidR="000E2DB1" w:rsidRDefault="000E2DB1" w:rsidP="000E2DB1">
      <w:pPr>
        <w:pStyle w:val="ListParagraph"/>
        <w:numPr>
          <w:ilvl w:val="0"/>
          <w:numId w:val="3"/>
        </w:numPr>
        <w:rPr>
          <w:sz w:val="24"/>
          <w:szCs w:val="24"/>
        </w:rPr>
      </w:pPr>
      <w:r w:rsidRPr="000E2DB1">
        <w:rPr>
          <w:sz w:val="24"/>
          <w:szCs w:val="24"/>
        </w:rPr>
        <w:t xml:space="preserve">Howard, Michael. </w:t>
      </w:r>
      <w:r w:rsidRPr="000E2DB1">
        <w:rPr>
          <w:i/>
          <w:iCs/>
          <w:sz w:val="24"/>
          <w:szCs w:val="24"/>
        </w:rPr>
        <w:t>War in European History</w:t>
      </w:r>
      <w:r w:rsidRPr="000E2DB1">
        <w:rPr>
          <w:sz w:val="24"/>
          <w:szCs w:val="24"/>
        </w:rPr>
        <w:t>. Oxford University Press, 1976.</w:t>
      </w:r>
    </w:p>
    <w:p w14:paraId="2732CB87" w14:textId="7F3BAE89" w:rsidR="000E2DB1" w:rsidRDefault="000E2DB1" w:rsidP="000E2DB1">
      <w:pPr>
        <w:pStyle w:val="ListParagraph"/>
        <w:numPr>
          <w:ilvl w:val="0"/>
          <w:numId w:val="3"/>
        </w:numPr>
        <w:rPr>
          <w:sz w:val="24"/>
          <w:szCs w:val="24"/>
        </w:rPr>
      </w:pPr>
      <w:r w:rsidRPr="000E2DB1">
        <w:rPr>
          <w:sz w:val="24"/>
          <w:szCs w:val="24"/>
        </w:rPr>
        <w:t xml:space="preserve">Keegan, John. </w:t>
      </w:r>
      <w:r w:rsidRPr="000E2DB1">
        <w:rPr>
          <w:i/>
          <w:iCs/>
          <w:sz w:val="24"/>
          <w:szCs w:val="24"/>
        </w:rPr>
        <w:t>The First World War</w:t>
      </w:r>
      <w:r w:rsidRPr="000E2DB1">
        <w:rPr>
          <w:sz w:val="24"/>
          <w:szCs w:val="24"/>
        </w:rPr>
        <w:t>. Random House, 1999.</w:t>
      </w:r>
    </w:p>
    <w:p w14:paraId="67328719" w14:textId="295B9D52" w:rsidR="000E2DB1" w:rsidRDefault="000E2DB1" w:rsidP="000E2DB1">
      <w:pPr>
        <w:pStyle w:val="ListParagraph"/>
        <w:numPr>
          <w:ilvl w:val="0"/>
          <w:numId w:val="3"/>
        </w:numPr>
        <w:rPr>
          <w:sz w:val="24"/>
          <w:szCs w:val="24"/>
        </w:rPr>
      </w:pPr>
      <w:r w:rsidRPr="000E2DB1">
        <w:rPr>
          <w:sz w:val="24"/>
          <w:szCs w:val="24"/>
        </w:rPr>
        <w:t xml:space="preserve">Lindqvist, Sven. </w:t>
      </w:r>
      <w:r w:rsidRPr="000E2DB1">
        <w:rPr>
          <w:i/>
          <w:iCs/>
          <w:sz w:val="24"/>
          <w:szCs w:val="24"/>
        </w:rPr>
        <w:t>A History of Bacteriological Medicine</w:t>
      </w:r>
      <w:r w:rsidRPr="000E2DB1">
        <w:rPr>
          <w:sz w:val="24"/>
          <w:szCs w:val="24"/>
        </w:rPr>
        <w:t>. Cambridge University Press, 2014.</w:t>
      </w:r>
    </w:p>
    <w:p w14:paraId="4C006A73" w14:textId="3746AAF8" w:rsidR="00023777" w:rsidRDefault="00023777" w:rsidP="000E2DB1">
      <w:pPr>
        <w:pStyle w:val="ListParagraph"/>
        <w:numPr>
          <w:ilvl w:val="0"/>
          <w:numId w:val="3"/>
        </w:numPr>
        <w:rPr>
          <w:sz w:val="24"/>
          <w:szCs w:val="24"/>
        </w:rPr>
      </w:pPr>
      <w:r w:rsidRPr="00023777">
        <w:rPr>
          <w:sz w:val="24"/>
          <w:szCs w:val="24"/>
        </w:rPr>
        <w:t xml:space="preserve">Geyer, Michael, and Tooze, Adam. </w:t>
      </w:r>
      <w:r w:rsidRPr="00023777">
        <w:rPr>
          <w:i/>
          <w:iCs/>
          <w:sz w:val="24"/>
          <w:szCs w:val="24"/>
        </w:rPr>
        <w:t>The Cambridge History of the First World War: Volume 2, The State</w:t>
      </w:r>
      <w:r w:rsidRPr="00023777">
        <w:rPr>
          <w:sz w:val="24"/>
          <w:szCs w:val="24"/>
        </w:rPr>
        <w:t>. Cambridge University Press, 2014.</w:t>
      </w:r>
    </w:p>
    <w:p w14:paraId="26558A39" w14:textId="0D6D40F0" w:rsidR="007650BB" w:rsidRDefault="007650BB" w:rsidP="000E2DB1">
      <w:pPr>
        <w:pStyle w:val="ListParagraph"/>
        <w:numPr>
          <w:ilvl w:val="0"/>
          <w:numId w:val="3"/>
        </w:numPr>
        <w:rPr>
          <w:sz w:val="24"/>
          <w:szCs w:val="24"/>
        </w:rPr>
      </w:pPr>
      <w:r w:rsidRPr="007650BB">
        <w:rPr>
          <w:sz w:val="24"/>
          <w:szCs w:val="24"/>
        </w:rPr>
        <w:t xml:space="preserve">Bourke, Joanna. </w:t>
      </w:r>
      <w:r w:rsidRPr="007650BB">
        <w:rPr>
          <w:i/>
          <w:iCs/>
          <w:sz w:val="24"/>
          <w:szCs w:val="24"/>
        </w:rPr>
        <w:t>Dismembering the Male: Men’s Bodies, Britain, and the Great War</w:t>
      </w:r>
      <w:r w:rsidRPr="007650BB">
        <w:rPr>
          <w:sz w:val="24"/>
          <w:szCs w:val="24"/>
        </w:rPr>
        <w:t>. University of Chicago Press, 1996.</w:t>
      </w:r>
    </w:p>
    <w:p w14:paraId="3493DE7F" w14:textId="17367871" w:rsidR="007650BB" w:rsidRDefault="007650BB" w:rsidP="000E2DB1">
      <w:pPr>
        <w:pStyle w:val="ListParagraph"/>
        <w:numPr>
          <w:ilvl w:val="0"/>
          <w:numId w:val="3"/>
        </w:numPr>
        <w:rPr>
          <w:sz w:val="24"/>
          <w:szCs w:val="24"/>
        </w:rPr>
      </w:pPr>
      <w:r w:rsidRPr="007650BB">
        <w:rPr>
          <w:sz w:val="24"/>
          <w:szCs w:val="24"/>
        </w:rPr>
        <w:t xml:space="preserve">Showalter, Elaine. </w:t>
      </w:r>
      <w:r w:rsidRPr="007650BB">
        <w:rPr>
          <w:i/>
          <w:iCs/>
          <w:sz w:val="24"/>
          <w:szCs w:val="24"/>
        </w:rPr>
        <w:t>The Female Malady: Women, Madness, and English Culture, 1830–1980</w:t>
      </w:r>
      <w:r w:rsidRPr="007650BB">
        <w:rPr>
          <w:sz w:val="24"/>
          <w:szCs w:val="24"/>
        </w:rPr>
        <w:t>. Pantheon Books, 1985.</w:t>
      </w:r>
    </w:p>
    <w:p w14:paraId="0BC4C431" w14:textId="40439DE3" w:rsidR="00406068" w:rsidRDefault="00406068" w:rsidP="000E2DB1">
      <w:pPr>
        <w:pStyle w:val="ListParagraph"/>
        <w:numPr>
          <w:ilvl w:val="0"/>
          <w:numId w:val="3"/>
        </w:numPr>
        <w:rPr>
          <w:sz w:val="24"/>
          <w:szCs w:val="24"/>
        </w:rPr>
      </w:pPr>
      <w:r w:rsidRPr="00406068">
        <w:rPr>
          <w:sz w:val="24"/>
          <w:szCs w:val="24"/>
        </w:rPr>
        <w:t xml:space="preserve">Reid, Fiona. </w:t>
      </w:r>
      <w:r w:rsidRPr="00406068">
        <w:rPr>
          <w:i/>
          <w:iCs/>
          <w:sz w:val="24"/>
          <w:szCs w:val="24"/>
        </w:rPr>
        <w:t>Broken Men: Shell Shock, Treatment and Recovery in Britain 1914–1939</w:t>
      </w:r>
      <w:r w:rsidRPr="00406068">
        <w:rPr>
          <w:sz w:val="24"/>
          <w:szCs w:val="24"/>
        </w:rPr>
        <w:t>. Bloomsbury Academic, 2010.</w:t>
      </w:r>
    </w:p>
    <w:p w14:paraId="6ABA65E6" w14:textId="42D9DFA7" w:rsidR="00406068" w:rsidRDefault="00406068" w:rsidP="000E2DB1">
      <w:pPr>
        <w:pStyle w:val="ListParagraph"/>
        <w:numPr>
          <w:ilvl w:val="0"/>
          <w:numId w:val="3"/>
        </w:numPr>
        <w:rPr>
          <w:sz w:val="24"/>
          <w:szCs w:val="24"/>
        </w:rPr>
      </w:pPr>
      <w:r w:rsidRPr="00406068">
        <w:rPr>
          <w:sz w:val="24"/>
          <w:szCs w:val="24"/>
        </w:rPr>
        <w:t xml:space="preserve">Cooter, Roger. </w:t>
      </w:r>
      <w:r w:rsidRPr="00406068">
        <w:rPr>
          <w:i/>
          <w:iCs/>
          <w:sz w:val="24"/>
          <w:szCs w:val="24"/>
        </w:rPr>
        <w:t>Medicine in War: The First World War and Beyond</w:t>
      </w:r>
      <w:r w:rsidRPr="00406068">
        <w:rPr>
          <w:sz w:val="24"/>
          <w:szCs w:val="24"/>
        </w:rPr>
        <w:t>. Oxford University Press, 1999.</w:t>
      </w:r>
    </w:p>
    <w:p w14:paraId="6EC08F54" w14:textId="23F34A53" w:rsidR="00406068" w:rsidRDefault="00406068" w:rsidP="000E2DB1">
      <w:pPr>
        <w:pStyle w:val="ListParagraph"/>
        <w:numPr>
          <w:ilvl w:val="0"/>
          <w:numId w:val="3"/>
        </w:numPr>
        <w:rPr>
          <w:sz w:val="24"/>
          <w:szCs w:val="24"/>
        </w:rPr>
      </w:pPr>
      <w:r w:rsidRPr="00406068">
        <w:rPr>
          <w:sz w:val="24"/>
          <w:szCs w:val="24"/>
        </w:rPr>
        <w:t xml:space="preserve">Meyer, Jessica. </w:t>
      </w:r>
      <w:r w:rsidRPr="00406068">
        <w:rPr>
          <w:i/>
          <w:iCs/>
          <w:sz w:val="24"/>
          <w:szCs w:val="24"/>
        </w:rPr>
        <w:t>Men of War: Masculinity and the First World War in Britain</w:t>
      </w:r>
      <w:r w:rsidRPr="00406068">
        <w:rPr>
          <w:sz w:val="24"/>
          <w:szCs w:val="24"/>
        </w:rPr>
        <w:t>. Palgrave Macmillan, 2019.</w:t>
      </w:r>
    </w:p>
    <w:p w14:paraId="127F9A86" w14:textId="6E222D24" w:rsidR="00406068" w:rsidRDefault="00406068" w:rsidP="000E2DB1">
      <w:pPr>
        <w:pStyle w:val="ListParagraph"/>
        <w:numPr>
          <w:ilvl w:val="0"/>
          <w:numId w:val="3"/>
        </w:numPr>
        <w:rPr>
          <w:sz w:val="24"/>
          <w:szCs w:val="24"/>
        </w:rPr>
      </w:pPr>
      <w:r w:rsidRPr="00406068">
        <w:rPr>
          <w:sz w:val="24"/>
          <w:szCs w:val="24"/>
        </w:rPr>
        <w:t xml:space="preserve">King, Alex. </w:t>
      </w:r>
      <w:r w:rsidRPr="00406068">
        <w:rPr>
          <w:i/>
          <w:iCs/>
          <w:sz w:val="24"/>
          <w:szCs w:val="24"/>
        </w:rPr>
        <w:t>Memorials of the Great War in Britain: The Symbolism and Politics of Remembrance</w:t>
      </w:r>
      <w:r w:rsidRPr="00406068">
        <w:rPr>
          <w:sz w:val="24"/>
          <w:szCs w:val="24"/>
        </w:rPr>
        <w:t>. Bloomsbury Academic, 2016.</w:t>
      </w:r>
    </w:p>
    <w:p w14:paraId="2C4CD4A8" w14:textId="1EE35C75" w:rsidR="00406068" w:rsidRPr="000E2DB1" w:rsidRDefault="00406068" w:rsidP="000E2DB1">
      <w:pPr>
        <w:pStyle w:val="ListParagraph"/>
        <w:numPr>
          <w:ilvl w:val="0"/>
          <w:numId w:val="3"/>
        </w:numPr>
        <w:rPr>
          <w:sz w:val="24"/>
          <w:szCs w:val="24"/>
        </w:rPr>
      </w:pPr>
      <w:r w:rsidRPr="00406068">
        <w:rPr>
          <w:sz w:val="24"/>
          <w:szCs w:val="24"/>
        </w:rPr>
        <w:t xml:space="preserve">van Bergen, Leo. </w:t>
      </w:r>
      <w:r w:rsidRPr="00406068">
        <w:rPr>
          <w:i/>
          <w:iCs/>
          <w:sz w:val="24"/>
          <w:szCs w:val="24"/>
        </w:rPr>
        <w:t>Before My Helpless Sight: Suffering, Dying and Military Medicine on the Western Front, 1914-1918</w:t>
      </w:r>
      <w:r w:rsidRPr="00406068">
        <w:rPr>
          <w:sz w:val="24"/>
          <w:szCs w:val="24"/>
        </w:rPr>
        <w:t>. Routledge, 2009.</w:t>
      </w:r>
    </w:p>
    <w:sectPr w:rsidR="00406068" w:rsidRPr="000E2D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4143D4" w14:textId="77777777" w:rsidR="00C059DF" w:rsidRDefault="00C059DF" w:rsidP="007039CB">
      <w:pPr>
        <w:spacing w:after="0" w:line="240" w:lineRule="auto"/>
      </w:pPr>
      <w:r>
        <w:separator/>
      </w:r>
    </w:p>
  </w:endnote>
  <w:endnote w:type="continuationSeparator" w:id="0">
    <w:p w14:paraId="4D058F5F" w14:textId="77777777" w:rsidR="00C059DF" w:rsidRDefault="00C059DF" w:rsidP="007039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284CB86" w14:textId="77777777" w:rsidR="00C059DF" w:rsidRDefault="00C059DF" w:rsidP="007039CB">
      <w:pPr>
        <w:spacing w:after="0" w:line="240" w:lineRule="auto"/>
      </w:pPr>
      <w:r>
        <w:separator/>
      </w:r>
    </w:p>
  </w:footnote>
  <w:footnote w:type="continuationSeparator" w:id="0">
    <w:p w14:paraId="5C2A0293" w14:textId="77777777" w:rsidR="00C059DF" w:rsidRDefault="00C059DF" w:rsidP="007039CB">
      <w:pPr>
        <w:spacing w:after="0" w:line="240" w:lineRule="auto"/>
      </w:pPr>
      <w:r>
        <w:continuationSeparator/>
      </w:r>
    </w:p>
  </w:footnote>
  <w:footnote w:id="1">
    <w:p w14:paraId="6C3E7448" w14:textId="5AE92AE0" w:rsidR="007039CB" w:rsidRPr="00CA37B5" w:rsidRDefault="007039CB">
      <w:pPr>
        <w:pStyle w:val="FootnoteText"/>
        <w:rPr>
          <w:sz w:val="18"/>
          <w:szCs w:val="18"/>
        </w:rPr>
      </w:pPr>
      <w:r w:rsidRPr="007039CB">
        <w:rPr>
          <w:rStyle w:val="FootnoteReference"/>
          <w:sz w:val="18"/>
          <w:szCs w:val="18"/>
        </w:rPr>
        <w:footnoteRef/>
      </w:r>
      <w:r w:rsidRPr="007039CB">
        <w:rPr>
          <w:sz w:val="18"/>
          <w:szCs w:val="18"/>
        </w:rPr>
        <w:t xml:space="preserve"> </w:t>
      </w:r>
      <w:r w:rsidRPr="00CA37B5">
        <w:rPr>
          <w:sz w:val="18"/>
          <w:szCs w:val="18"/>
        </w:rPr>
        <w:t>Harrison, Mark. The Medical War: British Military Medicine in the First World War.</w:t>
      </w:r>
    </w:p>
  </w:footnote>
  <w:footnote w:id="2">
    <w:p w14:paraId="0ECD9180" w14:textId="7F53A7B3" w:rsidR="007039CB" w:rsidRPr="00CA37B5" w:rsidRDefault="007039CB">
      <w:pPr>
        <w:pStyle w:val="FootnoteText"/>
        <w:rPr>
          <w:sz w:val="18"/>
          <w:szCs w:val="18"/>
        </w:rPr>
      </w:pPr>
      <w:r w:rsidRPr="00CA37B5">
        <w:rPr>
          <w:rStyle w:val="FootnoteReference"/>
          <w:sz w:val="18"/>
          <w:szCs w:val="18"/>
        </w:rPr>
        <w:footnoteRef/>
      </w:r>
      <w:r w:rsidRPr="00CA37B5">
        <w:rPr>
          <w:sz w:val="18"/>
          <w:szCs w:val="18"/>
        </w:rPr>
        <w:t xml:space="preserve"> Bynum, W.F. Science and the Practice of Medicine in the Nineteenth Century</w:t>
      </w:r>
    </w:p>
  </w:footnote>
  <w:footnote w:id="3">
    <w:p w14:paraId="5679642C" w14:textId="512C9295" w:rsidR="00CA37B5" w:rsidRDefault="00CA37B5">
      <w:pPr>
        <w:pStyle w:val="FootnoteText"/>
      </w:pPr>
      <w:r w:rsidRPr="00CA37B5">
        <w:rPr>
          <w:rStyle w:val="FootnoteReference"/>
          <w:sz w:val="18"/>
          <w:szCs w:val="18"/>
        </w:rPr>
        <w:footnoteRef/>
      </w:r>
      <w:r w:rsidRPr="00CA37B5">
        <w:rPr>
          <w:sz w:val="18"/>
          <w:szCs w:val="18"/>
        </w:rPr>
        <w:t xml:space="preserve"> Gillies, Harold</w:t>
      </w:r>
      <w:r>
        <w:rPr>
          <w:sz w:val="18"/>
          <w:szCs w:val="18"/>
        </w:rPr>
        <w:t>.</w:t>
      </w:r>
      <w:r w:rsidRPr="00CA37B5">
        <w:rPr>
          <w:sz w:val="18"/>
          <w:szCs w:val="18"/>
        </w:rPr>
        <w:t xml:space="preserve"> </w:t>
      </w:r>
      <w:r w:rsidRPr="00CA37B5">
        <w:rPr>
          <w:i/>
          <w:iCs/>
          <w:sz w:val="18"/>
          <w:szCs w:val="18"/>
        </w:rPr>
        <w:t>Plastic Surgery of the Face</w:t>
      </w:r>
      <w:r w:rsidRPr="00CA37B5">
        <w:rPr>
          <w:sz w:val="18"/>
          <w:szCs w:val="18"/>
        </w:rPr>
        <w:t>.</w:t>
      </w:r>
    </w:p>
  </w:footnote>
  <w:footnote w:id="4">
    <w:p w14:paraId="0DE2E886" w14:textId="49C91E84" w:rsidR="00F1330F" w:rsidRPr="00406068" w:rsidRDefault="00F1330F">
      <w:pPr>
        <w:pStyle w:val="FootnoteText"/>
        <w:rPr>
          <w:sz w:val="18"/>
          <w:szCs w:val="18"/>
        </w:rPr>
      </w:pPr>
      <w:r w:rsidRPr="00406068">
        <w:rPr>
          <w:rStyle w:val="FootnoteReference"/>
          <w:sz w:val="18"/>
          <w:szCs w:val="18"/>
        </w:rPr>
        <w:footnoteRef/>
      </w:r>
      <w:r w:rsidRPr="00406068">
        <w:rPr>
          <w:sz w:val="18"/>
          <w:szCs w:val="18"/>
        </w:rPr>
        <w:t xml:space="preserve"> </w:t>
      </w:r>
      <w:r w:rsidR="000E2DB1" w:rsidRPr="00406068">
        <w:rPr>
          <w:sz w:val="18"/>
          <w:szCs w:val="18"/>
        </w:rPr>
        <w:t>Adkins, N. Hospital archives give a picture of Reading during the First World War.</w:t>
      </w:r>
    </w:p>
  </w:footnote>
  <w:footnote w:id="5">
    <w:p w14:paraId="4EA9C619" w14:textId="5021E3FE" w:rsidR="00CA37B5" w:rsidRPr="00406068" w:rsidRDefault="00CA37B5">
      <w:pPr>
        <w:pStyle w:val="FootnoteText"/>
        <w:rPr>
          <w:sz w:val="18"/>
          <w:szCs w:val="18"/>
        </w:rPr>
      </w:pPr>
      <w:r w:rsidRPr="00406068">
        <w:rPr>
          <w:rStyle w:val="FootnoteReference"/>
          <w:sz w:val="18"/>
          <w:szCs w:val="18"/>
        </w:rPr>
        <w:footnoteRef/>
      </w:r>
      <w:r w:rsidRPr="00406068">
        <w:rPr>
          <w:sz w:val="18"/>
          <w:szCs w:val="18"/>
        </w:rPr>
        <w:t xml:space="preserve"> Gabriel, Richard A. Between Flesh and Steel: A History of Military Medicine. Potomac Books, 2012.</w:t>
      </w:r>
    </w:p>
  </w:footnote>
  <w:footnote w:id="6">
    <w:p w14:paraId="69843043" w14:textId="39CFB4DB" w:rsidR="00CA37B5" w:rsidRPr="00406068" w:rsidRDefault="00CA37B5">
      <w:pPr>
        <w:pStyle w:val="FootnoteText"/>
        <w:rPr>
          <w:sz w:val="18"/>
          <w:szCs w:val="18"/>
        </w:rPr>
      </w:pPr>
      <w:r w:rsidRPr="00406068">
        <w:rPr>
          <w:rStyle w:val="FootnoteReference"/>
          <w:sz w:val="18"/>
          <w:szCs w:val="18"/>
        </w:rPr>
        <w:footnoteRef/>
      </w:r>
      <w:r w:rsidRPr="00406068">
        <w:rPr>
          <w:sz w:val="18"/>
          <w:szCs w:val="18"/>
        </w:rPr>
        <w:t xml:space="preserve"> Jay Winter: </w:t>
      </w:r>
      <w:r w:rsidRPr="00406068">
        <w:rPr>
          <w:i/>
          <w:iCs/>
          <w:sz w:val="18"/>
          <w:szCs w:val="18"/>
        </w:rPr>
        <w:t>The Experience of World War I</w:t>
      </w:r>
      <w:r w:rsidRPr="00406068">
        <w:rPr>
          <w:sz w:val="18"/>
          <w:szCs w:val="18"/>
        </w:rPr>
        <w:t>. Oxford University Press, 1988.</w:t>
      </w:r>
    </w:p>
  </w:footnote>
  <w:footnote w:id="7">
    <w:p w14:paraId="357327D5" w14:textId="7B0BD749" w:rsidR="00CA37B5" w:rsidRDefault="00CA37B5">
      <w:pPr>
        <w:pStyle w:val="FootnoteText"/>
      </w:pPr>
      <w:r w:rsidRPr="00406068">
        <w:rPr>
          <w:rStyle w:val="FootnoteReference"/>
          <w:sz w:val="18"/>
          <w:szCs w:val="18"/>
        </w:rPr>
        <w:footnoteRef/>
      </w:r>
      <w:r w:rsidRPr="00406068">
        <w:rPr>
          <w:sz w:val="18"/>
          <w:szCs w:val="18"/>
        </w:rPr>
        <w:t xml:space="preserve"> MacPherson, W.G. (1921–1924): </w:t>
      </w:r>
      <w:r w:rsidRPr="00406068">
        <w:rPr>
          <w:i/>
          <w:iCs/>
          <w:sz w:val="18"/>
          <w:szCs w:val="18"/>
        </w:rPr>
        <w:t>History of the Great War: Medical Services General History</w:t>
      </w:r>
      <w:r w:rsidRPr="00406068">
        <w:rPr>
          <w:sz w:val="18"/>
          <w:szCs w:val="18"/>
        </w:rPr>
        <w:t>. (4 Volumes). HMSO.</w:t>
      </w:r>
    </w:p>
  </w:footnote>
  <w:footnote w:id="8">
    <w:p w14:paraId="50B3A847" w14:textId="73A890D4" w:rsidR="007272F8" w:rsidRPr="00406068" w:rsidRDefault="007272F8">
      <w:pPr>
        <w:pStyle w:val="FootnoteText"/>
        <w:rPr>
          <w:sz w:val="18"/>
          <w:szCs w:val="18"/>
        </w:rPr>
      </w:pPr>
      <w:r w:rsidRPr="00406068">
        <w:rPr>
          <w:rStyle w:val="FootnoteReference"/>
          <w:sz w:val="18"/>
          <w:szCs w:val="18"/>
        </w:rPr>
        <w:footnoteRef/>
      </w:r>
      <w:r w:rsidRPr="00406068">
        <w:rPr>
          <w:sz w:val="18"/>
          <w:szCs w:val="18"/>
        </w:rPr>
        <w:t xml:space="preserve"> Carrel, Alexis, and Dakin, Henry Drysdale (1917): The Treatment of Infected Wounds.</w:t>
      </w:r>
    </w:p>
  </w:footnote>
  <w:footnote w:id="9">
    <w:p w14:paraId="700AA5E8" w14:textId="4986E027" w:rsidR="007272F8" w:rsidRDefault="007272F8">
      <w:pPr>
        <w:pStyle w:val="FootnoteText"/>
      </w:pPr>
      <w:r w:rsidRPr="00406068">
        <w:rPr>
          <w:rStyle w:val="FootnoteReference"/>
          <w:sz w:val="18"/>
          <w:szCs w:val="18"/>
        </w:rPr>
        <w:footnoteRef/>
      </w:r>
      <w:r w:rsidRPr="00406068">
        <w:rPr>
          <w:sz w:val="18"/>
          <w:szCs w:val="18"/>
        </w:rPr>
        <w:t xml:space="preserve"> Howard, Michael. </w:t>
      </w:r>
      <w:r w:rsidRPr="00406068">
        <w:rPr>
          <w:i/>
          <w:iCs/>
          <w:sz w:val="18"/>
          <w:szCs w:val="18"/>
        </w:rPr>
        <w:t>War in European History</w:t>
      </w:r>
      <w:r w:rsidRPr="00406068">
        <w:rPr>
          <w:sz w:val="18"/>
          <w:szCs w:val="18"/>
        </w:rPr>
        <w:t>.</w:t>
      </w:r>
    </w:p>
  </w:footnote>
  <w:footnote w:id="10">
    <w:p w14:paraId="72B9FD1B" w14:textId="78428C97" w:rsidR="000E2DB1" w:rsidRPr="00406068" w:rsidRDefault="000E2DB1">
      <w:pPr>
        <w:pStyle w:val="FootnoteText"/>
        <w:rPr>
          <w:sz w:val="18"/>
          <w:szCs w:val="18"/>
        </w:rPr>
      </w:pPr>
      <w:r w:rsidRPr="00406068">
        <w:rPr>
          <w:rStyle w:val="FootnoteReference"/>
          <w:sz w:val="18"/>
          <w:szCs w:val="18"/>
        </w:rPr>
        <w:footnoteRef/>
      </w:r>
      <w:r w:rsidRPr="00406068">
        <w:rPr>
          <w:sz w:val="18"/>
          <w:szCs w:val="18"/>
        </w:rPr>
        <w:t xml:space="preserve"> Keegan, John. </w:t>
      </w:r>
      <w:r w:rsidRPr="00406068">
        <w:rPr>
          <w:i/>
          <w:iCs/>
          <w:sz w:val="18"/>
          <w:szCs w:val="18"/>
        </w:rPr>
        <w:t>The First World War</w:t>
      </w:r>
      <w:r w:rsidRPr="00406068">
        <w:rPr>
          <w:sz w:val="18"/>
          <w:szCs w:val="18"/>
        </w:rPr>
        <w:t xml:space="preserve">. </w:t>
      </w:r>
    </w:p>
  </w:footnote>
  <w:footnote w:id="11">
    <w:p w14:paraId="20FDCF9D" w14:textId="406E3572" w:rsidR="000E2DB1" w:rsidRPr="00406068" w:rsidRDefault="000E2DB1">
      <w:pPr>
        <w:pStyle w:val="FootnoteText"/>
        <w:rPr>
          <w:sz w:val="18"/>
          <w:szCs w:val="18"/>
        </w:rPr>
      </w:pPr>
      <w:r w:rsidRPr="00406068">
        <w:rPr>
          <w:rStyle w:val="FootnoteReference"/>
          <w:sz w:val="18"/>
          <w:szCs w:val="18"/>
        </w:rPr>
        <w:footnoteRef/>
      </w:r>
      <w:r w:rsidRPr="00406068">
        <w:rPr>
          <w:sz w:val="18"/>
          <w:szCs w:val="18"/>
        </w:rPr>
        <w:t xml:space="preserve"> Lindqvist, Sven. </w:t>
      </w:r>
      <w:r w:rsidRPr="00406068">
        <w:rPr>
          <w:i/>
          <w:iCs/>
          <w:sz w:val="18"/>
          <w:szCs w:val="18"/>
        </w:rPr>
        <w:t>A History of Bacteriological Medicine</w:t>
      </w:r>
      <w:r w:rsidRPr="00406068">
        <w:rPr>
          <w:sz w:val="18"/>
          <w:szCs w:val="18"/>
        </w:rPr>
        <w:t xml:space="preserve">. </w:t>
      </w:r>
    </w:p>
  </w:footnote>
  <w:footnote w:id="12">
    <w:p w14:paraId="631F2E79" w14:textId="7EB48D84" w:rsidR="00023777" w:rsidRDefault="00023777">
      <w:pPr>
        <w:pStyle w:val="FootnoteText"/>
      </w:pPr>
      <w:r w:rsidRPr="00406068">
        <w:rPr>
          <w:rStyle w:val="FootnoteReference"/>
          <w:sz w:val="18"/>
          <w:szCs w:val="18"/>
        </w:rPr>
        <w:footnoteRef/>
      </w:r>
      <w:r w:rsidRPr="00406068">
        <w:rPr>
          <w:sz w:val="18"/>
          <w:szCs w:val="18"/>
        </w:rPr>
        <w:t xml:space="preserve"> Geyer, Michael, and Tooze, Adam. </w:t>
      </w:r>
      <w:r w:rsidRPr="00406068">
        <w:rPr>
          <w:i/>
          <w:iCs/>
          <w:sz w:val="18"/>
          <w:szCs w:val="18"/>
        </w:rPr>
        <w:t>The Cambridge History of the First World War: Volume 2, The State</w:t>
      </w:r>
      <w:r w:rsidRPr="00406068">
        <w:rPr>
          <w:sz w:val="18"/>
          <w:szCs w:val="18"/>
        </w:rPr>
        <w:t>.</w:t>
      </w:r>
    </w:p>
  </w:footnote>
  <w:footnote w:id="13">
    <w:p w14:paraId="2773AEF5" w14:textId="47D70835" w:rsidR="007650BB" w:rsidRPr="00406068" w:rsidRDefault="007650BB">
      <w:pPr>
        <w:pStyle w:val="FootnoteText"/>
        <w:rPr>
          <w:sz w:val="18"/>
          <w:szCs w:val="18"/>
        </w:rPr>
      </w:pPr>
      <w:r w:rsidRPr="00406068">
        <w:rPr>
          <w:rStyle w:val="FootnoteReference"/>
          <w:sz w:val="18"/>
          <w:szCs w:val="18"/>
        </w:rPr>
        <w:footnoteRef/>
      </w:r>
      <w:r w:rsidRPr="00406068">
        <w:rPr>
          <w:sz w:val="18"/>
          <w:szCs w:val="18"/>
        </w:rPr>
        <w:t xml:space="preserve"> Bourke, Joanna. </w:t>
      </w:r>
      <w:r w:rsidRPr="00406068">
        <w:rPr>
          <w:i/>
          <w:iCs/>
          <w:sz w:val="18"/>
          <w:szCs w:val="18"/>
        </w:rPr>
        <w:t>Dismembering the Male: Men’s Bodies, Britain, and the Great War</w:t>
      </w:r>
      <w:r w:rsidRPr="00406068">
        <w:rPr>
          <w:sz w:val="18"/>
          <w:szCs w:val="18"/>
        </w:rPr>
        <w:t>.</w:t>
      </w:r>
    </w:p>
  </w:footnote>
  <w:footnote w:id="14">
    <w:p w14:paraId="76DB287F" w14:textId="7AA7F2C8" w:rsidR="007650BB" w:rsidRPr="00406068" w:rsidRDefault="007650BB">
      <w:pPr>
        <w:pStyle w:val="FootnoteText"/>
        <w:rPr>
          <w:sz w:val="18"/>
          <w:szCs w:val="18"/>
        </w:rPr>
      </w:pPr>
      <w:r w:rsidRPr="00406068">
        <w:rPr>
          <w:rStyle w:val="FootnoteReference"/>
          <w:sz w:val="18"/>
          <w:szCs w:val="18"/>
        </w:rPr>
        <w:footnoteRef/>
      </w:r>
      <w:r w:rsidRPr="00406068">
        <w:rPr>
          <w:sz w:val="18"/>
          <w:szCs w:val="18"/>
        </w:rPr>
        <w:t xml:space="preserve"> Showalter, Elaine. </w:t>
      </w:r>
      <w:r w:rsidRPr="00406068">
        <w:rPr>
          <w:i/>
          <w:iCs/>
          <w:sz w:val="18"/>
          <w:szCs w:val="18"/>
        </w:rPr>
        <w:t>The Female Malady: Women, Madness, and English Culture, 1830–1980</w:t>
      </w:r>
      <w:r w:rsidRPr="00406068">
        <w:rPr>
          <w:sz w:val="18"/>
          <w:szCs w:val="18"/>
        </w:rPr>
        <w:t>.</w:t>
      </w:r>
    </w:p>
  </w:footnote>
  <w:footnote w:id="15">
    <w:p w14:paraId="09A2EECB" w14:textId="7ACB6AC8" w:rsidR="00406068" w:rsidRDefault="00406068">
      <w:pPr>
        <w:pStyle w:val="FootnoteText"/>
      </w:pPr>
      <w:r w:rsidRPr="00406068">
        <w:rPr>
          <w:rStyle w:val="FootnoteReference"/>
          <w:sz w:val="18"/>
          <w:szCs w:val="18"/>
        </w:rPr>
        <w:footnoteRef/>
      </w:r>
      <w:r w:rsidRPr="00406068">
        <w:rPr>
          <w:sz w:val="18"/>
          <w:szCs w:val="18"/>
        </w:rPr>
        <w:t xml:space="preserve"> Reid, Fiona. </w:t>
      </w:r>
      <w:r w:rsidRPr="00406068">
        <w:rPr>
          <w:i/>
          <w:iCs/>
          <w:sz w:val="18"/>
          <w:szCs w:val="18"/>
        </w:rPr>
        <w:t>Broken Men: Shell Shock, Treatment and Recovery in Britain 1914–1939</w:t>
      </w:r>
      <w:r w:rsidRPr="00406068">
        <w:rPr>
          <w:sz w:val="18"/>
          <w:szCs w:val="18"/>
        </w:rPr>
        <w:t xml:space="preserve">. </w:t>
      </w:r>
    </w:p>
  </w:footnote>
  <w:footnote w:id="16">
    <w:p w14:paraId="0266DDF1" w14:textId="41C0DDE7" w:rsidR="00406068" w:rsidRPr="00406068" w:rsidRDefault="00406068">
      <w:pPr>
        <w:pStyle w:val="FootnoteText"/>
        <w:rPr>
          <w:sz w:val="18"/>
          <w:szCs w:val="18"/>
        </w:rPr>
      </w:pPr>
      <w:r>
        <w:rPr>
          <w:rStyle w:val="FootnoteReference"/>
        </w:rPr>
        <w:footnoteRef/>
      </w:r>
      <w:r>
        <w:t xml:space="preserve"> </w:t>
      </w:r>
      <w:r w:rsidRPr="00406068">
        <w:rPr>
          <w:sz w:val="18"/>
          <w:szCs w:val="18"/>
        </w:rPr>
        <w:t xml:space="preserve">Cooter, Roger. </w:t>
      </w:r>
      <w:r w:rsidRPr="00406068">
        <w:rPr>
          <w:i/>
          <w:iCs/>
          <w:sz w:val="18"/>
          <w:szCs w:val="18"/>
        </w:rPr>
        <w:t>Medicine in War: The First World War and Beyond</w:t>
      </w:r>
      <w:r w:rsidRPr="00406068">
        <w:rPr>
          <w:sz w:val="18"/>
          <w:szCs w:val="18"/>
        </w:rPr>
        <w:t>.</w:t>
      </w:r>
    </w:p>
  </w:footnote>
  <w:footnote w:id="17">
    <w:p w14:paraId="0C8FA209" w14:textId="2AFA34C1" w:rsidR="00406068" w:rsidRPr="00406068" w:rsidRDefault="00406068">
      <w:pPr>
        <w:pStyle w:val="FootnoteText"/>
        <w:rPr>
          <w:sz w:val="18"/>
          <w:szCs w:val="18"/>
        </w:rPr>
      </w:pPr>
      <w:r w:rsidRPr="00406068">
        <w:rPr>
          <w:rStyle w:val="FootnoteReference"/>
          <w:sz w:val="18"/>
          <w:szCs w:val="18"/>
        </w:rPr>
        <w:footnoteRef/>
      </w:r>
      <w:r w:rsidRPr="00406068">
        <w:rPr>
          <w:sz w:val="18"/>
          <w:szCs w:val="18"/>
        </w:rPr>
        <w:t xml:space="preserve"> Meyer, Jessica. </w:t>
      </w:r>
      <w:r w:rsidRPr="00406068">
        <w:rPr>
          <w:i/>
          <w:iCs/>
          <w:sz w:val="18"/>
          <w:szCs w:val="18"/>
        </w:rPr>
        <w:t>Men of War: Masculinity and the First World War in Britain</w:t>
      </w:r>
      <w:r w:rsidRPr="00406068">
        <w:rPr>
          <w:sz w:val="18"/>
          <w:szCs w:val="18"/>
        </w:rPr>
        <w:t>.</w:t>
      </w:r>
    </w:p>
  </w:footnote>
  <w:footnote w:id="18">
    <w:p w14:paraId="7A055836" w14:textId="050434AE" w:rsidR="00406068" w:rsidRPr="00406068" w:rsidRDefault="00406068">
      <w:pPr>
        <w:pStyle w:val="FootnoteText"/>
        <w:rPr>
          <w:sz w:val="18"/>
          <w:szCs w:val="18"/>
        </w:rPr>
      </w:pPr>
      <w:r w:rsidRPr="00406068">
        <w:rPr>
          <w:rStyle w:val="FootnoteReference"/>
          <w:sz w:val="18"/>
          <w:szCs w:val="18"/>
        </w:rPr>
        <w:footnoteRef/>
      </w:r>
      <w:r w:rsidRPr="00406068">
        <w:rPr>
          <w:sz w:val="18"/>
          <w:szCs w:val="18"/>
        </w:rPr>
        <w:t xml:space="preserve"> King, Alex. </w:t>
      </w:r>
      <w:r w:rsidRPr="00406068">
        <w:rPr>
          <w:i/>
          <w:iCs/>
          <w:sz w:val="18"/>
          <w:szCs w:val="18"/>
        </w:rPr>
        <w:t>Memorials of the Great War in Britain: The Symbolism and Politics of Remembrance</w:t>
      </w:r>
      <w:r w:rsidRPr="00406068">
        <w:rPr>
          <w:sz w:val="18"/>
          <w:szCs w:val="18"/>
        </w:rPr>
        <w:t>.</w:t>
      </w:r>
    </w:p>
  </w:footnote>
  <w:footnote w:id="19">
    <w:p w14:paraId="02DF6D37" w14:textId="341D6875" w:rsidR="00406068" w:rsidRPr="00406068" w:rsidRDefault="00406068">
      <w:pPr>
        <w:pStyle w:val="FootnoteText"/>
        <w:rPr>
          <w:sz w:val="18"/>
          <w:szCs w:val="18"/>
        </w:rPr>
      </w:pPr>
      <w:r w:rsidRPr="00406068">
        <w:rPr>
          <w:rStyle w:val="FootnoteReference"/>
          <w:sz w:val="18"/>
          <w:szCs w:val="18"/>
        </w:rPr>
        <w:footnoteRef/>
      </w:r>
      <w:r w:rsidRPr="00406068">
        <w:rPr>
          <w:sz w:val="18"/>
          <w:szCs w:val="18"/>
        </w:rPr>
        <w:t xml:space="preserve"> van Bergen, Leo. </w:t>
      </w:r>
      <w:r w:rsidRPr="00406068">
        <w:rPr>
          <w:i/>
          <w:iCs/>
          <w:sz w:val="18"/>
          <w:szCs w:val="18"/>
        </w:rPr>
        <w:t>Before My Helpless Sight: Suffering, Dying and Military Medicine on the Western Front, 1914-1918</w:t>
      </w:r>
      <w:r w:rsidRPr="00406068">
        <w:rPr>
          <w:sz w:val="18"/>
          <w:szCs w:val="18"/>
        </w:rPr>
        <w:t>.</w:t>
      </w:r>
    </w:p>
  </w:footnote>
  <w:footnote w:id="20">
    <w:p w14:paraId="179DC0BA" w14:textId="040F2351" w:rsidR="00406068" w:rsidRDefault="00406068">
      <w:pPr>
        <w:pStyle w:val="FootnoteText"/>
      </w:pPr>
      <w:r w:rsidRPr="00406068">
        <w:rPr>
          <w:rStyle w:val="FootnoteReference"/>
          <w:sz w:val="18"/>
          <w:szCs w:val="18"/>
        </w:rPr>
        <w:footnoteRef/>
      </w:r>
      <w:r w:rsidRPr="00406068">
        <w:rPr>
          <w:sz w:val="18"/>
          <w:szCs w:val="18"/>
        </w:rPr>
        <w:t xml:space="preserve"> Arnold, David. </w:t>
      </w:r>
      <w:r w:rsidRPr="00406068">
        <w:rPr>
          <w:i/>
          <w:iCs/>
          <w:sz w:val="18"/>
          <w:szCs w:val="18"/>
        </w:rPr>
        <w:t>Colonizing the Body: State Medicine and Epidemic Disease in Nineteenth-Century India</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28244D1"/>
    <w:multiLevelType w:val="hybridMultilevel"/>
    <w:tmpl w:val="4D6A3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85222BE"/>
    <w:multiLevelType w:val="hybridMultilevel"/>
    <w:tmpl w:val="009A79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716AD7"/>
    <w:multiLevelType w:val="hybridMultilevel"/>
    <w:tmpl w:val="A6186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33562182">
    <w:abstractNumId w:val="1"/>
  </w:num>
  <w:num w:numId="2" w16cid:durableId="905530760">
    <w:abstractNumId w:val="0"/>
  </w:num>
  <w:num w:numId="3" w16cid:durableId="4462394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39CB"/>
    <w:rsid w:val="00023777"/>
    <w:rsid w:val="00072536"/>
    <w:rsid w:val="000E2DB1"/>
    <w:rsid w:val="0020454C"/>
    <w:rsid w:val="002A3EA5"/>
    <w:rsid w:val="003E06AD"/>
    <w:rsid w:val="00406068"/>
    <w:rsid w:val="007039CB"/>
    <w:rsid w:val="007272F8"/>
    <w:rsid w:val="007650BB"/>
    <w:rsid w:val="00C059DF"/>
    <w:rsid w:val="00C332A2"/>
    <w:rsid w:val="00CA37B5"/>
    <w:rsid w:val="00DF0B2D"/>
    <w:rsid w:val="00E33468"/>
    <w:rsid w:val="00E5033A"/>
    <w:rsid w:val="00E7415F"/>
    <w:rsid w:val="00EC0FCB"/>
    <w:rsid w:val="00EE4B9C"/>
    <w:rsid w:val="00F1330F"/>
    <w:rsid w:val="00F64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B113D"/>
  <w15:chartTrackingRefBased/>
  <w15:docId w15:val="{D91D112B-16F9-49F6-AFBB-910D94451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39C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039C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039C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39C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39C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39C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39C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39C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39C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9C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039C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39C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039C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39C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39C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39C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39C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39CB"/>
    <w:rPr>
      <w:rFonts w:eastAsiaTheme="majorEastAsia" w:cstheme="majorBidi"/>
      <w:color w:val="272727" w:themeColor="text1" w:themeTint="D8"/>
    </w:rPr>
  </w:style>
  <w:style w:type="paragraph" w:styleId="Title">
    <w:name w:val="Title"/>
    <w:basedOn w:val="Normal"/>
    <w:next w:val="Normal"/>
    <w:link w:val="TitleChar"/>
    <w:uiPriority w:val="10"/>
    <w:qFormat/>
    <w:rsid w:val="007039C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39C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39C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39C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39CB"/>
    <w:pPr>
      <w:spacing w:before="160"/>
      <w:jc w:val="center"/>
    </w:pPr>
    <w:rPr>
      <w:i/>
      <w:iCs/>
      <w:color w:val="404040" w:themeColor="text1" w:themeTint="BF"/>
    </w:rPr>
  </w:style>
  <w:style w:type="character" w:customStyle="1" w:styleId="QuoteChar">
    <w:name w:val="Quote Char"/>
    <w:basedOn w:val="DefaultParagraphFont"/>
    <w:link w:val="Quote"/>
    <w:uiPriority w:val="29"/>
    <w:rsid w:val="007039CB"/>
    <w:rPr>
      <w:i/>
      <w:iCs/>
      <w:color w:val="404040" w:themeColor="text1" w:themeTint="BF"/>
    </w:rPr>
  </w:style>
  <w:style w:type="paragraph" w:styleId="ListParagraph">
    <w:name w:val="List Paragraph"/>
    <w:basedOn w:val="Normal"/>
    <w:uiPriority w:val="34"/>
    <w:qFormat/>
    <w:rsid w:val="007039CB"/>
    <w:pPr>
      <w:ind w:left="720"/>
      <w:contextualSpacing/>
    </w:pPr>
  </w:style>
  <w:style w:type="character" w:styleId="IntenseEmphasis">
    <w:name w:val="Intense Emphasis"/>
    <w:basedOn w:val="DefaultParagraphFont"/>
    <w:uiPriority w:val="21"/>
    <w:qFormat/>
    <w:rsid w:val="007039CB"/>
    <w:rPr>
      <w:i/>
      <w:iCs/>
      <w:color w:val="0F4761" w:themeColor="accent1" w:themeShade="BF"/>
    </w:rPr>
  </w:style>
  <w:style w:type="paragraph" w:styleId="IntenseQuote">
    <w:name w:val="Intense Quote"/>
    <w:basedOn w:val="Normal"/>
    <w:next w:val="Normal"/>
    <w:link w:val="IntenseQuoteChar"/>
    <w:uiPriority w:val="30"/>
    <w:qFormat/>
    <w:rsid w:val="007039C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39CB"/>
    <w:rPr>
      <w:i/>
      <w:iCs/>
      <w:color w:val="0F4761" w:themeColor="accent1" w:themeShade="BF"/>
    </w:rPr>
  </w:style>
  <w:style w:type="character" w:styleId="IntenseReference">
    <w:name w:val="Intense Reference"/>
    <w:basedOn w:val="DefaultParagraphFont"/>
    <w:uiPriority w:val="32"/>
    <w:qFormat/>
    <w:rsid w:val="007039CB"/>
    <w:rPr>
      <w:b/>
      <w:bCs/>
      <w:smallCaps/>
      <w:color w:val="0F4761" w:themeColor="accent1" w:themeShade="BF"/>
      <w:spacing w:val="5"/>
    </w:rPr>
  </w:style>
  <w:style w:type="paragraph" w:styleId="FootnoteText">
    <w:name w:val="footnote text"/>
    <w:basedOn w:val="Normal"/>
    <w:link w:val="FootnoteTextChar"/>
    <w:uiPriority w:val="99"/>
    <w:unhideWhenUsed/>
    <w:rsid w:val="007039CB"/>
    <w:pPr>
      <w:spacing w:after="0" w:line="240" w:lineRule="auto"/>
    </w:pPr>
    <w:rPr>
      <w:sz w:val="20"/>
      <w:szCs w:val="20"/>
    </w:rPr>
  </w:style>
  <w:style w:type="character" w:customStyle="1" w:styleId="FootnoteTextChar">
    <w:name w:val="Footnote Text Char"/>
    <w:basedOn w:val="DefaultParagraphFont"/>
    <w:link w:val="FootnoteText"/>
    <w:uiPriority w:val="99"/>
    <w:rsid w:val="007039CB"/>
    <w:rPr>
      <w:sz w:val="20"/>
      <w:szCs w:val="20"/>
    </w:rPr>
  </w:style>
  <w:style w:type="character" w:styleId="FootnoteReference">
    <w:name w:val="footnote reference"/>
    <w:basedOn w:val="DefaultParagraphFont"/>
    <w:uiPriority w:val="99"/>
    <w:semiHidden/>
    <w:unhideWhenUsed/>
    <w:rsid w:val="007039CB"/>
    <w:rPr>
      <w:vertAlign w:val="superscript"/>
    </w:rPr>
  </w:style>
  <w:style w:type="paragraph" w:styleId="NormalWeb">
    <w:name w:val="Normal (Web)"/>
    <w:basedOn w:val="Normal"/>
    <w:uiPriority w:val="99"/>
    <w:unhideWhenUsed/>
    <w:rsid w:val="00F1330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url">
    <w:name w:val="url"/>
    <w:basedOn w:val="DefaultParagraphFont"/>
    <w:rsid w:val="00F1330F"/>
  </w:style>
  <w:style w:type="character" w:styleId="Hyperlink">
    <w:name w:val="Hyperlink"/>
    <w:basedOn w:val="DefaultParagraphFont"/>
    <w:uiPriority w:val="99"/>
    <w:unhideWhenUsed/>
    <w:rsid w:val="00F1330F"/>
    <w:rPr>
      <w:color w:val="467886" w:themeColor="hyperlink"/>
      <w:u w:val="single"/>
    </w:rPr>
  </w:style>
  <w:style w:type="character" w:styleId="UnresolvedMention">
    <w:name w:val="Unresolved Mention"/>
    <w:basedOn w:val="DefaultParagraphFont"/>
    <w:uiPriority w:val="99"/>
    <w:semiHidden/>
    <w:unhideWhenUsed/>
    <w:rsid w:val="00F133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939105">
      <w:bodyDiv w:val="1"/>
      <w:marLeft w:val="0"/>
      <w:marRight w:val="0"/>
      <w:marTop w:val="0"/>
      <w:marBottom w:val="0"/>
      <w:divBdr>
        <w:top w:val="none" w:sz="0" w:space="0" w:color="auto"/>
        <w:left w:val="none" w:sz="0" w:space="0" w:color="auto"/>
        <w:bottom w:val="none" w:sz="0" w:space="0" w:color="auto"/>
        <w:right w:val="none" w:sz="0" w:space="0" w:color="auto"/>
      </w:divBdr>
    </w:div>
    <w:div w:id="49039319">
      <w:bodyDiv w:val="1"/>
      <w:marLeft w:val="0"/>
      <w:marRight w:val="0"/>
      <w:marTop w:val="0"/>
      <w:marBottom w:val="0"/>
      <w:divBdr>
        <w:top w:val="none" w:sz="0" w:space="0" w:color="auto"/>
        <w:left w:val="none" w:sz="0" w:space="0" w:color="auto"/>
        <w:bottom w:val="none" w:sz="0" w:space="0" w:color="auto"/>
        <w:right w:val="none" w:sz="0" w:space="0" w:color="auto"/>
      </w:divBdr>
    </w:div>
    <w:div w:id="60637038">
      <w:bodyDiv w:val="1"/>
      <w:marLeft w:val="0"/>
      <w:marRight w:val="0"/>
      <w:marTop w:val="0"/>
      <w:marBottom w:val="0"/>
      <w:divBdr>
        <w:top w:val="none" w:sz="0" w:space="0" w:color="auto"/>
        <w:left w:val="none" w:sz="0" w:space="0" w:color="auto"/>
        <w:bottom w:val="none" w:sz="0" w:space="0" w:color="auto"/>
        <w:right w:val="none" w:sz="0" w:space="0" w:color="auto"/>
      </w:divBdr>
    </w:div>
    <w:div w:id="369116554">
      <w:bodyDiv w:val="1"/>
      <w:marLeft w:val="0"/>
      <w:marRight w:val="0"/>
      <w:marTop w:val="0"/>
      <w:marBottom w:val="0"/>
      <w:divBdr>
        <w:top w:val="none" w:sz="0" w:space="0" w:color="auto"/>
        <w:left w:val="none" w:sz="0" w:space="0" w:color="auto"/>
        <w:bottom w:val="none" w:sz="0" w:space="0" w:color="auto"/>
        <w:right w:val="none" w:sz="0" w:space="0" w:color="auto"/>
      </w:divBdr>
    </w:div>
    <w:div w:id="520894136">
      <w:bodyDiv w:val="1"/>
      <w:marLeft w:val="0"/>
      <w:marRight w:val="0"/>
      <w:marTop w:val="0"/>
      <w:marBottom w:val="0"/>
      <w:divBdr>
        <w:top w:val="none" w:sz="0" w:space="0" w:color="auto"/>
        <w:left w:val="none" w:sz="0" w:space="0" w:color="auto"/>
        <w:bottom w:val="none" w:sz="0" w:space="0" w:color="auto"/>
        <w:right w:val="none" w:sz="0" w:space="0" w:color="auto"/>
      </w:divBdr>
    </w:div>
    <w:div w:id="587276785">
      <w:bodyDiv w:val="1"/>
      <w:marLeft w:val="0"/>
      <w:marRight w:val="0"/>
      <w:marTop w:val="0"/>
      <w:marBottom w:val="0"/>
      <w:divBdr>
        <w:top w:val="none" w:sz="0" w:space="0" w:color="auto"/>
        <w:left w:val="none" w:sz="0" w:space="0" w:color="auto"/>
        <w:bottom w:val="none" w:sz="0" w:space="0" w:color="auto"/>
        <w:right w:val="none" w:sz="0" w:space="0" w:color="auto"/>
      </w:divBdr>
    </w:div>
    <w:div w:id="619188278">
      <w:bodyDiv w:val="1"/>
      <w:marLeft w:val="0"/>
      <w:marRight w:val="0"/>
      <w:marTop w:val="0"/>
      <w:marBottom w:val="0"/>
      <w:divBdr>
        <w:top w:val="none" w:sz="0" w:space="0" w:color="auto"/>
        <w:left w:val="none" w:sz="0" w:space="0" w:color="auto"/>
        <w:bottom w:val="none" w:sz="0" w:space="0" w:color="auto"/>
        <w:right w:val="none" w:sz="0" w:space="0" w:color="auto"/>
      </w:divBdr>
      <w:divsChild>
        <w:div w:id="168300042">
          <w:marLeft w:val="-720"/>
          <w:marRight w:val="0"/>
          <w:marTop w:val="0"/>
          <w:marBottom w:val="0"/>
          <w:divBdr>
            <w:top w:val="none" w:sz="0" w:space="0" w:color="auto"/>
            <w:left w:val="none" w:sz="0" w:space="0" w:color="auto"/>
            <w:bottom w:val="none" w:sz="0" w:space="0" w:color="auto"/>
            <w:right w:val="none" w:sz="0" w:space="0" w:color="auto"/>
          </w:divBdr>
        </w:div>
      </w:divsChild>
    </w:div>
    <w:div w:id="630209944">
      <w:bodyDiv w:val="1"/>
      <w:marLeft w:val="0"/>
      <w:marRight w:val="0"/>
      <w:marTop w:val="0"/>
      <w:marBottom w:val="0"/>
      <w:divBdr>
        <w:top w:val="none" w:sz="0" w:space="0" w:color="auto"/>
        <w:left w:val="none" w:sz="0" w:space="0" w:color="auto"/>
        <w:bottom w:val="none" w:sz="0" w:space="0" w:color="auto"/>
        <w:right w:val="none" w:sz="0" w:space="0" w:color="auto"/>
      </w:divBdr>
    </w:div>
    <w:div w:id="887497301">
      <w:bodyDiv w:val="1"/>
      <w:marLeft w:val="0"/>
      <w:marRight w:val="0"/>
      <w:marTop w:val="0"/>
      <w:marBottom w:val="0"/>
      <w:divBdr>
        <w:top w:val="none" w:sz="0" w:space="0" w:color="auto"/>
        <w:left w:val="none" w:sz="0" w:space="0" w:color="auto"/>
        <w:bottom w:val="none" w:sz="0" w:space="0" w:color="auto"/>
        <w:right w:val="none" w:sz="0" w:space="0" w:color="auto"/>
      </w:divBdr>
    </w:div>
    <w:div w:id="888883005">
      <w:bodyDiv w:val="1"/>
      <w:marLeft w:val="0"/>
      <w:marRight w:val="0"/>
      <w:marTop w:val="0"/>
      <w:marBottom w:val="0"/>
      <w:divBdr>
        <w:top w:val="none" w:sz="0" w:space="0" w:color="auto"/>
        <w:left w:val="none" w:sz="0" w:space="0" w:color="auto"/>
        <w:bottom w:val="none" w:sz="0" w:space="0" w:color="auto"/>
        <w:right w:val="none" w:sz="0" w:space="0" w:color="auto"/>
      </w:divBdr>
    </w:div>
    <w:div w:id="927812690">
      <w:bodyDiv w:val="1"/>
      <w:marLeft w:val="0"/>
      <w:marRight w:val="0"/>
      <w:marTop w:val="0"/>
      <w:marBottom w:val="0"/>
      <w:divBdr>
        <w:top w:val="none" w:sz="0" w:space="0" w:color="auto"/>
        <w:left w:val="none" w:sz="0" w:space="0" w:color="auto"/>
        <w:bottom w:val="none" w:sz="0" w:space="0" w:color="auto"/>
        <w:right w:val="none" w:sz="0" w:space="0" w:color="auto"/>
      </w:divBdr>
    </w:div>
    <w:div w:id="953051127">
      <w:bodyDiv w:val="1"/>
      <w:marLeft w:val="0"/>
      <w:marRight w:val="0"/>
      <w:marTop w:val="0"/>
      <w:marBottom w:val="0"/>
      <w:divBdr>
        <w:top w:val="none" w:sz="0" w:space="0" w:color="auto"/>
        <w:left w:val="none" w:sz="0" w:space="0" w:color="auto"/>
        <w:bottom w:val="none" w:sz="0" w:space="0" w:color="auto"/>
        <w:right w:val="none" w:sz="0" w:space="0" w:color="auto"/>
      </w:divBdr>
    </w:div>
    <w:div w:id="981082411">
      <w:bodyDiv w:val="1"/>
      <w:marLeft w:val="0"/>
      <w:marRight w:val="0"/>
      <w:marTop w:val="0"/>
      <w:marBottom w:val="0"/>
      <w:divBdr>
        <w:top w:val="none" w:sz="0" w:space="0" w:color="auto"/>
        <w:left w:val="none" w:sz="0" w:space="0" w:color="auto"/>
        <w:bottom w:val="none" w:sz="0" w:space="0" w:color="auto"/>
        <w:right w:val="none" w:sz="0" w:space="0" w:color="auto"/>
      </w:divBdr>
    </w:div>
    <w:div w:id="1173422822">
      <w:bodyDiv w:val="1"/>
      <w:marLeft w:val="0"/>
      <w:marRight w:val="0"/>
      <w:marTop w:val="0"/>
      <w:marBottom w:val="0"/>
      <w:divBdr>
        <w:top w:val="none" w:sz="0" w:space="0" w:color="auto"/>
        <w:left w:val="none" w:sz="0" w:space="0" w:color="auto"/>
        <w:bottom w:val="none" w:sz="0" w:space="0" w:color="auto"/>
        <w:right w:val="none" w:sz="0" w:space="0" w:color="auto"/>
      </w:divBdr>
    </w:div>
    <w:div w:id="1198852647">
      <w:bodyDiv w:val="1"/>
      <w:marLeft w:val="0"/>
      <w:marRight w:val="0"/>
      <w:marTop w:val="0"/>
      <w:marBottom w:val="0"/>
      <w:divBdr>
        <w:top w:val="none" w:sz="0" w:space="0" w:color="auto"/>
        <w:left w:val="none" w:sz="0" w:space="0" w:color="auto"/>
        <w:bottom w:val="none" w:sz="0" w:space="0" w:color="auto"/>
        <w:right w:val="none" w:sz="0" w:space="0" w:color="auto"/>
      </w:divBdr>
    </w:div>
    <w:div w:id="1258755513">
      <w:bodyDiv w:val="1"/>
      <w:marLeft w:val="0"/>
      <w:marRight w:val="0"/>
      <w:marTop w:val="0"/>
      <w:marBottom w:val="0"/>
      <w:divBdr>
        <w:top w:val="none" w:sz="0" w:space="0" w:color="auto"/>
        <w:left w:val="none" w:sz="0" w:space="0" w:color="auto"/>
        <w:bottom w:val="none" w:sz="0" w:space="0" w:color="auto"/>
        <w:right w:val="none" w:sz="0" w:space="0" w:color="auto"/>
      </w:divBdr>
    </w:div>
    <w:div w:id="1541169713">
      <w:bodyDiv w:val="1"/>
      <w:marLeft w:val="0"/>
      <w:marRight w:val="0"/>
      <w:marTop w:val="0"/>
      <w:marBottom w:val="0"/>
      <w:divBdr>
        <w:top w:val="none" w:sz="0" w:space="0" w:color="auto"/>
        <w:left w:val="none" w:sz="0" w:space="0" w:color="auto"/>
        <w:bottom w:val="none" w:sz="0" w:space="0" w:color="auto"/>
        <w:right w:val="none" w:sz="0" w:space="0" w:color="auto"/>
      </w:divBdr>
    </w:div>
    <w:div w:id="1737705934">
      <w:bodyDiv w:val="1"/>
      <w:marLeft w:val="0"/>
      <w:marRight w:val="0"/>
      <w:marTop w:val="0"/>
      <w:marBottom w:val="0"/>
      <w:divBdr>
        <w:top w:val="none" w:sz="0" w:space="0" w:color="auto"/>
        <w:left w:val="none" w:sz="0" w:space="0" w:color="auto"/>
        <w:bottom w:val="none" w:sz="0" w:space="0" w:color="auto"/>
        <w:right w:val="none" w:sz="0" w:space="0" w:color="auto"/>
      </w:divBdr>
    </w:div>
    <w:div w:id="20237058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gif"/><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getreading.co.uk/news/health/hospital-archives-give-picture-reading-675159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1385</TotalTime>
  <Pages>8</Pages>
  <Words>3576</Words>
  <Characters>20385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Broc Morgan</dc:creator>
  <cp:keywords/>
  <dc:description/>
  <cp:lastModifiedBy>Broc Morgan</cp:lastModifiedBy>
  <cp:revision>1</cp:revision>
  <dcterms:created xsi:type="dcterms:W3CDTF">2024-11-15T15:51:00Z</dcterms:created>
  <dcterms:modified xsi:type="dcterms:W3CDTF">2024-11-17T17:31:00Z</dcterms:modified>
</cp:coreProperties>
</file>