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F74B1" w:rsidRDefault="00F1379F">
      <w:pPr>
        <w:rPr>
          <w:rFonts w:ascii="Arial" w:hAnsi="Arial" w:cs="Arial"/>
          <w:b/>
          <w:sz w:val="24"/>
          <w:szCs w:val="24"/>
          <w:u w:val="single"/>
        </w:rPr>
      </w:pPr>
      <w:r w:rsidRPr="00F1379F">
        <w:rPr>
          <w:rFonts w:ascii="Arial" w:hAnsi="Arial" w:cs="Arial"/>
          <w:b/>
          <w:sz w:val="24"/>
          <w:szCs w:val="24"/>
          <w:u w:val="single"/>
        </w:rPr>
        <w:t xml:space="preserve">Understanding </w:t>
      </w:r>
      <w:r w:rsidR="00D71303">
        <w:rPr>
          <w:rFonts w:ascii="Arial" w:hAnsi="Arial" w:cs="Arial"/>
          <w:b/>
          <w:sz w:val="24"/>
          <w:szCs w:val="24"/>
          <w:u w:val="single"/>
        </w:rPr>
        <w:t>resourcing and talent management</w:t>
      </w:r>
      <w:r w:rsidRPr="00F1379F">
        <w:rPr>
          <w:rFonts w:ascii="Arial" w:hAnsi="Arial" w:cs="Arial"/>
          <w:b/>
          <w:sz w:val="24"/>
          <w:szCs w:val="24"/>
          <w:u w:val="single"/>
        </w:rPr>
        <w:t xml:space="preserve"> – On the job training</w:t>
      </w:r>
    </w:p>
    <w:p w:rsidR="00F31371" w:rsidRDefault="00F31371" w:rsidP="00021DCC">
      <w:pPr>
        <w:autoSpaceDE w:val="0"/>
        <w:autoSpaceDN w:val="0"/>
        <w:adjustRightInd w:val="0"/>
        <w:spacing w:after="0" w:line="240" w:lineRule="auto"/>
        <w:rPr>
          <w:rFonts w:ascii="Arial" w:hAnsi="Arial" w:cs="Arial"/>
          <w:color w:val="000000"/>
        </w:rPr>
      </w:pPr>
      <w:r w:rsidRPr="00F31371">
        <w:rPr>
          <w:rFonts w:ascii="Arial" w:hAnsi="Arial" w:cs="Arial"/>
          <w:color w:val="000000"/>
        </w:rPr>
        <w:t xml:space="preserve"> </w:t>
      </w:r>
    </w:p>
    <w:p w:rsidR="009871C4" w:rsidRPr="00DA7D6F" w:rsidRDefault="00021DCC" w:rsidP="00DA7D6F">
      <w:pPr>
        <w:suppressAutoHyphens/>
        <w:spacing w:after="0" w:line="1" w:lineRule="atLeast"/>
        <w:jc w:val="both"/>
        <w:textDirection w:val="btLr"/>
        <w:textAlignment w:val="top"/>
        <w:outlineLvl w:val="0"/>
        <w:rPr>
          <w:rFonts w:ascii="Arial" w:eastAsia="Arial" w:hAnsi="Arial" w:cs="Arial"/>
          <w:b/>
          <w:i/>
          <w:sz w:val="24"/>
          <w:szCs w:val="24"/>
        </w:rPr>
      </w:pPr>
      <w:r w:rsidRPr="00DA7D6F">
        <w:rPr>
          <w:rFonts w:ascii="Arial" w:eastAsia="Arial" w:hAnsi="Arial" w:cs="Arial"/>
          <w:b/>
          <w:i/>
          <w:sz w:val="24"/>
          <w:szCs w:val="24"/>
        </w:rPr>
        <w:t xml:space="preserve">Talk </w:t>
      </w:r>
      <w:r w:rsidR="009871C4" w:rsidRPr="00DA7D6F">
        <w:rPr>
          <w:rFonts w:ascii="Arial" w:eastAsia="Arial" w:hAnsi="Arial" w:cs="Arial"/>
          <w:b/>
          <w:i/>
          <w:sz w:val="24"/>
          <w:szCs w:val="24"/>
        </w:rPr>
        <w:t>to your line manager or other relevant person to thoroughly understand how your organisation’s approach to succession planning has changed. If possible, be a part of discussions on succession planning.</w:t>
      </w:r>
      <w:r w:rsidRPr="00DA7D6F">
        <w:rPr>
          <w:rFonts w:ascii="Arial" w:eastAsia="Arial" w:hAnsi="Arial" w:cs="Arial"/>
          <w:b/>
          <w:i/>
          <w:sz w:val="24"/>
          <w:szCs w:val="24"/>
        </w:rPr>
        <w:t xml:space="preserve"> (500 words)</w:t>
      </w:r>
    </w:p>
    <w:p w:rsidR="009871C4" w:rsidRDefault="009871C4" w:rsidP="009871C4">
      <w:pPr>
        <w:suppressAutoHyphens/>
        <w:spacing w:after="0" w:line="1" w:lineRule="atLeast"/>
        <w:jc w:val="both"/>
        <w:textDirection w:val="btLr"/>
        <w:textAlignment w:val="top"/>
        <w:outlineLvl w:val="0"/>
        <w:rPr>
          <w:rFonts w:eastAsia="Arial" w:cs="Arial"/>
          <w:sz w:val="18"/>
          <w:szCs w:val="18"/>
        </w:rPr>
      </w:pPr>
    </w:p>
    <w:p w:rsidR="00021DCC" w:rsidRDefault="00021DCC" w:rsidP="00021DCC">
      <w:pPr>
        <w:rPr>
          <w:rFonts w:ascii="Arial" w:hAnsi="Arial" w:cs="Arial"/>
          <w:sz w:val="24"/>
          <w:szCs w:val="24"/>
        </w:rPr>
      </w:pPr>
      <w:r>
        <w:rPr>
          <w:rFonts w:ascii="Arial" w:hAnsi="Arial" w:cs="Arial"/>
          <w:sz w:val="24"/>
          <w:szCs w:val="24"/>
        </w:rPr>
        <w:t>Succession planning is a distinctive activity regarded as highly important for organisations in identify future needs. Wilkinson &amp; Taylor (2016) defines this process as follows:</w:t>
      </w:r>
    </w:p>
    <w:p w:rsidR="00021DCC" w:rsidRDefault="00021DCC" w:rsidP="00021DCC">
      <w:pPr>
        <w:rPr>
          <w:rFonts w:ascii="Arial" w:hAnsi="Arial" w:cs="Arial"/>
          <w:i/>
          <w:sz w:val="24"/>
          <w:szCs w:val="24"/>
        </w:rPr>
      </w:pPr>
      <w:r>
        <w:rPr>
          <w:rFonts w:ascii="Arial" w:hAnsi="Arial" w:cs="Arial"/>
          <w:sz w:val="24"/>
          <w:szCs w:val="24"/>
        </w:rPr>
        <w:t>“</w:t>
      </w:r>
      <w:r>
        <w:rPr>
          <w:rFonts w:ascii="Arial" w:hAnsi="Arial" w:cs="Arial"/>
          <w:i/>
          <w:sz w:val="24"/>
          <w:szCs w:val="24"/>
        </w:rPr>
        <w:t>A group of activities that aim to ensure that at any time an organisation has sufficient numbers of people with the ability, knowledge, personal attributes and experience necessary to step into roles at the next level when they become vacant”</w:t>
      </w:r>
    </w:p>
    <w:p w:rsidR="003146C0" w:rsidRDefault="003146C0" w:rsidP="00021DCC">
      <w:pPr>
        <w:rPr>
          <w:rFonts w:ascii="Arial" w:hAnsi="Arial" w:cs="Arial"/>
          <w:sz w:val="24"/>
          <w:szCs w:val="24"/>
        </w:rPr>
      </w:pPr>
      <w:r>
        <w:rPr>
          <w:rFonts w:ascii="Arial" w:hAnsi="Arial" w:cs="Arial"/>
          <w:sz w:val="24"/>
          <w:szCs w:val="24"/>
        </w:rPr>
        <w:t xml:space="preserve">Succession planning requires an organisation to carry out a number of processes including employee appraisals, aimed at identifying an employee’s aspirations and devising a development plan. Such a plan can include on-the-job training, coaching and mentoring, work shadowing and transferring of skills/knowledge between different </w:t>
      </w:r>
      <w:r w:rsidR="00DA7D6F">
        <w:rPr>
          <w:rFonts w:ascii="Arial" w:hAnsi="Arial" w:cs="Arial"/>
          <w:sz w:val="24"/>
          <w:szCs w:val="24"/>
        </w:rPr>
        <w:t>departments.</w:t>
      </w:r>
    </w:p>
    <w:p w:rsidR="00DA7D6F" w:rsidRDefault="00DA7D6F" w:rsidP="00DA7D6F">
      <w:pPr>
        <w:rPr>
          <w:rFonts w:ascii="Arial" w:hAnsi="Arial" w:cs="Arial"/>
          <w:sz w:val="24"/>
          <w:szCs w:val="24"/>
        </w:rPr>
      </w:pPr>
      <w:r>
        <w:rPr>
          <w:rFonts w:ascii="Arial" w:hAnsi="Arial" w:cs="Arial"/>
          <w:sz w:val="24"/>
          <w:szCs w:val="24"/>
        </w:rPr>
        <w:t>Neath Port Talbot County Borough Council (NPTCBC) (2019) has incorporated the need for any training needs and development within their performance appraisal process. This encourages both managers and employees to discuss and identify any these needs to aid with developing an individual’s skills and knowledge.</w:t>
      </w:r>
    </w:p>
    <w:p w:rsidR="000B5EBD" w:rsidRDefault="000B5EBD" w:rsidP="000B5EBD">
      <w:pPr>
        <w:rPr>
          <w:rFonts w:ascii="Arial" w:hAnsi="Arial" w:cs="Arial"/>
          <w:sz w:val="24"/>
          <w:szCs w:val="24"/>
        </w:rPr>
      </w:pPr>
      <w:r>
        <w:rPr>
          <w:rFonts w:ascii="Arial" w:hAnsi="Arial" w:cs="Arial"/>
          <w:sz w:val="24"/>
          <w:szCs w:val="24"/>
        </w:rPr>
        <w:t xml:space="preserve">Ulrich (2019) argues that a better organisational talent and culture will contribute to organisational success with workforce planning being used to improve talent. The use of models, forecasting, toolkits and strategies are pivotal to any planning process. </w:t>
      </w:r>
    </w:p>
    <w:p w:rsidR="003146C0" w:rsidRDefault="002668D6" w:rsidP="002668D6">
      <w:pPr>
        <w:spacing w:before="240"/>
        <w:rPr>
          <w:rFonts w:ascii="Arial" w:hAnsi="Arial" w:cs="Arial"/>
          <w:sz w:val="24"/>
          <w:szCs w:val="24"/>
        </w:rPr>
      </w:pPr>
      <w:r>
        <w:rPr>
          <w:rFonts w:ascii="Arial" w:hAnsi="Arial" w:cs="Arial"/>
          <w:sz w:val="24"/>
          <w:szCs w:val="24"/>
        </w:rPr>
        <w:t xml:space="preserve">NPTCBC </w:t>
      </w:r>
      <w:r w:rsidR="00DA7D6F">
        <w:rPr>
          <w:rFonts w:ascii="Arial" w:hAnsi="Arial" w:cs="Arial"/>
          <w:sz w:val="24"/>
          <w:szCs w:val="24"/>
        </w:rPr>
        <w:t>(</w:t>
      </w:r>
      <w:r w:rsidR="003146C0">
        <w:rPr>
          <w:rFonts w:ascii="Arial" w:hAnsi="Arial" w:cs="Arial"/>
          <w:sz w:val="24"/>
          <w:szCs w:val="24"/>
        </w:rPr>
        <w:t>2008) has implemented a succession planning toolkit. The toolkit has been developed to guide</w:t>
      </w:r>
      <w:r w:rsidR="00DA7D6F">
        <w:rPr>
          <w:rFonts w:ascii="Arial" w:hAnsi="Arial" w:cs="Arial"/>
          <w:sz w:val="24"/>
          <w:szCs w:val="24"/>
        </w:rPr>
        <w:t xml:space="preserve"> to enable</w:t>
      </w:r>
      <w:r w:rsidR="003146C0">
        <w:rPr>
          <w:rFonts w:ascii="Arial" w:hAnsi="Arial" w:cs="Arial"/>
          <w:sz w:val="24"/>
          <w:szCs w:val="24"/>
        </w:rPr>
        <w:t xml:space="preserve"> managers to prepare a plan in order to identify and develop the potential future leaders and individuals that are required to fill any business-critical positions within the Council, which ensures that a high quality service is provided.</w:t>
      </w:r>
    </w:p>
    <w:p w:rsidR="000B5EBD" w:rsidRDefault="000B5EBD" w:rsidP="000B5EBD">
      <w:pPr>
        <w:rPr>
          <w:rFonts w:ascii="Arial" w:hAnsi="Arial" w:cs="Arial"/>
          <w:sz w:val="24"/>
          <w:szCs w:val="24"/>
        </w:rPr>
      </w:pPr>
      <w:r>
        <w:rPr>
          <w:rFonts w:ascii="Arial" w:hAnsi="Arial" w:cs="Arial"/>
          <w:sz w:val="24"/>
          <w:szCs w:val="24"/>
        </w:rPr>
        <w:t xml:space="preserve">The significant impact of the COVID-19 pandemic has emphasised the importance of organisation’s implementing workforce planning, including succession planning. CIPD (2020a) states that such an unprecedented situation has formed an urgent need for organisations of all sizes to undertake workforce planning. </w:t>
      </w:r>
    </w:p>
    <w:p w:rsidR="00DA7D6F" w:rsidRDefault="00DA7D6F" w:rsidP="000B5EBD">
      <w:pPr>
        <w:rPr>
          <w:rFonts w:ascii="Arial" w:hAnsi="Arial" w:cs="Arial"/>
          <w:sz w:val="24"/>
          <w:szCs w:val="24"/>
        </w:rPr>
      </w:pPr>
      <w:r>
        <w:rPr>
          <w:rFonts w:ascii="Arial" w:hAnsi="Arial" w:cs="Arial"/>
          <w:sz w:val="24"/>
          <w:szCs w:val="24"/>
        </w:rPr>
        <w:t>NPTCBC has encouraged their managers across all services to review and amend any succession plans that are currently in place due to changes in service provision as a direct result of the COVID-19 pandemic. This process remains ongoing.</w:t>
      </w:r>
    </w:p>
    <w:p w:rsidR="005D16E7" w:rsidRDefault="005D16E7" w:rsidP="00DA7D6F">
      <w:pPr>
        <w:suppressAutoHyphens/>
        <w:spacing w:after="0" w:line="1" w:lineRule="atLeast"/>
        <w:textDirection w:val="btLr"/>
        <w:textAlignment w:val="top"/>
        <w:outlineLvl w:val="0"/>
        <w:rPr>
          <w:rFonts w:ascii="Arial" w:eastAsia="Arial" w:hAnsi="Arial" w:cs="Arial"/>
          <w:b/>
          <w:i/>
          <w:sz w:val="24"/>
          <w:szCs w:val="24"/>
        </w:rPr>
      </w:pPr>
    </w:p>
    <w:p w:rsidR="009871C4" w:rsidRDefault="009871C4" w:rsidP="00DA7D6F">
      <w:pPr>
        <w:suppressAutoHyphens/>
        <w:spacing w:after="0" w:line="1" w:lineRule="atLeast"/>
        <w:textDirection w:val="btLr"/>
        <w:textAlignment w:val="top"/>
        <w:outlineLvl w:val="0"/>
        <w:rPr>
          <w:rFonts w:ascii="Arial" w:eastAsia="Arial" w:hAnsi="Arial" w:cs="Arial"/>
          <w:b/>
          <w:i/>
          <w:sz w:val="24"/>
          <w:szCs w:val="24"/>
        </w:rPr>
      </w:pPr>
      <w:r w:rsidRPr="00DA7D6F">
        <w:rPr>
          <w:rFonts w:ascii="Arial" w:eastAsia="Arial" w:hAnsi="Arial" w:cs="Arial"/>
          <w:b/>
          <w:i/>
          <w:sz w:val="24"/>
          <w:szCs w:val="24"/>
        </w:rPr>
        <w:t xml:space="preserve">Review the statistics for recent leavers within your organisation to see if there are any trends such as reasons for leaving, business areas, demographic of leavers. Use this information to suggest retention initiatives relevant to your organisation. </w:t>
      </w:r>
    </w:p>
    <w:p w:rsidR="00DB39D7" w:rsidRDefault="00DB39D7" w:rsidP="009871C4">
      <w:pPr>
        <w:rPr>
          <w:rFonts w:ascii="Arial" w:eastAsia="Arial" w:hAnsi="Arial" w:cs="Arial"/>
          <w:sz w:val="24"/>
          <w:szCs w:val="24"/>
        </w:rPr>
      </w:pPr>
      <w:r>
        <w:rPr>
          <w:rFonts w:ascii="Arial" w:eastAsia="Arial" w:hAnsi="Arial" w:cs="Arial"/>
          <w:sz w:val="24"/>
          <w:szCs w:val="24"/>
        </w:rPr>
        <w:lastRenderedPageBreak/>
        <w:t xml:space="preserve">In 2012, </w:t>
      </w:r>
      <w:r w:rsidR="00520BF0">
        <w:rPr>
          <w:rFonts w:ascii="Arial" w:eastAsia="Arial" w:hAnsi="Arial" w:cs="Arial"/>
          <w:sz w:val="24"/>
          <w:szCs w:val="24"/>
        </w:rPr>
        <w:t>NPTCBC</w:t>
      </w:r>
      <w:r>
        <w:rPr>
          <w:rFonts w:ascii="Arial" w:eastAsia="Arial" w:hAnsi="Arial" w:cs="Arial"/>
          <w:sz w:val="24"/>
          <w:szCs w:val="24"/>
        </w:rPr>
        <w:t xml:space="preserve"> introduced an exit questionnaire process that would issue to all employees leaving the Council. As part of this process, HR reviewed what </w:t>
      </w:r>
      <w:r w:rsidR="00520BF0">
        <w:rPr>
          <w:rFonts w:ascii="Arial" w:eastAsia="Arial" w:hAnsi="Arial" w:cs="Arial"/>
          <w:sz w:val="24"/>
          <w:szCs w:val="24"/>
        </w:rPr>
        <w:t>data</w:t>
      </w:r>
      <w:r>
        <w:rPr>
          <w:rFonts w:ascii="Arial" w:eastAsia="Arial" w:hAnsi="Arial" w:cs="Arial"/>
          <w:sz w:val="24"/>
          <w:szCs w:val="24"/>
        </w:rPr>
        <w:t xml:space="preserve"> is currently held</w:t>
      </w:r>
      <w:r w:rsidR="00520BF0">
        <w:rPr>
          <w:rFonts w:ascii="Arial" w:eastAsia="Arial" w:hAnsi="Arial" w:cs="Arial"/>
          <w:sz w:val="24"/>
          <w:szCs w:val="24"/>
        </w:rPr>
        <w:t xml:space="preserve"> for identifying leaving reasons </w:t>
      </w:r>
      <w:r>
        <w:rPr>
          <w:rFonts w:ascii="Arial" w:eastAsia="Arial" w:hAnsi="Arial" w:cs="Arial"/>
          <w:sz w:val="24"/>
          <w:szCs w:val="24"/>
        </w:rPr>
        <w:t>with the m</w:t>
      </w:r>
      <w:r w:rsidR="00520BF0">
        <w:rPr>
          <w:rFonts w:ascii="Arial" w:eastAsia="Arial" w:hAnsi="Arial" w:cs="Arial"/>
          <w:sz w:val="24"/>
          <w:szCs w:val="24"/>
        </w:rPr>
        <w:t>ajority of leavers specifying resignation</w:t>
      </w:r>
      <w:r>
        <w:rPr>
          <w:rFonts w:ascii="Arial" w:eastAsia="Arial" w:hAnsi="Arial" w:cs="Arial"/>
          <w:sz w:val="24"/>
          <w:szCs w:val="24"/>
        </w:rPr>
        <w:t xml:space="preserve"> only. Following this review, </w:t>
      </w:r>
      <w:proofErr w:type="gramStart"/>
      <w:r>
        <w:rPr>
          <w:rFonts w:ascii="Arial" w:eastAsia="Arial" w:hAnsi="Arial" w:cs="Arial"/>
          <w:sz w:val="24"/>
          <w:szCs w:val="24"/>
        </w:rPr>
        <w:t>It</w:t>
      </w:r>
      <w:proofErr w:type="gramEnd"/>
      <w:r>
        <w:rPr>
          <w:rFonts w:ascii="Arial" w:eastAsia="Arial" w:hAnsi="Arial" w:cs="Arial"/>
          <w:sz w:val="24"/>
          <w:szCs w:val="24"/>
        </w:rPr>
        <w:t xml:space="preserve"> was agreed to expand our current list of </w:t>
      </w:r>
      <w:r w:rsidR="00520BF0">
        <w:rPr>
          <w:rFonts w:ascii="Arial" w:eastAsia="Arial" w:hAnsi="Arial" w:cs="Arial"/>
          <w:sz w:val="24"/>
          <w:szCs w:val="24"/>
        </w:rPr>
        <w:t xml:space="preserve">leaving reasons </w:t>
      </w:r>
      <w:r>
        <w:rPr>
          <w:rFonts w:ascii="Arial" w:eastAsia="Arial" w:hAnsi="Arial" w:cs="Arial"/>
          <w:sz w:val="24"/>
          <w:szCs w:val="24"/>
        </w:rPr>
        <w:t>used for processing terminations using our H</w:t>
      </w:r>
      <w:r w:rsidR="00520BF0">
        <w:rPr>
          <w:rFonts w:ascii="Arial" w:eastAsia="Arial" w:hAnsi="Arial" w:cs="Arial"/>
          <w:sz w:val="24"/>
          <w:szCs w:val="24"/>
        </w:rPr>
        <w:t>R/Payroll system</w:t>
      </w:r>
      <w:r>
        <w:rPr>
          <w:rFonts w:ascii="Arial" w:eastAsia="Arial" w:hAnsi="Arial" w:cs="Arial"/>
          <w:sz w:val="24"/>
          <w:szCs w:val="24"/>
        </w:rPr>
        <w:t>. This process would provide us with more accurate leaving</w:t>
      </w:r>
      <w:r w:rsidR="00520BF0">
        <w:rPr>
          <w:rFonts w:ascii="Arial" w:eastAsia="Arial" w:hAnsi="Arial" w:cs="Arial"/>
          <w:sz w:val="24"/>
          <w:szCs w:val="24"/>
        </w:rPr>
        <w:t xml:space="preserve"> reasons</w:t>
      </w:r>
      <w:r>
        <w:rPr>
          <w:rFonts w:ascii="Arial" w:eastAsia="Arial" w:hAnsi="Arial" w:cs="Arial"/>
          <w:sz w:val="24"/>
          <w:szCs w:val="24"/>
        </w:rPr>
        <w:t xml:space="preserve"> as well as enhanced data for monitoring data for those who leave the Council</w:t>
      </w:r>
      <w:r w:rsidR="00520BF0">
        <w:rPr>
          <w:rFonts w:ascii="Arial" w:eastAsia="Arial" w:hAnsi="Arial" w:cs="Arial"/>
          <w:sz w:val="24"/>
          <w:szCs w:val="24"/>
        </w:rPr>
        <w:t>.</w:t>
      </w:r>
    </w:p>
    <w:p w:rsidR="00DB39D7" w:rsidRDefault="00D175D0" w:rsidP="009871C4">
      <w:pPr>
        <w:rPr>
          <w:rFonts w:ascii="Arial" w:eastAsia="Arial" w:hAnsi="Arial" w:cs="Arial"/>
          <w:sz w:val="24"/>
          <w:szCs w:val="24"/>
        </w:rPr>
      </w:pPr>
      <w:r>
        <w:rPr>
          <w:rFonts w:ascii="Arial" w:eastAsia="Arial" w:hAnsi="Arial" w:cs="Arial"/>
          <w:sz w:val="24"/>
          <w:szCs w:val="24"/>
        </w:rPr>
        <w:t>I run a report using the Council’s bi-query reporting tool on the Education, Leisure and Lifelong Learning, as this is the largest directorate within the Council, employing nearly 2,500 employees. The data was run from the period of 1</w:t>
      </w:r>
      <w:r w:rsidRPr="00D175D0">
        <w:rPr>
          <w:rFonts w:ascii="Arial" w:eastAsia="Arial" w:hAnsi="Arial" w:cs="Arial"/>
          <w:sz w:val="24"/>
          <w:szCs w:val="24"/>
          <w:vertAlign w:val="superscript"/>
        </w:rPr>
        <w:t>st</w:t>
      </w:r>
      <w:r>
        <w:rPr>
          <w:rFonts w:ascii="Arial" w:eastAsia="Arial" w:hAnsi="Arial" w:cs="Arial"/>
          <w:sz w:val="24"/>
          <w:szCs w:val="24"/>
        </w:rPr>
        <w:t xml:space="preserve"> April 2020 to 31</w:t>
      </w:r>
      <w:r w:rsidRPr="00D175D0">
        <w:rPr>
          <w:rFonts w:ascii="Arial" w:eastAsia="Arial" w:hAnsi="Arial" w:cs="Arial"/>
          <w:sz w:val="24"/>
          <w:szCs w:val="24"/>
          <w:vertAlign w:val="superscript"/>
        </w:rPr>
        <w:t>st</w:t>
      </w:r>
      <w:r>
        <w:rPr>
          <w:rFonts w:ascii="Arial" w:eastAsia="Arial" w:hAnsi="Arial" w:cs="Arial"/>
          <w:sz w:val="24"/>
          <w:szCs w:val="24"/>
        </w:rPr>
        <w:t xml:space="preserve"> March 2021. As you can see from the below data run on leaving reasons, the majority of employees have left due to end of temporary contract and resignation – promotion opportunity elsewhere. </w:t>
      </w:r>
    </w:p>
    <w:p w:rsidR="00D175D0" w:rsidRDefault="00D175D0" w:rsidP="009871C4">
      <w:pPr>
        <w:rPr>
          <w:rFonts w:ascii="Arial" w:eastAsia="Arial" w:hAnsi="Arial" w:cs="Arial"/>
          <w:sz w:val="24"/>
          <w:szCs w:val="24"/>
        </w:rPr>
      </w:pPr>
      <w:r>
        <w:rPr>
          <w:rFonts w:ascii="Arial" w:eastAsia="Arial" w:hAnsi="Arial" w:cs="Arial"/>
          <w:sz w:val="24"/>
          <w:szCs w:val="24"/>
        </w:rPr>
        <w:t>A lot of the positions within this Directorate are lower graded salaries, which includes Kitchen and Cleaning roles within a school setting. These roles are term time specific which doesn’t attract a high calibre of applicants, sometimes only those with child care commitments/school aged children.</w:t>
      </w:r>
      <w:r w:rsidR="005D16E7">
        <w:rPr>
          <w:rFonts w:ascii="Arial" w:eastAsia="Arial" w:hAnsi="Arial" w:cs="Arial"/>
          <w:sz w:val="24"/>
          <w:szCs w:val="24"/>
        </w:rPr>
        <w:t xml:space="preserve"> Many have left due to obtaining promotion elsewhere, but I believe that with a robust induction programme in place, many employees would feel satisfied and therefore, not choose to seek alternative employment outside of the Council. </w:t>
      </w:r>
    </w:p>
    <w:p w:rsidR="00F94B10" w:rsidRDefault="00F94B10" w:rsidP="009871C4">
      <w:pPr>
        <w:rPr>
          <w:rFonts w:ascii="Arial" w:eastAsia="Arial" w:hAnsi="Arial" w:cs="Arial"/>
          <w:sz w:val="24"/>
          <w:szCs w:val="24"/>
        </w:rPr>
      </w:pPr>
      <w:r>
        <w:rPr>
          <w:rFonts w:ascii="Arial" w:eastAsia="Arial" w:hAnsi="Arial" w:cs="Arial"/>
          <w:sz w:val="24"/>
          <w:szCs w:val="24"/>
        </w:rPr>
        <w:t>Without these employees, Council School settings would find it difficult to provide the service that is required.</w:t>
      </w:r>
    </w:p>
    <w:p w:rsidR="00F830A9" w:rsidRDefault="00F830A9" w:rsidP="009871C4">
      <w:pPr>
        <w:rPr>
          <w:rFonts w:ascii="Arial" w:eastAsia="Arial" w:hAnsi="Arial" w:cs="Arial"/>
          <w:sz w:val="24"/>
          <w:szCs w:val="24"/>
        </w:rPr>
      </w:pPr>
      <w:r>
        <w:rPr>
          <w:noProof/>
          <w:lang w:eastAsia="en-GB"/>
        </w:rPr>
        <w:drawing>
          <wp:inline distT="0" distB="0" distL="0" distR="0" wp14:anchorId="5D311FFD" wp14:editId="7164EB09">
            <wp:extent cx="5734050" cy="4127500"/>
            <wp:effectExtent l="0" t="0" r="0" b="635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5"/>
              </a:graphicData>
            </a:graphic>
          </wp:inline>
        </w:drawing>
      </w:r>
    </w:p>
    <w:p w:rsidR="009871C4" w:rsidRDefault="009871C4" w:rsidP="00F94B10">
      <w:pPr>
        <w:rPr>
          <w:rFonts w:ascii="Arial" w:eastAsia="Arial" w:hAnsi="Arial" w:cs="Arial"/>
          <w:b/>
          <w:i/>
          <w:sz w:val="24"/>
          <w:szCs w:val="24"/>
        </w:rPr>
      </w:pPr>
      <w:r w:rsidRPr="00F94B10">
        <w:rPr>
          <w:rFonts w:ascii="Arial" w:eastAsia="Arial" w:hAnsi="Arial" w:cs="Arial"/>
          <w:b/>
          <w:i/>
          <w:sz w:val="24"/>
          <w:szCs w:val="24"/>
        </w:rPr>
        <w:lastRenderedPageBreak/>
        <w:t>Discuss your development needs with your line manager in relation to resourcing and talent planning, using the CIPD</w:t>
      </w:r>
      <w:bookmarkStart w:id="0" w:name="_GoBack"/>
      <w:bookmarkEnd w:id="0"/>
      <w:r w:rsidRPr="00F94B10">
        <w:rPr>
          <w:rFonts w:ascii="Arial" w:eastAsia="Arial" w:hAnsi="Arial" w:cs="Arial"/>
          <w:b/>
          <w:i/>
          <w:sz w:val="24"/>
          <w:szCs w:val="24"/>
        </w:rPr>
        <w:t xml:space="preserve"> Profession Map as a basis for your discussion. Consider whether or not your skills in this area require improvement. </w:t>
      </w:r>
    </w:p>
    <w:p w:rsidR="0054227E" w:rsidRDefault="0054227E" w:rsidP="0054227E">
      <w:pPr>
        <w:rPr>
          <w:rFonts w:ascii="Arial" w:hAnsi="Arial" w:cs="Arial"/>
          <w:color w:val="000000"/>
          <w:sz w:val="24"/>
          <w:szCs w:val="24"/>
        </w:rPr>
      </w:pPr>
      <w:r>
        <w:rPr>
          <w:rFonts w:ascii="Arial" w:hAnsi="Arial" w:cs="Arial"/>
          <w:color w:val="000000"/>
          <w:sz w:val="24"/>
          <w:szCs w:val="24"/>
        </w:rPr>
        <w:t>CIPD (2018) profession map ou</w:t>
      </w:r>
      <w:r w:rsidR="0007774D">
        <w:rPr>
          <w:rFonts w:ascii="Arial" w:hAnsi="Arial" w:cs="Arial"/>
          <w:color w:val="000000"/>
          <w:sz w:val="24"/>
          <w:szCs w:val="24"/>
        </w:rPr>
        <w:t>tlines standards within the specialist</w:t>
      </w:r>
      <w:r>
        <w:rPr>
          <w:rFonts w:ascii="Arial" w:hAnsi="Arial" w:cs="Arial"/>
          <w:color w:val="000000"/>
          <w:sz w:val="24"/>
          <w:szCs w:val="24"/>
        </w:rPr>
        <w:t xml:space="preserve"> knowl</w:t>
      </w:r>
      <w:r w:rsidR="0007774D">
        <w:rPr>
          <w:rFonts w:ascii="Arial" w:hAnsi="Arial" w:cs="Arial"/>
          <w:color w:val="000000"/>
          <w:sz w:val="24"/>
          <w:szCs w:val="24"/>
        </w:rPr>
        <w:t>edge area which covers both “resourcing” and “talent management”</w:t>
      </w:r>
      <w:r>
        <w:rPr>
          <w:rFonts w:ascii="Arial" w:hAnsi="Arial" w:cs="Arial"/>
          <w:color w:val="000000"/>
          <w:sz w:val="24"/>
          <w:szCs w:val="24"/>
        </w:rPr>
        <w:t xml:space="preserve">. </w:t>
      </w:r>
    </w:p>
    <w:p w:rsidR="0054227E" w:rsidRDefault="001A6AF3" w:rsidP="0054227E">
      <w:pPr>
        <w:rPr>
          <w:rFonts w:ascii="Arial" w:hAnsi="Arial" w:cs="Arial"/>
          <w:color w:val="000000"/>
          <w:sz w:val="24"/>
          <w:szCs w:val="24"/>
        </w:rPr>
      </w:pPr>
      <w:r>
        <w:rPr>
          <w:rFonts w:ascii="Arial" w:hAnsi="Arial" w:cs="Arial"/>
          <w:color w:val="000000"/>
          <w:sz w:val="24"/>
          <w:szCs w:val="24"/>
        </w:rPr>
        <w:t xml:space="preserve">Following my new role as HR Business Manager since November 2020, I have had great experience in working with a team that specifically deals with both recruitment and resourcing work. Since my appointment, I have had the opportunity to attend various recruitment – show and tell webinars, </w:t>
      </w:r>
      <w:r w:rsidR="003F28F2">
        <w:rPr>
          <w:rFonts w:ascii="Arial" w:hAnsi="Arial" w:cs="Arial"/>
          <w:color w:val="000000"/>
          <w:sz w:val="24"/>
          <w:szCs w:val="24"/>
        </w:rPr>
        <w:t>as well as providing current input into the development of our new HR/Payroll system/recruitment database.</w:t>
      </w:r>
    </w:p>
    <w:p w:rsidR="003F28F2" w:rsidRDefault="003F28F2" w:rsidP="0054227E">
      <w:pPr>
        <w:rPr>
          <w:rFonts w:ascii="Arial" w:hAnsi="Arial" w:cs="Arial"/>
          <w:color w:val="000000"/>
          <w:sz w:val="24"/>
          <w:szCs w:val="24"/>
        </w:rPr>
      </w:pPr>
      <w:r>
        <w:rPr>
          <w:rFonts w:ascii="Arial" w:hAnsi="Arial" w:cs="Arial"/>
          <w:color w:val="000000"/>
          <w:sz w:val="24"/>
          <w:szCs w:val="24"/>
        </w:rPr>
        <w:t>This has included my involvement with recently introducing the new recruitment system to managers and providing them with up</w:t>
      </w:r>
      <w:r w:rsidR="0083096A">
        <w:rPr>
          <w:rFonts w:ascii="Arial" w:hAnsi="Arial" w:cs="Arial"/>
          <w:color w:val="000000"/>
          <w:sz w:val="24"/>
          <w:szCs w:val="24"/>
        </w:rPr>
        <w:t>dates on any resourcing changes that are occurring in line with the new system.</w:t>
      </w:r>
    </w:p>
    <w:p w:rsidR="00F94B10" w:rsidRPr="00F94B10" w:rsidRDefault="003F28F2" w:rsidP="00F94B10">
      <w:pPr>
        <w:rPr>
          <w:rFonts w:ascii="Arial" w:hAnsi="Arial" w:cs="Arial"/>
          <w:color w:val="000000"/>
          <w:sz w:val="24"/>
          <w:szCs w:val="24"/>
        </w:rPr>
      </w:pPr>
      <w:r>
        <w:rPr>
          <w:rFonts w:ascii="Arial" w:hAnsi="Arial" w:cs="Arial"/>
          <w:color w:val="000000"/>
          <w:sz w:val="24"/>
          <w:szCs w:val="24"/>
        </w:rPr>
        <w:t>I feel I have gained a lot of insight and knowledge</w:t>
      </w:r>
      <w:r w:rsidR="002C638F">
        <w:rPr>
          <w:rFonts w:ascii="Arial" w:hAnsi="Arial" w:cs="Arial"/>
          <w:color w:val="000000"/>
          <w:sz w:val="24"/>
          <w:szCs w:val="24"/>
        </w:rPr>
        <w:t xml:space="preserve"> </w:t>
      </w:r>
      <w:r w:rsidR="0083096A">
        <w:rPr>
          <w:rFonts w:ascii="Arial" w:hAnsi="Arial" w:cs="Arial"/>
          <w:color w:val="000000"/>
          <w:sz w:val="24"/>
          <w:szCs w:val="24"/>
        </w:rPr>
        <w:t>on the resourcing element of this module, however, I still have much to learn on the talent management processes and aim to develop my knowledge within this field.</w:t>
      </w:r>
    </w:p>
    <w:p w:rsidR="009871C4" w:rsidRPr="00F31371" w:rsidRDefault="009871C4" w:rsidP="00F31371">
      <w:pPr>
        <w:autoSpaceDE w:val="0"/>
        <w:autoSpaceDN w:val="0"/>
        <w:adjustRightInd w:val="0"/>
        <w:spacing w:after="0" w:line="240" w:lineRule="auto"/>
        <w:rPr>
          <w:rFonts w:ascii="Arial" w:hAnsi="Arial" w:cs="Arial"/>
          <w:color w:val="000000"/>
        </w:rPr>
      </w:pPr>
    </w:p>
    <w:p w:rsidR="001C0E31" w:rsidRDefault="001C0E31">
      <w:pPr>
        <w:rPr>
          <w:rFonts w:ascii="Arial" w:hAnsi="Arial" w:cs="Arial"/>
          <w:b/>
          <w:sz w:val="24"/>
          <w:szCs w:val="24"/>
        </w:rPr>
      </w:pPr>
      <w:r>
        <w:rPr>
          <w:rFonts w:ascii="Arial" w:hAnsi="Arial" w:cs="Arial"/>
          <w:b/>
          <w:sz w:val="24"/>
          <w:szCs w:val="24"/>
        </w:rPr>
        <w:t>References</w:t>
      </w:r>
    </w:p>
    <w:p w:rsidR="0007774D" w:rsidRDefault="0007774D" w:rsidP="000B5EBD">
      <w:pPr>
        <w:pStyle w:val="NormalWeb"/>
        <w:rPr>
          <w:rFonts w:asciiTheme="minorHAnsi" w:hAnsiTheme="minorHAnsi" w:cstheme="minorHAnsi"/>
          <w:noProof/>
          <w:lang w:val="en-US"/>
        </w:rPr>
      </w:pPr>
      <w:r>
        <w:rPr>
          <w:rFonts w:asciiTheme="minorHAnsi" w:hAnsiTheme="minorHAnsi" w:cstheme="minorHAnsi"/>
          <w:noProof/>
          <w:lang w:val="en-US"/>
        </w:rPr>
        <w:t xml:space="preserve">CIPD. (2018). </w:t>
      </w:r>
      <w:r w:rsidRPr="0007774D">
        <w:rPr>
          <w:rFonts w:asciiTheme="minorHAnsi" w:hAnsiTheme="minorHAnsi" w:cstheme="minorHAnsi"/>
          <w:i/>
          <w:noProof/>
          <w:lang w:val="en-US"/>
        </w:rPr>
        <w:t>New profession map</w:t>
      </w:r>
      <w:r>
        <w:rPr>
          <w:rFonts w:asciiTheme="minorHAnsi" w:hAnsiTheme="minorHAnsi" w:cstheme="minorHAnsi"/>
          <w:noProof/>
          <w:lang w:val="en-US"/>
        </w:rPr>
        <w:t xml:space="preserve"> (Online) Available at: </w:t>
      </w:r>
      <w:hyperlink r:id="rId6" w:history="1">
        <w:r w:rsidRPr="00710BB3">
          <w:rPr>
            <w:rStyle w:val="Hyperlink"/>
            <w:rFonts w:asciiTheme="minorHAnsi" w:hAnsiTheme="minorHAnsi" w:cstheme="minorHAnsi"/>
            <w:noProof/>
            <w:lang w:val="en-US"/>
          </w:rPr>
          <w:t>https://peopleprofession.cipd.org/profession-map</w:t>
        </w:r>
      </w:hyperlink>
      <w:r>
        <w:rPr>
          <w:rFonts w:asciiTheme="minorHAnsi" w:hAnsiTheme="minorHAnsi" w:cstheme="minorHAnsi"/>
          <w:noProof/>
          <w:lang w:val="en-US"/>
        </w:rPr>
        <w:t xml:space="preserve"> (Accessed 02 June 2021)</w:t>
      </w:r>
    </w:p>
    <w:p w:rsidR="000B5EBD" w:rsidRDefault="000B5EBD" w:rsidP="000B5EBD">
      <w:pPr>
        <w:pStyle w:val="NormalWeb"/>
        <w:rPr>
          <w:rFonts w:asciiTheme="minorHAnsi" w:hAnsiTheme="minorHAnsi" w:cstheme="minorHAnsi"/>
          <w:noProof/>
          <w:lang w:val="en-US"/>
        </w:rPr>
      </w:pPr>
      <w:r w:rsidRPr="00FB0B55">
        <w:rPr>
          <w:rFonts w:asciiTheme="minorHAnsi" w:hAnsiTheme="minorHAnsi" w:cstheme="minorHAnsi"/>
          <w:noProof/>
          <w:lang w:val="en-US"/>
        </w:rPr>
        <w:t xml:space="preserve">CIPD. (2020a). </w:t>
      </w:r>
      <w:r w:rsidRPr="00FB0B55">
        <w:rPr>
          <w:rFonts w:asciiTheme="minorHAnsi" w:hAnsiTheme="minorHAnsi" w:cstheme="minorHAnsi"/>
          <w:i/>
          <w:noProof/>
          <w:lang w:val="en-US"/>
        </w:rPr>
        <w:t xml:space="preserve">Workforce planning </w:t>
      </w:r>
      <w:r w:rsidRPr="00FB0B55">
        <w:rPr>
          <w:rFonts w:asciiTheme="minorHAnsi" w:hAnsiTheme="minorHAnsi" w:cstheme="minorHAnsi"/>
          <w:noProof/>
          <w:lang w:val="en-US"/>
        </w:rPr>
        <w:t xml:space="preserve">(Online) Available at: </w:t>
      </w:r>
      <w:hyperlink r:id="rId7" w:anchor="8049" w:history="1">
        <w:r w:rsidRPr="006E3F04">
          <w:rPr>
            <w:rStyle w:val="Hyperlink"/>
            <w:rFonts w:asciiTheme="minorHAnsi" w:hAnsiTheme="minorHAnsi" w:cstheme="minorHAnsi"/>
            <w:noProof/>
            <w:lang w:val="en-US"/>
          </w:rPr>
          <w:t>https://www.cipd.co.uk/knowledge/strategy/organisational-development/workforce-planning-factsheet#8049</w:t>
        </w:r>
      </w:hyperlink>
      <w:r>
        <w:rPr>
          <w:rFonts w:asciiTheme="minorHAnsi" w:hAnsiTheme="minorHAnsi" w:cstheme="minorHAnsi"/>
          <w:noProof/>
          <w:lang w:val="en-US"/>
        </w:rPr>
        <w:t xml:space="preserve"> </w:t>
      </w:r>
      <w:r w:rsidRPr="00FB0B55">
        <w:rPr>
          <w:rFonts w:asciiTheme="minorHAnsi" w:hAnsiTheme="minorHAnsi" w:cstheme="minorHAnsi"/>
          <w:noProof/>
          <w:lang w:val="en-US"/>
        </w:rPr>
        <w:t>(Acces</w:t>
      </w:r>
      <w:r>
        <w:rPr>
          <w:rFonts w:asciiTheme="minorHAnsi" w:hAnsiTheme="minorHAnsi" w:cstheme="minorHAnsi"/>
          <w:noProof/>
          <w:lang w:val="en-US"/>
        </w:rPr>
        <w:t>sed 01 June</w:t>
      </w:r>
      <w:r w:rsidRPr="00FB0B55">
        <w:rPr>
          <w:rFonts w:asciiTheme="minorHAnsi" w:hAnsiTheme="minorHAnsi" w:cstheme="minorHAnsi"/>
          <w:noProof/>
          <w:lang w:val="en-US"/>
        </w:rPr>
        <w:t xml:space="preserve"> 2021)</w:t>
      </w:r>
    </w:p>
    <w:p w:rsidR="003146C0" w:rsidRDefault="002668D6">
      <w:pPr>
        <w:rPr>
          <w:rFonts w:cstheme="minorHAnsi"/>
          <w:sz w:val="24"/>
          <w:szCs w:val="24"/>
        </w:rPr>
      </w:pPr>
      <w:r>
        <w:rPr>
          <w:rFonts w:cstheme="minorHAnsi"/>
          <w:sz w:val="24"/>
          <w:szCs w:val="24"/>
        </w:rPr>
        <w:t>NPTCBC. (2008</w:t>
      </w:r>
      <w:r w:rsidR="003146C0" w:rsidRPr="003146C0">
        <w:rPr>
          <w:rFonts w:cstheme="minorHAnsi"/>
          <w:sz w:val="24"/>
          <w:szCs w:val="24"/>
        </w:rPr>
        <w:t xml:space="preserve">). </w:t>
      </w:r>
      <w:r w:rsidR="003146C0" w:rsidRPr="003146C0">
        <w:rPr>
          <w:rFonts w:cstheme="minorHAnsi"/>
          <w:i/>
          <w:sz w:val="24"/>
          <w:szCs w:val="24"/>
        </w:rPr>
        <w:t>Succession planning</w:t>
      </w:r>
      <w:r w:rsidR="003146C0" w:rsidRPr="003146C0">
        <w:rPr>
          <w:rFonts w:cstheme="minorHAnsi"/>
          <w:sz w:val="24"/>
          <w:szCs w:val="24"/>
        </w:rPr>
        <w:t xml:space="preserve"> (Online) Available at: </w:t>
      </w:r>
      <w:hyperlink r:id="rId8" w:history="1">
        <w:r w:rsidR="003146C0" w:rsidRPr="003146C0">
          <w:rPr>
            <w:rStyle w:val="Hyperlink"/>
            <w:rFonts w:cstheme="minorHAnsi"/>
            <w:sz w:val="24"/>
            <w:szCs w:val="24"/>
          </w:rPr>
          <w:t>http://umbraco.npt.gov.uk:700/1996</w:t>
        </w:r>
      </w:hyperlink>
      <w:r w:rsidR="003146C0" w:rsidRPr="003146C0">
        <w:rPr>
          <w:rFonts w:cstheme="minorHAnsi"/>
          <w:sz w:val="24"/>
          <w:szCs w:val="24"/>
        </w:rPr>
        <w:t xml:space="preserve"> (Accessed 01 June 2021)</w:t>
      </w:r>
    </w:p>
    <w:p w:rsidR="002668D6" w:rsidRPr="003146C0" w:rsidRDefault="002668D6">
      <w:pPr>
        <w:rPr>
          <w:rFonts w:cstheme="minorHAnsi"/>
          <w:sz w:val="24"/>
          <w:szCs w:val="24"/>
        </w:rPr>
      </w:pPr>
      <w:r>
        <w:rPr>
          <w:rFonts w:cstheme="minorHAnsi"/>
          <w:sz w:val="24"/>
          <w:szCs w:val="24"/>
        </w:rPr>
        <w:t xml:space="preserve">NPTCBC. (2019). </w:t>
      </w:r>
      <w:r w:rsidRPr="002668D6">
        <w:rPr>
          <w:rFonts w:cstheme="minorHAnsi"/>
          <w:i/>
          <w:sz w:val="24"/>
          <w:szCs w:val="24"/>
        </w:rPr>
        <w:t>Performance Appraisal</w:t>
      </w:r>
      <w:r>
        <w:rPr>
          <w:rFonts w:cstheme="minorHAnsi"/>
          <w:sz w:val="24"/>
          <w:szCs w:val="24"/>
        </w:rPr>
        <w:t xml:space="preserve"> (Online) Available at: </w:t>
      </w:r>
      <w:hyperlink r:id="rId9" w:history="1">
        <w:r w:rsidRPr="009E1BA7">
          <w:rPr>
            <w:rStyle w:val="Hyperlink"/>
            <w:rFonts w:cstheme="minorHAnsi"/>
            <w:sz w:val="24"/>
            <w:szCs w:val="24"/>
          </w:rPr>
          <w:t>http://umbraco.npt.gov.uk:700/1964</w:t>
        </w:r>
      </w:hyperlink>
      <w:r>
        <w:rPr>
          <w:rFonts w:cstheme="minorHAnsi"/>
          <w:sz w:val="24"/>
          <w:szCs w:val="24"/>
        </w:rPr>
        <w:t xml:space="preserve"> (Accessed 01 June 2021)</w:t>
      </w:r>
    </w:p>
    <w:p w:rsidR="003146C0" w:rsidRPr="00525073" w:rsidRDefault="003146C0" w:rsidP="003146C0">
      <w:pPr>
        <w:ind w:left="-76"/>
        <w:rPr>
          <w:noProof/>
          <w:sz w:val="24"/>
          <w:szCs w:val="24"/>
          <w:lang w:val="en-US"/>
        </w:rPr>
      </w:pPr>
      <w:r>
        <w:rPr>
          <w:noProof/>
          <w:sz w:val="24"/>
          <w:szCs w:val="24"/>
          <w:lang w:val="en-US"/>
        </w:rPr>
        <w:t xml:space="preserve">Wilkinson, K &amp; Taylor, S., 2016. </w:t>
      </w:r>
      <w:r w:rsidRPr="00525073">
        <w:rPr>
          <w:i/>
          <w:noProof/>
          <w:sz w:val="24"/>
          <w:szCs w:val="24"/>
          <w:lang w:val="en-US"/>
        </w:rPr>
        <w:t xml:space="preserve">Resourcing and talent planning </w:t>
      </w:r>
      <w:r>
        <w:rPr>
          <w:noProof/>
          <w:sz w:val="24"/>
          <w:szCs w:val="24"/>
          <w:lang w:val="en-US"/>
        </w:rPr>
        <w:t xml:space="preserve">In. </w:t>
      </w:r>
      <w:r w:rsidRPr="00525073">
        <w:rPr>
          <w:iCs/>
          <w:noProof/>
          <w:sz w:val="24"/>
          <w:szCs w:val="24"/>
          <w:lang w:val="en-US"/>
        </w:rPr>
        <w:t xml:space="preserve">Human Resource Management: People and organisations. </w:t>
      </w:r>
      <w:r w:rsidRPr="00525073">
        <w:rPr>
          <w:noProof/>
          <w:sz w:val="24"/>
          <w:szCs w:val="24"/>
          <w:lang w:val="en-US"/>
        </w:rPr>
        <w:t>2nd</w:t>
      </w:r>
      <w:r>
        <w:rPr>
          <w:noProof/>
          <w:sz w:val="24"/>
          <w:szCs w:val="24"/>
          <w:lang w:val="en-US"/>
        </w:rPr>
        <w:t xml:space="preserve"> ed. London: CIPD, pp 51-61.</w:t>
      </w:r>
    </w:p>
    <w:p w:rsidR="000B5EBD" w:rsidRPr="00417495" w:rsidRDefault="000B5EBD" w:rsidP="000B5EBD">
      <w:pPr>
        <w:ind w:left="-76"/>
        <w:rPr>
          <w:rFonts w:cstheme="minorHAnsi"/>
          <w:noProof/>
          <w:sz w:val="24"/>
          <w:szCs w:val="24"/>
        </w:rPr>
      </w:pPr>
      <w:r w:rsidRPr="00417495">
        <w:rPr>
          <w:rFonts w:cstheme="minorHAnsi"/>
          <w:noProof/>
          <w:sz w:val="24"/>
          <w:szCs w:val="24"/>
          <w:lang w:val="en-US"/>
        </w:rPr>
        <w:t xml:space="preserve">Ulrich, D. (2019). </w:t>
      </w:r>
      <w:r w:rsidRPr="00417495">
        <w:rPr>
          <w:rFonts w:cstheme="minorHAnsi"/>
          <w:i/>
          <w:noProof/>
          <w:sz w:val="24"/>
          <w:szCs w:val="24"/>
          <w:lang w:val="en-US"/>
        </w:rPr>
        <w:t xml:space="preserve">From workforce to worktask planning. </w:t>
      </w:r>
      <w:r w:rsidRPr="00417495">
        <w:rPr>
          <w:rFonts w:cstheme="minorHAnsi"/>
          <w:noProof/>
          <w:sz w:val="24"/>
          <w:szCs w:val="24"/>
          <w:lang w:val="en-US"/>
        </w:rPr>
        <w:t>Linkedin.</w:t>
      </w:r>
    </w:p>
    <w:p w:rsidR="003146C0" w:rsidRPr="003146C0" w:rsidRDefault="003146C0">
      <w:pPr>
        <w:rPr>
          <w:rFonts w:ascii="Arial" w:hAnsi="Arial" w:cs="Arial"/>
          <w:sz w:val="24"/>
          <w:szCs w:val="24"/>
        </w:rPr>
      </w:pPr>
    </w:p>
    <w:sectPr w:rsidR="003146C0" w:rsidRPr="003146C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CC18FD"/>
    <w:multiLevelType w:val="hybridMultilevel"/>
    <w:tmpl w:val="CC5ED2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D71084"/>
    <w:multiLevelType w:val="hybridMultilevel"/>
    <w:tmpl w:val="1854D1C8"/>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F4A18F1"/>
    <w:multiLevelType w:val="hybridMultilevel"/>
    <w:tmpl w:val="3A46F16A"/>
    <w:lvl w:ilvl="0" w:tplc="6348176E">
      <w:start w:val="1"/>
      <w:numFmt w:val="lowerLetter"/>
      <w:lvlText w:val="%1."/>
      <w:lvlJc w:val="left"/>
      <w:pPr>
        <w:ind w:left="718" w:hanging="360"/>
      </w:pPr>
      <w:rPr>
        <w:rFonts w:hint="default"/>
      </w:rPr>
    </w:lvl>
    <w:lvl w:ilvl="1" w:tplc="08090019">
      <w:start w:val="1"/>
      <w:numFmt w:val="lowerLetter"/>
      <w:lvlText w:val="%2."/>
      <w:lvlJc w:val="left"/>
      <w:pPr>
        <w:ind w:left="1438" w:hanging="360"/>
      </w:pPr>
    </w:lvl>
    <w:lvl w:ilvl="2" w:tplc="0809001B" w:tentative="1">
      <w:start w:val="1"/>
      <w:numFmt w:val="lowerRoman"/>
      <w:lvlText w:val="%3."/>
      <w:lvlJc w:val="right"/>
      <w:pPr>
        <w:ind w:left="2158" w:hanging="180"/>
      </w:pPr>
    </w:lvl>
    <w:lvl w:ilvl="3" w:tplc="0809000F" w:tentative="1">
      <w:start w:val="1"/>
      <w:numFmt w:val="decimal"/>
      <w:lvlText w:val="%4."/>
      <w:lvlJc w:val="left"/>
      <w:pPr>
        <w:ind w:left="2878" w:hanging="360"/>
      </w:pPr>
    </w:lvl>
    <w:lvl w:ilvl="4" w:tplc="08090019" w:tentative="1">
      <w:start w:val="1"/>
      <w:numFmt w:val="lowerLetter"/>
      <w:lvlText w:val="%5."/>
      <w:lvlJc w:val="left"/>
      <w:pPr>
        <w:ind w:left="3598" w:hanging="360"/>
      </w:pPr>
    </w:lvl>
    <w:lvl w:ilvl="5" w:tplc="0809001B" w:tentative="1">
      <w:start w:val="1"/>
      <w:numFmt w:val="lowerRoman"/>
      <w:lvlText w:val="%6."/>
      <w:lvlJc w:val="right"/>
      <w:pPr>
        <w:ind w:left="4318" w:hanging="180"/>
      </w:pPr>
    </w:lvl>
    <w:lvl w:ilvl="6" w:tplc="0809000F" w:tentative="1">
      <w:start w:val="1"/>
      <w:numFmt w:val="decimal"/>
      <w:lvlText w:val="%7."/>
      <w:lvlJc w:val="left"/>
      <w:pPr>
        <w:ind w:left="5038" w:hanging="360"/>
      </w:pPr>
    </w:lvl>
    <w:lvl w:ilvl="7" w:tplc="08090019" w:tentative="1">
      <w:start w:val="1"/>
      <w:numFmt w:val="lowerLetter"/>
      <w:lvlText w:val="%8."/>
      <w:lvlJc w:val="left"/>
      <w:pPr>
        <w:ind w:left="5758" w:hanging="360"/>
      </w:pPr>
    </w:lvl>
    <w:lvl w:ilvl="8" w:tplc="0809001B" w:tentative="1">
      <w:start w:val="1"/>
      <w:numFmt w:val="lowerRoman"/>
      <w:lvlText w:val="%9."/>
      <w:lvlJc w:val="right"/>
      <w:pPr>
        <w:ind w:left="6478" w:hanging="180"/>
      </w:pPr>
    </w:lvl>
  </w:abstractNum>
  <w:abstractNum w:abstractNumId="3" w15:restartNumberingAfterBreak="0">
    <w:nsid w:val="2E605CAB"/>
    <w:multiLevelType w:val="hybridMultilevel"/>
    <w:tmpl w:val="6DDC1144"/>
    <w:lvl w:ilvl="0" w:tplc="9CC4B65C">
      <w:start w:val="1"/>
      <w:numFmt w:val="decimal"/>
      <w:lvlText w:val="%1."/>
      <w:lvlJc w:val="left"/>
      <w:pPr>
        <w:ind w:left="358" w:hanging="360"/>
      </w:pPr>
      <w:rPr>
        <w:rFonts w:hint="default"/>
      </w:rPr>
    </w:lvl>
    <w:lvl w:ilvl="1" w:tplc="08090019" w:tentative="1">
      <w:start w:val="1"/>
      <w:numFmt w:val="lowerLetter"/>
      <w:lvlText w:val="%2."/>
      <w:lvlJc w:val="left"/>
      <w:pPr>
        <w:ind w:left="1078" w:hanging="360"/>
      </w:pPr>
    </w:lvl>
    <w:lvl w:ilvl="2" w:tplc="0809001B" w:tentative="1">
      <w:start w:val="1"/>
      <w:numFmt w:val="lowerRoman"/>
      <w:lvlText w:val="%3."/>
      <w:lvlJc w:val="right"/>
      <w:pPr>
        <w:ind w:left="1798" w:hanging="180"/>
      </w:pPr>
    </w:lvl>
    <w:lvl w:ilvl="3" w:tplc="0809000F" w:tentative="1">
      <w:start w:val="1"/>
      <w:numFmt w:val="decimal"/>
      <w:lvlText w:val="%4."/>
      <w:lvlJc w:val="left"/>
      <w:pPr>
        <w:ind w:left="2518" w:hanging="360"/>
      </w:pPr>
    </w:lvl>
    <w:lvl w:ilvl="4" w:tplc="08090019" w:tentative="1">
      <w:start w:val="1"/>
      <w:numFmt w:val="lowerLetter"/>
      <w:lvlText w:val="%5."/>
      <w:lvlJc w:val="left"/>
      <w:pPr>
        <w:ind w:left="3238" w:hanging="360"/>
      </w:pPr>
    </w:lvl>
    <w:lvl w:ilvl="5" w:tplc="0809001B" w:tentative="1">
      <w:start w:val="1"/>
      <w:numFmt w:val="lowerRoman"/>
      <w:lvlText w:val="%6."/>
      <w:lvlJc w:val="right"/>
      <w:pPr>
        <w:ind w:left="3958" w:hanging="180"/>
      </w:pPr>
    </w:lvl>
    <w:lvl w:ilvl="6" w:tplc="0809000F" w:tentative="1">
      <w:start w:val="1"/>
      <w:numFmt w:val="decimal"/>
      <w:lvlText w:val="%7."/>
      <w:lvlJc w:val="left"/>
      <w:pPr>
        <w:ind w:left="4678" w:hanging="360"/>
      </w:pPr>
    </w:lvl>
    <w:lvl w:ilvl="7" w:tplc="08090019" w:tentative="1">
      <w:start w:val="1"/>
      <w:numFmt w:val="lowerLetter"/>
      <w:lvlText w:val="%8."/>
      <w:lvlJc w:val="left"/>
      <w:pPr>
        <w:ind w:left="5398" w:hanging="360"/>
      </w:pPr>
    </w:lvl>
    <w:lvl w:ilvl="8" w:tplc="0809001B" w:tentative="1">
      <w:start w:val="1"/>
      <w:numFmt w:val="lowerRoman"/>
      <w:lvlText w:val="%9."/>
      <w:lvlJc w:val="right"/>
      <w:pPr>
        <w:ind w:left="6118" w:hanging="180"/>
      </w:pPr>
    </w:lvl>
  </w:abstractNum>
  <w:abstractNum w:abstractNumId="4" w15:restartNumberingAfterBreak="0">
    <w:nsid w:val="4C6D3153"/>
    <w:multiLevelType w:val="hybridMultilevel"/>
    <w:tmpl w:val="B2FABAC6"/>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322358D"/>
    <w:multiLevelType w:val="hybridMultilevel"/>
    <w:tmpl w:val="43E4ED0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5"/>
  </w:num>
  <w:num w:numId="3">
    <w:abstractNumId w:val="3"/>
  </w:num>
  <w:num w:numId="4">
    <w:abstractNumId w:val="2"/>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379F"/>
    <w:rsid w:val="00021DCC"/>
    <w:rsid w:val="00025ED6"/>
    <w:rsid w:val="0007774D"/>
    <w:rsid w:val="000B5EBD"/>
    <w:rsid w:val="000E5E0C"/>
    <w:rsid w:val="000F11B2"/>
    <w:rsid w:val="00164D34"/>
    <w:rsid w:val="001A6AF3"/>
    <w:rsid w:val="001C0E31"/>
    <w:rsid w:val="001E0A08"/>
    <w:rsid w:val="001F365D"/>
    <w:rsid w:val="002662E8"/>
    <w:rsid w:val="002668D6"/>
    <w:rsid w:val="002C638F"/>
    <w:rsid w:val="00312DDF"/>
    <w:rsid w:val="003146C0"/>
    <w:rsid w:val="003F2193"/>
    <w:rsid w:val="003F28F2"/>
    <w:rsid w:val="0045101F"/>
    <w:rsid w:val="004B0202"/>
    <w:rsid w:val="00516F8E"/>
    <w:rsid w:val="00520BF0"/>
    <w:rsid w:val="00533F94"/>
    <w:rsid w:val="00534A96"/>
    <w:rsid w:val="0054227E"/>
    <w:rsid w:val="00547BFC"/>
    <w:rsid w:val="0056102A"/>
    <w:rsid w:val="005D16E7"/>
    <w:rsid w:val="0083096A"/>
    <w:rsid w:val="008F17FE"/>
    <w:rsid w:val="009871C4"/>
    <w:rsid w:val="00A41125"/>
    <w:rsid w:val="00A90406"/>
    <w:rsid w:val="00A93D35"/>
    <w:rsid w:val="00B10314"/>
    <w:rsid w:val="00B12308"/>
    <w:rsid w:val="00B66ACD"/>
    <w:rsid w:val="00BB6B05"/>
    <w:rsid w:val="00BC103C"/>
    <w:rsid w:val="00C6792C"/>
    <w:rsid w:val="00CA4C4F"/>
    <w:rsid w:val="00CC08EA"/>
    <w:rsid w:val="00D175D0"/>
    <w:rsid w:val="00D71303"/>
    <w:rsid w:val="00D71A9E"/>
    <w:rsid w:val="00DA7D6F"/>
    <w:rsid w:val="00DB2490"/>
    <w:rsid w:val="00DB39D7"/>
    <w:rsid w:val="00DB7034"/>
    <w:rsid w:val="00E2639E"/>
    <w:rsid w:val="00E61C85"/>
    <w:rsid w:val="00E95A78"/>
    <w:rsid w:val="00E96148"/>
    <w:rsid w:val="00EF74B1"/>
    <w:rsid w:val="00F1379F"/>
    <w:rsid w:val="00F14631"/>
    <w:rsid w:val="00F25B8C"/>
    <w:rsid w:val="00F260A6"/>
    <w:rsid w:val="00F31371"/>
    <w:rsid w:val="00F36247"/>
    <w:rsid w:val="00F55150"/>
    <w:rsid w:val="00F830A9"/>
    <w:rsid w:val="00F93361"/>
    <w:rsid w:val="00F94B10"/>
    <w:rsid w:val="00FC3AE4"/>
    <w:rsid w:val="00FF2A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0AA31C"/>
  <w15:chartTrackingRefBased/>
  <w15:docId w15:val="{5A10EEA2-3554-45BE-86D5-ABA2125B64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F1379F"/>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F1379F"/>
    <w:pPr>
      <w:ind w:left="720"/>
      <w:contextualSpacing/>
    </w:pPr>
  </w:style>
  <w:style w:type="table" w:styleId="TableGrid">
    <w:name w:val="Table Grid"/>
    <w:basedOn w:val="TableNormal"/>
    <w:uiPriority w:val="39"/>
    <w:rsid w:val="00F5515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534A96"/>
    <w:rPr>
      <w:color w:val="0563C1" w:themeColor="hyperlink"/>
      <w:u w:val="single"/>
    </w:rPr>
  </w:style>
  <w:style w:type="paragraph" w:styleId="NormalWeb">
    <w:name w:val="Normal (Web)"/>
    <w:basedOn w:val="Normal"/>
    <w:uiPriority w:val="99"/>
    <w:unhideWhenUsed/>
    <w:rsid w:val="00DB2490"/>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mbraco.npt.gov.uk:700/1996" TargetMode="External"/><Relationship Id="rId3" Type="http://schemas.openxmlformats.org/officeDocument/2006/relationships/settings" Target="settings.xml"/><Relationship Id="rId7" Type="http://schemas.openxmlformats.org/officeDocument/2006/relationships/hyperlink" Target="https://www.cipd.co.uk/knowledge/strategy/organisational-development/workforce-planning-factshee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peopleprofession.cipd.org/profession-map" TargetMode="External"/><Relationship Id="rId11" Type="http://schemas.openxmlformats.org/officeDocument/2006/relationships/theme" Target="theme/theme1.xml"/><Relationship Id="rId5" Type="http://schemas.openxmlformats.org/officeDocument/2006/relationships/chart" Target="charts/chart1.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umbraco.npt.gov.uk:700/1964"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EDUCATION, LEISURE &amp; LIFELONG LEARNING</a:t>
            </a:r>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Sheet1!$A$10:$A$42</c:f>
              <c:strCache>
                <c:ptCount val="33"/>
                <c:pt idx="0">
                  <c:v>CAREER BREAK</c:v>
                </c:pt>
                <c:pt idx="1">
                  <c:v>DEATH IN SERVICE</c:v>
                </c:pt>
                <c:pt idx="2">
                  <c:v>DISCIPLINARY DISMISSAL - WITH N.P.</c:v>
                </c:pt>
                <c:pt idx="3">
                  <c:v>DISCIPLINARY DISMISSAL - WITHOUT N.P.</c:v>
                </c:pt>
                <c:pt idx="4">
                  <c:v>DISMISSAL-INABILITY ATTEND WK REG BASIS</c:v>
                </c:pt>
                <c:pt idx="5">
                  <c:v>END OF CONTRACT - FIXED TERM</c:v>
                </c:pt>
                <c:pt idx="6">
                  <c:v>END OF CONTRACT - INTERNAL RESTRUCTURE</c:v>
                </c:pt>
                <c:pt idx="7">
                  <c:v>END OF CONTRACT - TEMPORARY</c:v>
                </c:pt>
                <c:pt idx="8">
                  <c:v>ILL HEALTH RETIREMENT - TIER 1</c:v>
                </c:pt>
                <c:pt idx="9">
                  <c:v>ILL HEALTH RETIREMENT - TIER 3</c:v>
                </c:pt>
                <c:pt idx="10">
                  <c:v>INPUT ERROR</c:v>
                </c:pt>
                <c:pt idx="11">
                  <c:v>MUTUAL AGREEMENT - WITH SETTLEMENT</c:v>
                </c:pt>
                <c:pt idx="12">
                  <c:v>MUTUAL AGREEMENT - WITHOUT SETTLEMENT</c:v>
                </c:pt>
                <c:pt idx="13">
                  <c:v>PENSIONER - DEATH</c:v>
                </c:pt>
                <c:pt idx="14">
                  <c:v>RESIGNATION - CARING RESPONSIBILITIES</c:v>
                </c:pt>
                <c:pt idx="15">
                  <c:v>RESIGNATION - HEALTH REASONS</c:v>
                </c:pt>
                <c:pt idx="16">
                  <c:v>RESIGNATION - HOME RELOCATION</c:v>
                </c:pt>
                <c:pt idx="17">
                  <c:v>RESIGNATION - JOB DISSATISFACTION</c:v>
                </c:pt>
                <c:pt idx="18">
                  <c:v>RESIGNATION - LACK OF PROMOTION OPPS</c:v>
                </c:pt>
                <c:pt idx="19">
                  <c:v>RESIGNATION - NEED FOR CHANGE</c:v>
                </c:pt>
                <c:pt idx="20">
                  <c:v>RESIGNATION - NO REASON PROVIDED</c:v>
                </c:pt>
                <c:pt idx="21">
                  <c:v>RESIGNATION - PAY DISSATISFACTION</c:v>
                </c:pt>
                <c:pt idx="22">
                  <c:v>RESIGNATION - PROBLEM WITH WRK COLLEAGUE</c:v>
                </c:pt>
                <c:pt idx="23">
                  <c:v>RESIGNATION - PROBLEMS WITH MANAGER</c:v>
                </c:pt>
                <c:pt idx="24">
                  <c:v>RESIGNATION - PROMOTION OPPS ELSEWHERE</c:v>
                </c:pt>
                <c:pt idx="25">
                  <c:v>RESIGNATION - TAKING UP F/T P/T EDUCATION</c:v>
                </c:pt>
                <c:pt idx="26">
                  <c:v>RESIGNATION - TRAVEL PROBLEMS</c:v>
                </c:pt>
                <c:pt idx="27">
                  <c:v>RETIREMENT - AGED 60/65</c:v>
                </c:pt>
                <c:pt idx="28">
                  <c:v>RETIREMENT - AGED UNDER 60</c:v>
                </c:pt>
                <c:pt idx="29">
                  <c:v>RETIREMENT - EMPLOYERS CONSENT</c:v>
                </c:pt>
                <c:pt idx="30">
                  <c:v>SOME OTHER SUBSTANTIAL REASON</c:v>
                </c:pt>
                <c:pt idx="31">
                  <c:v>VOLUNTARY REDUNDANCY</c:v>
                </c:pt>
                <c:pt idx="32">
                  <c:v>VR - WITH SETTLEMENT AGREEMENT</c:v>
                </c:pt>
              </c:strCache>
            </c:strRef>
          </c:cat>
          <c:val>
            <c:numRef>
              <c:f>Sheet1!$B$10:$B$42</c:f>
              <c:numCache>
                <c:formatCode>General</c:formatCode>
                <c:ptCount val="33"/>
                <c:pt idx="0">
                  <c:v>1</c:v>
                </c:pt>
                <c:pt idx="1">
                  <c:v>3</c:v>
                </c:pt>
                <c:pt idx="2">
                  <c:v>1</c:v>
                </c:pt>
                <c:pt idx="3">
                  <c:v>1</c:v>
                </c:pt>
                <c:pt idx="4">
                  <c:v>3</c:v>
                </c:pt>
                <c:pt idx="5">
                  <c:v>13</c:v>
                </c:pt>
                <c:pt idx="6">
                  <c:v>9</c:v>
                </c:pt>
                <c:pt idx="7">
                  <c:v>97</c:v>
                </c:pt>
                <c:pt idx="8">
                  <c:v>2</c:v>
                </c:pt>
                <c:pt idx="9">
                  <c:v>1</c:v>
                </c:pt>
                <c:pt idx="10">
                  <c:v>1</c:v>
                </c:pt>
                <c:pt idx="11">
                  <c:v>1</c:v>
                </c:pt>
                <c:pt idx="12">
                  <c:v>1</c:v>
                </c:pt>
                <c:pt idx="13">
                  <c:v>2</c:v>
                </c:pt>
                <c:pt idx="14">
                  <c:v>19</c:v>
                </c:pt>
                <c:pt idx="15">
                  <c:v>21</c:v>
                </c:pt>
                <c:pt idx="16">
                  <c:v>5</c:v>
                </c:pt>
                <c:pt idx="17">
                  <c:v>1</c:v>
                </c:pt>
                <c:pt idx="18">
                  <c:v>1</c:v>
                </c:pt>
                <c:pt idx="19">
                  <c:v>26</c:v>
                </c:pt>
                <c:pt idx="20">
                  <c:v>42</c:v>
                </c:pt>
                <c:pt idx="21">
                  <c:v>1</c:v>
                </c:pt>
                <c:pt idx="22">
                  <c:v>1</c:v>
                </c:pt>
                <c:pt idx="23">
                  <c:v>1</c:v>
                </c:pt>
                <c:pt idx="24">
                  <c:v>61</c:v>
                </c:pt>
                <c:pt idx="25">
                  <c:v>21</c:v>
                </c:pt>
                <c:pt idx="26">
                  <c:v>1</c:v>
                </c:pt>
                <c:pt idx="27">
                  <c:v>17</c:v>
                </c:pt>
                <c:pt idx="28">
                  <c:v>12</c:v>
                </c:pt>
                <c:pt idx="29">
                  <c:v>3</c:v>
                </c:pt>
                <c:pt idx="30">
                  <c:v>2</c:v>
                </c:pt>
                <c:pt idx="31">
                  <c:v>19</c:v>
                </c:pt>
                <c:pt idx="32">
                  <c:v>1</c:v>
                </c:pt>
              </c:numCache>
            </c:numRef>
          </c:val>
          <c:extLst>
            <c:ext xmlns:c16="http://schemas.microsoft.com/office/drawing/2014/chart" uri="{C3380CC4-5D6E-409C-BE32-E72D297353CC}">
              <c16:uniqueId val="{00000000-EF49-4FCC-9E3B-CB2194B464B3}"/>
            </c:ext>
          </c:extLst>
        </c:ser>
        <c:ser>
          <c:idx val="1"/>
          <c:order val="1"/>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Sheet1!$A$10:$A$42</c:f>
              <c:strCache>
                <c:ptCount val="33"/>
                <c:pt idx="0">
                  <c:v>CAREER BREAK</c:v>
                </c:pt>
                <c:pt idx="1">
                  <c:v>DEATH IN SERVICE</c:v>
                </c:pt>
                <c:pt idx="2">
                  <c:v>DISCIPLINARY DISMISSAL - WITH N.P.</c:v>
                </c:pt>
                <c:pt idx="3">
                  <c:v>DISCIPLINARY DISMISSAL - WITHOUT N.P.</c:v>
                </c:pt>
                <c:pt idx="4">
                  <c:v>DISMISSAL-INABILITY ATTEND WK REG BASIS</c:v>
                </c:pt>
                <c:pt idx="5">
                  <c:v>END OF CONTRACT - FIXED TERM</c:v>
                </c:pt>
                <c:pt idx="6">
                  <c:v>END OF CONTRACT - INTERNAL RESTRUCTURE</c:v>
                </c:pt>
                <c:pt idx="7">
                  <c:v>END OF CONTRACT - TEMPORARY</c:v>
                </c:pt>
                <c:pt idx="8">
                  <c:v>ILL HEALTH RETIREMENT - TIER 1</c:v>
                </c:pt>
                <c:pt idx="9">
                  <c:v>ILL HEALTH RETIREMENT - TIER 3</c:v>
                </c:pt>
                <c:pt idx="10">
                  <c:v>INPUT ERROR</c:v>
                </c:pt>
                <c:pt idx="11">
                  <c:v>MUTUAL AGREEMENT - WITH SETTLEMENT</c:v>
                </c:pt>
                <c:pt idx="12">
                  <c:v>MUTUAL AGREEMENT - WITHOUT SETTLEMENT</c:v>
                </c:pt>
                <c:pt idx="13">
                  <c:v>PENSIONER - DEATH</c:v>
                </c:pt>
                <c:pt idx="14">
                  <c:v>RESIGNATION - CARING RESPONSIBILITIES</c:v>
                </c:pt>
                <c:pt idx="15">
                  <c:v>RESIGNATION - HEALTH REASONS</c:v>
                </c:pt>
                <c:pt idx="16">
                  <c:v>RESIGNATION - HOME RELOCATION</c:v>
                </c:pt>
                <c:pt idx="17">
                  <c:v>RESIGNATION - JOB DISSATISFACTION</c:v>
                </c:pt>
                <c:pt idx="18">
                  <c:v>RESIGNATION - LACK OF PROMOTION OPPS</c:v>
                </c:pt>
                <c:pt idx="19">
                  <c:v>RESIGNATION - NEED FOR CHANGE</c:v>
                </c:pt>
                <c:pt idx="20">
                  <c:v>RESIGNATION - NO REASON PROVIDED</c:v>
                </c:pt>
                <c:pt idx="21">
                  <c:v>RESIGNATION - PAY DISSATISFACTION</c:v>
                </c:pt>
                <c:pt idx="22">
                  <c:v>RESIGNATION - PROBLEM WITH WRK COLLEAGUE</c:v>
                </c:pt>
                <c:pt idx="23">
                  <c:v>RESIGNATION - PROBLEMS WITH MANAGER</c:v>
                </c:pt>
                <c:pt idx="24">
                  <c:v>RESIGNATION - PROMOTION OPPS ELSEWHERE</c:v>
                </c:pt>
                <c:pt idx="25">
                  <c:v>RESIGNATION - TAKING UP F/T P/T EDUCATION</c:v>
                </c:pt>
                <c:pt idx="26">
                  <c:v>RESIGNATION - TRAVEL PROBLEMS</c:v>
                </c:pt>
                <c:pt idx="27">
                  <c:v>RETIREMENT - AGED 60/65</c:v>
                </c:pt>
                <c:pt idx="28">
                  <c:v>RETIREMENT - AGED UNDER 60</c:v>
                </c:pt>
                <c:pt idx="29">
                  <c:v>RETIREMENT - EMPLOYERS CONSENT</c:v>
                </c:pt>
                <c:pt idx="30">
                  <c:v>SOME OTHER SUBSTANTIAL REASON</c:v>
                </c:pt>
                <c:pt idx="31">
                  <c:v>VOLUNTARY REDUNDANCY</c:v>
                </c:pt>
                <c:pt idx="32">
                  <c:v>VR - WITH SETTLEMENT AGREEMENT</c:v>
                </c:pt>
              </c:strCache>
            </c:strRef>
          </c:cat>
          <c:val>
            <c:numRef>
              <c:f>Sheet1!$C$10:$C$42</c:f>
              <c:numCache>
                <c:formatCode>General</c:formatCode>
                <c:ptCount val="33"/>
                <c:pt idx="0">
                  <c:v>0</c:v>
                </c:pt>
                <c:pt idx="1">
                  <c:v>0</c:v>
                </c:pt>
                <c:pt idx="2">
                  <c:v>0</c:v>
                </c:pt>
                <c:pt idx="3">
                  <c:v>0</c:v>
                </c:pt>
                <c:pt idx="4">
                  <c:v>0</c:v>
                </c:pt>
                <c:pt idx="5">
                  <c:v>0</c:v>
                </c:pt>
                <c:pt idx="6">
                  <c:v>0</c:v>
                </c:pt>
                <c:pt idx="7">
                  <c:v>0</c:v>
                </c:pt>
                <c:pt idx="8">
                  <c:v>0</c:v>
                </c:pt>
                <c:pt idx="9">
                  <c:v>0</c:v>
                </c:pt>
                <c:pt idx="10">
                  <c:v>0</c:v>
                </c:pt>
                <c:pt idx="11">
                  <c:v>0</c:v>
                </c:pt>
                <c:pt idx="12">
                  <c:v>0</c:v>
                </c:pt>
                <c:pt idx="13">
                  <c:v>0</c:v>
                </c:pt>
                <c:pt idx="14">
                  <c:v>0</c:v>
                </c:pt>
                <c:pt idx="15">
                  <c:v>0</c:v>
                </c:pt>
                <c:pt idx="16">
                  <c:v>0</c:v>
                </c:pt>
                <c:pt idx="17">
                  <c:v>0</c:v>
                </c:pt>
                <c:pt idx="18">
                  <c:v>0</c:v>
                </c:pt>
                <c:pt idx="19">
                  <c:v>0</c:v>
                </c:pt>
                <c:pt idx="20">
                  <c:v>0</c:v>
                </c:pt>
                <c:pt idx="21">
                  <c:v>0</c:v>
                </c:pt>
                <c:pt idx="22">
                  <c:v>0</c:v>
                </c:pt>
                <c:pt idx="23">
                  <c:v>0</c:v>
                </c:pt>
                <c:pt idx="24">
                  <c:v>0</c:v>
                </c:pt>
                <c:pt idx="25">
                  <c:v>0</c:v>
                </c:pt>
                <c:pt idx="26">
                  <c:v>0</c:v>
                </c:pt>
                <c:pt idx="27">
                  <c:v>0</c:v>
                </c:pt>
                <c:pt idx="28">
                  <c:v>0</c:v>
                </c:pt>
                <c:pt idx="29">
                  <c:v>0</c:v>
                </c:pt>
                <c:pt idx="30">
                  <c:v>0</c:v>
                </c:pt>
                <c:pt idx="31">
                  <c:v>0</c:v>
                </c:pt>
                <c:pt idx="32">
                  <c:v>0</c:v>
                </c:pt>
              </c:numCache>
            </c:numRef>
          </c:val>
          <c:extLst>
            <c:ext xmlns:c16="http://schemas.microsoft.com/office/drawing/2014/chart" uri="{C3380CC4-5D6E-409C-BE32-E72D297353CC}">
              <c16:uniqueId val="{00000001-EF49-4FCC-9E3B-CB2194B464B3}"/>
            </c:ext>
          </c:extLst>
        </c:ser>
        <c:dLbls>
          <c:dLblPos val="outEnd"/>
          <c:showLegendKey val="0"/>
          <c:showVal val="1"/>
          <c:showCatName val="0"/>
          <c:showSerName val="0"/>
          <c:showPercent val="0"/>
          <c:showBubbleSize val="0"/>
        </c:dLbls>
        <c:gapWidth val="219"/>
        <c:overlap val="-27"/>
        <c:axId val="528405600"/>
        <c:axId val="528399696"/>
      </c:barChart>
      <c:catAx>
        <c:axId val="52840560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28399696"/>
        <c:crosses val="autoZero"/>
        <c:auto val="1"/>
        <c:lblAlgn val="ctr"/>
        <c:lblOffset val="100"/>
        <c:noMultiLvlLbl val="0"/>
      </c:catAx>
      <c:valAx>
        <c:axId val="52839969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2840560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138</TotalTime>
  <Pages>3</Pages>
  <Words>998</Words>
  <Characters>5691</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NPTCBC</Company>
  <LinksUpToDate>false</LinksUpToDate>
  <CharactersWithSpaces>6676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Jodie Barnett</dc:creator>
  <cp:keywords/>
  <dc:description/>
  <cp:lastModifiedBy>Jodie Barnett</cp:lastModifiedBy>
  <cp:revision>14</cp:revision>
  <dcterms:created xsi:type="dcterms:W3CDTF">2021-06-01T18:26:00Z</dcterms:created>
  <dcterms:modified xsi:type="dcterms:W3CDTF">2021-06-02T15:51:00Z</dcterms:modified>
</cp:coreProperties>
</file>