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4EAC" w:rsidRDefault="00965E4D" w:rsidP="005D417D">
      <w:pPr>
        <w:pStyle w:val="Title"/>
        <w:jc w:val="center"/>
        <w:rPr>
          <w:sz w:val="48"/>
        </w:rPr>
      </w:pPr>
      <w:bookmarkStart w:id="0" w:name="_Hlk530978780"/>
      <w:bookmarkEnd w:id="0"/>
      <w:r w:rsidRPr="005D417D">
        <w:rPr>
          <w:sz w:val="48"/>
        </w:rPr>
        <w:t>Assessments for Death Dying and the Macabre</w:t>
      </w:r>
    </w:p>
    <w:p w:rsidR="008D420F" w:rsidRPr="008D420F" w:rsidRDefault="008D420F" w:rsidP="008D420F"/>
    <w:p w:rsidR="00965E4D" w:rsidRPr="008D420F" w:rsidRDefault="00965E4D" w:rsidP="008D420F">
      <w:pPr>
        <w:jc w:val="center"/>
        <w:rPr>
          <w:color w:val="FF0000"/>
        </w:rPr>
      </w:pPr>
      <w:r w:rsidRPr="008D420F">
        <w:rPr>
          <w:color w:val="FF0000"/>
        </w:rPr>
        <w:t>Assessment 1 – Portfolio Exercise</w:t>
      </w:r>
    </w:p>
    <w:p w:rsidR="00965E4D" w:rsidRDefault="00965E4D" w:rsidP="008D420F">
      <w:pPr>
        <w:jc w:val="center"/>
      </w:pPr>
      <w:r>
        <w:t>Deadline – 1</w:t>
      </w:r>
      <w:r w:rsidRPr="00965E4D">
        <w:rPr>
          <w:vertAlign w:val="superscript"/>
        </w:rPr>
        <w:t>st</w:t>
      </w:r>
      <w:r>
        <w:t xml:space="preserve"> February</w:t>
      </w:r>
    </w:p>
    <w:p w:rsidR="00965E4D" w:rsidRDefault="00965E4D" w:rsidP="008D420F">
      <w:pPr>
        <w:jc w:val="both"/>
      </w:pPr>
      <w:r>
        <w:t xml:space="preserve">Portfolio of 3,750 words. You are required to write four short commentary exercises. The first will concern a secondary article of your choice of a list of three, 1,500 words. The final three commentaries will concern your choice from one key theme, one image and one written source extract, 750 words each. </w:t>
      </w:r>
    </w:p>
    <w:p w:rsidR="00DA6BFA" w:rsidRDefault="00DA6BFA" w:rsidP="008D420F">
      <w:pPr>
        <w:jc w:val="both"/>
      </w:pPr>
      <w:r>
        <w:t>The selection of sources for this assignment are attached to this document, but students may present an alternative source should they wish. If you would like to choose a different source, please clear this with the course tutor ahead of the deadline.</w:t>
      </w:r>
    </w:p>
    <w:p w:rsidR="00DA6BFA" w:rsidRDefault="00DA6BFA" w:rsidP="008D420F">
      <w:pPr>
        <w:jc w:val="both"/>
      </w:pPr>
    </w:p>
    <w:p w:rsidR="008D420F" w:rsidRDefault="008D420F" w:rsidP="008D420F">
      <w:pPr>
        <w:jc w:val="both"/>
      </w:pPr>
    </w:p>
    <w:p w:rsidR="008D420F" w:rsidRPr="008D420F" w:rsidRDefault="008D420F" w:rsidP="008D420F">
      <w:pPr>
        <w:jc w:val="center"/>
        <w:rPr>
          <w:color w:val="FF0000"/>
        </w:rPr>
      </w:pPr>
      <w:r w:rsidRPr="008D420F">
        <w:rPr>
          <w:color w:val="FF0000"/>
        </w:rPr>
        <w:t>Assessment 2 – Timed Test</w:t>
      </w:r>
    </w:p>
    <w:p w:rsidR="008D420F" w:rsidRDefault="008D420F" w:rsidP="008D420F">
      <w:pPr>
        <w:jc w:val="center"/>
      </w:pPr>
      <w:r>
        <w:t>Deadline – 1</w:t>
      </w:r>
      <w:r w:rsidRPr="008D420F">
        <w:rPr>
          <w:vertAlign w:val="superscript"/>
        </w:rPr>
        <w:t>st</w:t>
      </w:r>
      <w:r>
        <w:t xml:space="preserve"> February</w:t>
      </w:r>
    </w:p>
    <w:p w:rsidR="008D420F" w:rsidRDefault="008D420F" w:rsidP="008D420F">
      <w:pPr>
        <w:jc w:val="both"/>
      </w:pPr>
      <w:r>
        <w:t>You will have an hour and a half during seminar time to write a short essay, answering one question from a list which will be presented on Thursday 31</w:t>
      </w:r>
      <w:r w:rsidRPr="008D420F">
        <w:rPr>
          <w:vertAlign w:val="superscript"/>
        </w:rPr>
        <w:t>st</w:t>
      </w:r>
      <w:r>
        <w:t xml:space="preserve"> January</w:t>
      </w:r>
      <w:r w:rsidR="00997F87">
        <w:t xml:space="preserve"> to allow you 24 hours </w:t>
      </w:r>
      <w:r w:rsidR="004711B3">
        <w:t xml:space="preserve">of preparation time. </w:t>
      </w:r>
    </w:p>
    <w:p w:rsidR="008D420F" w:rsidRDefault="008D420F">
      <w:r>
        <w:br w:type="page"/>
      </w:r>
    </w:p>
    <w:p w:rsidR="008D420F" w:rsidRPr="008D420F" w:rsidRDefault="008D420F" w:rsidP="008D420F">
      <w:pPr>
        <w:jc w:val="both"/>
        <w:rPr>
          <w:color w:val="FF0000"/>
        </w:rPr>
      </w:pPr>
      <w:r w:rsidRPr="008D420F">
        <w:rPr>
          <w:color w:val="FF0000"/>
        </w:rPr>
        <w:lastRenderedPageBreak/>
        <w:t>Assessment 1</w:t>
      </w:r>
      <w:r>
        <w:rPr>
          <w:color w:val="FF0000"/>
        </w:rPr>
        <w:t xml:space="preserve"> – Portfolio Exercise</w:t>
      </w:r>
    </w:p>
    <w:p w:rsidR="00965E4D" w:rsidRPr="008D420F" w:rsidRDefault="00965E4D" w:rsidP="008D420F">
      <w:pPr>
        <w:jc w:val="both"/>
        <w:rPr>
          <w:b/>
        </w:rPr>
      </w:pPr>
      <w:r w:rsidRPr="008D420F">
        <w:rPr>
          <w:b/>
        </w:rPr>
        <w:t>Secondary source – 1,500 words</w:t>
      </w:r>
    </w:p>
    <w:p w:rsidR="00965E4D" w:rsidRDefault="00965E4D" w:rsidP="008D420F">
      <w:pPr>
        <w:pStyle w:val="ListParagraph"/>
        <w:numPr>
          <w:ilvl w:val="0"/>
          <w:numId w:val="1"/>
        </w:numPr>
        <w:jc w:val="both"/>
      </w:pPr>
      <w:r>
        <w:t>C. Walker-Bynum, ‘Material Continuity, Personal Survival, and the Resurrection of the Body: A Scholastic Discussion in its Medieval and Modern Contexts,’</w:t>
      </w:r>
      <w:r>
        <w:rPr>
          <w:i/>
        </w:rPr>
        <w:t xml:space="preserve"> History of Religions</w:t>
      </w:r>
      <w:r>
        <w:t>, vol. 30, no. 1 (</w:t>
      </w:r>
      <w:proofErr w:type="gramStart"/>
      <w:r>
        <w:t>Aug.,</w:t>
      </w:r>
      <w:proofErr w:type="gramEnd"/>
      <w:r>
        <w:t xml:space="preserve"> 1990), 51-85.</w:t>
      </w:r>
    </w:p>
    <w:p w:rsidR="00965E4D" w:rsidRDefault="00965E4D" w:rsidP="008D420F">
      <w:pPr>
        <w:pStyle w:val="ListParagraph"/>
        <w:numPr>
          <w:ilvl w:val="0"/>
          <w:numId w:val="1"/>
        </w:numPr>
        <w:jc w:val="both"/>
      </w:pPr>
      <w:r>
        <w:t xml:space="preserve">J. Casey, </w:t>
      </w:r>
      <w:r>
        <w:rPr>
          <w:i/>
        </w:rPr>
        <w:t>Afterlives: A Guide to Heaven, Hell and Purgatory</w:t>
      </w:r>
      <w:r>
        <w:t xml:space="preserve"> (Oxford: Oxford University Press, 2009), Chapter 9 – ‘Rome’s Happiest Inspiration?’</w:t>
      </w:r>
    </w:p>
    <w:p w:rsidR="00965E4D" w:rsidRDefault="00965E4D" w:rsidP="008D420F">
      <w:pPr>
        <w:pStyle w:val="ListParagraph"/>
        <w:numPr>
          <w:ilvl w:val="0"/>
          <w:numId w:val="1"/>
        </w:numPr>
        <w:jc w:val="both"/>
      </w:pPr>
      <w:r>
        <w:t xml:space="preserve">J. Huizinga, </w:t>
      </w:r>
      <w:r>
        <w:rPr>
          <w:i/>
        </w:rPr>
        <w:t xml:space="preserve">The Waning of the Middle Ages: a study of the forms of life, thought and art in France and Netherlands in the fourteenth and fifteenth centuries </w:t>
      </w:r>
      <w:r>
        <w:t>(London: Edward Arnold, 1924), Chapter 11 – ‘The Vision of Death.’</w:t>
      </w:r>
    </w:p>
    <w:p w:rsidR="008D420F" w:rsidRDefault="008D420F" w:rsidP="008D420F">
      <w:pPr>
        <w:ind w:left="360"/>
        <w:jc w:val="both"/>
      </w:pPr>
    </w:p>
    <w:p w:rsidR="00560722" w:rsidRPr="008D420F" w:rsidRDefault="00E97EA5" w:rsidP="00560722">
      <w:pPr>
        <w:rPr>
          <w:b/>
        </w:rPr>
      </w:pPr>
      <w:r w:rsidRPr="008D420F">
        <w:rPr>
          <w:b/>
        </w:rPr>
        <w:t>Key Themes – 750 words</w:t>
      </w:r>
    </w:p>
    <w:p w:rsidR="00E97EA5" w:rsidRDefault="00E97EA5" w:rsidP="00E97EA5">
      <w:pPr>
        <w:pStyle w:val="ListParagraph"/>
        <w:numPr>
          <w:ilvl w:val="0"/>
          <w:numId w:val="2"/>
        </w:numPr>
      </w:pPr>
      <w:r>
        <w:t>Individuality</w:t>
      </w:r>
    </w:p>
    <w:p w:rsidR="00E97EA5" w:rsidRDefault="00E97EA5" w:rsidP="00E97EA5">
      <w:pPr>
        <w:pStyle w:val="ListParagraph"/>
        <w:numPr>
          <w:ilvl w:val="0"/>
          <w:numId w:val="2"/>
        </w:numPr>
      </w:pPr>
      <w:r>
        <w:t>Worms</w:t>
      </w:r>
    </w:p>
    <w:p w:rsidR="00E97EA5" w:rsidRDefault="00E97EA5" w:rsidP="00E97EA5">
      <w:pPr>
        <w:pStyle w:val="ListParagraph"/>
        <w:numPr>
          <w:ilvl w:val="0"/>
          <w:numId w:val="2"/>
        </w:numPr>
      </w:pPr>
      <w:r>
        <w:t>Resurrection</w:t>
      </w:r>
    </w:p>
    <w:p w:rsidR="00E97EA5" w:rsidRDefault="00E97EA5" w:rsidP="00E97EA5">
      <w:pPr>
        <w:pStyle w:val="ListParagraph"/>
        <w:numPr>
          <w:ilvl w:val="0"/>
          <w:numId w:val="2"/>
        </w:numPr>
      </w:pPr>
      <w:r>
        <w:t>Memorialisation</w:t>
      </w:r>
    </w:p>
    <w:p w:rsidR="00E97EA5" w:rsidRDefault="00E97EA5">
      <w:r>
        <w:br w:type="page"/>
      </w:r>
    </w:p>
    <w:p w:rsidR="00E97EA5" w:rsidRPr="005D417D" w:rsidRDefault="00E97EA5" w:rsidP="00E97EA5">
      <w:pPr>
        <w:rPr>
          <w:b/>
        </w:rPr>
      </w:pPr>
      <w:r w:rsidRPr="005D417D">
        <w:rPr>
          <w:b/>
        </w:rPr>
        <w:lastRenderedPageBreak/>
        <w:t>Images – 750 words</w:t>
      </w:r>
    </w:p>
    <w:p w:rsidR="00E97EA5" w:rsidRDefault="00E97EA5" w:rsidP="00E97EA5">
      <w:pPr>
        <w:jc w:val="center"/>
      </w:pPr>
      <w:r>
        <w:rPr>
          <w:noProof/>
        </w:rPr>
        <w:drawing>
          <wp:anchor distT="0" distB="0" distL="114300" distR="114300" simplePos="0" relativeHeight="251659264" behindDoc="1" locked="0" layoutInCell="1" allowOverlap="1" wp14:anchorId="1B38B913">
            <wp:simplePos x="0" y="0"/>
            <wp:positionH relativeFrom="column">
              <wp:posOffset>165100</wp:posOffset>
            </wp:positionH>
            <wp:positionV relativeFrom="paragraph">
              <wp:posOffset>0</wp:posOffset>
            </wp:positionV>
            <wp:extent cx="5400675" cy="3640800"/>
            <wp:effectExtent l="0" t="0" r="0" b="0"/>
            <wp:wrapTight wrapText="bothSides">
              <wp:wrapPolygon edited="0">
                <wp:start x="0" y="0"/>
                <wp:lineTo x="0" y="21476"/>
                <wp:lineTo x="21486" y="21476"/>
                <wp:lineTo x="21486" y="0"/>
                <wp:lineTo x="0" y="0"/>
              </wp:wrapPolygon>
            </wp:wrapTight>
            <wp:docPr id="1" name="Picture 1" descr="Burial effigy of John FitzAlan, 14th Earl of Arundel, at Arundel Castle chapel - photo by Lampman/Wiki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ial effigy of John FitzAlan, 14th Earl of Arundel, at Arundel Castle chapel - photo by Lampman/Wikicommons"/>
                    <pic:cNvPicPr>
                      <a:picLocks noChangeAspect="1" noChangeArrowheads="1"/>
                    </pic:cNvPicPr>
                  </pic:nvPicPr>
                  <pic:blipFill rotWithShape="1">
                    <a:blip r:embed="rId7">
                      <a:extLst>
                        <a:ext uri="{28A0092B-C50C-407E-A947-70E740481C1C}">
                          <a14:useLocalDpi xmlns:a14="http://schemas.microsoft.com/office/drawing/2010/main" val="0"/>
                        </a:ext>
                      </a:extLst>
                    </a:blip>
                    <a:srcRect l="5609" t="16453" r="1443"/>
                    <a:stretch/>
                  </pic:blipFill>
                  <pic:spPr bwMode="auto">
                    <a:xfrm>
                      <a:off x="0" y="0"/>
                      <a:ext cx="5400675" cy="3640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97EA5" w:rsidRDefault="00E97EA5" w:rsidP="00E97EA5">
      <w:pPr>
        <w:jc w:val="center"/>
      </w:pPr>
      <w:r w:rsidRPr="00F121B2">
        <w:rPr>
          <w:noProof/>
        </w:rPr>
        <w:drawing>
          <wp:anchor distT="0" distB="0" distL="114300" distR="114300" simplePos="0" relativeHeight="251658240" behindDoc="1" locked="0" layoutInCell="1" allowOverlap="1" wp14:anchorId="4C04ABBD">
            <wp:simplePos x="0" y="0"/>
            <wp:positionH relativeFrom="column">
              <wp:posOffset>177800</wp:posOffset>
            </wp:positionH>
            <wp:positionV relativeFrom="paragraph">
              <wp:posOffset>-2540</wp:posOffset>
            </wp:positionV>
            <wp:extent cx="5381625" cy="3807429"/>
            <wp:effectExtent l="0" t="0" r="0" b="3175"/>
            <wp:wrapTight wrapText="bothSides">
              <wp:wrapPolygon edited="0">
                <wp:start x="0" y="0"/>
                <wp:lineTo x="0" y="21510"/>
                <wp:lineTo x="21485" y="21510"/>
                <wp:lineTo x="21485" y="0"/>
                <wp:lineTo x="0" y="0"/>
              </wp:wrapPolygon>
            </wp:wrapTight>
            <wp:docPr id="3" name="Picture 3" descr="C:\Users\Erica\Downloads\Arunde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Erica\Downloads\Arundel2.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609" t="10714"/>
                    <a:stretch/>
                  </pic:blipFill>
                  <pic:spPr bwMode="auto">
                    <a:xfrm>
                      <a:off x="0" y="0"/>
                      <a:ext cx="5381625" cy="380742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Full view and </w:t>
      </w:r>
      <w:proofErr w:type="gramStart"/>
      <w:r>
        <w:t>close up</w:t>
      </w:r>
      <w:proofErr w:type="gramEnd"/>
      <w:r>
        <w:t xml:space="preserve"> of the tomb of John </w:t>
      </w:r>
      <w:proofErr w:type="spellStart"/>
      <w:r>
        <w:t>FitzAlan</w:t>
      </w:r>
      <w:proofErr w:type="spellEnd"/>
      <w:r>
        <w:t>, the 14</w:t>
      </w:r>
      <w:r w:rsidRPr="00F121B2">
        <w:rPr>
          <w:vertAlign w:val="superscript"/>
        </w:rPr>
        <w:t>th</w:t>
      </w:r>
      <w:r>
        <w:t xml:space="preserve"> Earl of Arundel (d.1435) in the </w:t>
      </w:r>
      <w:proofErr w:type="spellStart"/>
      <w:r>
        <w:t>FitzAlan</w:t>
      </w:r>
      <w:proofErr w:type="spellEnd"/>
      <w:r>
        <w:t xml:space="preserve"> Chapel, West Sussex</w:t>
      </w:r>
    </w:p>
    <w:p w:rsidR="00E97EA5" w:rsidRDefault="00E97EA5" w:rsidP="00E97EA5">
      <w:pPr>
        <w:jc w:val="center"/>
      </w:pPr>
    </w:p>
    <w:p w:rsidR="00E97EA5" w:rsidRDefault="00E97EA5" w:rsidP="00E97EA5">
      <w:pPr>
        <w:jc w:val="center"/>
      </w:pPr>
      <w:r>
        <w:rPr>
          <w:noProof/>
        </w:rPr>
        <w:drawing>
          <wp:inline distT="0" distB="0" distL="0" distR="0" wp14:anchorId="1E001338" wp14:editId="03EE0199">
            <wp:extent cx="4495800" cy="7270836"/>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ustace.jpg"/>
                    <pic:cNvPicPr/>
                  </pic:nvPicPr>
                  <pic:blipFill rotWithShape="1">
                    <a:blip r:embed="rId9">
                      <a:extLst>
                        <a:ext uri="{28A0092B-C50C-407E-A947-70E740481C1C}">
                          <a14:useLocalDpi xmlns:a14="http://schemas.microsoft.com/office/drawing/2010/main" val="0"/>
                        </a:ext>
                      </a:extLst>
                    </a:blip>
                    <a:srcRect l="19167" r="19000"/>
                    <a:stretch/>
                  </pic:blipFill>
                  <pic:spPr bwMode="auto">
                    <a:xfrm>
                      <a:off x="0" y="0"/>
                      <a:ext cx="4511115" cy="7295604"/>
                    </a:xfrm>
                    <a:prstGeom prst="rect">
                      <a:avLst/>
                    </a:prstGeom>
                    <a:ln>
                      <a:noFill/>
                    </a:ln>
                    <a:extLst>
                      <a:ext uri="{53640926-AAD7-44D8-BBD7-CCE9431645EC}">
                        <a14:shadowObscured xmlns:a14="http://schemas.microsoft.com/office/drawing/2010/main"/>
                      </a:ext>
                    </a:extLst>
                  </pic:spPr>
                </pic:pic>
              </a:graphicData>
            </a:graphic>
          </wp:inline>
        </w:drawing>
      </w:r>
    </w:p>
    <w:p w:rsidR="00E97EA5" w:rsidRDefault="00E97EA5" w:rsidP="00E97EA5">
      <w:pPr>
        <w:jc w:val="center"/>
      </w:pPr>
    </w:p>
    <w:p w:rsidR="00E97EA5" w:rsidRPr="00EB3726" w:rsidRDefault="00E97EA5" w:rsidP="00E97EA5">
      <w:pPr>
        <w:jc w:val="center"/>
      </w:pPr>
      <w:r w:rsidRPr="00EB3726">
        <w:t>Reliquary of St. Eustace</w:t>
      </w:r>
      <w:r>
        <w:t>, c.1210</w:t>
      </w:r>
    </w:p>
    <w:p w:rsidR="00E97EA5" w:rsidRPr="00EB3726" w:rsidRDefault="00E97EA5" w:rsidP="00E97EA5">
      <w:pPr>
        <w:jc w:val="center"/>
      </w:pPr>
      <w:r>
        <w:t xml:space="preserve">Silver gilt over wood with </w:t>
      </w:r>
      <w:r w:rsidRPr="00EB3726">
        <w:t>rock c</w:t>
      </w:r>
      <w:r>
        <w:t>rystal, chalcedony, amethyst, ca</w:t>
      </w:r>
      <w:r w:rsidRPr="00EB3726">
        <w:t>rnelian, pearl, and glass</w:t>
      </w:r>
    </w:p>
    <w:p w:rsidR="00E97EA5" w:rsidRDefault="00E97EA5" w:rsidP="00E97EA5">
      <w:pPr>
        <w:jc w:val="center"/>
      </w:pPr>
      <w:r w:rsidRPr="00EB3726">
        <w:t>London, The British Museum</w:t>
      </w:r>
    </w:p>
    <w:p w:rsidR="00E97EA5" w:rsidRDefault="00E97EA5" w:rsidP="00E97EA5">
      <w:pPr>
        <w:jc w:val="center"/>
      </w:pPr>
      <w:r>
        <w:rPr>
          <w:noProof/>
        </w:rPr>
        <w:lastRenderedPageBreak/>
        <w:drawing>
          <wp:inline distT="0" distB="0" distL="0" distR="0" wp14:anchorId="7235508A" wp14:editId="025FC0A9">
            <wp:extent cx="5585196" cy="7458075"/>
            <wp:effectExtent l="0" t="0" r="0" b="0"/>
            <wp:docPr id="2" name="Picture 2" descr="Danse Macab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nse Macab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2272" cy="7480877"/>
                    </a:xfrm>
                    <a:prstGeom prst="rect">
                      <a:avLst/>
                    </a:prstGeom>
                    <a:noFill/>
                    <a:ln>
                      <a:noFill/>
                    </a:ln>
                  </pic:spPr>
                </pic:pic>
              </a:graphicData>
            </a:graphic>
          </wp:inline>
        </w:drawing>
      </w:r>
    </w:p>
    <w:p w:rsidR="00E97EA5" w:rsidRDefault="00E97EA5" w:rsidP="00E97EA5">
      <w:pPr>
        <w:jc w:val="center"/>
      </w:pPr>
    </w:p>
    <w:p w:rsidR="00E97EA5" w:rsidRDefault="00E97EA5" w:rsidP="00E97EA5">
      <w:pPr>
        <w:jc w:val="center"/>
      </w:pPr>
      <w:proofErr w:type="spellStart"/>
      <w:r>
        <w:t>Danse</w:t>
      </w:r>
      <w:proofErr w:type="spellEnd"/>
      <w:r>
        <w:t xml:space="preserve"> Macabre print by Pierre le Rouge, 1491-1492</w:t>
      </w:r>
    </w:p>
    <w:p w:rsidR="00E97EA5" w:rsidRDefault="00E97EA5" w:rsidP="00E97EA5">
      <w:pPr>
        <w:jc w:val="center"/>
      </w:pPr>
    </w:p>
    <w:p w:rsidR="00E97EA5" w:rsidRDefault="00E97EA5" w:rsidP="00E97EA5"/>
    <w:p w:rsidR="00E022E3" w:rsidRDefault="00E022E3" w:rsidP="00E022E3">
      <w:pPr>
        <w:tabs>
          <w:tab w:val="left" w:pos="1770"/>
        </w:tabs>
        <w:jc w:val="center"/>
        <w:rPr>
          <w:i/>
          <w:iCs/>
          <w:lang w:val="en-US"/>
        </w:rPr>
      </w:pPr>
    </w:p>
    <w:p w:rsidR="00E022E3" w:rsidRDefault="00E022E3" w:rsidP="00E022E3">
      <w:pPr>
        <w:tabs>
          <w:tab w:val="left" w:pos="1770"/>
        </w:tabs>
        <w:jc w:val="center"/>
        <w:rPr>
          <w:i/>
          <w:iCs/>
          <w:lang w:val="en-US"/>
        </w:rPr>
      </w:pPr>
    </w:p>
    <w:p w:rsidR="00E022E3" w:rsidRPr="00E022E3" w:rsidRDefault="00E022E3" w:rsidP="00E022E3">
      <w:pPr>
        <w:tabs>
          <w:tab w:val="left" w:pos="1770"/>
        </w:tabs>
        <w:jc w:val="center"/>
      </w:pPr>
      <w:r w:rsidRPr="00E022E3">
        <w:rPr>
          <w:noProof/>
        </w:rPr>
        <w:drawing>
          <wp:anchor distT="0" distB="0" distL="114300" distR="114300" simplePos="0" relativeHeight="251661312" behindDoc="1" locked="0" layoutInCell="1" allowOverlap="1" wp14:anchorId="404CD6B0">
            <wp:simplePos x="0" y="0"/>
            <wp:positionH relativeFrom="column">
              <wp:posOffset>6350</wp:posOffset>
            </wp:positionH>
            <wp:positionV relativeFrom="paragraph">
              <wp:posOffset>3280410</wp:posOffset>
            </wp:positionV>
            <wp:extent cx="5731510" cy="3083560"/>
            <wp:effectExtent l="0" t="0" r="2540" b="2540"/>
            <wp:wrapTight wrapText="bothSides">
              <wp:wrapPolygon edited="0">
                <wp:start x="0" y="0"/>
                <wp:lineTo x="0" y="21484"/>
                <wp:lineTo x="21538" y="21484"/>
                <wp:lineTo x="21538" y="0"/>
                <wp:lineTo x="0" y="0"/>
              </wp:wrapPolygon>
            </wp:wrapTight>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14:sizeRelH relativeFrom="page">
              <wp14:pctWidth>0</wp14:pctWidth>
            </wp14:sizeRelH>
            <wp14:sizeRelV relativeFrom="page">
              <wp14:pctHeight>0</wp14:pctHeight>
            </wp14:sizeRelV>
          </wp:anchor>
        </w:drawing>
      </w:r>
      <w:r w:rsidRPr="00E022E3">
        <w:rPr>
          <w:noProof/>
        </w:rPr>
        <w:drawing>
          <wp:anchor distT="0" distB="0" distL="114300" distR="114300" simplePos="0" relativeHeight="251660288" behindDoc="1" locked="0" layoutInCell="1" allowOverlap="1" wp14:anchorId="6308505D">
            <wp:simplePos x="0" y="0"/>
            <wp:positionH relativeFrom="column">
              <wp:posOffset>0</wp:posOffset>
            </wp:positionH>
            <wp:positionV relativeFrom="paragraph">
              <wp:posOffset>0</wp:posOffset>
            </wp:positionV>
            <wp:extent cx="5731510" cy="3278505"/>
            <wp:effectExtent l="0" t="0" r="2540" b="0"/>
            <wp:wrapTight wrapText="bothSides">
              <wp:wrapPolygon edited="0">
                <wp:start x="0" y="0"/>
                <wp:lineTo x="0" y="21462"/>
                <wp:lineTo x="21538" y="21462"/>
                <wp:lineTo x="21538" y="0"/>
                <wp:lineTo x="0" y="0"/>
              </wp:wrapPolygon>
            </wp:wrapTight>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8505"/>
                    </a:xfrm>
                    <a:prstGeom prst="rect">
                      <a:avLst/>
                    </a:prstGeom>
                  </pic:spPr>
                </pic:pic>
              </a:graphicData>
            </a:graphic>
            <wp14:sizeRelH relativeFrom="page">
              <wp14:pctWidth>0</wp14:pctWidth>
            </wp14:sizeRelH>
            <wp14:sizeRelV relativeFrom="page">
              <wp14:pctHeight>0</wp14:pctHeight>
            </wp14:sizeRelV>
          </wp:anchor>
        </w:drawing>
      </w:r>
      <w:r w:rsidRPr="00E022E3">
        <w:rPr>
          <w:i/>
          <w:iCs/>
          <w:lang w:val="en-US"/>
        </w:rPr>
        <w:t>The Three Living and the Three Dead</w:t>
      </w:r>
    </w:p>
    <w:p w:rsidR="00E022E3" w:rsidRPr="00E022E3" w:rsidRDefault="00E022E3" w:rsidP="00E022E3">
      <w:pPr>
        <w:jc w:val="center"/>
      </w:pPr>
      <w:r w:rsidRPr="00E022E3">
        <w:rPr>
          <w:lang w:val="en-US"/>
        </w:rPr>
        <w:t xml:space="preserve">The </w:t>
      </w:r>
      <w:proofErr w:type="spellStart"/>
      <w:r w:rsidRPr="00E022E3">
        <w:rPr>
          <w:lang w:val="en-US"/>
        </w:rPr>
        <w:t>Taymouth</w:t>
      </w:r>
      <w:proofErr w:type="spellEnd"/>
      <w:r w:rsidRPr="00E022E3">
        <w:rPr>
          <w:lang w:val="en-US"/>
        </w:rPr>
        <w:t xml:space="preserve"> Hours, 2</w:t>
      </w:r>
      <w:r w:rsidRPr="00E022E3">
        <w:rPr>
          <w:vertAlign w:val="superscript"/>
          <w:lang w:val="en-US"/>
        </w:rPr>
        <w:t>nd</w:t>
      </w:r>
      <w:r w:rsidRPr="00E022E3">
        <w:rPr>
          <w:lang w:val="en-US"/>
        </w:rPr>
        <w:t xml:space="preserve"> quarter of the 14</w:t>
      </w:r>
      <w:r w:rsidRPr="00E022E3">
        <w:rPr>
          <w:vertAlign w:val="superscript"/>
          <w:lang w:val="en-US"/>
        </w:rPr>
        <w:t>th</w:t>
      </w:r>
      <w:r w:rsidRPr="00E022E3">
        <w:rPr>
          <w:lang w:val="en-US"/>
        </w:rPr>
        <w:t xml:space="preserve"> century</w:t>
      </w:r>
    </w:p>
    <w:p w:rsidR="00E022E3" w:rsidRPr="00E022E3" w:rsidRDefault="00E022E3" w:rsidP="00E022E3">
      <w:pPr>
        <w:jc w:val="center"/>
      </w:pPr>
      <w:r w:rsidRPr="00E022E3">
        <w:rPr>
          <w:lang w:val="en-US"/>
        </w:rPr>
        <w:t xml:space="preserve">London, The British Library, Yates Thompson MS 13, </w:t>
      </w:r>
      <w:proofErr w:type="spellStart"/>
      <w:r w:rsidRPr="00E022E3">
        <w:rPr>
          <w:lang w:val="en-US"/>
        </w:rPr>
        <w:t>fols</w:t>
      </w:r>
      <w:proofErr w:type="spellEnd"/>
      <w:r w:rsidRPr="00E022E3">
        <w:rPr>
          <w:lang w:val="en-US"/>
        </w:rPr>
        <w:t xml:space="preserve"> 179v-180r</w:t>
      </w:r>
    </w:p>
    <w:p w:rsidR="00E022E3" w:rsidRDefault="00E022E3"/>
    <w:p w:rsidR="00E022E3" w:rsidRDefault="00E022E3">
      <w:pPr>
        <w:rPr>
          <w:b/>
        </w:rPr>
      </w:pPr>
      <w:r>
        <w:rPr>
          <w:b/>
        </w:rPr>
        <w:br w:type="page"/>
      </w:r>
    </w:p>
    <w:p w:rsidR="00E97EA5" w:rsidRPr="00E97EA5" w:rsidRDefault="00E97EA5" w:rsidP="00E97EA5">
      <w:pPr>
        <w:rPr>
          <w:b/>
        </w:rPr>
      </w:pPr>
      <w:r w:rsidRPr="00E97EA5">
        <w:rPr>
          <w:b/>
        </w:rPr>
        <w:lastRenderedPageBreak/>
        <w:t>Text Extract – 750 words</w:t>
      </w:r>
    </w:p>
    <w:p w:rsidR="00E97EA5" w:rsidRDefault="00E97EA5" w:rsidP="00E97EA5">
      <w:pPr>
        <w:jc w:val="center"/>
        <w:rPr>
          <w:noProof/>
          <w:u w:val="single"/>
        </w:rPr>
      </w:pPr>
      <w:r>
        <w:rPr>
          <w:noProof/>
          <w:u w:val="single"/>
        </w:rPr>
        <w:t xml:space="preserve">Chapter V of </w:t>
      </w:r>
      <w:r>
        <w:rPr>
          <w:i/>
          <w:iCs/>
          <w:noProof/>
          <w:u w:val="single"/>
        </w:rPr>
        <w:t>The Art and Craft to Know Well to Die</w:t>
      </w:r>
      <w:r>
        <w:rPr>
          <w:noProof/>
          <w:u w:val="single"/>
        </w:rPr>
        <w:t xml:space="preserve"> by William Caxton</w:t>
      </w:r>
    </w:p>
    <w:p w:rsidR="00E97EA5" w:rsidRDefault="00E97EA5" w:rsidP="00E97EA5">
      <w:pPr>
        <w:jc w:val="both"/>
        <w:rPr>
          <w:noProof/>
        </w:rPr>
      </w:pPr>
      <w:r>
        <w:rPr>
          <w:noProof/>
        </w:rPr>
        <w:t>Item if the sick man have long space of time, and that he be not oppressed of hasty death, the assistants ought to read before him histories and devout orisons, which before he delighted and took pleasure in; and men ought to remember him of God’s commandments, to the end that he think the more profoundly if he could find anything in himself that he hath against the said commandments commised and trespassed. And if he be so sick that he hath lost the usage of speech, and hath his knowledge whole and entire, he ought to answer to these things by some sign outward, or by whole consenting of heart, for that sufficeth to his salvation.</w:t>
      </w:r>
    </w:p>
    <w:p w:rsidR="00E97EA5" w:rsidRDefault="00E97EA5" w:rsidP="00E97EA5">
      <w:pPr>
        <w:jc w:val="both"/>
        <w:rPr>
          <w:noProof/>
        </w:rPr>
      </w:pPr>
    </w:p>
    <w:p w:rsidR="00E97EA5" w:rsidRDefault="00E97EA5" w:rsidP="00E97EA5">
      <w:pPr>
        <w:jc w:val="both"/>
        <w:rPr>
          <w:noProof/>
        </w:rPr>
      </w:pPr>
      <w:r>
        <w:rPr>
          <w:noProof/>
        </w:rPr>
        <w:t>Always ought [it] to be taken heed that the interrogations be made before or that the sick man lose the usage of speech; and if the answers of the sick person appear not sound nor sufficient to his salvation, let there be put thereto remedy—by necessary information—by the best manner that may be.</w:t>
      </w:r>
    </w:p>
    <w:p w:rsidR="00E97EA5" w:rsidRDefault="00E97EA5" w:rsidP="00E97EA5">
      <w:pPr>
        <w:jc w:val="both"/>
        <w:rPr>
          <w:noProof/>
        </w:rPr>
      </w:pPr>
    </w:p>
    <w:p w:rsidR="00E97EA5" w:rsidRDefault="00E97EA5" w:rsidP="00E97EA5">
      <w:pPr>
        <w:jc w:val="both"/>
        <w:rPr>
          <w:noProof/>
        </w:rPr>
      </w:pPr>
      <w:r>
        <w:rPr>
          <w:noProof/>
        </w:rPr>
        <w:t>And also [it] ought to be showed to the sick person the great peril that might fall and come to him, notwithstanding though he thereby should be afeared. For better it is that by fear and wholesome dread he have compunciton and be saved, than by blandishing dissolution, or by noyous comfort, he be damned. In truth this thing is much strange and over periolous, and contrary to the faith and Christian religion, but it is a thing diabolical, that to a Christian man, being in the article of death, for to hide from him the perol of the death of his soul, and that by human dread men dare not trouble him…</w:t>
      </w:r>
    </w:p>
    <w:p w:rsidR="00E97EA5" w:rsidRDefault="00E97EA5" w:rsidP="00E97EA5">
      <w:pPr>
        <w:jc w:val="both"/>
        <w:rPr>
          <w:noProof/>
        </w:rPr>
      </w:pPr>
    </w:p>
    <w:p w:rsidR="00E97EA5" w:rsidRDefault="00E97EA5" w:rsidP="00E97EA5">
      <w:pPr>
        <w:jc w:val="both"/>
        <w:rPr>
          <w:noProof/>
        </w:rPr>
      </w:pPr>
      <w:r>
        <w:rPr>
          <w:noProof/>
        </w:rPr>
        <w:t>Item [there] ought to be presented to the sick person the image of the crucifix, which always should be among the sick people, and also the image of our Blessed Lady, and of other saints which the sick man hath most loved and honoured in his life. Also (there) ought to be about them holy water, and oft cast upon them and about them to the end that the devils be put a-back from them. And if because shortness of time all these things aforsaid may not be done, yet they ought at least to purpose to them the orisons and prayers which [are] addressed unto our Lord Jesu Christ. And there ought never to be brought to their remembrance the carnal friends, nor wife, nor children, nor riches, nor other good tempral, but only as much as the spiritual health of the sick person demanded and requireth.</w:t>
      </w:r>
    </w:p>
    <w:p w:rsidR="00E97EA5" w:rsidRDefault="00E97EA5" w:rsidP="00E97EA5">
      <w:pPr>
        <w:jc w:val="both"/>
        <w:rPr>
          <w:noProof/>
        </w:rPr>
      </w:pPr>
    </w:p>
    <w:p w:rsidR="00E97EA5" w:rsidRDefault="00E97EA5" w:rsidP="00E97EA5">
      <w:pPr>
        <w:jc w:val="both"/>
        <w:rPr>
          <w:noProof/>
        </w:rPr>
      </w:pPr>
      <w:r>
        <w:rPr>
          <w:noProof/>
        </w:rPr>
        <w:t>Whomsomever then will learn to die let him come and learn all the things foresaid before, or he have need in the article of necessity. For in truth in grievous infirmity the devotion of the person goeth away and passeth; and as much more as the sickness approacheth or increaseth, so much more the devotion fleeth from him. If thou wilt not then err nor be deceived, and that thou wilt be sure, do instantly all that thou mayst good, whiles that thou art whole and sound, and that thou hast the usage of reason and [art] well disposed, and that thou mayst be lord of all thy feats.</w:t>
      </w:r>
    </w:p>
    <w:p w:rsidR="00E97EA5" w:rsidRDefault="00E97EA5" w:rsidP="00E97EA5">
      <w:pPr>
        <w:jc w:val="both"/>
        <w:rPr>
          <w:noProof/>
        </w:rPr>
      </w:pPr>
    </w:p>
    <w:p w:rsidR="00E97EA5" w:rsidRPr="00E97EA5" w:rsidRDefault="00E97EA5" w:rsidP="00E97EA5">
      <w:pPr>
        <w:jc w:val="both"/>
        <w:rPr>
          <w:noProof/>
          <w:color w:val="0563C1" w:themeColor="hyperlink"/>
          <w:u w:val="single"/>
        </w:rPr>
      </w:pPr>
      <w:r>
        <w:rPr>
          <w:noProof/>
        </w:rPr>
        <w:t>The complete text of Chapter V (</w:t>
      </w:r>
      <w:r>
        <w:rPr>
          <w:i/>
          <w:iCs/>
          <w:noProof/>
        </w:rPr>
        <w:t>The Book of the Craft of Dying and Other Early English Tracts Concerning Death</w:t>
      </w:r>
      <w:r>
        <w:rPr>
          <w:noProof/>
        </w:rPr>
        <w:t xml:space="preserve">, pp.74-79) is available here: </w:t>
      </w:r>
      <w:hyperlink r:id="rId13" w:history="1">
        <w:r w:rsidRPr="00EF2C47">
          <w:rPr>
            <w:rStyle w:val="Hyperlink"/>
            <w:noProof/>
          </w:rPr>
          <w:t>https://archive.org/details/bookofcraftofdyi00caxtiala</w:t>
        </w:r>
      </w:hyperlink>
    </w:p>
    <w:p w:rsidR="00E97EA5" w:rsidRDefault="00E97EA5" w:rsidP="00E97EA5">
      <w:pPr>
        <w:jc w:val="center"/>
        <w:rPr>
          <w:noProof/>
          <w:u w:val="single"/>
        </w:rPr>
      </w:pPr>
      <w:r>
        <w:rPr>
          <w:noProof/>
          <w:u w:val="single"/>
        </w:rPr>
        <w:lastRenderedPageBreak/>
        <w:t>Will of Cecily, Duchess of York, dated 1495</w:t>
      </w:r>
    </w:p>
    <w:p w:rsidR="00E97EA5" w:rsidRDefault="00E97EA5" w:rsidP="00E97EA5">
      <w:pPr>
        <w:rPr>
          <w:noProof/>
          <w:u w:val="single"/>
        </w:rPr>
      </w:pPr>
    </w:p>
    <w:p w:rsidR="00E97EA5" w:rsidRDefault="00E97EA5" w:rsidP="00E97EA5">
      <w:pPr>
        <w:jc w:val="both"/>
        <w:rPr>
          <w:noProof/>
        </w:rPr>
      </w:pPr>
      <w:r>
        <w:rPr>
          <w:noProof/>
        </w:rPr>
        <w:t>In the name of allmyghty god, the blessed Trinitie, fader and son and the holigost, trusting in the meanes and mediacions of oure blessed Lady Moder,of oure most blessed Saviour Jh’u Crist, and by the intercession of holy Saint John Baptist, and all the saintes of heven: I, Cecille, wife unto the right noble prince Richard late Duke of Yorke, fader unto the most cristen prince my Lord and son King Edward the iiii</w:t>
      </w:r>
      <w:r>
        <w:rPr>
          <w:noProof/>
          <w:vertAlign w:val="superscript"/>
        </w:rPr>
        <w:t>th</w:t>
      </w:r>
      <w:r>
        <w:rPr>
          <w:noProof/>
        </w:rPr>
        <w:t>, the first day of Aprill the yere of our Lord M.CCCC.LXXXXV after the computacion of the Church of England, of hole mynde and body, loving therfore be it to Jh’u, make and ordeigne my testament in fourme and maner ensuyng. Furst, I bequeath and surrender my soule in to the mercifull handes of allmyghty God my maker, and in to protecion of the blessed virgin our lady Saint Mary, and suffrage of Saint John Baptist, and of all other saintes of heven. Also my body to be buried beside the body of  my moost entirely best beloved Lord and housbond, fader unto my said lorde and son, and in his tumbe within the collegiate church of Fodringhay, if myn executours by the the sufferaunce of the King finde goode sufficient therto; and elles at the Kinges pleasure. And I will that after my deceasse all my dettes sufficiently appering and proved be paid, thanking oure Lord at this tyme of making of this my testament to the knoledge of my conscience I am not muche in dett; and if it happen, as I trust to God it shalnot, that there be not found sufficient money aswell to pay my dettes as to enture my body, than in advoiding such charges as myght growe for the same, the whiche God defende, I lymytte and assigne all such parcelles of plate as belongith to my chapell, pantry, cellour, ewry, and squillery, to the perfourmyng of the same, as apperith in the inventary, except such plate as I have bequeithed. Also I geve and bequeth to the Kinges [Henry VII] noble grace all such money as is owing to me of the customes, and two cuppes of gold. Also I geve and bequeith to the Quene [Elizabeth of York, Cecily’s granddaughter] a crosse croslette of diamantes, a sawter with claspes of silver and guilte enameled covered with grene clothe of golde, and a pix with the fleshe of Saint Cristofer. Also I bequeith to my lady the Kinges moder [Lady Margaret Beaufort] a portuos with claspes of gold covered with blacke cloth of golde. Also I geve to my lord Prince [Arthur, Prince of Wales] a bedde of arres of the Whele of Fortune and testour of the same, a counterpoint of arras, and a tappett of arres with the pope. Also I geve to my lord Henry Duke of Yorke [the future Henry VIII] three tappettes of arres, oon of them of the life of Saint John Baptist, another of Mary Maudeleyn, and the thirde of the passion of our Lord and Saint George. And I fmy body be buried at Foderinghay in the colege tehre with my most entirely best beloved lord and housbond, then I geve to the said colege a square canapie of crymeson clothe of gold with iiii staves, twoo auter clothes of crymeson clothe of gold, twoo copes of crymeson clothe of gold, a chesibull and twoo tenucles of crymyson clothe of gold, with iii abes, twoo auter clothes of crymeson damaske browdered, a chesibull, twoo tenucles, and iii copes of blewe velwett brodered, with iii abes, thre masse bokes, thre grayles, and vii processioners….Also I geve to my doughter Brigitte</w:t>
      </w:r>
      <w:r>
        <w:rPr>
          <w:rStyle w:val="FootnoteReference"/>
          <w:noProof/>
        </w:rPr>
        <w:footnoteReference w:id="1"/>
      </w:r>
      <w:r>
        <w:rPr>
          <w:noProof/>
        </w:rPr>
        <w:t xml:space="preserve"> the boke of </w:t>
      </w:r>
      <w:r>
        <w:rPr>
          <w:i/>
          <w:iCs/>
          <w:noProof/>
        </w:rPr>
        <w:t xml:space="preserve">Legenda Aurea </w:t>
      </w:r>
      <w:r>
        <w:rPr>
          <w:noProof/>
        </w:rPr>
        <w:t>in velem, a boke of the life of Saint Kateryn of Sene, a boke of Saint Matilde. Also I geve to my doughter Cecill a portuous with claspes silver and gilte covered with purple velvet, and a grete portuous without note. Also I geve to my doughter Anne the largest bedde of bawdekeyn, with countrepoint of the same, the barge with bailles, tilde, and ores belonging to the same. Also I geve to my doughter Kateryn a traves of blewe satten. Also I geve to my doughter of Suffolke</w:t>
      </w:r>
      <w:r>
        <w:rPr>
          <w:rStyle w:val="FootnoteReference"/>
          <w:noProof/>
        </w:rPr>
        <w:footnoteReference w:id="2"/>
      </w:r>
      <w:r>
        <w:rPr>
          <w:noProof/>
        </w:rPr>
        <w:t xml:space="preserve"> the chare with the coveryng, all the quoshons, horses, and harneys belonging to the same, and all my palfreys. Also I geve to my son of Suffolke a clothe of estate and iii quoschons of purpull damaske cloth of gold. Also I geve to my son Humfrey two awter clothes of blewe damaske brawdered </w:t>
      </w:r>
      <w:r>
        <w:rPr>
          <w:noProof/>
        </w:rPr>
        <w:lastRenderedPageBreak/>
        <w:t>and a vestyment of crymeson satten for Jh’us masse. Also I geve to my son William a traves of white sarcenet, twoo beddes of downe, and twoo bolsters to the same. Also I geve to my doughter Anne, priores of Sion, a boke of Bonaventure and Hilton in the same in Englishe, and a boke of the Revelacions of Saint Burgitte…In wittenesse herof I have setto my signet and signemanuell at my castell of Berkehamstede the last day of May the yere of our Lord abovesaid, being present Master Richard Lessy, Sir William Grant my confessour, Richard Brocas clerc of my kechyn, and Gervays Cressy.</w:t>
      </w:r>
    </w:p>
    <w:p w:rsidR="00E97EA5" w:rsidRDefault="00E97EA5" w:rsidP="00E97EA5">
      <w:pPr>
        <w:rPr>
          <w:noProof/>
        </w:rPr>
      </w:pPr>
    </w:p>
    <w:p w:rsidR="00E97EA5" w:rsidRPr="00E07452" w:rsidRDefault="00E97EA5" w:rsidP="00E97EA5">
      <w:pPr>
        <w:rPr>
          <w:noProof/>
        </w:rPr>
      </w:pPr>
      <w:r>
        <w:rPr>
          <w:noProof/>
        </w:rPr>
        <w:t>The complete text of Cecily’s will (</w:t>
      </w:r>
      <w:r>
        <w:rPr>
          <w:i/>
          <w:iCs/>
          <w:noProof/>
        </w:rPr>
        <w:t>Wills from Doctors’ Commons</w:t>
      </w:r>
      <w:r>
        <w:rPr>
          <w:noProof/>
        </w:rPr>
        <w:t xml:space="preserve">, pp.1-8) is available here: </w:t>
      </w:r>
      <w:hyperlink r:id="rId14" w:history="1">
        <w:r w:rsidRPr="00E07452">
          <w:rPr>
            <w:rStyle w:val="Hyperlink"/>
            <w:noProof/>
          </w:rPr>
          <w:t>https://archive.org/details/willsfromdoctors00churrich</w:t>
        </w:r>
      </w:hyperlink>
    </w:p>
    <w:p w:rsidR="00E97EA5" w:rsidRDefault="00E97EA5" w:rsidP="00E97EA5"/>
    <w:p w:rsidR="008D420F" w:rsidRDefault="00E97EA5" w:rsidP="00710E22">
      <w:pPr>
        <w:jc w:val="center"/>
        <w:rPr>
          <w:u w:val="single"/>
        </w:rPr>
      </w:pPr>
      <w:r>
        <w:br w:type="page"/>
      </w:r>
      <w:r w:rsidR="00710E22" w:rsidRPr="00710E22">
        <w:rPr>
          <w:u w:val="single"/>
        </w:rPr>
        <w:lastRenderedPageBreak/>
        <w:t xml:space="preserve">Extract from the Vision of </w:t>
      </w:r>
      <w:proofErr w:type="spellStart"/>
      <w:r w:rsidR="00710E22" w:rsidRPr="00710E22">
        <w:rPr>
          <w:u w:val="single"/>
        </w:rPr>
        <w:t>Thurkill</w:t>
      </w:r>
      <w:proofErr w:type="spellEnd"/>
      <w:r w:rsidR="00710E22" w:rsidRPr="00710E22">
        <w:rPr>
          <w:u w:val="single"/>
        </w:rPr>
        <w:t>, c. 1206</w:t>
      </w:r>
    </w:p>
    <w:p w:rsidR="00710E22" w:rsidRDefault="00710E22" w:rsidP="00214172">
      <w:pPr>
        <w:jc w:val="both"/>
      </w:pPr>
      <w:r>
        <w:t>After being taken beyond the northern wall, he saw a great number of spirits standing near the wall, marked with black and white spots. Some had a greater show of white than black, and others the reverse; but those who were whiter remained nearer the wall, and those who were farthest off had no whiteness about them and appeared deformed in every part.</w:t>
      </w:r>
    </w:p>
    <w:p w:rsidR="00B93044" w:rsidRDefault="00B93044" w:rsidP="00214172">
      <w:pPr>
        <w:jc w:val="both"/>
      </w:pPr>
    </w:p>
    <w:p w:rsidR="00710E22" w:rsidRDefault="00710E22" w:rsidP="00214172">
      <w:pPr>
        <w:jc w:val="both"/>
      </w:pPr>
      <w:r>
        <w:t xml:space="preserve">Near the Wall was the entrance to the pit of hell, which incessantly exhaled the smoke of a most foul stench through the surrounding caverns and into the faces of those who stood by. This smoke came from tithes unjustly retained, and crops unjustly tithed; and the stink inflicted incomparable agony on those who were guilty of this crime. </w:t>
      </w:r>
      <w:proofErr w:type="spellStart"/>
      <w:r>
        <w:t>Thurkill</w:t>
      </w:r>
      <w:proofErr w:type="spellEnd"/>
      <w:r>
        <w:t>, after twice smelling this same stink, was so oppressed by it that he was compelled to cough twice. Those who stood around his body declared that his body coughed twice in the same moment. St. Julian then said to him, “It appears that you have not duly tithed your crop, and therefore you have smelled this stench.” He pleased poverty as an excuse, but the saint told him that his field would produce a more abundant crop if he paid his tithes justly. The holy man told him to confess this crime in the church openly to all and to seek absolution from the priest.</w:t>
      </w:r>
    </w:p>
    <w:p w:rsidR="00B93044" w:rsidRDefault="00B93044" w:rsidP="00214172">
      <w:pPr>
        <w:jc w:val="both"/>
      </w:pPr>
    </w:p>
    <w:p w:rsidR="00710E22" w:rsidRDefault="00710E22" w:rsidP="00214172">
      <w:pPr>
        <w:jc w:val="both"/>
      </w:pPr>
      <w:r>
        <w:t xml:space="preserve">On the eastern side of this church between two walls was a very large purgatorial fire. One of these walls rose on the north side, and the other on the south. They were separated by a large space that extended a long way in width on the eastern side to a very large lake, in which were immersed the souls of those who were passing through the purgatorial fire. The water of the lake was incomparably salty and cold, as was afterwards proved to the man. Over this lake was a large bridge planted all over with thorns and stakes. </w:t>
      </w:r>
      <w:proofErr w:type="spellStart"/>
      <w:proofErr w:type="gramStart"/>
      <w:r>
        <w:t>Every one</w:t>
      </w:r>
      <w:proofErr w:type="spellEnd"/>
      <w:proofErr w:type="gramEnd"/>
      <w:r>
        <w:t xml:space="preserve"> was obliged to pass over this bridge before he or she could arrive at the Mount of Joy. On this mountain was built a large church of wonderful structure. It appeared to </w:t>
      </w:r>
      <w:proofErr w:type="spellStart"/>
      <w:r>
        <w:t>Thurkill</w:t>
      </w:r>
      <w:proofErr w:type="spellEnd"/>
      <w:r>
        <w:t xml:space="preserve"> large enough to contain all the inhabitants of the world.</w:t>
      </w:r>
    </w:p>
    <w:p w:rsidR="00710E22" w:rsidRDefault="00710E22" w:rsidP="00214172">
      <w:pPr>
        <w:jc w:val="both"/>
      </w:pPr>
      <w:r>
        <w:t>Blessed Julian conducted him altogether unhurt through the fire to the lake; and the two then walked together on the road that led from the church through the middle of the flames. No wood supplied that fuel for his fire, but the sort of flame seen in a fiercely-heated oven rose and was diffused all over the space. It consumed the black and spotted spirits for either a shorter or a longer period according to the degree of their crimes.</w:t>
      </w:r>
    </w:p>
    <w:p w:rsidR="00B93044" w:rsidRDefault="00B93044" w:rsidP="00214172">
      <w:pPr>
        <w:jc w:val="both"/>
      </w:pPr>
      <w:bookmarkStart w:id="1" w:name="_GoBack"/>
      <w:bookmarkEnd w:id="1"/>
    </w:p>
    <w:p w:rsidR="00710E22" w:rsidRDefault="00710E22" w:rsidP="00214172">
      <w:pPr>
        <w:jc w:val="both"/>
      </w:pPr>
      <w:r>
        <w:t xml:space="preserve">The spirits who had escaped the fire descended into that cold salty lake at the command of Blessed </w:t>
      </w:r>
      <w:proofErr w:type="gramStart"/>
      <w:r>
        <w:t>Nicholas ,</w:t>
      </w:r>
      <w:proofErr w:type="gramEnd"/>
      <w:r>
        <w:t xml:space="preserve"> who presided over that purgatory. Some of these were immersed over the head, some up to the neck, some to the chest and arms, others up to the navel, some up to the knees, and other scarcely up to the </w:t>
      </w:r>
      <w:r w:rsidR="00A17D4D">
        <w:t xml:space="preserve">hollow of their feet. </w:t>
      </w:r>
    </w:p>
    <w:p w:rsidR="00B93044" w:rsidRDefault="00B93044" w:rsidP="00214172">
      <w:pPr>
        <w:jc w:val="both"/>
      </w:pPr>
    </w:p>
    <w:p w:rsidR="00A17D4D" w:rsidRDefault="00A17D4D" w:rsidP="00214172">
      <w:pPr>
        <w:jc w:val="both"/>
      </w:pPr>
      <w:r>
        <w:t xml:space="preserve">After the lake, there remained the crossing of the bridge on the western side in front of the church. Some of the spirits passed over this bridge very tediously and slowly, others more easily and faster, and some passed over quickly, at will, experiencing no delay or trouble in crossing. Some went through the lake so slowly that they stayed in it for many years. There were those who were not assisted by any special Masses, or who in their life-time had not tried to redeem their sins by works of charity towards the poor. When they reached that bridge and wanted to cross over to their destined place of </w:t>
      </w:r>
      <w:r>
        <w:lastRenderedPageBreak/>
        <w:t>rest, they walked painfully with naked feet amid the sharp stakes and thorns that were set on the bridge. When they were no longer able to endure the extreme agony of the pain, they placed their hands on the stakes to support themselves from falling, and their hands were pierced straight through. In the violence of their pain and suffering, they rolled on their bellies and all parts of their bodies on the stakes, until by degrees they grovelled along, dreadfully bloody and pierced all over, to the farther end of the bridge. But when they reached the hall of the church, they gained a happy entrance and remembered little of their vehement tortures.</w:t>
      </w:r>
    </w:p>
    <w:p w:rsidR="00A17D4D" w:rsidRDefault="00A17D4D" w:rsidP="00214172">
      <w:pPr>
        <w:jc w:val="both"/>
      </w:pPr>
    </w:p>
    <w:p w:rsidR="00A17D4D" w:rsidRPr="00A17D4D" w:rsidRDefault="00A17D4D" w:rsidP="00214172">
      <w:pPr>
        <w:jc w:val="both"/>
      </w:pPr>
      <w:r>
        <w:t xml:space="preserve">Extract taken from the account given in the Chronicle of Roger of Wendover and Matthew Paris; quoted here from </w:t>
      </w:r>
      <w:r>
        <w:rPr>
          <w:i/>
        </w:rPr>
        <w:t>Visions of Heaven and Hell Before Dante</w:t>
      </w:r>
      <w:r>
        <w:t>, ed. by Eileen Gardiner (New York, 1989), pp. 221-223. (Ask Suzanne for the full text if desired!)</w:t>
      </w:r>
    </w:p>
    <w:sectPr w:rsidR="00A17D4D" w:rsidRPr="00A17D4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6F7C" w:rsidRDefault="00426F7C" w:rsidP="00E97EA5">
      <w:pPr>
        <w:spacing w:after="0" w:line="240" w:lineRule="auto"/>
      </w:pPr>
      <w:r>
        <w:separator/>
      </w:r>
    </w:p>
  </w:endnote>
  <w:endnote w:type="continuationSeparator" w:id="0">
    <w:p w:rsidR="00426F7C" w:rsidRDefault="00426F7C" w:rsidP="00E97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5614858"/>
      <w:docPartObj>
        <w:docPartGallery w:val="Page Numbers (Bottom of Page)"/>
        <w:docPartUnique/>
      </w:docPartObj>
    </w:sdtPr>
    <w:sdtEndPr>
      <w:rPr>
        <w:noProof/>
      </w:rPr>
    </w:sdtEndPr>
    <w:sdtContent>
      <w:p w:rsidR="00E97EA5" w:rsidRDefault="00E97E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97EA5" w:rsidRDefault="00E97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6F7C" w:rsidRDefault="00426F7C" w:rsidP="00E97EA5">
      <w:pPr>
        <w:spacing w:after="0" w:line="240" w:lineRule="auto"/>
      </w:pPr>
      <w:r>
        <w:separator/>
      </w:r>
    </w:p>
  </w:footnote>
  <w:footnote w:type="continuationSeparator" w:id="0">
    <w:p w:rsidR="00426F7C" w:rsidRDefault="00426F7C" w:rsidP="00E97EA5">
      <w:pPr>
        <w:spacing w:after="0" w:line="240" w:lineRule="auto"/>
      </w:pPr>
      <w:r>
        <w:continuationSeparator/>
      </w:r>
    </w:p>
  </w:footnote>
  <w:footnote w:id="1">
    <w:p w:rsidR="00E97EA5" w:rsidRPr="007708C9" w:rsidRDefault="00E97EA5" w:rsidP="00E97EA5">
      <w:pPr>
        <w:pStyle w:val="FootnoteText"/>
        <w:ind w:left="0"/>
        <w:rPr>
          <w:rFonts w:asciiTheme="minorHAnsi" w:hAnsiTheme="minorHAnsi"/>
        </w:rPr>
      </w:pPr>
      <w:r>
        <w:rPr>
          <w:rStyle w:val="FootnoteReference"/>
        </w:rPr>
        <w:footnoteRef/>
      </w:r>
      <w:r>
        <w:t xml:space="preserve"> </w:t>
      </w:r>
      <w:r>
        <w:rPr>
          <w:rFonts w:asciiTheme="minorHAnsi" w:hAnsiTheme="minorHAnsi"/>
        </w:rPr>
        <w:t>Bridget, Cecily, Anne, and Katherine were Cecily’s granddaughters by Edward IV</w:t>
      </w:r>
    </w:p>
  </w:footnote>
  <w:footnote w:id="2">
    <w:p w:rsidR="00E97EA5" w:rsidRPr="007708C9" w:rsidRDefault="00E97EA5" w:rsidP="0054122C">
      <w:pPr>
        <w:pStyle w:val="FootnoteText"/>
        <w:ind w:left="0"/>
        <w:rPr>
          <w:rFonts w:asciiTheme="minorHAnsi" w:hAnsiTheme="minorHAnsi"/>
        </w:rPr>
      </w:pPr>
      <w:r>
        <w:rPr>
          <w:rStyle w:val="FootnoteReference"/>
        </w:rPr>
        <w:footnoteRef/>
      </w:r>
      <w:r>
        <w:t xml:space="preserve"> </w:t>
      </w:r>
      <w:r>
        <w:rPr>
          <w:rFonts w:asciiTheme="minorHAnsi" w:hAnsiTheme="minorHAnsi"/>
        </w:rPr>
        <w:t>Cecily’s “</w:t>
      </w:r>
      <w:proofErr w:type="spellStart"/>
      <w:r>
        <w:rPr>
          <w:rFonts w:asciiTheme="minorHAnsi" w:hAnsiTheme="minorHAnsi"/>
        </w:rPr>
        <w:t>doughter</w:t>
      </w:r>
      <w:proofErr w:type="spellEnd"/>
      <w:r>
        <w:rPr>
          <w:rFonts w:asciiTheme="minorHAnsi" w:hAnsiTheme="minorHAnsi"/>
        </w:rPr>
        <w:t xml:space="preserve"> of </w:t>
      </w:r>
      <w:proofErr w:type="spellStart"/>
      <w:r>
        <w:rPr>
          <w:rFonts w:asciiTheme="minorHAnsi" w:hAnsiTheme="minorHAnsi"/>
        </w:rPr>
        <w:t>Suffolke</w:t>
      </w:r>
      <w:proofErr w:type="spellEnd"/>
      <w:r>
        <w:rPr>
          <w:rFonts w:asciiTheme="minorHAnsi" w:hAnsiTheme="minorHAnsi"/>
        </w:rPr>
        <w:t xml:space="preserve">” is her daughter Elizabeth. Her “son of </w:t>
      </w:r>
      <w:proofErr w:type="spellStart"/>
      <w:r>
        <w:rPr>
          <w:rFonts w:asciiTheme="minorHAnsi" w:hAnsiTheme="minorHAnsi"/>
        </w:rPr>
        <w:t>Suffolke</w:t>
      </w:r>
      <w:proofErr w:type="spellEnd"/>
      <w:r>
        <w:rPr>
          <w:rFonts w:asciiTheme="minorHAnsi" w:hAnsiTheme="minorHAnsi"/>
        </w:rPr>
        <w:t>”—Edmund, Duke of Suffolk</w:t>
      </w:r>
      <w:proofErr w:type="gramStart"/>
      <w:r>
        <w:rPr>
          <w:rFonts w:asciiTheme="minorHAnsi" w:hAnsiTheme="minorHAnsi"/>
        </w:rPr>
        <w:t>—“</w:t>
      </w:r>
      <w:proofErr w:type="gramEnd"/>
      <w:r>
        <w:rPr>
          <w:rFonts w:asciiTheme="minorHAnsi" w:hAnsiTheme="minorHAnsi"/>
        </w:rPr>
        <w:t xml:space="preserve">son </w:t>
      </w:r>
      <w:proofErr w:type="spellStart"/>
      <w:r>
        <w:rPr>
          <w:rFonts w:asciiTheme="minorHAnsi" w:hAnsiTheme="minorHAnsi"/>
        </w:rPr>
        <w:t>Humfrey</w:t>
      </w:r>
      <w:proofErr w:type="spellEnd"/>
      <w:r>
        <w:rPr>
          <w:rFonts w:asciiTheme="minorHAnsi" w:hAnsiTheme="minorHAnsi"/>
        </w:rPr>
        <w:t>” and “</w:t>
      </w:r>
      <w:proofErr w:type="spellStart"/>
      <w:r>
        <w:rPr>
          <w:rFonts w:asciiTheme="minorHAnsi" w:hAnsiTheme="minorHAnsi"/>
        </w:rPr>
        <w:t>doughter</w:t>
      </w:r>
      <w:proofErr w:type="spellEnd"/>
      <w:r>
        <w:rPr>
          <w:rFonts w:asciiTheme="minorHAnsi" w:hAnsiTheme="minorHAnsi"/>
        </w:rPr>
        <w:t xml:space="preserve"> Anne” are her grandchildren by Elizabeth. It is unclear who her “son William” is.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946A4"/>
    <w:multiLevelType w:val="hybridMultilevel"/>
    <w:tmpl w:val="90745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90584"/>
    <w:multiLevelType w:val="hybridMultilevel"/>
    <w:tmpl w:val="9BC6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F5A74"/>
    <w:multiLevelType w:val="hybridMultilevel"/>
    <w:tmpl w:val="A6C20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A60A93"/>
    <w:multiLevelType w:val="hybridMultilevel"/>
    <w:tmpl w:val="A8847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4D"/>
    <w:rsid w:val="00214172"/>
    <w:rsid w:val="00214EAC"/>
    <w:rsid w:val="00426F7C"/>
    <w:rsid w:val="004711B3"/>
    <w:rsid w:val="0054122C"/>
    <w:rsid w:val="00560722"/>
    <w:rsid w:val="00585BCA"/>
    <w:rsid w:val="005D417D"/>
    <w:rsid w:val="006C1179"/>
    <w:rsid w:val="00710E22"/>
    <w:rsid w:val="008D420F"/>
    <w:rsid w:val="00965E4D"/>
    <w:rsid w:val="00997F87"/>
    <w:rsid w:val="00A17D4D"/>
    <w:rsid w:val="00B93044"/>
    <w:rsid w:val="00DA6BFA"/>
    <w:rsid w:val="00E022E3"/>
    <w:rsid w:val="00E97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E23D7"/>
  <w15:chartTrackingRefBased/>
  <w15:docId w15:val="{11B99D67-030D-4CC1-8154-5D46355F2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E4D"/>
    <w:pPr>
      <w:ind w:left="720"/>
      <w:contextualSpacing/>
    </w:pPr>
  </w:style>
  <w:style w:type="paragraph" w:styleId="Header">
    <w:name w:val="header"/>
    <w:basedOn w:val="Normal"/>
    <w:link w:val="HeaderChar"/>
    <w:uiPriority w:val="99"/>
    <w:unhideWhenUsed/>
    <w:rsid w:val="00E97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EA5"/>
  </w:style>
  <w:style w:type="paragraph" w:styleId="Footer">
    <w:name w:val="footer"/>
    <w:basedOn w:val="Normal"/>
    <w:link w:val="FooterChar"/>
    <w:uiPriority w:val="99"/>
    <w:unhideWhenUsed/>
    <w:rsid w:val="00E97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EA5"/>
  </w:style>
  <w:style w:type="character" w:styleId="Hyperlink">
    <w:name w:val="Hyperlink"/>
    <w:basedOn w:val="DefaultParagraphFont"/>
    <w:uiPriority w:val="99"/>
    <w:unhideWhenUsed/>
    <w:rsid w:val="00E97EA5"/>
    <w:rPr>
      <w:color w:val="0563C1" w:themeColor="hyperlink"/>
      <w:u w:val="single"/>
    </w:rPr>
  </w:style>
  <w:style w:type="paragraph" w:styleId="FootnoteText">
    <w:name w:val="footnote text"/>
    <w:basedOn w:val="Normal"/>
    <w:link w:val="FootnoteTextChar"/>
    <w:uiPriority w:val="99"/>
    <w:semiHidden/>
    <w:unhideWhenUsed/>
    <w:rsid w:val="00E97EA5"/>
    <w:pPr>
      <w:spacing w:after="0" w:line="240" w:lineRule="auto"/>
      <w:ind w:left="360"/>
      <w:jc w:val="both"/>
    </w:pPr>
    <w:rPr>
      <w:rFonts w:ascii="Times New Roman" w:hAnsi="Times New Roman" w:cs="Times New Roman"/>
      <w:sz w:val="20"/>
      <w:szCs w:val="20"/>
      <w:lang w:val="en-US"/>
    </w:rPr>
  </w:style>
  <w:style w:type="character" w:customStyle="1" w:styleId="FootnoteTextChar">
    <w:name w:val="Footnote Text Char"/>
    <w:basedOn w:val="DefaultParagraphFont"/>
    <w:link w:val="FootnoteText"/>
    <w:uiPriority w:val="99"/>
    <w:semiHidden/>
    <w:rsid w:val="00E97EA5"/>
    <w:rPr>
      <w:rFonts w:ascii="Times New Roman" w:hAnsi="Times New Roman" w:cs="Times New Roman"/>
      <w:sz w:val="20"/>
      <w:szCs w:val="20"/>
      <w:lang w:val="en-US"/>
    </w:rPr>
  </w:style>
  <w:style w:type="character" w:styleId="FootnoteReference">
    <w:name w:val="footnote reference"/>
    <w:basedOn w:val="DefaultParagraphFont"/>
    <w:uiPriority w:val="99"/>
    <w:semiHidden/>
    <w:unhideWhenUsed/>
    <w:rsid w:val="00E97EA5"/>
    <w:rPr>
      <w:vertAlign w:val="superscript"/>
    </w:rPr>
  </w:style>
  <w:style w:type="paragraph" w:styleId="Title">
    <w:name w:val="Title"/>
    <w:basedOn w:val="Normal"/>
    <w:next w:val="Normal"/>
    <w:link w:val="TitleChar"/>
    <w:uiPriority w:val="10"/>
    <w:qFormat/>
    <w:rsid w:val="005D41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17D"/>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E022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958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rchive.org/details/bookofcraftofdyi00caxtiala"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archive.org/details/willsfromdoctors00churri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11</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Nelson</dc:creator>
  <cp:keywords/>
  <dc:description/>
  <cp:lastModifiedBy>James Nelson</cp:lastModifiedBy>
  <cp:revision>10</cp:revision>
  <dcterms:created xsi:type="dcterms:W3CDTF">2018-11-26T06:44:00Z</dcterms:created>
  <dcterms:modified xsi:type="dcterms:W3CDTF">2019-01-07T09:02:00Z</dcterms:modified>
</cp:coreProperties>
</file>