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418D" w:rsidRDefault="004A41F7" w:rsidP="000F7759">
      <w:pPr>
        <w:spacing w:line="360" w:lineRule="auto"/>
        <w:jc w:val="center"/>
        <w:rPr>
          <w:rFonts w:eastAsia="Calibri"/>
          <w:b/>
        </w:rPr>
      </w:pPr>
      <w:r w:rsidRPr="000F7759">
        <w:rPr>
          <w:rFonts w:eastAsia="Calibri"/>
          <w:b/>
        </w:rPr>
        <w:t>A written assignment showing how a series of learning opportunities can be inter-linked to demonstrate progression in an area of learning and experience.</w:t>
      </w:r>
    </w:p>
    <w:p w:rsidR="000F7759" w:rsidRPr="000F7759" w:rsidRDefault="000F7759" w:rsidP="000F7759">
      <w:pPr>
        <w:spacing w:line="360" w:lineRule="auto"/>
        <w:jc w:val="center"/>
        <w:rPr>
          <w:rFonts w:eastAsia="Calibri"/>
          <w:b/>
        </w:rPr>
      </w:pPr>
    </w:p>
    <w:p w:rsidR="0061418D" w:rsidRPr="000F7759" w:rsidRDefault="000F7759" w:rsidP="000F7759">
      <w:pPr>
        <w:spacing w:line="360" w:lineRule="auto"/>
        <w:rPr>
          <w:rFonts w:eastAsia="Calibri"/>
          <w:u w:val="single"/>
        </w:rPr>
      </w:pPr>
      <w:r>
        <w:rPr>
          <w:rFonts w:eastAsia="Calibri"/>
          <w:u w:val="single"/>
        </w:rPr>
        <w:t>Introduction</w:t>
      </w:r>
    </w:p>
    <w:p w:rsidR="0061418D" w:rsidRPr="000F7759" w:rsidRDefault="004A41F7" w:rsidP="000F7759">
      <w:pPr>
        <w:spacing w:line="360" w:lineRule="auto"/>
        <w:rPr>
          <w:rFonts w:eastAsia="Calibri"/>
        </w:rPr>
      </w:pPr>
      <w:r w:rsidRPr="000F7759">
        <w:rPr>
          <w:rFonts w:eastAsia="Calibri"/>
        </w:rPr>
        <w:t>In this essay, I will be discussing various Assessment for Learning (</w:t>
      </w:r>
      <w:proofErr w:type="spellStart"/>
      <w:r w:rsidRPr="000F7759">
        <w:rPr>
          <w:rFonts w:eastAsia="Calibri"/>
        </w:rPr>
        <w:t>AfL</w:t>
      </w:r>
      <w:proofErr w:type="spellEnd"/>
      <w:r w:rsidRPr="000F7759">
        <w:rPr>
          <w:rFonts w:eastAsia="Calibri"/>
        </w:rPr>
        <w:t xml:space="preserve">) strategies and the range of opinions surrounding using them in a classroom. Cambridge Assessment defines </w:t>
      </w:r>
      <w:proofErr w:type="spellStart"/>
      <w:r w:rsidRPr="000F7759">
        <w:rPr>
          <w:rFonts w:eastAsia="Calibri"/>
        </w:rPr>
        <w:t>AfL</w:t>
      </w:r>
      <w:proofErr w:type="spellEnd"/>
      <w:r w:rsidRPr="000F7759">
        <w:rPr>
          <w:rFonts w:eastAsia="Calibri"/>
        </w:rPr>
        <w:t xml:space="preserve"> as,</w:t>
      </w:r>
    </w:p>
    <w:p w:rsidR="0061418D" w:rsidRPr="000F7759" w:rsidRDefault="0061418D" w:rsidP="000F7759">
      <w:pPr>
        <w:spacing w:line="360" w:lineRule="auto"/>
        <w:rPr>
          <w:rFonts w:eastAsia="Calibri"/>
        </w:rPr>
      </w:pPr>
    </w:p>
    <w:p w:rsidR="0061418D" w:rsidRPr="000F7759" w:rsidRDefault="004A41F7" w:rsidP="000F7759">
      <w:pPr>
        <w:spacing w:line="360" w:lineRule="auto"/>
        <w:jc w:val="center"/>
        <w:rPr>
          <w:rFonts w:eastAsia="Calibri"/>
          <w:color w:val="000000"/>
        </w:rPr>
      </w:pPr>
      <w:r w:rsidRPr="000F7759">
        <w:rPr>
          <w:rFonts w:eastAsia="Calibri"/>
          <w:color w:val="000000"/>
        </w:rPr>
        <w:t>“</w:t>
      </w:r>
      <w:r w:rsidRPr="000F7759">
        <w:rPr>
          <w:rFonts w:eastAsia="Calibri"/>
          <w:color w:val="000000"/>
          <w:highlight w:val="white"/>
        </w:rPr>
        <w:t>an approach to teaching and learning that creates feedback which is</w:t>
      </w:r>
      <w:r w:rsidRPr="000F7759">
        <w:rPr>
          <w:rFonts w:eastAsia="Calibri"/>
          <w:color w:val="000000"/>
          <w:highlight w:val="white"/>
        </w:rPr>
        <w:t xml:space="preserve"> then used to improve students’ performance. Students become more involved in the learning process and from this gain confidence in what they are expected to learn and to what standard.</w:t>
      </w:r>
      <w:r w:rsidRPr="000F7759">
        <w:rPr>
          <w:rFonts w:eastAsia="Calibri"/>
          <w:color w:val="000000"/>
        </w:rPr>
        <w:t>”</w:t>
      </w:r>
    </w:p>
    <w:p w:rsidR="0061418D" w:rsidRPr="000F7759" w:rsidRDefault="004A41F7" w:rsidP="000F7759">
      <w:pPr>
        <w:spacing w:line="360" w:lineRule="auto"/>
        <w:jc w:val="right"/>
        <w:rPr>
          <w:rFonts w:eastAsia="Calibri"/>
          <w:color w:val="000000"/>
        </w:rPr>
      </w:pPr>
      <w:r w:rsidRPr="000F7759">
        <w:rPr>
          <w:rFonts w:eastAsia="Calibri"/>
          <w:color w:val="000000"/>
        </w:rPr>
        <w:t>Cambridge Assessment, 2015</w:t>
      </w:r>
    </w:p>
    <w:p w:rsidR="0061418D" w:rsidRPr="000F7759" w:rsidRDefault="0061418D" w:rsidP="000F7759">
      <w:pPr>
        <w:spacing w:line="360" w:lineRule="auto"/>
        <w:jc w:val="right"/>
        <w:rPr>
          <w:rFonts w:eastAsia="Calibri"/>
        </w:rPr>
      </w:pPr>
    </w:p>
    <w:p w:rsidR="0061418D" w:rsidRPr="000F7759" w:rsidRDefault="004A41F7" w:rsidP="000F7759">
      <w:pPr>
        <w:spacing w:line="360" w:lineRule="auto"/>
        <w:rPr>
          <w:rFonts w:eastAsia="Calibri"/>
          <w:color w:val="000000"/>
        </w:rPr>
      </w:pPr>
      <w:r w:rsidRPr="000F7759">
        <w:rPr>
          <w:rFonts w:eastAsia="Calibri"/>
          <w:color w:val="000000"/>
        </w:rPr>
        <w:t xml:space="preserve">This definition is showing </w:t>
      </w:r>
      <w:proofErr w:type="spellStart"/>
      <w:r w:rsidRPr="000F7759">
        <w:rPr>
          <w:rFonts w:eastAsia="Calibri"/>
          <w:color w:val="000000"/>
        </w:rPr>
        <w:t>AfL</w:t>
      </w:r>
      <w:proofErr w:type="spellEnd"/>
      <w:r w:rsidRPr="000F7759">
        <w:rPr>
          <w:rFonts w:eastAsia="Calibri"/>
          <w:color w:val="000000"/>
        </w:rPr>
        <w:t xml:space="preserve"> in a posit</w:t>
      </w:r>
      <w:r w:rsidRPr="000F7759">
        <w:rPr>
          <w:rFonts w:eastAsia="Calibri"/>
          <w:color w:val="000000"/>
        </w:rPr>
        <w:t>ive light, by saying that it</w:t>
      </w:r>
      <w:r w:rsidRPr="000F7759">
        <w:rPr>
          <w:rFonts w:eastAsia="Calibri"/>
        </w:rPr>
        <w:t>,</w:t>
      </w:r>
      <w:r w:rsidRPr="000F7759">
        <w:rPr>
          <w:rFonts w:eastAsia="Calibri"/>
          <w:color w:val="000000"/>
        </w:rPr>
        <w:t xml:space="preserve"> “improves students’ performance.” This is as a result of students becoming, “more involved in the learning process.” However, I think the most important part of this quote is that children gain confidence. Cambridge Dictionary</w:t>
      </w:r>
      <w:r w:rsidRPr="000F7759">
        <w:rPr>
          <w:rFonts w:eastAsia="Calibri"/>
          <w:color w:val="000000"/>
        </w:rPr>
        <w:t xml:space="preserve"> defines confidence as, “the quality of being certain of your abilities” which then leads to completing tasks in anything with more enthusiasm and less fear of failure. By Cambridge Assessment (2015) saying that students will gain more confidence, it means</w:t>
      </w:r>
      <w:r w:rsidRPr="000F7759">
        <w:rPr>
          <w:rFonts w:eastAsia="Calibri"/>
          <w:color w:val="000000"/>
        </w:rPr>
        <w:t xml:space="preserve"> that </w:t>
      </w:r>
      <w:proofErr w:type="spellStart"/>
      <w:r w:rsidRPr="000F7759">
        <w:rPr>
          <w:rFonts w:eastAsia="Calibri"/>
          <w:color w:val="000000"/>
        </w:rPr>
        <w:t>AfL</w:t>
      </w:r>
      <w:proofErr w:type="spellEnd"/>
      <w:r w:rsidRPr="000F7759">
        <w:rPr>
          <w:rFonts w:eastAsia="Calibri"/>
          <w:color w:val="000000"/>
        </w:rPr>
        <w:t xml:space="preserve"> gives students a platform to grow and be successful. Understood (2019) says that, </w:t>
      </w:r>
    </w:p>
    <w:p w:rsidR="0061418D" w:rsidRPr="000F7759" w:rsidRDefault="0061418D" w:rsidP="000F7759">
      <w:pPr>
        <w:spacing w:line="360" w:lineRule="auto"/>
        <w:rPr>
          <w:rFonts w:eastAsia="Calibri"/>
        </w:rPr>
      </w:pPr>
    </w:p>
    <w:p w:rsidR="0061418D" w:rsidRPr="000F7759" w:rsidRDefault="004A41F7" w:rsidP="000F7759">
      <w:pPr>
        <w:spacing w:line="360" w:lineRule="auto"/>
        <w:jc w:val="center"/>
        <w:rPr>
          <w:rFonts w:eastAsia="Calibri"/>
          <w:color w:val="000000"/>
        </w:rPr>
      </w:pPr>
      <w:r w:rsidRPr="000F7759">
        <w:rPr>
          <w:rFonts w:eastAsia="Calibri"/>
          <w:color w:val="000000"/>
        </w:rPr>
        <w:t>“When kids are confident and secure about who they are, they’re more likely to have a growth mindset.”</w:t>
      </w:r>
    </w:p>
    <w:p w:rsidR="0061418D" w:rsidRPr="000F7759" w:rsidRDefault="004A41F7" w:rsidP="000F7759">
      <w:pPr>
        <w:spacing w:line="360" w:lineRule="auto"/>
        <w:jc w:val="right"/>
        <w:rPr>
          <w:rFonts w:eastAsia="Calibri"/>
          <w:color w:val="000000"/>
        </w:rPr>
      </w:pPr>
      <w:r w:rsidRPr="000F7759">
        <w:rPr>
          <w:rFonts w:eastAsia="Calibri"/>
          <w:color w:val="000000"/>
        </w:rPr>
        <w:t>Understood, 2019</w:t>
      </w:r>
    </w:p>
    <w:p w:rsidR="0061418D" w:rsidRPr="000F7759" w:rsidRDefault="0061418D" w:rsidP="000F7759">
      <w:pPr>
        <w:spacing w:line="360" w:lineRule="auto"/>
        <w:jc w:val="right"/>
        <w:rPr>
          <w:rFonts w:eastAsia="Calibri"/>
        </w:rPr>
      </w:pPr>
    </w:p>
    <w:p w:rsidR="0061418D" w:rsidRPr="000F7759" w:rsidRDefault="004A41F7" w:rsidP="000F7759">
      <w:pPr>
        <w:spacing w:line="360" w:lineRule="auto"/>
        <w:rPr>
          <w:rFonts w:eastAsia="Calibri"/>
        </w:rPr>
      </w:pPr>
      <w:r w:rsidRPr="000F7759">
        <w:rPr>
          <w:rFonts w:eastAsia="Calibri"/>
          <w:color w:val="000000"/>
        </w:rPr>
        <w:t>Doctor Carol Dweck says that</w:t>
      </w:r>
      <w:r w:rsidRPr="000F7759">
        <w:rPr>
          <w:rFonts w:eastAsia="Calibri"/>
        </w:rPr>
        <w:t>:</w:t>
      </w:r>
    </w:p>
    <w:p w:rsidR="0061418D" w:rsidRPr="000F7759" w:rsidRDefault="0061418D" w:rsidP="000F7759">
      <w:pPr>
        <w:spacing w:line="360" w:lineRule="auto"/>
        <w:rPr>
          <w:rFonts w:eastAsia="Calibri"/>
        </w:rPr>
      </w:pPr>
    </w:p>
    <w:p w:rsidR="0061418D" w:rsidRPr="000F7759" w:rsidRDefault="004A41F7" w:rsidP="000F7759">
      <w:pPr>
        <w:spacing w:line="360" w:lineRule="auto"/>
        <w:jc w:val="center"/>
        <w:rPr>
          <w:rFonts w:eastAsia="Calibri"/>
          <w:color w:val="000000"/>
        </w:rPr>
      </w:pPr>
      <w:r w:rsidRPr="000F7759">
        <w:rPr>
          <w:rFonts w:eastAsia="Calibri"/>
          <w:color w:val="000000"/>
        </w:rPr>
        <w:t>“Individua</w:t>
      </w:r>
      <w:r w:rsidRPr="000F7759">
        <w:rPr>
          <w:rFonts w:eastAsia="Calibri"/>
          <w:color w:val="000000"/>
        </w:rPr>
        <w:t>ls who believe their talents can be developed (through hard work, good strategies, and input from others) have a growth mindset.”</w:t>
      </w:r>
    </w:p>
    <w:p w:rsidR="0061418D" w:rsidRPr="000F7759" w:rsidRDefault="004A41F7" w:rsidP="000F7759">
      <w:pPr>
        <w:spacing w:line="360" w:lineRule="auto"/>
        <w:jc w:val="right"/>
        <w:rPr>
          <w:rFonts w:eastAsia="Calibri"/>
        </w:rPr>
      </w:pPr>
      <w:r w:rsidRPr="000F7759">
        <w:rPr>
          <w:rFonts w:eastAsia="Calibri"/>
        </w:rPr>
        <w:t>The Ohio State University, 2018</w:t>
      </w:r>
    </w:p>
    <w:p w:rsidR="0061418D" w:rsidRPr="000F7759" w:rsidRDefault="0061418D" w:rsidP="000F7759">
      <w:pPr>
        <w:spacing w:line="360" w:lineRule="auto"/>
        <w:jc w:val="right"/>
        <w:rPr>
          <w:rFonts w:eastAsia="Calibri"/>
        </w:rPr>
      </w:pPr>
    </w:p>
    <w:p w:rsidR="0061418D" w:rsidRPr="000F7759" w:rsidRDefault="004A41F7" w:rsidP="000F7759">
      <w:pPr>
        <w:spacing w:line="360" w:lineRule="auto"/>
        <w:rPr>
          <w:rFonts w:eastAsia="Calibri"/>
        </w:rPr>
      </w:pPr>
      <w:r w:rsidRPr="000F7759">
        <w:rPr>
          <w:rFonts w:eastAsia="Calibri"/>
        </w:rPr>
        <w:t xml:space="preserve">This implies that being confident allows children to develop as people, which all stems back </w:t>
      </w:r>
      <w:r w:rsidRPr="000F7759">
        <w:rPr>
          <w:rFonts w:eastAsia="Calibri"/>
        </w:rPr>
        <w:t xml:space="preserve">to how Cambridge Assessment defines </w:t>
      </w:r>
      <w:proofErr w:type="spellStart"/>
      <w:r w:rsidRPr="000F7759">
        <w:rPr>
          <w:rFonts w:eastAsia="Calibri"/>
        </w:rPr>
        <w:t>AfL</w:t>
      </w:r>
      <w:proofErr w:type="spellEnd"/>
      <w:r w:rsidRPr="000F7759">
        <w:rPr>
          <w:rFonts w:eastAsia="Calibri"/>
        </w:rPr>
        <w:t xml:space="preserve">. This shows a huge benefit of using </w:t>
      </w:r>
      <w:proofErr w:type="spellStart"/>
      <w:r w:rsidRPr="000F7759">
        <w:rPr>
          <w:rFonts w:eastAsia="Calibri"/>
        </w:rPr>
        <w:t>AfL</w:t>
      </w:r>
      <w:proofErr w:type="spellEnd"/>
      <w:r w:rsidRPr="000F7759">
        <w:rPr>
          <w:rFonts w:eastAsia="Calibri"/>
        </w:rPr>
        <w:t xml:space="preserve"> </w:t>
      </w:r>
      <w:r w:rsidRPr="000F7759">
        <w:rPr>
          <w:rFonts w:eastAsia="Calibri"/>
        </w:rPr>
        <w:lastRenderedPageBreak/>
        <w:t xml:space="preserve">strategies straight away. As well as looking at </w:t>
      </w:r>
      <w:proofErr w:type="spellStart"/>
      <w:r w:rsidRPr="000F7759">
        <w:rPr>
          <w:rFonts w:eastAsia="Calibri"/>
        </w:rPr>
        <w:t>AfL</w:t>
      </w:r>
      <w:proofErr w:type="spellEnd"/>
      <w:r w:rsidRPr="000F7759">
        <w:rPr>
          <w:rFonts w:eastAsia="Calibri"/>
        </w:rPr>
        <w:t xml:space="preserve"> strategies, in this assignment I will also be giving my own examples of how </w:t>
      </w:r>
      <w:proofErr w:type="spellStart"/>
      <w:r w:rsidRPr="000F7759">
        <w:rPr>
          <w:rFonts w:eastAsia="Calibri"/>
        </w:rPr>
        <w:t>AfL</w:t>
      </w:r>
      <w:proofErr w:type="spellEnd"/>
      <w:r w:rsidRPr="000F7759">
        <w:rPr>
          <w:rFonts w:eastAsia="Calibri"/>
        </w:rPr>
        <w:t xml:space="preserve"> can be used in lessons and using three diffe</w:t>
      </w:r>
      <w:r w:rsidRPr="000F7759">
        <w:rPr>
          <w:rFonts w:eastAsia="Calibri"/>
        </w:rPr>
        <w:t xml:space="preserve">rent lesson plans to support my views. These lesson plans will be for different ages across key stage two (KS2) to provide further evidence of how </w:t>
      </w:r>
      <w:proofErr w:type="spellStart"/>
      <w:r w:rsidRPr="000F7759">
        <w:rPr>
          <w:rFonts w:eastAsia="Calibri"/>
        </w:rPr>
        <w:t>AfL</w:t>
      </w:r>
      <w:proofErr w:type="spellEnd"/>
      <w:r w:rsidRPr="000F7759">
        <w:rPr>
          <w:rFonts w:eastAsia="Calibri"/>
        </w:rPr>
        <w:t xml:space="preserve"> strategies can be used throughout childrens’ lives, not just at a specific age.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My lesson plans will ta</w:t>
      </w:r>
      <w:r w:rsidRPr="000F7759">
        <w:rPr>
          <w:rFonts w:eastAsia="Calibri"/>
        </w:rPr>
        <w:t>lk about prior learning that will have gone on in the classroom in order to show progression. My lesson plans are based around different areas of learning and experiences (</w:t>
      </w:r>
      <w:proofErr w:type="spellStart"/>
      <w:r w:rsidRPr="000F7759">
        <w:rPr>
          <w:rFonts w:eastAsia="Calibri"/>
        </w:rPr>
        <w:t>AoLE</w:t>
      </w:r>
      <w:proofErr w:type="spellEnd"/>
      <w:r w:rsidRPr="000F7759">
        <w:rPr>
          <w:rFonts w:eastAsia="Calibri"/>
        </w:rPr>
        <w:t xml:space="preserve">/s). There are six different </w:t>
      </w:r>
      <w:proofErr w:type="spellStart"/>
      <w:r w:rsidRPr="000F7759">
        <w:rPr>
          <w:rFonts w:eastAsia="Calibri"/>
        </w:rPr>
        <w:t>AoLEs</w:t>
      </w:r>
      <w:proofErr w:type="spellEnd"/>
      <w:r w:rsidRPr="000F7759">
        <w:rPr>
          <w:rFonts w:eastAsia="Calibri"/>
        </w:rPr>
        <w:t>, these are: Health and Well-being; Humanities</w:t>
      </w:r>
      <w:r w:rsidRPr="000F7759">
        <w:rPr>
          <w:rFonts w:eastAsia="Calibri"/>
        </w:rPr>
        <w:t>; Languages, Literacy and Communication; Mathematics and Numeracy; Science and Technology (Welsh Government, 20/06/2018). For my lesson plans, I have chosen to base the first around expressive arts (See appendix 1). This will be an art lesson for Year 3, b</w:t>
      </w:r>
      <w:r w:rsidRPr="000F7759">
        <w:rPr>
          <w:rFonts w:eastAsia="Calibri"/>
        </w:rPr>
        <w:t>ased around giving children confidence. The most important feature of this lesson is that there is no wrong way of doing it, and therefore children will grow in confidence when feedback is given to them because they will not have got it wrong. This is to h</w:t>
      </w:r>
      <w:r w:rsidRPr="000F7759">
        <w:rPr>
          <w:rFonts w:eastAsia="Calibri"/>
        </w:rPr>
        <w:t>elp children grow into these two statements provided by the Welsh Government (Expressive Arts, 2019) “Responding and reflecting, both as artist and audience, is a fundamental part of learning about and through the Expressive Arts,” and “Creative work combi</w:t>
      </w:r>
      <w:r w:rsidRPr="000F7759">
        <w:rPr>
          <w:rFonts w:eastAsia="Calibri"/>
        </w:rPr>
        <w:t xml:space="preserve">nes knowledge and skills using the senses, inspiration and imagination.”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 xml:space="preserve">My next lesson plan is also for Year 3 and is around the </w:t>
      </w:r>
      <w:proofErr w:type="spellStart"/>
      <w:r w:rsidRPr="000F7759">
        <w:rPr>
          <w:rFonts w:eastAsia="Calibri"/>
        </w:rPr>
        <w:t>AoLE</w:t>
      </w:r>
      <w:proofErr w:type="spellEnd"/>
      <w:r w:rsidRPr="000F7759">
        <w:rPr>
          <w:rFonts w:eastAsia="Calibri"/>
        </w:rPr>
        <w:t xml:space="preserve"> of Languages, Literacy and Communication (See appendix 2). This is about seeing development in childrens’ ability at st</w:t>
      </w:r>
      <w:r w:rsidRPr="000F7759">
        <w:rPr>
          <w:rFonts w:eastAsia="Calibri"/>
        </w:rPr>
        <w:t>ory-writing and seeing lesson by lesson how their description of characters improves into more and more detail, using a number of writing techniques, such as similes and metaphors. This lesson plan is ensuring that children begin to grow into this statemen</w:t>
      </w:r>
      <w:r w:rsidRPr="000F7759">
        <w:rPr>
          <w:rFonts w:eastAsia="Calibri"/>
        </w:rPr>
        <w:t xml:space="preserve">t from the Welsh Government (Languages, Literacy and Communication, 2019), “learners who speak and write effectively are prepared to play a full part in life and work”. </w:t>
      </w:r>
    </w:p>
    <w:p w:rsidR="0061418D" w:rsidRPr="000F7759" w:rsidRDefault="0061418D" w:rsidP="000F7759">
      <w:pPr>
        <w:spacing w:line="360" w:lineRule="auto"/>
        <w:rPr>
          <w:rFonts w:eastAsia="Calibri"/>
        </w:rPr>
      </w:pPr>
    </w:p>
    <w:p w:rsidR="0061418D" w:rsidRPr="000F7759" w:rsidRDefault="004A41F7" w:rsidP="000F7759">
      <w:pPr>
        <w:spacing w:line="360" w:lineRule="auto"/>
      </w:pPr>
      <w:r w:rsidRPr="000F7759">
        <w:rPr>
          <w:rFonts w:eastAsia="Calibri"/>
        </w:rPr>
        <w:t xml:space="preserve">My final lesson plan is around the </w:t>
      </w:r>
      <w:proofErr w:type="spellStart"/>
      <w:r w:rsidRPr="000F7759">
        <w:rPr>
          <w:rFonts w:eastAsia="Calibri"/>
        </w:rPr>
        <w:t>AoLE</w:t>
      </w:r>
      <w:proofErr w:type="spellEnd"/>
      <w:r w:rsidRPr="000F7759">
        <w:rPr>
          <w:rFonts w:eastAsia="Calibri"/>
        </w:rPr>
        <w:t xml:space="preserve"> of Science and Technology (See appendix 3). T</w:t>
      </w:r>
      <w:r w:rsidRPr="000F7759">
        <w:rPr>
          <w:rFonts w:eastAsia="Calibri"/>
        </w:rPr>
        <w:t>his lesson plan is made to help deepens childrens’ understanding of global warming and the world in which they live in. It is also made to give children a sense of connection to their classroom, because once their work has been completed, it will be used a</w:t>
      </w:r>
      <w:r w:rsidRPr="000F7759">
        <w:rPr>
          <w:rFonts w:eastAsia="Calibri"/>
        </w:rPr>
        <w:t xml:space="preserve">s a display. This lesson plan is designed to help children grow into this statement by the Welsh Government (Science and Technology, 2019) “Being curious and searching for answers helps further our </w:t>
      </w:r>
      <w:r w:rsidRPr="000F7759">
        <w:rPr>
          <w:rFonts w:eastAsia="Calibri"/>
        </w:rPr>
        <w:lastRenderedPageBreak/>
        <w:t>understanding of the natural world and helps society progr</w:t>
      </w:r>
      <w:r w:rsidRPr="000F7759">
        <w:rPr>
          <w:rFonts w:eastAsia="Calibri"/>
        </w:rPr>
        <w:t xml:space="preserve">ess.” Further to this, the lesson also takes an approach from the Humanities </w:t>
      </w:r>
      <w:proofErr w:type="spellStart"/>
      <w:r w:rsidRPr="000F7759">
        <w:rPr>
          <w:rFonts w:eastAsia="Calibri"/>
        </w:rPr>
        <w:t>AoLE</w:t>
      </w:r>
      <w:proofErr w:type="spellEnd"/>
      <w:r w:rsidRPr="000F7759">
        <w:rPr>
          <w:rFonts w:eastAsia="Calibri"/>
        </w:rPr>
        <w:t>, where the ‘What Matters’ statements say that learners should, “Develop(</w:t>
      </w:r>
      <w:proofErr w:type="spellStart"/>
      <w:r w:rsidRPr="000F7759">
        <w:rPr>
          <w:rFonts w:eastAsia="Calibri"/>
        </w:rPr>
        <w:t>ing</w:t>
      </w:r>
      <w:proofErr w:type="spellEnd"/>
      <w:r w:rsidRPr="000F7759">
        <w:rPr>
          <w:rFonts w:eastAsia="Calibri"/>
        </w:rPr>
        <w:t>) an enquiring mind enables learners to explore and investigate the world, past, present and future</w:t>
      </w:r>
      <w:r w:rsidRPr="000F7759">
        <w:rPr>
          <w:rFonts w:eastAsia="Calibri"/>
        </w:rPr>
        <w:t>, for themselves,” and, “Informed, self-aware citizens engage with the challenges and opportunities that face humanity, and are able to take considered, ethical and sustainable action.” (Welsh Government, Humanities, 2019)</w:t>
      </w:r>
    </w:p>
    <w:p w:rsidR="000F7759" w:rsidRPr="000F7759" w:rsidRDefault="000F7759" w:rsidP="000F7759">
      <w:pPr>
        <w:spacing w:line="360" w:lineRule="auto"/>
        <w:rPr>
          <w:rFonts w:eastAsia="Calibri"/>
        </w:rPr>
      </w:pPr>
    </w:p>
    <w:p w:rsidR="0061418D" w:rsidRPr="000F7759" w:rsidRDefault="000F7759" w:rsidP="000F7759">
      <w:pPr>
        <w:spacing w:line="360" w:lineRule="auto"/>
        <w:rPr>
          <w:rFonts w:eastAsia="Calibri"/>
          <w:u w:val="single"/>
        </w:rPr>
      </w:pPr>
      <w:r>
        <w:rPr>
          <w:rFonts w:eastAsia="Calibri"/>
          <w:u w:val="single"/>
        </w:rPr>
        <w:t>Literature Review</w:t>
      </w:r>
    </w:p>
    <w:p w:rsidR="0061418D" w:rsidRPr="000F7759" w:rsidRDefault="004A41F7" w:rsidP="000F7759">
      <w:pPr>
        <w:spacing w:line="360" w:lineRule="auto"/>
        <w:rPr>
          <w:rFonts w:eastAsia="Calibri"/>
        </w:rPr>
      </w:pPr>
      <w:r w:rsidRPr="000F7759">
        <w:rPr>
          <w:rFonts w:eastAsia="Calibri"/>
        </w:rPr>
        <w:t>Assessment for Learning has man</w:t>
      </w:r>
      <w:r w:rsidRPr="000F7759">
        <w:rPr>
          <w:rFonts w:eastAsia="Calibri"/>
        </w:rPr>
        <w:t xml:space="preserve">y different areas that are key to making it successful in a classroom setting. First of all, it is important for </w:t>
      </w:r>
      <w:proofErr w:type="spellStart"/>
      <w:r w:rsidRPr="000F7759">
        <w:rPr>
          <w:rFonts w:eastAsia="Calibri"/>
        </w:rPr>
        <w:t>AfL</w:t>
      </w:r>
      <w:proofErr w:type="spellEnd"/>
      <w:r w:rsidRPr="000F7759">
        <w:rPr>
          <w:rFonts w:eastAsia="Calibri"/>
        </w:rPr>
        <w:t xml:space="preserve"> to focus on how students learn, this means that learning has to be in the minds of both the teacher and students (QCA, 2019). This is impor</w:t>
      </w:r>
      <w:r w:rsidRPr="000F7759">
        <w:rPr>
          <w:rFonts w:eastAsia="Calibri"/>
        </w:rPr>
        <w:t xml:space="preserve">tant because if a student doesn’t want to learn then there’s a high chance that they won’t learn because they aren’t in the right mindset. This links to Carol Dweck’s (2015) theory of that in order to learn to your full potential you need to have a growth </w:t>
      </w:r>
      <w:r w:rsidRPr="000F7759">
        <w:rPr>
          <w:rFonts w:eastAsia="Calibri"/>
        </w:rPr>
        <w:t xml:space="preserve">mindset. This is because if you want to progress in something, you should work hard and be dedicated to it.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 xml:space="preserve">Another area where </w:t>
      </w:r>
      <w:proofErr w:type="spellStart"/>
      <w:r w:rsidRPr="000F7759">
        <w:rPr>
          <w:rFonts w:eastAsia="Calibri"/>
        </w:rPr>
        <w:t>AfL</w:t>
      </w:r>
      <w:proofErr w:type="spellEnd"/>
      <w:r w:rsidRPr="000F7759">
        <w:rPr>
          <w:rFonts w:eastAsia="Calibri"/>
        </w:rPr>
        <w:t xml:space="preserve"> is key is that it should be central to classroom practice, QCA (2019) say that the type of assessment where whatever students say or do is observed, interpreted and then judged is essential and from this method, learning can be impro</w:t>
      </w:r>
      <w:r w:rsidRPr="000F7759">
        <w:rPr>
          <w:rFonts w:eastAsia="Calibri"/>
        </w:rPr>
        <w:t xml:space="preserve">ved. This is significant because in your classroom, you want learning to be as advanced and progressed as possible. Paul Black and Dylan </w:t>
      </w:r>
      <w:proofErr w:type="spellStart"/>
      <w:r w:rsidRPr="000F7759">
        <w:rPr>
          <w:rFonts w:eastAsia="Calibri"/>
        </w:rPr>
        <w:t>Wiliam</w:t>
      </w:r>
      <w:proofErr w:type="spellEnd"/>
      <w:r w:rsidRPr="000F7759">
        <w:rPr>
          <w:rFonts w:eastAsia="Calibri"/>
        </w:rPr>
        <w:t xml:space="preserve"> (1998) further this view throughout their ‘Inside the Black Box’ article by saying that by giving students conti</w:t>
      </w:r>
      <w:r w:rsidRPr="000F7759">
        <w:rPr>
          <w:rFonts w:eastAsia="Calibri"/>
        </w:rPr>
        <w:t xml:space="preserve">nuous feedback throughout lessons, helps them know and recognise the standards that they should be aiming for, as well as recognising their next steps and how to take those steps and develop to their full potential. Black and </w:t>
      </w:r>
      <w:proofErr w:type="spellStart"/>
      <w:r w:rsidRPr="000F7759">
        <w:rPr>
          <w:rFonts w:eastAsia="Calibri"/>
        </w:rPr>
        <w:t>Wiliam</w:t>
      </w:r>
      <w:proofErr w:type="spellEnd"/>
      <w:r w:rsidRPr="000F7759">
        <w:rPr>
          <w:rFonts w:eastAsia="Calibri"/>
        </w:rPr>
        <w:t xml:space="preserve"> (1998, pp.10) also say </w:t>
      </w:r>
      <w:r w:rsidRPr="000F7759">
        <w:rPr>
          <w:rFonts w:eastAsia="Calibri"/>
        </w:rPr>
        <w:t xml:space="preserve">that it is underpinned by confidence that every child can improve, which brings back the key word from the start of this assignment, saying that confidence is key to helping a child improve.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 xml:space="preserve">As well as this, Black and </w:t>
      </w:r>
      <w:proofErr w:type="spellStart"/>
      <w:r w:rsidRPr="000F7759">
        <w:rPr>
          <w:rFonts w:eastAsia="Calibri"/>
        </w:rPr>
        <w:t>Wiliam</w:t>
      </w:r>
      <w:proofErr w:type="spellEnd"/>
      <w:r w:rsidRPr="000F7759">
        <w:rPr>
          <w:rFonts w:eastAsia="Calibri"/>
        </w:rPr>
        <w:t xml:space="preserve"> (1998, pp.10) also state what</w:t>
      </w:r>
      <w:r w:rsidRPr="000F7759">
        <w:rPr>
          <w:rFonts w:eastAsia="Calibri"/>
        </w:rPr>
        <w:t xml:space="preserve"> is happening in a classroom setting, whilst </w:t>
      </w:r>
      <w:proofErr w:type="spellStart"/>
      <w:r w:rsidRPr="000F7759">
        <w:rPr>
          <w:rFonts w:eastAsia="Calibri"/>
        </w:rPr>
        <w:t>AfL</w:t>
      </w:r>
      <w:proofErr w:type="spellEnd"/>
      <w:r w:rsidRPr="000F7759">
        <w:rPr>
          <w:rFonts w:eastAsia="Calibri"/>
        </w:rPr>
        <w:t xml:space="preserve"> is taking place. They say that there is observation happening, this is where teachers listen to how students describe their work and their reasoning. This is important because in order to have a successful c</w:t>
      </w:r>
      <w:r w:rsidRPr="000F7759">
        <w:rPr>
          <w:rFonts w:eastAsia="Calibri"/>
        </w:rPr>
        <w:t xml:space="preserve">lassroom, the views and opinions can’t all come from the teacher, there has to be pupil feedback as well. This will guide the teacher into planning lessons to form around what the students need to learn; They also say there is questioning </w:t>
      </w:r>
      <w:r w:rsidRPr="000F7759">
        <w:rPr>
          <w:rFonts w:eastAsia="Calibri"/>
        </w:rPr>
        <w:lastRenderedPageBreak/>
        <w:t xml:space="preserve">happening in the </w:t>
      </w:r>
      <w:r w:rsidRPr="000F7759">
        <w:rPr>
          <w:rFonts w:eastAsia="Calibri"/>
        </w:rPr>
        <w:t xml:space="preserve">classroom, this is specifically using open ended questions, which encourage students to explore their ideas and their reasoning. This emphasises the point that lessons can be pupil led as well as teacher led.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Another thing they list that happens in the c</w:t>
      </w:r>
      <w:r w:rsidRPr="000F7759">
        <w:rPr>
          <w:rFonts w:eastAsia="Calibri"/>
        </w:rPr>
        <w:t>lassroom is that teachers set tasks in a way that requires students to use certain skills and apply ideas. This is important because it gives students a chance of creativity and to become more independent because they are able to apply their own ideas to t</w:t>
      </w:r>
      <w:r w:rsidRPr="000F7759">
        <w:rPr>
          <w:rFonts w:eastAsia="Calibri"/>
        </w:rPr>
        <w:t xml:space="preserve">asks and not use the teachers’ ideas; Finally, they ask students to communicate their learning through different skills like drawings, actions, role play, concept mapping and writing. This is important because it helps students develop in a whole range of </w:t>
      </w:r>
      <w:r w:rsidRPr="000F7759">
        <w:rPr>
          <w:rFonts w:eastAsia="Calibri"/>
        </w:rPr>
        <w:t xml:space="preserve">skills, not just writing, but in more creative ways. This develops Graham Donaldson’s (Successful Futures, 2015) ideas of pupils being both ambitious, capable learners and enterprising, creative contributors. This is as a result of </w:t>
      </w:r>
      <w:proofErr w:type="spellStart"/>
      <w:r w:rsidRPr="000F7759">
        <w:rPr>
          <w:rFonts w:eastAsia="Calibri"/>
        </w:rPr>
        <w:t>AfL</w:t>
      </w:r>
      <w:proofErr w:type="spellEnd"/>
      <w:r w:rsidRPr="000F7759">
        <w:rPr>
          <w:rFonts w:eastAsia="Calibri"/>
        </w:rPr>
        <w:t xml:space="preserve"> wanting children to </w:t>
      </w:r>
      <w:r w:rsidRPr="000F7759">
        <w:rPr>
          <w:rFonts w:eastAsia="Calibri"/>
        </w:rPr>
        <w:t xml:space="preserve">learn through a wide range of subjects, not just simply writing. Donaldson states that ambitious, capable learners should be, “ready to learn throughout their lives” and using </w:t>
      </w:r>
      <w:proofErr w:type="spellStart"/>
      <w:r w:rsidRPr="000F7759">
        <w:rPr>
          <w:rFonts w:eastAsia="Calibri"/>
        </w:rPr>
        <w:t>AfL</w:t>
      </w:r>
      <w:proofErr w:type="spellEnd"/>
      <w:r w:rsidRPr="000F7759">
        <w:rPr>
          <w:rFonts w:eastAsia="Calibri"/>
        </w:rPr>
        <w:t xml:space="preserve"> by helping children learn in different ways, this means that in whatever job</w:t>
      </w:r>
      <w:r w:rsidRPr="000F7759">
        <w:rPr>
          <w:rFonts w:eastAsia="Calibri"/>
        </w:rPr>
        <w:t xml:space="preserve"> students end up in, they will be able to learn. If they are an actor, then learning through role play will help the students learn later in life through acting. If a child is to grow up to be an artist, then developing their learning skills through drawin</w:t>
      </w:r>
      <w:r w:rsidRPr="000F7759">
        <w:rPr>
          <w:rFonts w:eastAsia="Calibri"/>
        </w:rPr>
        <w:t xml:space="preserve">g will help prepare them for that. As well as this, Donaldson also says that enterprising, creative contributors should be, “ready to play a full part in life and work.” This is important to help develop through </w:t>
      </w:r>
      <w:proofErr w:type="spellStart"/>
      <w:r w:rsidRPr="000F7759">
        <w:rPr>
          <w:rFonts w:eastAsia="Calibri"/>
        </w:rPr>
        <w:t>AfL</w:t>
      </w:r>
      <w:proofErr w:type="spellEnd"/>
      <w:r w:rsidRPr="000F7759">
        <w:rPr>
          <w:rFonts w:eastAsia="Calibri"/>
        </w:rPr>
        <w:t xml:space="preserve"> because creativity is key to being succe</w:t>
      </w:r>
      <w:r w:rsidRPr="000F7759">
        <w:rPr>
          <w:rFonts w:eastAsia="Calibri"/>
        </w:rPr>
        <w:t xml:space="preserve">ssful in any job.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 xml:space="preserve">There are many different approaches a teacher can use to begin teaching through </w:t>
      </w:r>
      <w:proofErr w:type="spellStart"/>
      <w:r w:rsidRPr="000F7759">
        <w:rPr>
          <w:rFonts w:eastAsia="Calibri"/>
        </w:rPr>
        <w:t>AfL</w:t>
      </w:r>
      <w:proofErr w:type="spellEnd"/>
      <w:r w:rsidRPr="000F7759">
        <w:rPr>
          <w:rFonts w:eastAsia="Calibri"/>
        </w:rPr>
        <w:t xml:space="preserve"> in a classroom. The Welsh Assembly Government (11/2010) list 83 different ways in which a teacher can use </w:t>
      </w:r>
      <w:proofErr w:type="spellStart"/>
      <w:r w:rsidRPr="000F7759">
        <w:rPr>
          <w:rFonts w:eastAsia="Calibri"/>
        </w:rPr>
        <w:t>AfL</w:t>
      </w:r>
      <w:proofErr w:type="spellEnd"/>
      <w:r w:rsidRPr="000F7759">
        <w:rPr>
          <w:rFonts w:eastAsia="Calibri"/>
        </w:rPr>
        <w:t xml:space="preserve"> approaches in their classroom and describe</w:t>
      </w:r>
      <w:r w:rsidRPr="000F7759">
        <w:rPr>
          <w:rFonts w:eastAsia="Calibri"/>
        </w:rPr>
        <w:t xml:space="preserve">s how to use them, and I will be using this list in order to describe how I implemented </w:t>
      </w:r>
      <w:proofErr w:type="spellStart"/>
      <w:r w:rsidRPr="000F7759">
        <w:rPr>
          <w:rFonts w:eastAsia="Calibri"/>
        </w:rPr>
        <w:t>AfL</w:t>
      </w:r>
      <w:proofErr w:type="spellEnd"/>
      <w:r w:rsidRPr="000F7759">
        <w:rPr>
          <w:rFonts w:eastAsia="Calibri"/>
        </w:rPr>
        <w:t xml:space="preserve"> approaches into my lesson plans. For example, in one of my lesson plans (see Appendix 3) I have based a lesson around Global Warming, and the lesson begins with an </w:t>
      </w:r>
      <w:proofErr w:type="spellStart"/>
      <w:r w:rsidRPr="000F7759">
        <w:rPr>
          <w:rFonts w:eastAsia="Calibri"/>
        </w:rPr>
        <w:t>AfL</w:t>
      </w:r>
      <w:proofErr w:type="spellEnd"/>
      <w:r w:rsidRPr="000F7759">
        <w:rPr>
          <w:rFonts w:eastAsia="Calibri"/>
        </w:rPr>
        <w:t xml:space="preserve"> strategy of using a ‘</w:t>
      </w:r>
      <w:proofErr w:type="spellStart"/>
      <w:r w:rsidRPr="000F7759">
        <w:rPr>
          <w:rFonts w:eastAsia="Calibri"/>
        </w:rPr>
        <w:t>quescussion</w:t>
      </w:r>
      <w:proofErr w:type="spellEnd"/>
      <w:r w:rsidRPr="000F7759">
        <w:rPr>
          <w:rFonts w:eastAsia="Calibri"/>
        </w:rPr>
        <w:t>’. A ‘</w:t>
      </w:r>
      <w:proofErr w:type="spellStart"/>
      <w:r w:rsidRPr="000F7759">
        <w:rPr>
          <w:rFonts w:eastAsia="Calibri"/>
        </w:rPr>
        <w:t>quescussion</w:t>
      </w:r>
      <w:proofErr w:type="spellEnd"/>
      <w:r w:rsidRPr="000F7759">
        <w:rPr>
          <w:rFonts w:eastAsia="Calibri"/>
        </w:rPr>
        <w:t xml:space="preserve">’ is to get learners thinking about the chosen topic and then making them turn their ideas into questions, the learners are only allowed to speak in questions. Once four or five good questions have been </w:t>
      </w:r>
      <w:r w:rsidRPr="000F7759">
        <w:rPr>
          <w:rFonts w:eastAsia="Calibri"/>
        </w:rPr>
        <w:t xml:space="preserve">asked, the teacher uses them as key topics and this could then lead to all types of lessons, but in my lesson plan, I have made it so the learners go away and research about the topic they have been given and eventually make a poster from it. </w:t>
      </w:r>
    </w:p>
    <w:p w:rsidR="0061418D" w:rsidRPr="000F7759" w:rsidRDefault="0061418D" w:rsidP="000F7759">
      <w:pPr>
        <w:spacing w:line="360" w:lineRule="auto"/>
        <w:rPr>
          <w:rFonts w:eastAsia="Calibri"/>
        </w:rPr>
      </w:pPr>
    </w:p>
    <w:p w:rsidR="0061418D" w:rsidRDefault="004A41F7" w:rsidP="000F7759">
      <w:pPr>
        <w:spacing w:line="360" w:lineRule="auto"/>
        <w:rPr>
          <w:rFonts w:eastAsia="Calibri"/>
        </w:rPr>
      </w:pPr>
      <w:r w:rsidRPr="000F7759">
        <w:rPr>
          <w:rFonts w:eastAsia="Calibri"/>
        </w:rPr>
        <w:t xml:space="preserve">Another </w:t>
      </w:r>
      <w:proofErr w:type="spellStart"/>
      <w:r w:rsidRPr="000F7759">
        <w:rPr>
          <w:rFonts w:eastAsia="Calibri"/>
        </w:rPr>
        <w:t>AfL</w:t>
      </w:r>
      <w:proofErr w:type="spellEnd"/>
      <w:r w:rsidRPr="000F7759">
        <w:rPr>
          <w:rFonts w:eastAsia="Calibri"/>
        </w:rPr>
        <w:t xml:space="preserve"> strategy I have chosen to use is ‘Who-what-when-where-why-how?’ This is again to get learners to really think deep about something and to ask questions around it. In my lesson plan, (see Appendix 2) I am using this strategy to help learners understand how</w:t>
      </w:r>
      <w:r w:rsidRPr="000F7759">
        <w:rPr>
          <w:rFonts w:eastAsia="Calibri"/>
        </w:rPr>
        <w:t xml:space="preserve"> to describe something in depth. I start the lesson by showing them a cartoon character and the teacher asks the learners to ask the teacher questions about the character and then the teacher describes that specific area in detail. This is where the teache</w:t>
      </w:r>
      <w:r w:rsidRPr="000F7759">
        <w:rPr>
          <w:rFonts w:eastAsia="Calibri"/>
        </w:rPr>
        <w:t>r says that the characters that the learners have made in a prior lesson, won’t be known by the reader and so the children will have to describe their created characters like the teacher is doing in their own stories. This then leads to a ‘hot seating’ str</w:t>
      </w:r>
      <w:r w:rsidRPr="000F7759">
        <w:rPr>
          <w:rFonts w:eastAsia="Calibri"/>
        </w:rPr>
        <w:t>ategy where a learner will sit with their back to the board and the teacher puts a different character up, the learner will then ask the class questions and it is the class’ job to describe the character to the learner in the hot seat. I think these are go</w:t>
      </w:r>
      <w:r w:rsidRPr="000F7759">
        <w:rPr>
          <w:rFonts w:eastAsia="Calibri"/>
        </w:rPr>
        <w:t>od approaches because it makes learners think in an enjoyable way and also become show creativity, whether it’s by turning their thoughts into questions, or turning their characters into full description.</w:t>
      </w:r>
    </w:p>
    <w:p w:rsidR="000F7759" w:rsidRPr="000F7759" w:rsidRDefault="000F7759" w:rsidP="000F7759">
      <w:pPr>
        <w:spacing w:line="360" w:lineRule="auto"/>
        <w:rPr>
          <w:rFonts w:eastAsia="Calibri"/>
        </w:rPr>
      </w:pPr>
    </w:p>
    <w:p w:rsidR="0061418D" w:rsidRPr="000F7759" w:rsidRDefault="000F7759" w:rsidP="000F7759">
      <w:pPr>
        <w:spacing w:line="360" w:lineRule="auto"/>
        <w:rPr>
          <w:rFonts w:eastAsia="Calibri"/>
          <w:u w:val="single"/>
        </w:rPr>
      </w:pPr>
      <w:r>
        <w:rPr>
          <w:rFonts w:eastAsia="Calibri"/>
          <w:u w:val="single"/>
        </w:rPr>
        <w:t>Discussion of Lesson Plans</w:t>
      </w:r>
    </w:p>
    <w:p w:rsidR="0061418D" w:rsidRPr="000F7759" w:rsidRDefault="004A41F7" w:rsidP="000F7759">
      <w:pPr>
        <w:spacing w:line="360" w:lineRule="auto"/>
        <w:rPr>
          <w:rFonts w:eastAsia="Calibri"/>
        </w:rPr>
      </w:pPr>
      <w:r w:rsidRPr="000F7759">
        <w:rPr>
          <w:rFonts w:eastAsia="Calibri"/>
        </w:rPr>
        <w:t>For my Year 3 lesson plan (see Appendix 1), I will</w:t>
      </w:r>
      <w:r w:rsidRPr="000F7759">
        <w:rPr>
          <w:rFonts w:eastAsia="Calibri"/>
        </w:rPr>
        <w:t xml:space="preserve"> be focusing on the </w:t>
      </w:r>
      <w:proofErr w:type="spellStart"/>
      <w:r w:rsidRPr="000F7759">
        <w:rPr>
          <w:rFonts w:eastAsia="Calibri"/>
        </w:rPr>
        <w:t>AoLE</w:t>
      </w:r>
      <w:proofErr w:type="spellEnd"/>
      <w:r w:rsidRPr="000F7759">
        <w:rPr>
          <w:rFonts w:eastAsia="Calibri"/>
        </w:rPr>
        <w:t xml:space="preserve"> of Expressive Arts. The lesson plan will be focusing on the ‘What Matters’ statements of, “Responding and reflecting, both as artist and audience, is a fundamental part of learning about and through Expressive Arts.” As well as, “C</w:t>
      </w:r>
      <w:r w:rsidRPr="000F7759">
        <w:rPr>
          <w:rFonts w:eastAsia="Calibri"/>
        </w:rPr>
        <w:t xml:space="preserve">reative work combines knowledge and skills using the senses, inspirations and imagination.” (Welsh Government, Expressive Arts, 2019) I will be discussing the first ‘What Matters’ statements to begin.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 xml:space="preserve">The introduction to the lesson gives the learners an </w:t>
      </w:r>
      <w:r w:rsidRPr="000F7759">
        <w:rPr>
          <w:rFonts w:eastAsia="Calibri"/>
        </w:rPr>
        <w:t xml:space="preserve">opportunity to both respond and reflect to an image shown, for this lesson it is Martyn Evans’ portrayal of a Welsh Village in Brecon. I have chosen this specific piece of to meet the ‘Y </w:t>
      </w:r>
      <w:proofErr w:type="spellStart"/>
      <w:r w:rsidRPr="000F7759">
        <w:rPr>
          <w:rFonts w:eastAsia="Calibri"/>
        </w:rPr>
        <w:t>Cwricwlwm</w:t>
      </w:r>
      <w:proofErr w:type="spellEnd"/>
      <w:r w:rsidRPr="000F7759">
        <w:rPr>
          <w:rFonts w:eastAsia="Calibri"/>
        </w:rPr>
        <w:t xml:space="preserve"> Cymreig’ where learners should grow in their knowledge of t</w:t>
      </w:r>
      <w:r w:rsidRPr="000F7759">
        <w:rPr>
          <w:rFonts w:eastAsia="Calibri"/>
        </w:rPr>
        <w:t>heir own country and gain and passion and love for Wales. The learners will be given the opportunity to discuss what they see in the image and give their own thoughts and opinions about the artwork. They will be asked a question and once a learner has answ</w:t>
      </w:r>
      <w:r w:rsidRPr="000F7759">
        <w:rPr>
          <w:rFonts w:eastAsia="Calibri"/>
        </w:rPr>
        <w:t xml:space="preserve">ered that, they will ask a question to another member of the class, this is using the </w:t>
      </w:r>
      <w:proofErr w:type="spellStart"/>
      <w:r w:rsidRPr="000F7759">
        <w:rPr>
          <w:rFonts w:eastAsia="Calibri"/>
        </w:rPr>
        <w:t>AfL</w:t>
      </w:r>
      <w:proofErr w:type="spellEnd"/>
      <w:r w:rsidRPr="000F7759">
        <w:rPr>
          <w:rFonts w:eastAsia="Calibri"/>
        </w:rPr>
        <w:t xml:space="preserve"> strategy of ‘Basketball not Ping Pong’, where the questions are being passed around the classroom, instead of just one child answering or asking questions. It gives a</w:t>
      </w:r>
      <w:r w:rsidRPr="000F7759">
        <w:rPr>
          <w:rFonts w:eastAsia="Calibri"/>
        </w:rPr>
        <w:t xml:space="preserve">n opportunity for every child to get involved and begin to think of their own ideas.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To develop the ‘What Matters’ statement further, throughout the lesson when the learners are doing the task, they will be asked, what they are making and why, giving the</w:t>
      </w:r>
      <w:r w:rsidRPr="000F7759">
        <w:rPr>
          <w:rFonts w:eastAsia="Calibri"/>
        </w:rPr>
        <w:t>m an opportunity to look back and reflect on their own work and to think what they could add. This now leads into the second ‘What Matters’ statement where the learners’ work should be creative. Their work should be using the senses, this is why there will</w:t>
      </w:r>
      <w:r w:rsidRPr="000F7759">
        <w:rPr>
          <w:rFonts w:eastAsia="Calibri"/>
        </w:rPr>
        <w:t xml:space="preserve"> be a wide range of materials to use and all sorts of colours, so that the children can look at a colour and think where it could go, this is another reason why using Martyn Evans’ work is good, because he uses bright, vibrant colours and really makes his </w:t>
      </w:r>
      <w:r w:rsidRPr="000F7759">
        <w:rPr>
          <w:rFonts w:eastAsia="Calibri"/>
        </w:rPr>
        <w:t>work looks creative and give the learners an inspiration to make their work as bright and colourful as Martyn Evans does. Finally, Martyn Evans’ work allows learners to use their imagination when working, especially when changing the topic. I have used thi</w:t>
      </w:r>
      <w:r w:rsidRPr="000F7759">
        <w:rPr>
          <w:rFonts w:eastAsia="Calibri"/>
        </w:rPr>
        <w:t>s lesson when teaching before and I asked the children to use this style, but make it look like space, and the children were able to use their imagination to create some really lovely designs, which were then used as a display in the classroom (see Appendi</w:t>
      </w:r>
      <w:r w:rsidRPr="000F7759">
        <w:rPr>
          <w:rFonts w:eastAsia="Calibri"/>
        </w:rPr>
        <w:t>x 4). During this lesson, the learners would also want to use their senses in more than just looking at the colours and knowing which ones they would want. The learners asked if they could do finger painting and one child used an old recycled CD box, which</w:t>
      </w:r>
      <w:r w:rsidRPr="000F7759">
        <w:rPr>
          <w:rFonts w:eastAsia="Calibri"/>
        </w:rPr>
        <w:t xml:space="preserve"> when it was shaken made a rattling noise. Therefore, this lesson is good for enabling children to meet the ‘What Matters’ statements and develop as much as possible.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My next lesson plan (see Appendix 2) will again be for a Year 3 class. I wanted to show</w:t>
      </w:r>
      <w:r w:rsidRPr="000F7759">
        <w:rPr>
          <w:rFonts w:eastAsia="Calibri"/>
        </w:rPr>
        <w:t xml:space="preserve"> how using </w:t>
      </w:r>
      <w:proofErr w:type="spellStart"/>
      <w:r w:rsidRPr="000F7759">
        <w:rPr>
          <w:rFonts w:eastAsia="Calibri"/>
        </w:rPr>
        <w:t>AfL</w:t>
      </w:r>
      <w:proofErr w:type="spellEnd"/>
      <w:r w:rsidRPr="000F7759">
        <w:rPr>
          <w:rFonts w:eastAsia="Calibri"/>
        </w:rPr>
        <w:t xml:space="preserve"> can be used across a progression of lessons to aid development in a specific skill. The first of these lessons will be based around the learners creating their own character, this could be a super hero or alien or pirate, dependant on the sc</w:t>
      </w:r>
      <w:r w:rsidRPr="000F7759">
        <w:rPr>
          <w:rFonts w:eastAsia="Calibri"/>
        </w:rPr>
        <w:t xml:space="preserve">hool’s theme. Creation of characters can also be done using iPads or other technological devices. This is important because technology is becoming used more and more in everyday life and learners need to learn how to use different types of technology.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Th</w:t>
      </w:r>
      <w:r w:rsidRPr="000F7759">
        <w:rPr>
          <w:rFonts w:eastAsia="Calibri"/>
        </w:rPr>
        <w:t>e Digital Competency Framework (DCF, Welsh Government, 2008) also states that’s a Year 3 child should be able to, “create and edit multimedia components.” The next lesson then develops into the learners creating a storyboard, using simple sentences. This w</w:t>
      </w:r>
      <w:r w:rsidRPr="000F7759">
        <w:rPr>
          <w:rFonts w:eastAsia="Calibri"/>
        </w:rPr>
        <w:t>ill help the learners begin to use their imagination and start to form a story about their created characters. This will also help learners in Year 3 to develop in these areas taken from the National Literacy and Numeracy Framework (Welsh Government, 2008)</w:t>
      </w:r>
      <w:r w:rsidRPr="000F7759">
        <w:rPr>
          <w:rFonts w:eastAsia="Calibri"/>
        </w:rPr>
        <w:t xml:space="preserve">, “use a basic </w:t>
      </w:r>
      <w:r w:rsidRPr="000F7759">
        <w:rPr>
          <w:rFonts w:eastAsia="Calibri"/>
        </w:rPr>
        <w:lastRenderedPageBreak/>
        <w:t>structure for writing”; “</w:t>
      </w:r>
      <w:r w:rsidRPr="000F7759">
        <w:rPr>
          <w:rFonts w:eastAsia="Calibri"/>
          <w:highlight w:val="white"/>
        </w:rPr>
        <w:t>present processes, event or reports in a clear sequence</w:t>
      </w:r>
      <w:r w:rsidRPr="000F7759">
        <w:rPr>
          <w:rFonts w:eastAsia="Calibri"/>
        </w:rPr>
        <w:t>”; “</w:t>
      </w:r>
      <w:r w:rsidRPr="000F7759">
        <w:rPr>
          <w:rFonts w:eastAsia="Calibri"/>
          <w:highlight w:val="white"/>
        </w:rPr>
        <w:t>start sentences in a variety of ways.</w:t>
      </w:r>
      <w:r w:rsidRPr="000F7759">
        <w:rPr>
          <w:rFonts w:eastAsia="Calibri"/>
        </w:rPr>
        <w:t xml:space="preserve">” This is an important step because the teacher is able to judge the development of the learners’ writing skills before asking them to write their full story.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Now onto my lesson plan. I have planned it so that the learners’ development is able to be moni</w:t>
      </w:r>
      <w:r w:rsidRPr="000F7759">
        <w:rPr>
          <w:rFonts w:eastAsia="Calibri"/>
        </w:rPr>
        <w:t xml:space="preserve">tored throughout. The previous lessons help to set up the learners in understanding fully how to write a descriptive story. The </w:t>
      </w:r>
      <w:proofErr w:type="spellStart"/>
      <w:r w:rsidRPr="000F7759">
        <w:rPr>
          <w:rFonts w:eastAsia="Calibri"/>
        </w:rPr>
        <w:t>AoLE</w:t>
      </w:r>
      <w:proofErr w:type="spellEnd"/>
      <w:r w:rsidRPr="000F7759">
        <w:rPr>
          <w:rFonts w:eastAsia="Calibri"/>
        </w:rPr>
        <w:t xml:space="preserve"> for this lesson plan is Languages, Literacy and Communication and is based around the ‘What Matters’ statement of, “Learner</w:t>
      </w:r>
      <w:r w:rsidRPr="000F7759">
        <w:rPr>
          <w:rFonts w:eastAsia="Calibri"/>
        </w:rPr>
        <w:t>s who speak and write effectively are prepared to play a full part in life and work.” (Languages, Literacy and Communication Framework, 2019) The lesson I have planned allows learners to develop in both speaking and writing effectively. The beginning of th</w:t>
      </w:r>
      <w:r w:rsidRPr="000F7759">
        <w:rPr>
          <w:rFonts w:eastAsia="Calibri"/>
        </w:rPr>
        <w:t>e lesson allows the learners to practise describing what they can see to try and convince and help another learner guess who they are describing. This is to help the learners understand what is expected from them when describing their own characters. As we</w:t>
      </w:r>
      <w:r w:rsidRPr="000F7759">
        <w:rPr>
          <w:rFonts w:eastAsia="Calibri"/>
        </w:rPr>
        <w:t xml:space="preserve">ll as this, the lesson also helps learners to write effectively.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 xml:space="preserve">After practising their describing through speaking, the learners then have the opportunity to practise writing their descriptions of their characters. The learners will be asked to write a </w:t>
      </w:r>
      <w:r w:rsidRPr="000F7759">
        <w:rPr>
          <w:rFonts w:eastAsia="Calibri"/>
        </w:rPr>
        <w:t>story based off their storyboards but beginning to develop their writing into full sentences and using connectives (Welsh Government, National Literacy and Numeracy Framework, 2008) to help turn their storyboard into a full story. The most important part o</w:t>
      </w:r>
      <w:r w:rsidRPr="000F7759">
        <w:rPr>
          <w:rFonts w:eastAsia="Calibri"/>
        </w:rPr>
        <w:t>f the LNF to develop in this lesson is the “writing accurately” section of it. Specifically, the areas that say that learners should, “use language appropriate to writing, including standard forms of English,” and, “use vocabulary related to the topic or s</w:t>
      </w:r>
      <w:r w:rsidRPr="000F7759">
        <w:rPr>
          <w:rFonts w:eastAsia="Calibri"/>
        </w:rPr>
        <w:t xml:space="preserve">ubject context.” As well as the </w:t>
      </w:r>
      <w:proofErr w:type="spellStart"/>
      <w:r w:rsidRPr="000F7759">
        <w:rPr>
          <w:rFonts w:eastAsia="Calibri"/>
        </w:rPr>
        <w:t>AfL</w:t>
      </w:r>
      <w:proofErr w:type="spellEnd"/>
      <w:r w:rsidRPr="000F7759">
        <w:rPr>
          <w:rFonts w:eastAsia="Calibri"/>
        </w:rPr>
        <w:t xml:space="preserve"> strategy of ‘Who-what-when-where-why-how?’ as mentioned above. The lesson also includes the strategies of using exemplars, or in this lesson the teacher is the exemplar, by beginning the lesson describing the character h</w:t>
      </w:r>
      <w:r w:rsidRPr="000F7759">
        <w:rPr>
          <w:rFonts w:eastAsia="Calibri"/>
        </w:rPr>
        <w:t>ow they want the learners to and modelling to them how they should do it. The other strategy used in the lesson is that during the part of the lesson that the learners are writing their stories, there will be an opportunity for them to swap their story wit</w:t>
      </w:r>
      <w:r w:rsidRPr="000F7759">
        <w:rPr>
          <w:rFonts w:eastAsia="Calibri"/>
        </w:rPr>
        <w:t>h a peer and get the peer to see if they can understand what the character would look like and also look to see if they can pick out their peer using techniques like connectives, similes and metaphors.</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lastRenderedPageBreak/>
        <w:t>For my final lesson plan, I have decided to create an</w:t>
      </w:r>
      <w:r w:rsidRPr="000F7759">
        <w:rPr>
          <w:rFonts w:eastAsia="Calibri"/>
        </w:rPr>
        <w:t xml:space="preserve"> </w:t>
      </w:r>
      <w:proofErr w:type="spellStart"/>
      <w:r w:rsidRPr="000F7759">
        <w:rPr>
          <w:rFonts w:eastAsia="Calibri"/>
        </w:rPr>
        <w:t>AfL</w:t>
      </w:r>
      <w:proofErr w:type="spellEnd"/>
      <w:r w:rsidRPr="000F7759">
        <w:rPr>
          <w:rFonts w:eastAsia="Calibri"/>
        </w:rPr>
        <w:t xml:space="preserve"> approached lesson for a Year 6 class (see Appendix 3). This lesson is based around the </w:t>
      </w:r>
      <w:proofErr w:type="spellStart"/>
      <w:r w:rsidRPr="000F7759">
        <w:rPr>
          <w:rFonts w:eastAsia="Calibri"/>
        </w:rPr>
        <w:t>AoLE</w:t>
      </w:r>
      <w:proofErr w:type="spellEnd"/>
      <w:r w:rsidRPr="000F7759">
        <w:rPr>
          <w:rFonts w:eastAsia="Calibri"/>
        </w:rPr>
        <w:t xml:space="preserve"> of Science and Technology with an addition of the </w:t>
      </w:r>
      <w:proofErr w:type="spellStart"/>
      <w:r w:rsidRPr="000F7759">
        <w:rPr>
          <w:rFonts w:eastAsia="Calibri"/>
        </w:rPr>
        <w:t>AoLE</w:t>
      </w:r>
      <w:proofErr w:type="spellEnd"/>
      <w:r w:rsidRPr="000F7759">
        <w:rPr>
          <w:rFonts w:eastAsia="Calibri"/>
        </w:rPr>
        <w:t xml:space="preserve"> of Humanities. The lesson will be about Global Warming and is guided by what the learners want to learn </w:t>
      </w:r>
      <w:r w:rsidRPr="000F7759">
        <w:rPr>
          <w:rFonts w:eastAsia="Calibri"/>
        </w:rPr>
        <w:t>about within Global Warming. This lesson is also developed around the ‘What Matters’ statement of ‘Being curious and searching for answers helps further our understanding of the natural world and helps society progress.’ (Welsh Government, 2015) The introd</w:t>
      </w:r>
      <w:r w:rsidRPr="000F7759">
        <w:rPr>
          <w:rFonts w:eastAsia="Calibri"/>
        </w:rPr>
        <w:t xml:space="preserve">uction to the lesson focuses on the first part of the statements, about being ‘curious’ of the natural world. As an introduction, I have begun with the </w:t>
      </w:r>
      <w:proofErr w:type="spellStart"/>
      <w:r w:rsidRPr="000F7759">
        <w:rPr>
          <w:rFonts w:eastAsia="Calibri"/>
        </w:rPr>
        <w:t>AfL</w:t>
      </w:r>
      <w:proofErr w:type="spellEnd"/>
      <w:r w:rsidRPr="000F7759">
        <w:rPr>
          <w:rFonts w:eastAsia="Calibri"/>
        </w:rPr>
        <w:t xml:space="preserve"> strategy of a ‘</w:t>
      </w:r>
      <w:proofErr w:type="spellStart"/>
      <w:r w:rsidRPr="000F7759">
        <w:rPr>
          <w:rFonts w:eastAsia="Calibri"/>
        </w:rPr>
        <w:t>quescussion</w:t>
      </w:r>
      <w:proofErr w:type="spellEnd"/>
      <w:r w:rsidRPr="000F7759">
        <w:rPr>
          <w:rFonts w:eastAsia="Calibri"/>
        </w:rPr>
        <w:t>’, this is a strategy to get learners to think of their own ideas and begi</w:t>
      </w:r>
      <w:r w:rsidRPr="000F7759">
        <w:rPr>
          <w:rFonts w:eastAsia="Calibri"/>
        </w:rPr>
        <w:t xml:space="preserve">n to come up with their own opinions.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The point of this activity is to start learners to be able to convert their thoughts into new ways of saying them by turning them into questions. This strategy is used to gain different topics and titles to be search</w:t>
      </w:r>
      <w:r w:rsidRPr="000F7759">
        <w:rPr>
          <w:rFonts w:eastAsia="Calibri"/>
        </w:rPr>
        <w:t xml:space="preserve">ed during the lesson by the different groups in the class. The second part of the lesson focuses on the second part of the ‘What Matters’ statement discussing the fact that the learners having to search for answers. This part of the lesson uses the </w:t>
      </w:r>
      <w:proofErr w:type="spellStart"/>
      <w:r w:rsidRPr="000F7759">
        <w:rPr>
          <w:rFonts w:eastAsia="Calibri"/>
        </w:rPr>
        <w:t>AfL</w:t>
      </w:r>
      <w:proofErr w:type="spellEnd"/>
      <w:r w:rsidRPr="000F7759">
        <w:rPr>
          <w:rFonts w:eastAsia="Calibri"/>
        </w:rPr>
        <w:t xml:space="preserve"> str</w:t>
      </w:r>
      <w:r w:rsidRPr="000F7759">
        <w:rPr>
          <w:rFonts w:eastAsia="Calibri"/>
        </w:rPr>
        <w:t>ategy of ‘ground rules for talk’, this is where the learners will turn to doing individual work first, researching the specific topic that the learner has been given. Once they have finished their research the individuals go into their groups and discuss t</w:t>
      </w:r>
      <w:r w:rsidRPr="000F7759">
        <w:rPr>
          <w:rFonts w:eastAsia="Calibri"/>
        </w:rPr>
        <w:t>ogether what they have each found and start to work out how they are going to form their posters. This is important because it gives learners the opportunity to do their own work before working on their discussion and collaboration skills. This is importan</w:t>
      </w:r>
      <w:r w:rsidRPr="000F7759">
        <w:rPr>
          <w:rFonts w:eastAsia="Calibri"/>
        </w:rPr>
        <w:t>t as it meets the LNF for Year 6 that says, “</w:t>
      </w:r>
      <w:r w:rsidRPr="000F7759">
        <w:rPr>
          <w:rFonts w:eastAsia="Calibri"/>
          <w:highlight w:val="white"/>
        </w:rPr>
        <w:t>contribute purposefully to group discussion to achieve agreed outcomes</w:t>
      </w:r>
      <w:r w:rsidRPr="000F7759">
        <w:rPr>
          <w:rFonts w:eastAsia="Calibri"/>
        </w:rPr>
        <w:t>” and, “</w:t>
      </w:r>
      <w:r w:rsidRPr="000F7759">
        <w:rPr>
          <w:rFonts w:eastAsia="Calibri"/>
          <w:highlight w:val="white"/>
        </w:rPr>
        <w:t>express issues and ideas clearly, using specialist vocabulary and examples.</w:t>
      </w:r>
      <w:r w:rsidRPr="000F7759">
        <w:rPr>
          <w:rFonts w:eastAsia="Calibri"/>
        </w:rPr>
        <w:t>” (National Literacy and Numeracy Framework, 2008) The fin</w:t>
      </w:r>
      <w:r w:rsidRPr="000F7759">
        <w:rPr>
          <w:rFonts w:eastAsia="Calibri"/>
        </w:rPr>
        <w:t xml:space="preserve">al </w:t>
      </w:r>
      <w:proofErr w:type="spellStart"/>
      <w:r w:rsidRPr="000F7759">
        <w:rPr>
          <w:rFonts w:eastAsia="Calibri"/>
        </w:rPr>
        <w:t>AfL</w:t>
      </w:r>
      <w:proofErr w:type="spellEnd"/>
      <w:r w:rsidRPr="000F7759">
        <w:rPr>
          <w:rFonts w:eastAsia="Calibri"/>
        </w:rPr>
        <w:t xml:space="preserve"> strategy used for this lesson is in preparation for the next lesson. The teacher will take each poster into mark and the give each poster three stars and a wish to complete by the end of the next lesson. This is important to do because as a teacher </w:t>
      </w:r>
      <w:r w:rsidRPr="000F7759">
        <w:rPr>
          <w:rFonts w:eastAsia="Calibri"/>
        </w:rPr>
        <w:t>sometimes you can give feedback but not give much time to adapt your work once feedback is given, so to give feedback and allow time to let the learners change their work is important. As well as this, the learners will feel rewarded because their work wil</w:t>
      </w:r>
      <w:r w:rsidRPr="000F7759">
        <w:rPr>
          <w:rFonts w:eastAsia="Calibri"/>
        </w:rPr>
        <w:t xml:space="preserve">l be presented in the class on a display. </w:t>
      </w:r>
    </w:p>
    <w:p w:rsidR="0061418D" w:rsidRPr="000F7759" w:rsidRDefault="0061418D" w:rsidP="000F7759">
      <w:pPr>
        <w:spacing w:line="360" w:lineRule="auto"/>
        <w:rPr>
          <w:rFonts w:eastAsia="Calibri"/>
        </w:rPr>
      </w:pPr>
    </w:p>
    <w:p w:rsidR="000F7759" w:rsidRDefault="004A41F7" w:rsidP="000F7759">
      <w:pPr>
        <w:spacing w:line="360" w:lineRule="auto"/>
        <w:rPr>
          <w:rFonts w:eastAsia="Calibri"/>
        </w:rPr>
      </w:pPr>
      <w:r w:rsidRPr="000F7759">
        <w:rPr>
          <w:rFonts w:eastAsia="Calibri"/>
        </w:rPr>
        <w:t xml:space="preserve">This lesson will work with any chosen topic; however, I have chosen Global Warming for this lesson because it is important that learners learn about it and understand that it is </w:t>
      </w:r>
      <w:r w:rsidRPr="000F7759">
        <w:rPr>
          <w:rFonts w:eastAsia="Calibri"/>
        </w:rPr>
        <w:lastRenderedPageBreak/>
        <w:t>happening and it is a good topic f</w:t>
      </w:r>
      <w:r w:rsidRPr="000F7759">
        <w:rPr>
          <w:rFonts w:eastAsia="Calibri"/>
        </w:rPr>
        <w:t>or them to research themselves and be able to start to have discussion with each other about. These discussions could be about how to solve it, how to prevent it and all the time the learners are being encouraged to think of new ideas and find out new thin</w:t>
      </w:r>
      <w:r w:rsidRPr="000F7759">
        <w:rPr>
          <w:rFonts w:eastAsia="Calibri"/>
        </w:rPr>
        <w:t xml:space="preserve">gs through research. It also gives the learners the freedom to go and find out the information that they want to include and that they want to find out, which is important because giving children freedom to be independent is vital for their development. </w:t>
      </w:r>
    </w:p>
    <w:p w:rsidR="0061418D" w:rsidRPr="000F7759" w:rsidRDefault="004A41F7" w:rsidP="000F7759">
      <w:pPr>
        <w:spacing w:line="360" w:lineRule="auto"/>
        <w:rPr>
          <w:rFonts w:eastAsia="Calibri"/>
        </w:rPr>
      </w:pPr>
      <w:r w:rsidRPr="000F7759">
        <w:rPr>
          <w:rFonts w:eastAsia="Calibri"/>
        </w:rPr>
        <w:t xml:space="preserve">  </w:t>
      </w:r>
      <w:r w:rsidRPr="000F7759">
        <w:rPr>
          <w:rFonts w:eastAsia="Calibri"/>
        </w:rPr>
        <w:t xml:space="preserve"> </w:t>
      </w:r>
    </w:p>
    <w:p w:rsidR="0061418D" w:rsidRPr="000F7759" w:rsidRDefault="000F7759" w:rsidP="000F7759">
      <w:pPr>
        <w:spacing w:line="360" w:lineRule="auto"/>
        <w:rPr>
          <w:rFonts w:eastAsia="Calibri"/>
          <w:u w:val="single"/>
        </w:rPr>
      </w:pPr>
      <w:r>
        <w:rPr>
          <w:rFonts w:eastAsia="Calibri"/>
          <w:u w:val="single"/>
        </w:rPr>
        <w:t>Conclusion</w:t>
      </w:r>
    </w:p>
    <w:p w:rsidR="0061418D" w:rsidRPr="000F7759" w:rsidRDefault="004A41F7" w:rsidP="000F7759">
      <w:pPr>
        <w:spacing w:line="360" w:lineRule="auto"/>
        <w:rPr>
          <w:rFonts w:eastAsia="Calibri"/>
        </w:rPr>
      </w:pPr>
      <w:r w:rsidRPr="000F7759">
        <w:rPr>
          <w:rFonts w:eastAsia="Calibri"/>
        </w:rPr>
        <w:t xml:space="preserve">Overall, I think that using </w:t>
      </w:r>
      <w:proofErr w:type="spellStart"/>
      <w:r w:rsidRPr="000F7759">
        <w:rPr>
          <w:rFonts w:eastAsia="Calibri"/>
        </w:rPr>
        <w:t>AfL</w:t>
      </w:r>
      <w:proofErr w:type="spellEnd"/>
      <w:r w:rsidRPr="000F7759">
        <w:rPr>
          <w:rFonts w:eastAsia="Calibri"/>
        </w:rPr>
        <w:t xml:space="preserve"> strategies in a classroom is a benefit to help learners develop and learn as best as they can. However, it is only good if the level of </w:t>
      </w:r>
      <w:proofErr w:type="spellStart"/>
      <w:r w:rsidRPr="000F7759">
        <w:rPr>
          <w:rFonts w:eastAsia="Calibri"/>
        </w:rPr>
        <w:t>AfL</w:t>
      </w:r>
      <w:proofErr w:type="spellEnd"/>
      <w:r w:rsidRPr="000F7759">
        <w:rPr>
          <w:rFonts w:eastAsia="Calibri"/>
        </w:rPr>
        <w:t xml:space="preserve"> used is to a high standard. Dr Cheryl A Jones says that, </w:t>
      </w:r>
    </w:p>
    <w:p w:rsidR="0061418D" w:rsidRPr="000F7759" w:rsidRDefault="0061418D" w:rsidP="000F7759">
      <w:pPr>
        <w:spacing w:line="360" w:lineRule="auto"/>
        <w:rPr>
          <w:rFonts w:eastAsia="Calibri"/>
        </w:rPr>
      </w:pPr>
    </w:p>
    <w:p w:rsidR="0061418D" w:rsidRPr="000F7759" w:rsidRDefault="004A41F7" w:rsidP="000F7759">
      <w:pPr>
        <w:spacing w:line="360" w:lineRule="auto"/>
        <w:jc w:val="center"/>
        <w:rPr>
          <w:rFonts w:eastAsia="Calibri"/>
        </w:rPr>
      </w:pPr>
      <w:r w:rsidRPr="000F7759">
        <w:rPr>
          <w:rFonts w:eastAsia="Calibri"/>
        </w:rPr>
        <w:t>“The Assessment for Learning model is only as good as the quality of feedback provided to learners. Successful Assessment for Learning strategies hinge on the nature of feedback, its content and the way it is received and used by learners.”</w:t>
      </w:r>
    </w:p>
    <w:p w:rsidR="0061418D" w:rsidRPr="000F7759" w:rsidRDefault="004A41F7" w:rsidP="000F7759">
      <w:pPr>
        <w:spacing w:line="360" w:lineRule="auto"/>
        <w:jc w:val="right"/>
        <w:rPr>
          <w:rFonts w:eastAsia="Calibri"/>
        </w:rPr>
      </w:pPr>
      <w:r w:rsidRPr="000F7759">
        <w:rPr>
          <w:rFonts w:eastAsia="Calibri"/>
        </w:rPr>
        <w:t>Dr Cheryl A. Jo</w:t>
      </w:r>
      <w:r w:rsidRPr="000F7759">
        <w:rPr>
          <w:rFonts w:eastAsia="Calibri"/>
        </w:rPr>
        <w:t>nes, 2005</w:t>
      </w:r>
    </w:p>
    <w:p w:rsidR="0061418D" w:rsidRPr="000F7759" w:rsidRDefault="004A41F7" w:rsidP="000F7759">
      <w:pPr>
        <w:spacing w:line="360" w:lineRule="auto"/>
        <w:rPr>
          <w:rFonts w:eastAsia="Calibri"/>
        </w:rPr>
      </w:pPr>
      <w:r w:rsidRPr="000F7759">
        <w:rPr>
          <w:rFonts w:eastAsia="Calibri"/>
        </w:rPr>
        <w:t xml:space="preserve">This is important to fully understand this quote because it is vital to getting to the bottom of </w:t>
      </w:r>
      <w:proofErr w:type="spellStart"/>
      <w:r w:rsidRPr="000F7759">
        <w:rPr>
          <w:rFonts w:eastAsia="Calibri"/>
        </w:rPr>
        <w:t>AfL</w:t>
      </w:r>
      <w:proofErr w:type="spellEnd"/>
      <w:r w:rsidRPr="000F7759">
        <w:rPr>
          <w:rFonts w:eastAsia="Calibri"/>
        </w:rPr>
        <w:t xml:space="preserve"> and being able to fully implement it into the classroom and use it to its full potential. </w:t>
      </w:r>
      <w:proofErr w:type="spellStart"/>
      <w:r w:rsidRPr="000F7759">
        <w:rPr>
          <w:rFonts w:eastAsia="Calibri"/>
        </w:rPr>
        <w:t>AfL</w:t>
      </w:r>
      <w:proofErr w:type="spellEnd"/>
      <w:r w:rsidRPr="000F7759">
        <w:rPr>
          <w:rFonts w:eastAsia="Calibri"/>
        </w:rPr>
        <w:t xml:space="preserve"> is good for assessing learners, but only if the lea</w:t>
      </w:r>
      <w:r w:rsidRPr="000F7759">
        <w:rPr>
          <w:rFonts w:eastAsia="Calibri"/>
        </w:rPr>
        <w:t xml:space="preserve">rners respond well to the strategies and can take the most from them. Otherwise the learners may easily lose focus and struggle to learn because they are constantly feeling like they are being judged.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 xml:space="preserve">Another negative impact using </w:t>
      </w:r>
      <w:proofErr w:type="spellStart"/>
      <w:r w:rsidRPr="000F7759">
        <w:rPr>
          <w:rFonts w:eastAsia="Calibri"/>
        </w:rPr>
        <w:t>AfL</w:t>
      </w:r>
      <w:proofErr w:type="spellEnd"/>
      <w:r w:rsidRPr="000F7759">
        <w:rPr>
          <w:rFonts w:eastAsia="Calibri"/>
        </w:rPr>
        <w:t xml:space="preserve"> in the classroom co</w:t>
      </w:r>
      <w:r w:rsidRPr="000F7759">
        <w:rPr>
          <w:rFonts w:eastAsia="Calibri"/>
        </w:rPr>
        <w:t>uld be that the lower ability learners may struggle because if they are constantly getting something wrong, they may be disheartened by the fact that every time they are given feedback, they are doing it wrong. However, there are ways around this, it is im</w:t>
      </w:r>
      <w:r w:rsidRPr="000F7759">
        <w:rPr>
          <w:rFonts w:eastAsia="Calibri"/>
        </w:rPr>
        <w:t>portant for all learners to understand that they can improve on whatever they are doing and therefore feedback has to have a balance of both positives and negatives in order for learners to get a sense of achievement and a sense of wanting to improve their</w:t>
      </w:r>
      <w:r w:rsidRPr="000F7759">
        <w:rPr>
          <w:rFonts w:eastAsia="Calibri"/>
        </w:rPr>
        <w:t xml:space="preserve"> work more and more. This is why I have tried to use </w:t>
      </w:r>
      <w:proofErr w:type="spellStart"/>
      <w:r w:rsidRPr="000F7759">
        <w:rPr>
          <w:rFonts w:eastAsia="Calibri"/>
        </w:rPr>
        <w:t>AfL</w:t>
      </w:r>
      <w:proofErr w:type="spellEnd"/>
      <w:r w:rsidRPr="000F7759">
        <w:rPr>
          <w:rFonts w:eastAsia="Calibri"/>
        </w:rPr>
        <w:t xml:space="preserve"> strategies that will not so much show light on the negatives in a learners’ work, but I have used strategies that guide learners into doing something right before they have a chance of getting it wro</w:t>
      </w:r>
      <w:r w:rsidRPr="000F7759">
        <w:rPr>
          <w:rFonts w:eastAsia="Calibri"/>
        </w:rPr>
        <w:t xml:space="preserve">ng. </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lastRenderedPageBreak/>
        <w:t>A good example of this is the ‘Who-what-when-where-why-how?’ strategy used in the story writing lesson plan (see Appendix 2) where the teacher gives their example of how to describe a character first and then allows the learners to have their opportu</w:t>
      </w:r>
      <w:r w:rsidRPr="000F7759">
        <w:rPr>
          <w:rFonts w:eastAsia="Calibri"/>
        </w:rPr>
        <w:t>nity. Once the learner has the opportunity, the teacher can also ask questions to add to the description the class is giving the learner if they aren’t giving enough detail to continue modelling how to be descriptive. All in all, going back to the introduc</w:t>
      </w:r>
      <w:r w:rsidRPr="000F7759">
        <w:rPr>
          <w:rFonts w:eastAsia="Calibri"/>
        </w:rPr>
        <w:t xml:space="preserve">tion of this essay, </w:t>
      </w:r>
      <w:proofErr w:type="spellStart"/>
      <w:r w:rsidRPr="000F7759">
        <w:rPr>
          <w:rFonts w:eastAsia="Calibri"/>
        </w:rPr>
        <w:t>AfL</w:t>
      </w:r>
      <w:proofErr w:type="spellEnd"/>
      <w:r w:rsidRPr="000F7759">
        <w:rPr>
          <w:rFonts w:eastAsia="Calibri"/>
        </w:rPr>
        <w:t xml:space="preserve"> is important to help learners grow in confidence and this is summed up well by this,</w:t>
      </w:r>
    </w:p>
    <w:p w:rsidR="0061418D" w:rsidRPr="000F7759" w:rsidRDefault="0061418D" w:rsidP="000F7759">
      <w:pPr>
        <w:spacing w:line="360" w:lineRule="auto"/>
        <w:rPr>
          <w:rFonts w:eastAsia="Calibri"/>
        </w:rPr>
      </w:pPr>
    </w:p>
    <w:p w:rsidR="0061418D" w:rsidRPr="000F7759" w:rsidRDefault="004A41F7" w:rsidP="000F7759">
      <w:pPr>
        <w:spacing w:line="360" w:lineRule="auto"/>
        <w:jc w:val="center"/>
        <w:rPr>
          <w:rFonts w:eastAsia="Calibri"/>
        </w:rPr>
      </w:pPr>
      <w:r w:rsidRPr="000F7759">
        <w:rPr>
          <w:rFonts w:eastAsia="Calibri"/>
        </w:rPr>
        <w:t xml:space="preserve">“Another important element within assessment for learning is the development of confidence. It’s developing the student’s self-efficacy, in other </w:t>
      </w:r>
      <w:r w:rsidRPr="000F7759">
        <w:rPr>
          <w:rFonts w:eastAsia="Calibri"/>
        </w:rPr>
        <w:t xml:space="preserve">words their levels of self-belief. It develops optimism and resilience.” </w:t>
      </w:r>
    </w:p>
    <w:p w:rsidR="0061418D" w:rsidRPr="000F7759" w:rsidRDefault="004A41F7" w:rsidP="000F7759">
      <w:pPr>
        <w:spacing w:line="360" w:lineRule="auto"/>
        <w:jc w:val="right"/>
        <w:rPr>
          <w:rFonts w:eastAsia="Calibri"/>
        </w:rPr>
      </w:pPr>
      <w:r w:rsidRPr="000F7759">
        <w:rPr>
          <w:rFonts w:eastAsia="Calibri"/>
        </w:rPr>
        <w:t xml:space="preserve">James Woodworth, </w:t>
      </w:r>
      <w:r w:rsidR="00C000EA">
        <w:rPr>
          <w:rFonts w:eastAsia="Calibri"/>
        </w:rPr>
        <w:t>2015</w:t>
      </w:r>
    </w:p>
    <w:p w:rsidR="0061418D" w:rsidRPr="000F7759" w:rsidRDefault="0061418D" w:rsidP="000F7759">
      <w:pPr>
        <w:spacing w:line="360" w:lineRule="auto"/>
        <w:rPr>
          <w:rFonts w:eastAsia="Calibri"/>
        </w:rPr>
      </w:pPr>
    </w:p>
    <w:p w:rsidR="0061418D" w:rsidRPr="000F7759" w:rsidRDefault="004A41F7" w:rsidP="000F7759">
      <w:pPr>
        <w:spacing w:line="360" w:lineRule="auto"/>
        <w:rPr>
          <w:rFonts w:eastAsia="Calibri"/>
        </w:rPr>
      </w:pPr>
      <w:r w:rsidRPr="000F7759">
        <w:rPr>
          <w:rFonts w:eastAsia="Calibri"/>
        </w:rPr>
        <w:t xml:space="preserve">The word ‘optimism’ gives a look on </w:t>
      </w:r>
      <w:proofErr w:type="spellStart"/>
      <w:r w:rsidRPr="000F7759">
        <w:rPr>
          <w:rFonts w:eastAsia="Calibri"/>
        </w:rPr>
        <w:t>AfL</w:t>
      </w:r>
      <w:proofErr w:type="spellEnd"/>
      <w:r w:rsidRPr="000F7759">
        <w:rPr>
          <w:rFonts w:eastAsia="Calibri"/>
        </w:rPr>
        <w:t xml:space="preserve"> which I like. It helps you understand that it gives learners a belief that whatever work they are doing they can </w:t>
      </w:r>
      <w:r w:rsidRPr="000F7759">
        <w:rPr>
          <w:rFonts w:eastAsia="Calibri"/>
        </w:rPr>
        <w:t>complete and complete it to a high standard.</w:t>
      </w:r>
    </w:p>
    <w:p w:rsidR="0061418D" w:rsidRDefault="0061418D">
      <w:pPr>
        <w:jc w:val="center"/>
        <w:rPr>
          <w:rFonts w:ascii="Calibri" w:eastAsia="Calibri" w:hAnsi="Calibri" w:cs="Calibri"/>
        </w:rPr>
      </w:pPr>
    </w:p>
    <w:p w:rsidR="0061418D" w:rsidRDefault="0061418D">
      <w:pPr>
        <w:rPr>
          <w:rFonts w:ascii="Calibri" w:eastAsia="Calibri" w:hAnsi="Calibri" w:cs="Calibri"/>
        </w:rPr>
      </w:pPr>
    </w:p>
    <w:p w:rsidR="0061418D" w:rsidRDefault="0061418D">
      <w:pPr>
        <w:rPr>
          <w:rFonts w:ascii="Calibri" w:eastAsia="Calibri" w:hAnsi="Calibri" w:cs="Calibri"/>
        </w:rPr>
      </w:pPr>
    </w:p>
    <w:p w:rsidR="0061418D" w:rsidRDefault="0061418D">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0F7759" w:rsidRDefault="000F7759">
      <w:pPr>
        <w:rPr>
          <w:rFonts w:ascii="Calibri" w:eastAsia="Calibri" w:hAnsi="Calibri" w:cs="Calibri"/>
          <w:b/>
        </w:rPr>
      </w:pPr>
    </w:p>
    <w:p w:rsidR="005B26B9" w:rsidRDefault="005B26B9">
      <w:pPr>
        <w:rPr>
          <w:rFonts w:ascii="Calibri" w:eastAsia="Calibri" w:hAnsi="Calibri" w:cs="Calibri"/>
          <w:b/>
        </w:rPr>
      </w:pPr>
    </w:p>
    <w:p w:rsidR="0061418D" w:rsidRPr="00DC5AE3" w:rsidRDefault="004A41F7" w:rsidP="00DC5AE3">
      <w:pPr>
        <w:spacing w:line="360" w:lineRule="auto"/>
        <w:rPr>
          <w:rFonts w:eastAsia="Calibri"/>
          <w:b/>
        </w:rPr>
      </w:pPr>
      <w:r w:rsidRPr="00DC5AE3">
        <w:rPr>
          <w:rFonts w:eastAsia="Calibri"/>
          <w:b/>
        </w:rPr>
        <w:lastRenderedPageBreak/>
        <w:t>Reference List</w:t>
      </w:r>
    </w:p>
    <w:p w:rsidR="00C40F08" w:rsidRDefault="00C40F08" w:rsidP="00DC5AE3">
      <w:pPr>
        <w:spacing w:line="360" w:lineRule="auto"/>
        <w:rPr>
          <w:rFonts w:eastAsia="Calibri"/>
          <w:b/>
        </w:rPr>
      </w:pPr>
    </w:p>
    <w:p w:rsidR="00C40F08" w:rsidRPr="00C40F08" w:rsidRDefault="00C40F08" w:rsidP="00DC5AE3">
      <w:pPr>
        <w:spacing w:line="360" w:lineRule="auto"/>
      </w:pPr>
      <w:r w:rsidRPr="00DC5AE3">
        <w:rPr>
          <w:rFonts w:eastAsia="Calibri"/>
        </w:rPr>
        <w:t xml:space="preserve">Cambridge Assessment, 5/12/2015, Getting Started with Assessment for Learning, Available at </w:t>
      </w:r>
      <w:hyperlink r:id="rId4">
        <w:r w:rsidRPr="00DC5AE3">
          <w:rPr>
            <w:rFonts w:eastAsia="Calibri"/>
            <w:color w:val="0000FF"/>
            <w:u w:val="single"/>
          </w:rPr>
          <w:t>https://cambridge-community.org.uk/professional-development/gswafl/index.html</w:t>
        </w:r>
      </w:hyperlink>
    </w:p>
    <w:p w:rsidR="00C40F08" w:rsidRDefault="00C40F08" w:rsidP="00DC5AE3">
      <w:pPr>
        <w:spacing w:line="360" w:lineRule="auto"/>
        <w:rPr>
          <w:rFonts w:eastAsia="Calibri"/>
        </w:rPr>
      </w:pPr>
      <w:r w:rsidRPr="00DC5AE3">
        <w:rPr>
          <w:rFonts w:eastAsia="Calibri"/>
        </w:rPr>
        <w:t>Donaldson. G, 02/2015, Successful Futures, OGL, pp. 31</w:t>
      </w:r>
    </w:p>
    <w:p w:rsidR="00C40F08" w:rsidRDefault="00C40F08" w:rsidP="00DC5AE3">
      <w:pPr>
        <w:spacing w:line="360" w:lineRule="auto"/>
        <w:rPr>
          <w:rFonts w:eastAsia="Calibri"/>
        </w:rPr>
      </w:pPr>
      <w:r>
        <w:rPr>
          <w:rFonts w:eastAsia="Calibri"/>
        </w:rPr>
        <w:t>Accessed 29/10/2019</w:t>
      </w:r>
    </w:p>
    <w:p w:rsidR="00C40F08" w:rsidRPr="00DC5AE3" w:rsidRDefault="00C40F08" w:rsidP="00DC5AE3">
      <w:pPr>
        <w:spacing w:line="360" w:lineRule="auto"/>
        <w:rPr>
          <w:rFonts w:eastAsia="Calibri"/>
        </w:rPr>
      </w:pPr>
    </w:p>
    <w:p w:rsidR="00C40F08" w:rsidRDefault="00C40F08" w:rsidP="00DC5AE3">
      <w:pPr>
        <w:spacing w:line="360" w:lineRule="auto"/>
        <w:rPr>
          <w:rFonts w:eastAsia="Calibri"/>
        </w:rPr>
      </w:pPr>
      <w:r w:rsidRPr="00DC5AE3">
        <w:rPr>
          <w:rFonts w:eastAsia="Calibri"/>
        </w:rPr>
        <w:t xml:space="preserve">Paul Black and Dylan </w:t>
      </w:r>
      <w:proofErr w:type="spellStart"/>
      <w:r w:rsidRPr="00DC5AE3">
        <w:rPr>
          <w:rFonts w:eastAsia="Calibri"/>
        </w:rPr>
        <w:t>Wiliam</w:t>
      </w:r>
      <w:proofErr w:type="spellEnd"/>
      <w:r w:rsidRPr="00DC5AE3">
        <w:rPr>
          <w:rFonts w:eastAsia="Calibri"/>
        </w:rPr>
        <w:t>, 10/1998, Inside the Black Box: Raising Standards Through Classroom Assessment, Phi Delta Kappa, pp. 2 &amp; 10</w:t>
      </w:r>
    </w:p>
    <w:p w:rsidR="00C40F08" w:rsidRPr="00DC5AE3" w:rsidRDefault="00C40F08" w:rsidP="00DC5AE3">
      <w:pPr>
        <w:spacing w:line="360" w:lineRule="auto"/>
        <w:rPr>
          <w:rFonts w:eastAsia="Calibri"/>
        </w:rPr>
      </w:pPr>
    </w:p>
    <w:p w:rsidR="00C40F08" w:rsidRDefault="00C40F08" w:rsidP="00DC5AE3">
      <w:pPr>
        <w:spacing w:line="360" w:lineRule="auto"/>
        <w:rPr>
          <w:rFonts w:eastAsia="Calibri"/>
          <w:color w:val="0000FF"/>
          <w:u w:val="single"/>
        </w:rPr>
      </w:pPr>
      <w:r w:rsidRPr="00DC5AE3">
        <w:rPr>
          <w:rFonts w:eastAsia="Calibri"/>
        </w:rPr>
        <w:t xml:space="preserve">QCA, Pivotal Education 2019, QCA’s ten principles of Assessment for Learning, Available at </w:t>
      </w:r>
      <w:hyperlink r:id="rId5">
        <w:r w:rsidRPr="00DC5AE3">
          <w:rPr>
            <w:rFonts w:eastAsia="Calibri"/>
            <w:color w:val="0000FF"/>
            <w:u w:val="single"/>
          </w:rPr>
          <w:t>https://pivotaleducation.com/hidden-trainer-area/training-online-resources/qca-s-ten-principles-of-assessment-for-learning/</w:t>
        </w:r>
      </w:hyperlink>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color w:val="0000FF"/>
          <w:u w:val="single"/>
        </w:rPr>
      </w:pPr>
      <w:r w:rsidRPr="00DC5AE3">
        <w:rPr>
          <w:rFonts w:eastAsia="Calibri"/>
        </w:rPr>
        <w:t xml:space="preserve">The Ohio State University, 22/03/2018, The Importance of Having a Growth Mindset, Available at </w:t>
      </w:r>
      <w:hyperlink r:id="rId6">
        <w:r w:rsidRPr="00DC5AE3">
          <w:rPr>
            <w:rFonts w:eastAsia="Calibri"/>
            <w:color w:val="0000FF"/>
            <w:u w:val="single"/>
          </w:rPr>
          <w:t>https://otl.vet.ohio-state.edu/students/learning-tools-and-strategies/importance-having-growth-mindset</w:t>
        </w:r>
      </w:hyperlink>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rPr>
      </w:pPr>
      <w:r w:rsidRPr="00DC5AE3">
        <w:rPr>
          <w:rFonts w:eastAsia="Calibri"/>
        </w:rPr>
        <w:t xml:space="preserve">Understood, 11/06/2019, The Importance of Positive Self-Esteem for Kids, Available at </w:t>
      </w:r>
      <w:hyperlink r:id="rId7">
        <w:r w:rsidRPr="00DC5AE3">
          <w:rPr>
            <w:rFonts w:eastAsia="Calibri"/>
            <w:color w:val="0000FF"/>
            <w:u w:val="single"/>
          </w:rPr>
          <w:t>https://www.understood.org/en/friends-feelings/empowering-your-child/self-esteem/the-importance-of-positive-self-esteem-for-kids</w:t>
        </w:r>
      </w:hyperlink>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rPr>
      </w:pPr>
      <w:r w:rsidRPr="00DC5AE3">
        <w:rPr>
          <w:rFonts w:eastAsia="Calibri"/>
        </w:rPr>
        <w:t>Welsh Assembly Government, 11/2010, How to develop thinking and assessment for learning in the classroom, PP. 38-90</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rPr>
      </w:pPr>
      <w:r w:rsidRPr="00DC5AE3">
        <w:rPr>
          <w:rFonts w:eastAsia="Calibri"/>
        </w:rPr>
        <w:t>Welsh Assembly Government, 2003, Developing the Curriculum Cymreig, ACCAC Publications, pp. 4</w:t>
      </w:r>
    </w:p>
    <w:p w:rsidR="003E2787" w:rsidRPr="00DC5AE3" w:rsidRDefault="003E2787" w:rsidP="00DC5AE3">
      <w:pPr>
        <w:spacing w:line="360" w:lineRule="auto"/>
        <w:rPr>
          <w:rFonts w:eastAsia="Calibri"/>
        </w:rPr>
      </w:pPr>
    </w:p>
    <w:p w:rsidR="004A41F7" w:rsidRDefault="004A41F7" w:rsidP="00DC5AE3">
      <w:pPr>
        <w:spacing w:line="360" w:lineRule="auto"/>
        <w:rPr>
          <w:rFonts w:eastAsia="Calibri"/>
        </w:rPr>
      </w:pPr>
    </w:p>
    <w:p w:rsidR="004A41F7" w:rsidRDefault="004A41F7" w:rsidP="00DC5AE3">
      <w:pPr>
        <w:spacing w:line="360" w:lineRule="auto"/>
        <w:rPr>
          <w:rFonts w:eastAsia="Calibri"/>
        </w:rPr>
      </w:pPr>
    </w:p>
    <w:p w:rsidR="00C40F08" w:rsidRDefault="00C40F08" w:rsidP="00DC5AE3">
      <w:pPr>
        <w:spacing w:line="360" w:lineRule="auto"/>
        <w:rPr>
          <w:rFonts w:eastAsia="Calibri"/>
          <w:color w:val="0000FF"/>
          <w:u w:val="single"/>
        </w:rPr>
      </w:pPr>
      <w:bookmarkStart w:id="0" w:name="_GoBack"/>
      <w:bookmarkEnd w:id="0"/>
      <w:r w:rsidRPr="00DC5AE3">
        <w:rPr>
          <w:rFonts w:eastAsia="Calibri"/>
        </w:rPr>
        <w:lastRenderedPageBreak/>
        <w:t xml:space="preserve">Welsh Government, 20/06/2018, How ‘Areas of Learning and Experience’ are being developed as a central element of the new curriculum, Available at </w:t>
      </w:r>
      <w:hyperlink r:id="rId8">
        <w:r w:rsidRPr="00DC5AE3">
          <w:rPr>
            <w:rFonts w:eastAsia="Calibri"/>
            <w:color w:val="0000FF"/>
            <w:u w:val="single"/>
          </w:rPr>
          <w:t>https://curriculumforwales.gov.wales/2018/06/20/how-areas-of-learning-and-experience-are-being-developed-as-a-central-element-of-the-new-curriculum/</w:t>
        </w:r>
      </w:hyperlink>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color w:val="0000FF"/>
          <w:u w:val="single"/>
        </w:rPr>
      </w:pPr>
      <w:r w:rsidRPr="00DC5AE3">
        <w:rPr>
          <w:rFonts w:eastAsia="Calibri"/>
        </w:rPr>
        <w:t xml:space="preserve">Welsh Government, 2008, Digital </w:t>
      </w:r>
      <w:proofErr w:type="spellStart"/>
      <w:r w:rsidRPr="00DC5AE3">
        <w:rPr>
          <w:rFonts w:eastAsia="Calibri"/>
        </w:rPr>
        <w:t>Competance</w:t>
      </w:r>
      <w:proofErr w:type="spellEnd"/>
      <w:r w:rsidRPr="00DC5AE3">
        <w:rPr>
          <w:rFonts w:eastAsia="Calibri"/>
        </w:rPr>
        <w:t xml:space="preserve"> Framework, Available at </w:t>
      </w:r>
      <w:hyperlink r:id="rId9">
        <w:r w:rsidRPr="00DC5AE3">
          <w:rPr>
            <w:rFonts w:eastAsia="Calibri"/>
            <w:color w:val="0000FF"/>
            <w:u w:val="single"/>
          </w:rPr>
          <w:t>https://hwb.gov.wales/curriculum-for-wales-2008/digital-competence-framework-curriculum-for-wales-2008-version/framework/</w:t>
        </w:r>
      </w:hyperlink>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color w:val="0000FF"/>
          <w:u w:val="single"/>
        </w:rPr>
      </w:pPr>
      <w:r w:rsidRPr="00DC5AE3">
        <w:rPr>
          <w:rFonts w:eastAsia="Calibri"/>
        </w:rPr>
        <w:t xml:space="preserve">Welsh Government, 2008, National Literacy and Numeracy Framework, Available at </w:t>
      </w:r>
      <w:hyperlink r:id="rId10">
        <w:r w:rsidRPr="00DC5AE3">
          <w:rPr>
            <w:rFonts w:eastAsia="Calibri"/>
            <w:color w:val="0000FF"/>
            <w:u w:val="single"/>
          </w:rPr>
          <w:t>https://hwb.gov.wales/curriculum-for-wales-2008/national-literacy-and-numeracy-framework-curriculum-for-wales-2008-version/framework/?lang=en</w:t>
        </w:r>
      </w:hyperlink>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rPr>
      </w:pPr>
      <w:r w:rsidRPr="00DC5AE3">
        <w:rPr>
          <w:rFonts w:eastAsia="Calibri"/>
        </w:rPr>
        <w:t xml:space="preserve">Welsh Government, Education Wales, 04/2019, Area of Learning and Experience Expressive Arts, Available at </w:t>
      </w:r>
      <w:hyperlink r:id="rId11">
        <w:r w:rsidRPr="00DC5AE3">
          <w:rPr>
            <w:rFonts w:eastAsia="Calibri"/>
            <w:color w:val="0000FF"/>
            <w:u w:val="single"/>
          </w:rPr>
          <w:t>https://s3-eu-west-1.amazonaws.com/hwb-live-storage/a2/59/d2/72/a63544998390b2fb11b8828a/draft-statutory-guidance-expressive-arts.pdf</w:t>
        </w:r>
      </w:hyperlink>
      <w:r w:rsidRPr="00DC5AE3">
        <w:rPr>
          <w:rFonts w:eastAsia="Calibri"/>
        </w:rPr>
        <w:t>, pp. 35 &amp; 52</w:t>
      </w:r>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rPr>
      </w:pPr>
      <w:r w:rsidRPr="00DC5AE3">
        <w:rPr>
          <w:rFonts w:eastAsia="Calibri"/>
        </w:rPr>
        <w:t xml:space="preserve">Welsh Government, Education Wales, 04/2019, Area of Learning and Experience Languages, Literacy and Communication, Available at </w:t>
      </w:r>
      <w:hyperlink r:id="rId12">
        <w:r w:rsidRPr="00DC5AE3">
          <w:rPr>
            <w:rFonts w:eastAsia="Calibri"/>
            <w:color w:val="0000FF"/>
            <w:u w:val="single"/>
          </w:rPr>
          <w:t>https://s3-eu-west-1.amazonaws.com/hwb-live-storage/50/a1/48/ee/e53b4bbbbf979cc3bba96558/draft-statutory-guidance-languages-literacy-and-communication.pdf</w:t>
        </w:r>
      </w:hyperlink>
      <w:r w:rsidRPr="00DC5AE3">
        <w:rPr>
          <w:rFonts w:eastAsia="Calibri"/>
        </w:rPr>
        <w:t>, pp. 45</w:t>
      </w:r>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rPr>
      </w:pPr>
      <w:r w:rsidRPr="00DC5AE3">
        <w:rPr>
          <w:rFonts w:eastAsia="Calibri"/>
        </w:rPr>
        <w:t xml:space="preserve">Welsh Government, Education Wales, 04/2019, Area of Learning and Experience Science and Technology, Available at </w:t>
      </w:r>
      <w:hyperlink r:id="rId13">
        <w:r w:rsidRPr="00DC5AE3">
          <w:rPr>
            <w:rFonts w:eastAsia="Calibri"/>
            <w:color w:val="0000FF"/>
            <w:u w:val="single"/>
          </w:rPr>
          <w:t>https://s3-eu-west-1.amazonaws.com/hwb-live-storage/9a/4f/ae/52/0ca5404c936f376d3e9ae218/draft-statutory-guidance-science-and-technology.pdf</w:t>
        </w:r>
      </w:hyperlink>
      <w:r w:rsidRPr="00DC5AE3">
        <w:rPr>
          <w:rFonts w:eastAsia="Calibri"/>
        </w:rPr>
        <w:t>, pp. 18</w:t>
      </w:r>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rPr>
          <w:rFonts w:eastAsia="Calibri"/>
        </w:rPr>
      </w:pPr>
      <w:r w:rsidRPr="00DC5AE3">
        <w:rPr>
          <w:rFonts w:eastAsia="Calibri"/>
        </w:rPr>
        <w:lastRenderedPageBreak/>
        <w:t xml:space="preserve">Welsh Government, Education Wales, 04/2019, Area of Learning and Experience Humanities, Available at </w:t>
      </w:r>
      <w:hyperlink r:id="rId14">
        <w:r w:rsidRPr="00DC5AE3">
          <w:rPr>
            <w:rFonts w:eastAsia="Calibri"/>
            <w:color w:val="0000FF"/>
            <w:u w:val="single"/>
          </w:rPr>
          <w:t>https://s3-eu-west-1.amazonaws.com/hwb-live-storage/91/a1/75/e1/860b4f95b637b7712c445879/draft-statutory-guidance-humanities.pdf</w:t>
        </w:r>
      </w:hyperlink>
      <w:r w:rsidRPr="00DC5AE3">
        <w:rPr>
          <w:rFonts w:eastAsia="Calibri"/>
        </w:rPr>
        <w:t>, pp. 20 &amp; 70</w:t>
      </w:r>
    </w:p>
    <w:p w:rsidR="003E2787" w:rsidRDefault="003E2787" w:rsidP="003E2787">
      <w:pPr>
        <w:spacing w:line="360" w:lineRule="auto"/>
        <w:rPr>
          <w:rFonts w:eastAsia="Calibri"/>
        </w:rPr>
      </w:pPr>
      <w:r>
        <w:rPr>
          <w:rFonts w:eastAsia="Calibri"/>
        </w:rPr>
        <w:t>Accessed 29/10/2019</w:t>
      </w:r>
    </w:p>
    <w:p w:rsidR="003E2787" w:rsidRPr="00DC5AE3" w:rsidRDefault="003E2787" w:rsidP="00DC5AE3">
      <w:pPr>
        <w:spacing w:line="360" w:lineRule="auto"/>
        <w:rPr>
          <w:rFonts w:eastAsia="Calibri"/>
        </w:rPr>
      </w:pPr>
    </w:p>
    <w:p w:rsidR="00C40F08" w:rsidRDefault="00C40F08" w:rsidP="00DC5AE3">
      <w:pPr>
        <w:spacing w:line="360" w:lineRule="auto"/>
      </w:pPr>
      <w:r w:rsidRPr="00DC5AE3">
        <w:rPr>
          <w:rFonts w:eastAsia="Calibri"/>
        </w:rPr>
        <w:t xml:space="preserve">Woodworth. J, 06/12/2015, Cambridge Professional Development, Available at </w:t>
      </w:r>
      <w:hyperlink r:id="rId15" w:history="1">
        <w:r w:rsidRPr="00DC5AE3">
          <w:rPr>
            <w:rStyle w:val="Hyperlink"/>
          </w:rPr>
          <w:t>https://cambridge-community.org.uk/professional-development/gswafl/gswaflTranscript2.pdf</w:t>
        </w:r>
      </w:hyperlink>
    </w:p>
    <w:p w:rsidR="003E2787" w:rsidRDefault="003E2787" w:rsidP="00DC5AE3">
      <w:pPr>
        <w:spacing w:line="360" w:lineRule="auto"/>
        <w:rPr>
          <w:rFonts w:eastAsia="Calibri"/>
        </w:rPr>
      </w:pPr>
      <w:r>
        <w:rPr>
          <w:rFonts w:eastAsia="Calibri"/>
        </w:rPr>
        <w:t>Accessed 29/10/2019</w:t>
      </w: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Default="003E2787" w:rsidP="00DC5AE3">
      <w:pPr>
        <w:spacing w:line="360" w:lineRule="auto"/>
        <w:rPr>
          <w:rFonts w:eastAsia="Calibri"/>
        </w:rPr>
      </w:pPr>
    </w:p>
    <w:p w:rsidR="003E2787" w:rsidRPr="003E2787" w:rsidRDefault="003E2787" w:rsidP="00DC5AE3">
      <w:pPr>
        <w:spacing w:line="360" w:lineRule="auto"/>
        <w:rPr>
          <w:rFonts w:eastAsia="Calibri"/>
        </w:rPr>
      </w:pPr>
    </w:p>
    <w:p w:rsidR="0061418D" w:rsidRPr="00DC5AE3" w:rsidRDefault="0061418D" w:rsidP="00DC5AE3">
      <w:pPr>
        <w:spacing w:line="360" w:lineRule="auto"/>
        <w:rPr>
          <w:rFonts w:eastAsia="Calibri"/>
        </w:rPr>
      </w:pPr>
    </w:p>
    <w:p w:rsidR="0061418D" w:rsidRDefault="0061418D">
      <w:pPr>
        <w:rPr>
          <w:rFonts w:ascii="Calibri" w:eastAsia="Calibri" w:hAnsi="Calibri" w:cs="Calibri"/>
        </w:rPr>
      </w:pPr>
    </w:p>
    <w:p w:rsidR="005B26B9" w:rsidRDefault="005B26B9">
      <w:pPr>
        <w:rPr>
          <w:rFonts w:ascii="Calibri" w:eastAsia="Calibri" w:hAnsi="Calibri" w:cs="Calibri"/>
          <w:b/>
        </w:rPr>
      </w:pPr>
    </w:p>
    <w:p w:rsidR="005B26B9" w:rsidRDefault="005B26B9">
      <w:pPr>
        <w:rPr>
          <w:rFonts w:ascii="Calibri" w:eastAsia="Calibri" w:hAnsi="Calibri" w:cs="Calibri"/>
          <w:b/>
        </w:rPr>
      </w:pPr>
    </w:p>
    <w:p w:rsidR="005B26B9" w:rsidRDefault="005B26B9">
      <w:pPr>
        <w:rPr>
          <w:rFonts w:ascii="Calibri" w:eastAsia="Calibri" w:hAnsi="Calibri" w:cs="Calibri"/>
          <w:b/>
        </w:rPr>
      </w:pPr>
    </w:p>
    <w:p w:rsidR="005B26B9" w:rsidRDefault="005B26B9">
      <w:pPr>
        <w:rPr>
          <w:rFonts w:ascii="Calibri" w:eastAsia="Calibri" w:hAnsi="Calibri" w:cs="Calibri"/>
          <w:b/>
        </w:rPr>
      </w:pPr>
    </w:p>
    <w:p w:rsidR="00DC5AE3" w:rsidRDefault="00DC5AE3">
      <w:pPr>
        <w:rPr>
          <w:rFonts w:ascii="Calibri" w:eastAsia="Calibri" w:hAnsi="Calibri" w:cs="Calibri"/>
          <w:b/>
        </w:rPr>
      </w:pPr>
    </w:p>
    <w:p w:rsidR="00DC5AE3" w:rsidRDefault="00DC5AE3">
      <w:pPr>
        <w:rPr>
          <w:rFonts w:ascii="Calibri" w:eastAsia="Calibri" w:hAnsi="Calibri" w:cs="Calibri"/>
          <w:b/>
        </w:rPr>
      </w:pPr>
    </w:p>
    <w:p w:rsidR="00DC5AE3" w:rsidRDefault="00DC5AE3">
      <w:pPr>
        <w:rPr>
          <w:rFonts w:ascii="Calibri" w:eastAsia="Calibri" w:hAnsi="Calibri" w:cs="Calibri"/>
          <w:b/>
        </w:rPr>
      </w:pPr>
    </w:p>
    <w:p w:rsidR="00DC5AE3" w:rsidRDefault="00DC5AE3">
      <w:pPr>
        <w:rPr>
          <w:rFonts w:ascii="Calibri" w:eastAsia="Calibri" w:hAnsi="Calibri" w:cs="Calibri"/>
          <w:b/>
        </w:rPr>
      </w:pPr>
    </w:p>
    <w:p w:rsidR="00DC5AE3" w:rsidRDefault="00DC5AE3">
      <w:pPr>
        <w:rPr>
          <w:rFonts w:ascii="Calibri" w:eastAsia="Calibri" w:hAnsi="Calibri" w:cs="Calibri"/>
          <w:b/>
        </w:rPr>
      </w:pPr>
    </w:p>
    <w:p w:rsidR="00DC5AE3" w:rsidRDefault="00DC5AE3">
      <w:pPr>
        <w:rPr>
          <w:rFonts w:ascii="Calibri" w:eastAsia="Calibri" w:hAnsi="Calibri" w:cs="Calibri"/>
          <w:b/>
        </w:rPr>
      </w:pPr>
    </w:p>
    <w:p w:rsidR="005B26B9" w:rsidRDefault="005B26B9">
      <w:pPr>
        <w:rPr>
          <w:rFonts w:ascii="Calibri" w:eastAsia="Calibri" w:hAnsi="Calibri" w:cs="Calibri"/>
          <w:b/>
        </w:rPr>
      </w:pPr>
    </w:p>
    <w:p w:rsidR="005B26B9" w:rsidRDefault="005B26B9">
      <w:pPr>
        <w:rPr>
          <w:rFonts w:ascii="Calibri" w:eastAsia="Calibri" w:hAnsi="Calibri" w:cs="Calibri"/>
          <w:b/>
        </w:rPr>
      </w:pPr>
    </w:p>
    <w:p w:rsidR="0061418D" w:rsidRDefault="004A41F7">
      <w:pPr>
        <w:rPr>
          <w:rFonts w:ascii="Calibri" w:eastAsia="Calibri" w:hAnsi="Calibri" w:cs="Calibri"/>
          <w:b/>
        </w:rPr>
      </w:pPr>
      <w:r>
        <w:rPr>
          <w:rFonts w:ascii="Calibri" w:eastAsia="Calibri" w:hAnsi="Calibri" w:cs="Calibri"/>
          <w:b/>
        </w:rPr>
        <w:t>Appendix 1</w:t>
      </w:r>
    </w:p>
    <w:p w:rsidR="0061418D" w:rsidRDefault="004A41F7">
      <w:pPr>
        <w:rPr>
          <w:rFonts w:ascii="Calibri" w:eastAsia="Calibri" w:hAnsi="Calibri" w:cs="Calibri"/>
          <w:b/>
        </w:rPr>
      </w:pPr>
      <w:r>
        <w:rPr>
          <w:noProof/>
        </w:rPr>
        <w:drawing>
          <wp:anchor distT="0" distB="0" distL="114300" distR="114300" simplePos="0" relativeHeight="251658240" behindDoc="0" locked="0" layoutInCell="1" hidden="0" allowOverlap="1">
            <wp:simplePos x="0" y="0"/>
            <wp:positionH relativeFrom="column">
              <wp:posOffset>124317</wp:posOffset>
            </wp:positionH>
            <wp:positionV relativeFrom="paragraph">
              <wp:posOffset>249562</wp:posOffset>
            </wp:positionV>
            <wp:extent cx="5727700" cy="7906385"/>
            <wp:effectExtent l="0" t="0" r="0" b="0"/>
            <wp:wrapSquare wrapText="bothSides" distT="0" distB="0" distL="114300" distR="1143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27700" cy="7906385"/>
                    </a:xfrm>
                    <a:prstGeom prst="rect">
                      <a:avLst/>
                    </a:prstGeom>
                    <a:ln/>
                  </pic:spPr>
                </pic:pic>
              </a:graphicData>
            </a:graphic>
          </wp:anchor>
        </w:drawing>
      </w:r>
    </w:p>
    <w:p w:rsidR="0061418D" w:rsidRDefault="004A41F7">
      <w:pPr>
        <w:rPr>
          <w:rFonts w:ascii="Calibri" w:eastAsia="Calibri" w:hAnsi="Calibri" w:cs="Calibri"/>
          <w:b/>
        </w:rPr>
      </w:pPr>
      <w:r>
        <w:lastRenderedPageBreak/>
        <w:br w:type="page"/>
      </w:r>
    </w:p>
    <w:p w:rsidR="0061418D" w:rsidRDefault="004A41F7">
      <w:pPr>
        <w:rPr>
          <w:rFonts w:ascii="Calibri" w:eastAsia="Calibri" w:hAnsi="Calibri" w:cs="Calibri"/>
          <w:b/>
        </w:rPr>
      </w:pPr>
      <w:r>
        <w:rPr>
          <w:noProof/>
        </w:rPr>
        <w:lastRenderedPageBreak/>
        <w:drawing>
          <wp:anchor distT="0" distB="0" distL="114300" distR="114300" simplePos="0" relativeHeight="251659264" behindDoc="0" locked="0" layoutInCell="1" hidden="0" allowOverlap="1">
            <wp:simplePos x="0" y="0"/>
            <wp:positionH relativeFrom="column">
              <wp:posOffset>40969</wp:posOffset>
            </wp:positionH>
            <wp:positionV relativeFrom="paragraph">
              <wp:posOffset>314</wp:posOffset>
            </wp:positionV>
            <wp:extent cx="5727700" cy="4027170"/>
            <wp:effectExtent l="0" t="0" r="0" b="0"/>
            <wp:wrapSquare wrapText="bothSides" distT="0" distB="0" distL="114300" distR="1143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b="48389"/>
                    <a:stretch>
                      <a:fillRect/>
                    </a:stretch>
                  </pic:blipFill>
                  <pic:spPr>
                    <a:xfrm>
                      <a:off x="0" y="0"/>
                      <a:ext cx="5727700" cy="4027170"/>
                    </a:xfrm>
                    <a:prstGeom prst="rect">
                      <a:avLst/>
                    </a:prstGeom>
                    <a:ln/>
                  </pic:spPr>
                </pic:pic>
              </a:graphicData>
            </a:graphic>
          </wp:anchor>
        </w:drawing>
      </w: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4A41F7">
      <w:pPr>
        <w:rPr>
          <w:rFonts w:ascii="Calibri" w:eastAsia="Calibri" w:hAnsi="Calibri" w:cs="Calibri"/>
          <w:b/>
        </w:rPr>
      </w:pPr>
      <w:r>
        <w:rPr>
          <w:noProof/>
        </w:rPr>
        <w:drawing>
          <wp:anchor distT="0" distB="0" distL="114300" distR="114300" simplePos="0" relativeHeight="251660288" behindDoc="0" locked="0" layoutInCell="1" hidden="0" allowOverlap="1">
            <wp:simplePos x="0" y="0"/>
            <wp:positionH relativeFrom="column">
              <wp:posOffset>122505</wp:posOffset>
            </wp:positionH>
            <wp:positionV relativeFrom="paragraph">
              <wp:posOffset>557851</wp:posOffset>
            </wp:positionV>
            <wp:extent cx="5727700" cy="3463925"/>
            <wp:effectExtent l="0" t="0" r="0" b="0"/>
            <wp:wrapSquare wrapText="bothSides" distT="0" distB="0" distL="114300" distR="11430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727700" cy="3463925"/>
                    </a:xfrm>
                    <a:prstGeom prst="rect">
                      <a:avLst/>
                    </a:prstGeom>
                    <a:ln/>
                  </pic:spPr>
                </pic:pic>
              </a:graphicData>
            </a:graphic>
          </wp:anchor>
        </w:drawing>
      </w:r>
    </w:p>
    <w:p w:rsidR="0061418D" w:rsidRDefault="0061418D">
      <w:pPr>
        <w:rPr>
          <w:rFonts w:ascii="Calibri" w:eastAsia="Calibri" w:hAnsi="Calibri" w:cs="Calibri"/>
          <w:b/>
        </w:rPr>
      </w:pPr>
    </w:p>
    <w:p w:rsidR="0061418D" w:rsidRDefault="004A41F7">
      <w:pPr>
        <w:rPr>
          <w:rFonts w:ascii="Calibri" w:eastAsia="Calibri" w:hAnsi="Calibri" w:cs="Calibri"/>
          <w:b/>
        </w:rPr>
      </w:pPr>
      <w:r>
        <w:rPr>
          <w:noProof/>
        </w:rPr>
        <w:lastRenderedPageBreak/>
        <w:drawing>
          <wp:anchor distT="0" distB="0" distL="114300" distR="114300" simplePos="0" relativeHeight="251661312" behindDoc="0" locked="0" layoutInCell="1" hidden="0" allowOverlap="1">
            <wp:simplePos x="0" y="0"/>
            <wp:positionH relativeFrom="column">
              <wp:posOffset>89943</wp:posOffset>
            </wp:positionH>
            <wp:positionV relativeFrom="paragraph">
              <wp:posOffset>556</wp:posOffset>
            </wp:positionV>
            <wp:extent cx="5727700" cy="3807460"/>
            <wp:effectExtent l="0" t="0" r="0" b="0"/>
            <wp:wrapSquare wrapText="bothSides" distT="0" distB="0" distL="114300" distR="114300"/>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727700" cy="3807460"/>
                    </a:xfrm>
                    <a:prstGeom prst="rect">
                      <a:avLst/>
                    </a:prstGeom>
                    <a:ln/>
                  </pic:spPr>
                </pic:pic>
              </a:graphicData>
            </a:graphic>
          </wp:anchor>
        </w:drawing>
      </w: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0F7759" w:rsidRDefault="000F7759">
      <w:pPr>
        <w:rPr>
          <w:rFonts w:ascii="Calibri" w:eastAsia="Calibri" w:hAnsi="Calibri" w:cs="Calibri"/>
          <w:b/>
        </w:rPr>
      </w:pPr>
    </w:p>
    <w:p w:rsidR="0061418D" w:rsidRDefault="000F7759">
      <w:pPr>
        <w:rPr>
          <w:rFonts w:ascii="Calibri" w:eastAsia="Calibri" w:hAnsi="Calibri" w:cs="Calibri"/>
          <w:b/>
        </w:rPr>
      </w:pPr>
      <w:r>
        <w:rPr>
          <w:rFonts w:ascii="Calibri" w:eastAsia="Calibri" w:hAnsi="Calibri" w:cs="Calibri"/>
          <w:b/>
          <w:noProof/>
        </w:rPr>
        <w:lastRenderedPageBreak/>
        <mc:AlternateContent>
          <mc:Choice Requires="wps">
            <w:drawing>
              <wp:anchor distT="0" distB="0" distL="114300" distR="114300" simplePos="0" relativeHeight="251665408" behindDoc="0" locked="0" layoutInCell="1" allowOverlap="1">
                <wp:simplePos x="0" y="0"/>
                <wp:positionH relativeFrom="column">
                  <wp:posOffset>57689</wp:posOffset>
                </wp:positionH>
                <wp:positionV relativeFrom="paragraph">
                  <wp:posOffset>-138968</wp:posOffset>
                </wp:positionV>
                <wp:extent cx="1782501" cy="983848"/>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782501" cy="983848"/>
                        </a:xfrm>
                        <a:prstGeom prst="rect">
                          <a:avLst/>
                        </a:prstGeom>
                        <a:noFill/>
                        <a:ln w="6350">
                          <a:noFill/>
                        </a:ln>
                      </wps:spPr>
                      <wps:txbx>
                        <w:txbxContent>
                          <w:p w:rsidR="000F7759" w:rsidRPr="000F7759" w:rsidRDefault="000F7759">
                            <w:pPr>
                              <w:rPr>
                                <w:rFonts w:ascii="Calibri" w:hAnsi="Calibri" w:cs="Calibri"/>
                                <w:b/>
                              </w:rPr>
                            </w:pPr>
                            <w:r w:rsidRPr="000F7759">
                              <w:rPr>
                                <w:rFonts w:ascii="Calibri" w:hAnsi="Calibri" w:cs="Calibri"/>
                                <w:b/>
                              </w:rPr>
                              <w:t>Appendix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7" o:spid="_x0000_s1026" type="#_x0000_t202" style="position:absolute;margin-left:4.55pt;margin-top:-10.95pt;width:140.35pt;height:77.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" filled="f" stroked="f" strokeweight=".5pt">
                <v:textbox>
                  <w:txbxContent>
                    <w:p w:rsidR="000F7759" w:rsidRPr="000F7759" w:rsidRDefault="000F7759">
                      <w:pPr>
                        <w:rPr>
                          <w:rFonts w:ascii="Calibri" w:hAnsi="Calibri" w:cs="Calibri"/>
                          <w:b/>
                        </w:rPr>
                      </w:pPr>
                      <w:r w:rsidRPr="000F7759">
                        <w:rPr>
                          <w:rFonts w:ascii="Calibri" w:hAnsi="Calibri" w:cs="Calibri"/>
                          <w:b/>
                        </w:rPr>
                        <w:t>Appendix 2</w:t>
                      </w:r>
                    </w:p>
                  </w:txbxContent>
                </v:textbox>
              </v:shape>
            </w:pict>
          </mc:Fallback>
        </mc:AlternateContent>
      </w:r>
      <w:r w:rsidR="004A41F7">
        <w:rPr>
          <w:rFonts w:ascii="Calibri" w:eastAsia="Calibri" w:hAnsi="Calibri" w:cs="Calibri"/>
          <w:b/>
          <w:noProof/>
        </w:rPr>
        <w:drawing>
          <wp:inline distT="0" distB="0" distL="0" distR="0">
            <wp:extent cx="5727700" cy="8129905"/>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5727700" cy="8129905"/>
                    </a:xfrm>
                    <a:prstGeom prst="rect">
                      <a:avLst/>
                    </a:prstGeom>
                    <a:ln/>
                  </pic:spPr>
                </pic:pic>
              </a:graphicData>
            </a:graphic>
          </wp:inline>
        </w:drawing>
      </w:r>
      <w:r w:rsidR="004A41F7">
        <w:rPr>
          <w:rFonts w:ascii="Calibri" w:eastAsia="Calibri" w:hAnsi="Calibri" w:cs="Calibri"/>
          <w:b/>
          <w:noProof/>
        </w:rPr>
        <w:lastRenderedPageBreak/>
        <w:drawing>
          <wp:inline distT="0" distB="0" distL="0" distR="0">
            <wp:extent cx="5168900" cy="19177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5168900" cy="1917700"/>
                    </a:xfrm>
                    <a:prstGeom prst="rect">
                      <a:avLst/>
                    </a:prstGeom>
                    <a:ln/>
                  </pic:spPr>
                </pic:pic>
              </a:graphicData>
            </a:graphic>
          </wp:inline>
        </w:drawing>
      </w:r>
      <w:r w:rsidR="004A41F7">
        <w:rPr>
          <w:rFonts w:ascii="Calibri" w:eastAsia="Calibri" w:hAnsi="Calibri" w:cs="Calibri"/>
          <w:b/>
          <w:noProof/>
        </w:rPr>
        <w:drawing>
          <wp:inline distT="0" distB="0" distL="0" distR="0">
            <wp:extent cx="5727700" cy="330073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5727700" cy="3300730"/>
                    </a:xfrm>
                    <a:prstGeom prst="rect">
                      <a:avLst/>
                    </a:prstGeom>
                    <a:ln/>
                  </pic:spPr>
                </pic:pic>
              </a:graphicData>
            </a:graphic>
          </wp:inline>
        </w:drawing>
      </w:r>
      <w:r w:rsidR="004A41F7">
        <w:rPr>
          <w:rFonts w:ascii="Calibri" w:eastAsia="Calibri" w:hAnsi="Calibri" w:cs="Calibri"/>
          <w:b/>
          <w:noProof/>
        </w:rPr>
        <w:lastRenderedPageBreak/>
        <w:drawing>
          <wp:inline distT="0" distB="0" distL="0" distR="0">
            <wp:extent cx="5727700" cy="358394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5727700" cy="3583940"/>
                    </a:xfrm>
                    <a:prstGeom prst="rect">
                      <a:avLst/>
                    </a:prstGeom>
                    <a:ln/>
                  </pic:spPr>
                </pic:pic>
              </a:graphicData>
            </a:graphic>
          </wp:inline>
        </w:drawing>
      </w:r>
      <w:r w:rsidR="004A41F7">
        <w:rPr>
          <w:rFonts w:ascii="Calibri" w:eastAsia="Calibri" w:hAnsi="Calibri" w:cs="Calibri"/>
          <w:b/>
          <w:noProof/>
        </w:rPr>
        <w:drawing>
          <wp:inline distT="0" distB="0" distL="0" distR="0">
            <wp:extent cx="5727700" cy="351091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727700" cy="3510915"/>
                    </a:xfrm>
                    <a:prstGeom prst="rect">
                      <a:avLst/>
                    </a:prstGeom>
                    <a:ln/>
                  </pic:spPr>
                </pic:pic>
              </a:graphicData>
            </a:graphic>
          </wp:inline>
        </w:drawing>
      </w: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0F7759">
      <w:pPr>
        <w:rPr>
          <w:rFonts w:ascii="Calibri" w:eastAsia="Calibri" w:hAnsi="Calibri" w:cs="Calibri"/>
          <w:b/>
        </w:rPr>
      </w:pPr>
      <w:r>
        <w:rPr>
          <w:rFonts w:ascii="Calibri" w:eastAsia="Calibri" w:hAnsi="Calibri" w:cs="Calibri"/>
          <w:b/>
          <w:noProof/>
        </w:rPr>
        <w:lastRenderedPageBreak/>
        <mc:AlternateContent>
          <mc:Choice Requires="wps">
            <w:drawing>
              <wp:anchor distT="0" distB="0" distL="114300" distR="114300" simplePos="0" relativeHeight="251667456" behindDoc="0" locked="0" layoutInCell="1" allowOverlap="1" wp14:anchorId="07A012C1" wp14:editId="22FC3B33">
                <wp:simplePos x="0" y="0"/>
                <wp:positionH relativeFrom="column">
                  <wp:posOffset>197750</wp:posOffset>
                </wp:positionH>
                <wp:positionV relativeFrom="paragraph">
                  <wp:posOffset>-92710</wp:posOffset>
                </wp:positionV>
                <wp:extent cx="1782501" cy="983848"/>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782501" cy="983848"/>
                        </a:xfrm>
                        <a:prstGeom prst="rect">
                          <a:avLst/>
                        </a:prstGeom>
                        <a:noFill/>
                        <a:ln w="6350">
                          <a:noFill/>
                        </a:ln>
                      </wps:spPr>
                      <wps:txbx>
                        <w:txbxContent>
                          <w:p w:rsidR="000F7759" w:rsidRPr="000F7759" w:rsidRDefault="000F7759" w:rsidP="000F7759">
                            <w:pPr>
                              <w:rPr>
                                <w:rFonts w:ascii="Calibri" w:hAnsi="Calibri" w:cs="Calibri"/>
                                <w:b/>
                              </w:rPr>
                            </w:pPr>
                            <w:r w:rsidRPr="000F7759">
                              <w:rPr>
                                <w:rFonts w:ascii="Calibri" w:hAnsi="Calibri" w:cs="Calibri"/>
                                <w:b/>
                              </w:rPr>
                              <w:t xml:space="preserve">Appendix </w:t>
                            </w:r>
                            <w:r w:rsidRPr="000F7759">
                              <w:rPr>
                                <w:rFonts w:ascii="Calibri" w:hAnsi="Calibri" w:cs="Calibri"/>
                                <w:b/>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A012C1" id="Text Box 18" o:spid="_x0000_s1027" type="#_x0000_t202" style="position:absolute;margin-left:15.55pt;margin-top:-7.3pt;width:140.35pt;height:77.4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" filled="f" stroked="f" strokeweight=".5pt">
                <v:textbox>
                  <w:txbxContent>
                    <w:p w:rsidR="000F7759" w:rsidRPr="000F7759" w:rsidRDefault="000F7759" w:rsidP="000F7759">
                      <w:pPr>
                        <w:rPr>
                          <w:rFonts w:ascii="Calibri" w:hAnsi="Calibri" w:cs="Calibri"/>
                          <w:b/>
                        </w:rPr>
                      </w:pPr>
                      <w:r w:rsidRPr="000F7759">
                        <w:rPr>
                          <w:rFonts w:ascii="Calibri" w:hAnsi="Calibri" w:cs="Calibri"/>
                          <w:b/>
                        </w:rPr>
                        <w:t xml:space="preserve">Appendix </w:t>
                      </w:r>
                      <w:r w:rsidRPr="000F7759">
                        <w:rPr>
                          <w:rFonts w:ascii="Calibri" w:hAnsi="Calibri" w:cs="Calibri"/>
                          <w:b/>
                        </w:rPr>
                        <w:t>3</w:t>
                      </w:r>
                    </w:p>
                  </w:txbxContent>
                </v:textbox>
              </v:shape>
            </w:pict>
          </mc:Fallback>
        </mc:AlternateContent>
      </w:r>
      <w:r w:rsidR="004A41F7">
        <w:rPr>
          <w:rFonts w:ascii="Calibri" w:eastAsia="Calibri" w:hAnsi="Calibri" w:cs="Calibri"/>
          <w:b/>
          <w:noProof/>
        </w:rPr>
        <w:drawing>
          <wp:inline distT="0" distB="0" distL="0" distR="0">
            <wp:extent cx="5727700" cy="7833995"/>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5727700" cy="7833995"/>
                    </a:xfrm>
                    <a:prstGeom prst="rect">
                      <a:avLst/>
                    </a:prstGeom>
                    <a:ln/>
                  </pic:spPr>
                </pic:pic>
              </a:graphicData>
            </a:graphic>
          </wp:inline>
        </w:drawing>
      </w:r>
      <w:r w:rsidR="004A41F7">
        <w:rPr>
          <w:rFonts w:ascii="Calibri" w:eastAsia="Calibri" w:hAnsi="Calibri" w:cs="Calibri"/>
          <w:b/>
          <w:noProof/>
        </w:rPr>
        <w:lastRenderedPageBreak/>
        <w:drawing>
          <wp:inline distT="0" distB="0" distL="0" distR="0">
            <wp:extent cx="5727700" cy="3354705"/>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5727700" cy="3354705"/>
                    </a:xfrm>
                    <a:prstGeom prst="rect">
                      <a:avLst/>
                    </a:prstGeom>
                    <a:ln/>
                  </pic:spPr>
                </pic:pic>
              </a:graphicData>
            </a:graphic>
          </wp:inline>
        </w:drawing>
      </w:r>
      <w:r w:rsidR="004A41F7">
        <w:rPr>
          <w:rFonts w:ascii="Calibri" w:eastAsia="Calibri" w:hAnsi="Calibri" w:cs="Calibri"/>
          <w:b/>
          <w:noProof/>
        </w:rPr>
        <w:drawing>
          <wp:inline distT="0" distB="0" distL="0" distR="0">
            <wp:extent cx="5727700" cy="3371215"/>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7"/>
                    <a:srcRect/>
                    <a:stretch>
                      <a:fillRect/>
                    </a:stretch>
                  </pic:blipFill>
                  <pic:spPr>
                    <a:xfrm>
                      <a:off x="0" y="0"/>
                      <a:ext cx="5727700" cy="3371215"/>
                    </a:xfrm>
                    <a:prstGeom prst="rect">
                      <a:avLst/>
                    </a:prstGeom>
                    <a:ln/>
                  </pic:spPr>
                </pic:pic>
              </a:graphicData>
            </a:graphic>
          </wp:inline>
        </w:drawing>
      </w: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4A41F7">
      <w:pPr>
        <w:rPr>
          <w:rFonts w:ascii="Calibri" w:eastAsia="Calibri" w:hAnsi="Calibri" w:cs="Calibri"/>
          <w:b/>
        </w:rPr>
      </w:pPr>
      <w:r>
        <w:rPr>
          <w:noProof/>
        </w:rPr>
        <w:lastRenderedPageBreak/>
        <mc:AlternateContent>
          <mc:Choice Requires="wpg">
            <w:drawing>
              <wp:anchor distT="0" distB="0" distL="114300" distR="114300" simplePos="0" relativeHeight="251664384" behindDoc="0" locked="0" layoutInCell="1" hidden="0" allowOverlap="1">
                <wp:simplePos x="0" y="0"/>
                <wp:positionH relativeFrom="column">
                  <wp:posOffset>-63499</wp:posOffset>
                </wp:positionH>
                <wp:positionV relativeFrom="paragraph">
                  <wp:posOffset>-253999</wp:posOffset>
                </wp:positionV>
                <wp:extent cx="1560922" cy="441039"/>
                <wp:effectExtent l="0" t="0" r="0" b="0"/>
                <wp:wrapNone/>
                <wp:docPr id="1" name="Rectangle 1"/>
                <wp:cNvGraphicFramePr/>
                <a:graphic xmlns:a="http://schemas.openxmlformats.org/drawingml/2006/main">
                  <a:graphicData uri="http://schemas.microsoft.com/office/word/2010/wordprocessingShape">
                    <wps:wsp>
                      <wps:cNvSpPr/>
                      <wps:spPr>
                        <a:xfrm>
                          <a:off x="4570302" y="3564243"/>
                          <a:ext cx="1551397" cy="431514"/>
                        </a:xfrm>
                        <a:prstGeom prst="rect">
                          <a:avLst/>
                        </a:prstGeom>
                        <a:solidFill>
                          <a:schemeClr val="lt1"/>
                        </a:solidFill>
                        <a:ln>
                          <a:noFill/>
                        </a:ln>
                      </wps:spPr>
                      <wps:txbx>
                        <w:txbxContent>
                          <w:p w:rsidR="0061418D" w:rsidRDefault="004A41F7">
                            <w:pPr>
                              <w:textDirection w:val="btLr"/>
                            </w:pPr>
                            <w:r>
                              <w:rPr>
                                <w:rFonts w:ascii="Calibri" w:eastAsia="Calibri" w:hAnsi="Calibri" w:cs="Calibri"/>
                                <w:b/>
                                <w:color w:val="000000"/>
                              </w:rPr>
                              <w:t>Appendix 4</w:t>
                            </w:r>
                          </w:p>
                          <w:p w:rsidR="0061418D" w:rsidRDefault="0061418D">
                            <w:pPr>
                              <w:textDirection w:val="btLr"/>
                            </w:pPr>
                          </w:p>
                        </w:txbxContent>
                      </wps:txbx>
                      <wps:bodyPr spcFirstLastPara="1" wrap="square" lIns="91425" tIns="45700" rIns="91425" bIns="45700"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-63499</wp:posOffset>
                </wp:positionH>
                <wp:positionV relativeFrom="paragraph">
                  <wp:posOffset>-253999</wp:posOffset>
                </wp:positionV>
                <wp:extent cx="1560922" cy="441039"/>
                <wp:effectExtent b="0" l="0" r="0" t="0"/>
                <wp:wrapNone/>
                <wp:docPr id="1" name="image14.png"/>
                <a:graphic>
                  <a:graphicData uri="http://schemas.openxmlformats.org/drawingml/2006/picture">
                    <pic:pic>
                      <pic:nvPicPr>
                        <pic:cNvPr id="0" name="image14.png"/>
                        <pic:cNvPicPr preferRelativeResize="0"/>
                      </pic:nvPicPr>
                      <pic:blipFill>
                        <a:blip r:embed="rId31"/>
                        <a:srcRect/>
                        <a:stretch>
                          <a:fillRect/>
                        </a:stretch>
                      </pic:blipFill>
                      <pic:spPr>
                        <a:xfrm>
                          <a:off x="0" y="0"/>
                          <a:ext cx="1560922" cy="441039"/>
                        </a:xfrm>
                        <a:prstGeom prst="rect"/>
                        <a:ln/>
                      </pic:spPr>
                    </pic:pic>
                  </a:graphicData>
                </a:graphic>
              </wp:anchor>
            </w:drawing>
          </mc:Fallback>
        </mc:AlternateContent>
      </w:r>
    </w:p>
    <w:p w:rsidR="0061418D" w:rsidRDefault="0061418D">
      <w:pPr>
        <w:rPr>
          <w:rFonts w:ascii="Calibri" w:eastAsia="Calibri" w:hAnsi="Calibri" w:cs="Calibri"/>
          <w:b/>
        </w:rPr>
      </w:pPr>
    </w:p>
    <w:p w:rsidR="0061418D" w:rsidRDefault="0061418D">
      <w:pPr>
        <w:rPr>
          <w:rFonts w:ascii="Calibri" w:eastAsia="Calibri" w:hAnsi="Calibri" w:cs="Calibri"/>
          <w:b/>
        </w:rPr>
      </w:pPr>
    </w:p>
    <w:p w:rsidR="0061418D" w:rsidRDefault="004A41F7">
      <w:pPr>
        <w:rPr>
          <w:rFonts w:ascii="Calibri" w:eastAsia="Calibri" w:hAnsi="Calibri" w:cs="Calibri"/>
          <w:b/>
        </w:rPr>
      </w:pPr>
      <w:bookmarkStart w:id="1" w:name="_gjdgxs" w:colFirst="0" w:colLast="0"/>
      <w:bookmarkEnd w:id="1"/>
      <w:r>
        <w:rPr>
          <w:rFonts w:ascii="Calibri" w:eastAsia="Calibri" w:hAnsi="Calibri" w:cs="Calibri"/>
          <w:b/>
          <w:noProof/>
        </w:rPr>
        <w:drawing>
          <wp:inline distT="0" distB="0" distL="0" distR="0">
            <wp:extent cx="5727700" cy="2479040"/>
            <wp:effectExtent l="0" t="0" r="0" b="0"/>
            <wp:docPr id="15"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32"/>
                    <a:srcRect/>
                    <a:stretch>
                      <a:fillRect/>
                    </a:stretch>
                  </pic:blipFill>
                  <pic:spPr>
                    <a:xfrm>
                      <a:off x="0" y="0"/>
                      <a:ext cx="5727700" cy="2479040"/>
                    </a:xfrm>
                    <a:prstGeom prst="rect">
                      <a:avLst/>
                    </a:prstGeom>
                    <a:ln/>
                  </pic:spPr>
                </pic:pic>
              </a:graphicData>
            </a:graphic>
          </wp:inline>
        </w:drawing>
      </w:r>
    </w:p>
    <w:sectPr w:rsidR="0061418D">
      <w:pgSz w:w="11900" w:h="16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418D"/>
    <w:rsid w:val="0003082E"/>
    <w:rsid w:val="000F7759"/>
    <w:rsid w:val="003E2787"/>
    <w:rsid w:val="004A41F7"/>
    <w:rsid w:val="005B26B9"/>
    <w:rsid w:val="0061418D"/>
    <w:rsid w:val="00866BCA"/>
    <w:rsid w:val="00C000EA"/>
    <w:rsid w:val="00C40F08"/>
    <w:rsid w:val="00DC5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DB785"/>
  <w15:docId w15:val="{EE8C7165-2901-1248-B963-17F783020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AE3"/>
  </w:style>
  <w:style w:type="paragraph" w:styleId="Heading1">
    <w:name w:val="heading 1"/>
    <w:basedOn w:val="Normal"/>
    <w:next w:val="Normal"/>
    <w:uiPriority w:val="9"/>
    <w:qFormat/>
    <w:pPr>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semiHidden/>
    <w:unhideWhenUsed/>
    <w:rsid w:val="00DC5A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610665">
      <w:bodyDiv w:val="1"/>
      <w:marLeft w:val="0"/>
      <w:marRight w:val="0"/>
      <w:marTop w:val="0"/>
      <w:marBottom w:val="0"/>
      <w:divBdr>
        <w:top w:val="none" w:sz="0" w:space="0" w:color="auto"/>
        <w:left w:val="none" w:sz="0" w:space="0" w:color="auto"/>
        <w:bottom w:val="none" w:sz="0" w:space="0" w:color="auto"/>
        <w:right w:val="none" w:sz="0" w:space="0" w:color="auto"/>
      </w:divBdr>
    </w:div>
    <w:div w:id="10217071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urriculumforwales.gov.wales/2018/06/20/how-areas-of-learning-and-experience-are-being-developed-as-a-central-element-of-the-new-curriculum/" TargetMode="External"/><Relationship Id="rId13" Type="http://schemas.openxmlformats.org/officeDocument/2006/relationships/hyperlink" Target="https://s3-eu-west-1.amazonaws.com/hwb-live-storage/9a/4f/ae/52/0ca5404c936f376d3e9ae218/draft-statutory-guidance-science-and-technology.pdf"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media/image6.png"/><Relationship Id="rId34" Type="http://schemas.openxmlformats.org/officeDocument/2006/relationships/theme" Target="theme/theme1.xml"/><Relationship Id="rId7" Type="http://schemas.openxmlformats.org/officeDocument/2006/relationships/hyperlink" Target="https://www.understood.org/en/friends-feelings/empowering-your-child/self-esteem/the-importance-of-positive-self-esteem-for-kids" TargetMode="External"/><Relationship Id="rId12" Type="http://schemas.openxmlformats.org/officeDocument/2006/relationships/hyperlink" Target="https://s3-eu-west-1.amazonaws.com/hwb-live-storage/50/a1/48/ee/e53b4bbbbf979cc3bba96558/draft-statutory-guidance-languages-literacy-and-communication.pdf"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styles" Target="styles.xml"/><Relationship Id="rId6" Type="http://schemas.openxmlformats.org/officeDocument/2006/relationships/hyperlink" Target="https://otl.vet.ohio-state.edu/students/learning-tools-and-strategies/importance-having-growth-mindset" TargetMode="External"/><Relationship Id="rId11" Type="http://schemas.openxmlformats.org/officeDocument/2006/relationships/hyperlink" Target="https://s3-eu-west-1.amazonaws.com/hwb-live-storage/a2/59/d2/72/a63544998390b2fb11b8828a/draft-statutory-guidance-expressive-arts.pdf" TargetMode="External"/><Relationship Id="rId24" Type="http://schemas.openxmlformats.org/officeDocument/2006/relationships/image" Target="media/image9.png"/><Relationship Id="rId32" Type="http://schemas.openxmlformats.org/officeDocument/2006/relationships/image" Target="media/image13.jpg"/><Relationship Id="rId5" Type="http://schemas.openxmlformats.org/officeDocument/2006/relationships/hyperlink" Target="https://pivotaleducation.com/hidden-trainer-area/training-online-resources/qca-s-ten-principles-of-assessment-for-learning/" TargetMode="External"/><Relationship Id="rId15" Type="http://schemas.openxmlformats.org/officeDocument/2006/relationships/hyperlink" Target="https://cambridge-community.org.uk/professional-development/gswafl/gswaflTranscript2.pdf" TargetMode="External"/><Relationship Id="rId23" Type="http://schemas.openxmlformats.org/officeDocument/2006/relationships/image" Target="media/image8.png"/><Relationship Id="rId10" Type="http://schemas.openxmlformats.org/officeDocument/2006/relationships/hyperlink" Target="https://hwb.gov.wales/curriculum-for-wales-2008/national-literacy-and-numeracy-framework-curriculum-for-wales-2008-version/framework/?lang=en" TargetMode="External"/><Relationship Id="rId19" Type="http://schemas.openxmlformats.org/officeDocument/2006/relationships/image" Target="media/image4.png"/><Relationship Id="rId31" Type="http://schemas.openxmlformats.org/officeDocument/2006/relationships/image" Target="media/image14.png"/><Relationship Id="rId4" Type="http://schemas.openxmlformats.org/officeDocument/2006/relationships/hyperlink" Target="https://cambridge-community.org.uk/professional-development/gswafl/index.html" TargetMode="External"/><Relationship Id="rId9" Type="http://schemas.openxmlformats.org/officeDocument/2006/relationships/hyperlink" Target="https://hwb.gov.wales/curriculum-for-wales-2008/digital-competence-framework-curriculum-for-wales-2008-version/framework/" TargetMode="External"/><Relationship Id="rId14" Type="http://schemas.openxmlformats.org/officeDocument/2006/relationships/hyperlink" Target="https://s3-eu-west-1.amazonaws.com/hwb-live-storage/91/a1/75/e1/860b4f95b637b7712c445879/draft-statutory-guidance-humanities.pdf" TargetMode="External"/><Relationship Id="rId22" Type="http://schemas.openxmlformats.org/officeDocument/2006/relationships/image" Target="media/image7.png"/><Relationship Id="rId27"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23</Pages>
  <Words>4410</Words>
  <Characters>25137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Noah Bushby</cp:lastModifiedBy>
  <cp:revision>8</cp:revision>
  <dcterms:created xsi:type="dcterms:W3CDTF">2019-10-30T17:20:00Z</dcterms:created>
  <dcterms:modified xsi:type="dcterms:W3CDTF">2019-10-30T17:27:00Z</dcterms:modified>
</cp:coreProperties>
</file>