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9BB952" w14:textId="62FE22E5" w:rsidR="00EB70B0" w:rsidRPr="006E29B1" w:rsidRDefault="0060782A" w:rsidP="006E29B1">
      <w:pPr>
        <w:spacing w:after="200" w:line="360" w:lineRule="auto"/>
        <w:jc w:val="center"/>
        <w:rPr>
          <w:rFonts w:ascii="Arial" w:eastAsia="Arial" w:hAnsi="Arial" w:cs="Arial"/>
          <w:sz w:val="24"/>
          <w:szCs w:val="24"/>
        </w:rPr>
      </w:pPr>
      <w:r>
        <w:rPr>
          <w:rFonts w:ascii="Arial" w:eastAsia="Arial" w:hAnsi="Arial" w:cs="Arial"/>
          <w:noProof/>
          <w:sz w:val="24"/>
          <w:szCs w:val="24"/>
        </w:rPr>
        <w:drawing>
          <wp:inline distT="114300" distB="114300" distL="114300" distR="114300" wp14:anchorId="2B38B1ED" wp14:editId="390E88FF">
            <wp:extent cx="1428750" cy="19431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l="35897" r="40064" b="60845"/>
                    <a:stretch>
                      <a:fillRect/>
                    </a:stretch>
                  </pic:blipFill>
                  <pic:spPr>
                    <a:xfrm>
                      <a:off x="0" y="0"/>
                      <a:ext cx="1428750" cy="1943100"/>
                    </a:xfrm>
                    <a:prstGeom prst="rect">
                      <a:avLst/>
                    </a:prstGeom>
                    <a:ln/>
                  </pic:spPr>
                </pic:pic>
              </a:graphicData>
            </a:graphic>
          </wp:inline>
        </w:drawing>
      </w:r>
    </w:p>
    <w:p w14:paraId="412130C4" w14:textId="77777777" w:rsidR="00EB70B0" w:rsidRDefault="0060782A">
      <w:pPr>
        <w:spacing w:before="200" w:line="360" w:lineRule="auto"/>
        <w:jc w:val="both"/>
        <w:rPr>
          <w:rFonts w:ascii="Arial" w:eastAsia="Arial" w:hAnsi="Arial" w:cs="Arial"/>
          <w:sz w:val="24"/>
          <w:szCs w:val="24"/>
        </w:rPr>
      </w:pPr>
      <w:r>
        <w:rPr>
          <w:rFonts w:ascii="Arial" w:eastAsia="Arial" w:hAnsi="Arial" w:cs="Arial"/>
          <w:b/>
          <w:bCs/>
          <w:sz w:val="24"/>
          <w:szCs w:val="24"/>
        </w:rPr>
        <w:t xml:space="preserve">                        Blog 1: </w:t>
      </w:r>
      <w:r>
        <w:rPr>
          <w:rFonts w:ascii="Arial" w:eastAsia="Arial" w:hAnsi="Arial" w:cs="Arial"/>
          <w:sz w:val="24"/>
          <w:szCs w:val="24"/>
        </w:rPr>
        <w:t>An Existing Digital Technology for Smoking Cessation</w:t>
      </w:r>
    </w:p>
    <w:p w14:paraId="3158AEF6" w14:textId="77777777" w:rsidR="00EB70B0" w:rsidRDefault="0060782A">
      <w:pPr>
        <w:spacing w:after="200" w:line="360" w:lineRule="auto"/>
        <w:jc w:val="both"/>
        <w:rPr>
          <w:rFonts w:ascii="Arial" w:eastAsia="Arial" w:hAnsi="Arial" w:cs="Arial"/>
          <w:sz w:val="24"/>
          <w:szCs w:val="24"/>
        </w:rPr>
      </w:pPr>
      <w:r>
        <w:rPr>
          <w:rFonts w:ascii="Arial" w:eastAsia="Arial" w:hAnsi="Arial" w:cs="Arial"/>
          <w:b/>
          <w:bCs/>
          <w:sz w:val="24"/>
          <w:szCs w:val="24"/>
        </w:rPr>
        <w:t xml:space="preserve">                        Blog 2: </w:t>
      </w:r>
      <w:r>
        <w:rPr>
          <w:rFonts w:ascii="Arial" w:eastAsia="Arial" w:hAnsi="Arial" w:cs="Arial"/>
          <w:sz w:val="24"/>
          <w:szCs w:val="24"/>
        </w:rPr>
        <w:t>A Digital Technology I Designed for Smoking Cessation</w:t>
      </w:r>
    </w:p>
    <w:p w14:paraId="33F001AA" w14:textId="77777777" w:rsidR="006E29B1" w:rsidRDefault="006E29B1">
      <w:pPr>
        <w:spacing w:after="200" w:line="360" w:lineRule="auto"/>
        <w:jc w:val="both"/>
        <w:rPr>
          <w:rFonts w:ascii="Arial" w:eastAsia="Arial" w:hAnsi="Arial" w:cs="Arial"/>
          <w:sz w:val="24"/>
          <w:szCs w:val="24"/>
        </w:rPr>
      </w:pPr>
    </w:p>
    <w:p w14:paraId="323CF274" w14:textId="77777777" w:rsidR="00EB70B0" w:rsidRDefault="0060782A" w:rsidP="006E29B1">
      <w:pPr>
        <w:spacing w:line="360" w:lineRule="auto"/>
        <w:jc w:val="center"/>
        <w:rPr>
          <w:rFonts w:ascii="Arial" w:eastAsia="Arial" w:hAnsi="Arial" w:cs="Arial"/>
          <w:sz w:val="24"/>
          <w:szCs w:val="24"/>
        </w:rPr>
      </w:pPr>
      <w:r>
        <w:rPr>
          <w:rFonts w:ascii="Arial" w:eastAsia="Arial" w:hAnsi="Arial" w:cs="Arial"/>
          <w:b/>
          <w:bCs/>
          <w:sz w:val="24"/>
          <w:szCs w:val="24"/>
        </w:rPr>
        <w:t>Student Name:</w:t>
      </w:r>
      <w:r>
        <w:rPr>
          <w:rFonts w:ascii="Arial" w:eastAsia="Arial" w:hAnsi="Arial" w:cs="Arial"/>
          <w:sz w:val="24"/>
          <w:szCs w:val="24"/>
        </w:rPr>
        <w:t xml:space="preserve"> MD Motiur Rahman</w:t>
      </w:r>
    </w:p>
    <w:p w14:paraId="672E12DF" w14:textId="77777777" w:rsidR="00EB70B0" w:rsidRDefault="0060782A" w:rsidP="006E29B1">
      <w:pPr>
        <w:spacing w:line="360" w:lineRule="auto"/>
        <w:jc w:val="center"/>
        <w:rPr>
          <w:rFonts w:ascii="Arial" w:eastAsia="Arial" w:hAnsi="Arial" w:cs="Arial"/>
          <w:sz w:val="24"/>
          <w:szCs w:val="24"/>
        </w:rPr>
      </w:pPr>
      <w:r>
        <w:rPr>
          <w:rFonts w:ascii="Arial" w:eastAsia="Arial" w:hAnsi="Arial" w:cs="Arial"/>
          <w:b/>
          <w:bCs/>
          <w:sz w:val="24"/>
          <w:szCs w:val="24"/>
        </w:rPr>
        <w:t>Student ID:</w:t>
      </w:r>
      <w:r>
        <w:rPr>
          <w:rFonts w:ascii="Arial" w:eastAsia="Arial" w:hAnsi="Arial" w:cs="Arial"/>
          <w:sz w:val="24"/>
          <w:szCs w:val="24"/>
        </w:rPr>
        <w:t xml:space="preserve"> 2518275</w:t>
      </w:r>
    </w:p>
    <w:p w14:paraId="6D96E0D5" w14:textId="77777777" w:rsidR="00EB70B0" w:rsidRDefault="0060782A" w:rsidP="006E29B1">
      <w:pPr>
        <w:spacing w:line="360" w:lineRule="auto"/>
        <w:jc w:val="center"/>
        <w:rPr>
          <w:rFonts w:ascii="Arial" w:eastAsia="Arial" w:hAnsi="Arial" w:cs="Arial"/>
          <w:sz w:val="24"/>
          <w:szCs w:val="24"/>
        </w:rPr>
      </w:pPr>
      <w:r>
        <w:rPr>
          <w:rFonts w:ascii="Arial" w:eastAsia="Arial" w:hAnsi="Arial" w:cs="Arial"/>
          <w:b/>
          <w:bCs/>
          <w:sz w:val="24"/>
          <w:szCs w:val="24"/>
        </w:rPr>
        <w:t xml:space="preserve">Subject Name: </w:t>
      </w:r>
      <w:r>
        <w:rPr>
          <w:rFonts w:ascii="Arial" w:eastAsia="Arial" w:hAnsi="Arial" w:cs="Arial"/>
          <w:sz w:val="24"/>
          <w:szCs w:val="24"/>
        </w:rPr>
        <w:t>Population Health and Digital Health Promotion (LCHS7009)</w:t>
      </w:r>
    </w:p>
    <w:p w14:paraId="503C33D4" w14:textId="77777777" w:rsidR="00EB70B0" w:rsidRDefault="0060782A" w:rsidP="006E29B1">
      <w:pPr>
        <w:spacing w:line="360" w:lineRule="auto"/>
        <w:jc w:val="center"/>
        <w:rPr>
          <w:rFonts w:ascii="Arial" w:eastAsia="Arial" w:hAnsi="Arial" w:cs="Arial"/>
          <w:sz w:val="24"/>
          <w:szCs w:val="24"/>
        </w:rPr>
      </w:pPr>
      <w:r>
        <w:rPr>
          <w:rFonts w:ascii="Arial" w:eastAsia="Arial" w:hAnsi="Arial" w:cs="Arial"/>
          <w:b/>
          <w:bCs/>
          <w:sz w:val="24"/>
          <w:szCs w:val="24"/>
        </w:rPr>
        <w:t>Lecturer Name:</w:t>
      </w:r>
      <w:r>
        <w:rPr>
          <w:rFonts w:ascii="Arial" w:eastAsia="Arial" w:hAnsi="Arial" w:cs="Arial"/>
          <w:sz w:val="24"/>
          <w:szCs w:val="24"/>
        </w:rPr>
        <w:t xml:space="preserve"> Diola Bijlhout and Dr Ping Wu</w:t>
      </w:r>
    </w:p>
    <w:p w14:paraId="309D2DF3" w14:textId="77777777" w:rsidR="00EB70B0" w:rsidRDefault="0060782A" w:rsidP="006E29B1">
      <w:pPr>
        <w:spacing w:after="300" w:line="360" w:lineRule="auto"/>
        <w:jc w:val="center"/>
        <w:rPr>
          <w:rFonts w:ascii="Arial" w:eastAsia="Arial" w:hAnsi="Arial" w:cs="Arial"/>
          <w:sz w:val="24"/>
          <w:szCs w:val="24"/>
        </w:rPr>
      </w:pPr>
      <w:r>
        <w:rPr>
          <w:rFonts w:ascii="Arial" w:eastAsia="Arial" w:hAnsi="Arial" w:cs="Arial"/>
          <w:b/>
          <w:bCs/>
          <w:sz w:val="24"/>
          <w:szCs w:val="24"/>
        </w:rPr>
        <w:t>Submission Date:</w:t>
      </w:r>
      <w:r>
        <w:rPr>
          <w:rFonts w:ascii="Arial" w:eastAsia="Arial" w:hAnsi="Arial" w:cs="Arial"/>
          <w:sz w:val="24"/>
          <w:szCs w:val="24"/>
        </w:rPr>
        <w:t xml:space="preserve"> 28 July 2026</w:t>
      </w:r>
    </w:p>
    <w:p w14:paraId="18F88644" w14:textId="77777777" w:rsidR="00EB70B0" w:rsidRDefault="0060782A">
      <w:pPr>
        <w:spacing w:line="360" w:lineRule="auto"/>
        <w:jc w:val="both"/>
        <w:rPr>
          <w:rFonts w:ascii="Arial" w:eastAsia="Arial" w:hAnsi="Arial" w:cs="Arial"/>
          <w:sz w:val="24"/>
          <w:szCs w:val="24"/>
        </w:rPr>
      </w:pPr>
      <w:r>
        <w:br w:type="page"/>
      </w:r>
    </w:p>
    <w:p w14:paraId="1143A105" w14:textId="77777777" w:rsidR="00EB70B0" w:rsidRDefault="0060782A">
      <w:pPr>
        <w:spacing w:line="360" w:lineRule="auto"/>
        <w:jc w:val="both"/>
        <w:rPr>
          <w:rFonts w:ascii="Arial" w:eastAsia="Arial" w:hAnsi="Arial" w:cs="Arial"/>
          <w:b/>
          <w:bCs/>
          <w:sz w:val="28"/>
          <w:szCs w:val="28"/>
        </w:rPr>
      </w:pPr>
      <w:r>
        <w:rPr>
          <w:rFonts w:ascii="Arial" w:eastAsia="Arial" w:hAnsi="Arial" w:cs="Arial"/>
          <w:b/>
          <w:bCs/>
          <w:sz w:val="28"/>
          <w:szCs w:val="28"/>
        </w:rPr>
        <w:lastRenderedPageBreak/>
        <w:t>Table of Contents</w:t>
      </w:r>
    </w:p>
    <w:sdt>
      <w:sdtPr>
        <w:id w:val="310315892"/>
        <w:docPartObj>
          <w:docPartGallery w:val="Table of Contents"/>
          <w:docPartUnique/>
        </w:docPartObj>
      </w:sdtPr>
      <w:sdtEndPr/>
      <w:sdtContent>
        <w:p w14:paraId="6A84E6C6" w14:textId="77777777" w:rsidR="00EB70B0" w:rsidRDefault="0060782A">
          <w:pPr>
            <w:widowControl w:val="0"/>
            <w:tabs>
              <w:tab w:val="right" w:pos="9360"/>
            </w:tabs>
            <w:spacing w:before="60" w:line="360" w:lineRule="auto"/>
            <w:rPr>
              <w:rFonts w:ascii="Arial" w:eastAsia="Arial" w:hAnsi="Arial" w:cs="Arial"/>
              <w:b/>
              <w:bCs/>
              <w:color w:val="000000"/>
              <w:sz w:val="24"/>
              <w:szCs w:val="24"/>
            </w:rPr>
          </w:pPr>
          <w:r>
            <w:fldChar w:fldCharType="begin"/>
          </w:r>
          <w:r>
            <w:instrText xml:space="preserve"> TOC \h \u \z \t "Heading 1,1,Heading 2,2,Heading 3,3,Heading 4,4,Heading 5,5,Heading 6,6,"</w:instrText>
          </w:r>
          <w:r>
            <w:fldChar w:fldCharType="separate"/>
          </w:r>
          <w:hyperlink w:anchor="_heading=h.bqvhpq7yyjc3">
            <w:r w:rsidR="00EB70B0">
              <w:rPr>
                <w:rFonts w:ascii="Arial" w:eastAsia="Arial" w:hAnsi="Arial" w:cs="Arial"/>
                <w:b/>
                <w:bCs/>
                <w:color w:val="000000"/>
                <w:sz w:val="24"/>
                <w:szCs w:val="24"/>
              </w:rPr>
              <w:t>Blog 1: Help Me Quit Telehealth in the Fight Against Smoking in Wales</w:t>
            </w:r>
            <w:r w:rsidR="00EB70B0">
              <w:rPr>
                <w:rFonts w:ascii="Arial" w:eastAsia="Arial" w:hAnsi="Arial" w:cs="Arial"/>
                <w:b/>
                <w:bCs/>
                <w:color w:val="000000"/>
                <w:sz w:val="24"/>
                <w:szCs w:val="24"/>
              </w:rPr>
              <w:tab/>
            </w:r>
          </w:hyperlink>
          <w:r>
            <w:fldChar w:fldCharType="begin"/>
          </w:r>
          <w:r>
            <w:instrText xml:space="preserve"> PAGEREF _heading=h.bqvhpq7yyjc3 \h </w:instrText>
          </w:r>
          <w:r>
            <w:fldChar w:fldCharType="separate"/>
          </w:r>
          <w:r>
            <w:rPr>
              <w:rFonts w:ascii="Arial" w:eastAsia="Arial" w:hAnsi="Arial" w:cs="Arial"/>
              <w:b/>
              <w:bCs/>
              <w:sz w:val="24"/>
              <w:szCs w:val="24"/>
            </w:rPr>
            <w:t>2</w:t>
          </w:r>
          <w:r>
            <w:fldChar w:fldCharType="end"/>
          </w:r>
        </w:p>
        <w:p w14:paraId="07962F59" w14:textId="77777777" w:rsidR="00EB70B0" w:rsidRDefault="00EB70B0">
          <w:pPr>
            <w:widowControl w:val="0"/>
            <w:tabs>
              <w:tab w:val="right" w:pos="9360"/>
            </w:tabs>
            <w:spacing w:before="60" w:line="360" w:lineRule="auto"/>
            <w:ind w:left="360"/>
            <w:rPr>
              <w:rFonts w:ascii="Arial" w:eastAsia="Arial" w:hAnsi="Arial" w:cs="Arial"/>
              <w:color w:val="000000"/>
              <w:sz w:val="24"/>
              <w:szCs w:val="24"/>
            </w:rPr>
          </w:pPr>
          <w:hyperlink w:anchor="_heading=h.9jdrktsnit3z">
            <w:r>
              <w:rPr>
                <w:rFonts w:ascii="Arial" w:eastAsia="Arial" w:hAnsi="Arial" w:cs="Arial"/>
                <w:color w:val="000000"/>
                <w:sz w:val="24"/>
                <w:szCs w:val="24"/>
              </w:rPr>
              <w:t>A growing public health problem</w:t>
            </w:r>
            <w:r>
              <w:rPr>
                <w:rFonts w:ascii="Arial" w:eastAsia="Arial" w:hAnsi="Arial" w:cs="Arial"/>
                <w:color w:val="000000"/>
                <w:sz w:val="24"/>
                <w:szCs w:val="24"/>
              </w:rPr>
              <w:tab/>
            </w:r>
          </w:hyperlink>
          <w:r w:rsidR="0060782A">
            <w:fldChar w:fldCharType="begin"/>
          </w:r>
          <w:r w:rsidR="0060782A">
            <w:instrText xml:space="preserve"> PAGEREF _heading=h.9jdrktsnit3z \h </w:instrText>
          </w:r>
          <w:r w:rsidR="0060782A">
            <w:fldChar w:fldCharType="separate"/>
          </w:r>
          <w:r w:rsidR="0060782A">
            <w:rPr>
              <w:rFonts w:ascii="Arial" w:eastAsia="Arial" w:hAnsi="Arial" w:cs="Arial"/>
              <w:sz w:val="24"/>
              <w:szCs w:val="24"/>
            </w:rPr>
            <w:t>2</w:t>
          </w:r>
          <w:r w:rsidR="0060782A">
            <w:fldChar w:fldCharType="end"/>
          </w:r>
        </w:p>
        <w:p w14:paraId="27A30EA6" w14:textId="77777777" w:rsidR="00EB70B0" w:rsidRDefault="00EB70B0">
          <w:pPr>
            <w:widowControl w:val="0"/>
            <w:tabs>
              <w:tab w:val="right" w:pos="9360"/>
            </w:tabs>
            <w:spacing w:before="60" w:line="360" w:lineRule="auto"/>
            <w:ind w:left="360"/>
            <w:rPr>
              <w:rFonts w:ascii="Arial" w:eastAsia="Arial" w:hAnsi="Arial" w:cs="Arial"/>
              <w:color w:val="000000"/>
              <w:sz w:val="24"/>
              <w:szCs w:val="24"/>
            </w:rPr>
          </w:pPr>
          <w:hyperlink w:anchor="_heading=h.3zvk0mu5vt23">
            <w:r>
              <w:rPr>
                <w:rFonts w:ascii="Arial" w:eastAsia="Arial" w:hAnsi="Arial" w:cs="Arial"/>
                <w:color w:val="000000"/>
                <w:sz w:val="24"/>
                <w:szCs w:val="24"/>
              </w:rPr>
              <w:t>The technology: virtual Help Me Quit consultations</w:t>
            </w:r>
            <w:r>
              <w:rPr>
                <w:rFonts w:ascii="Arial" w:eastAsia="Arial" w:hAnsi="Arial" w:cs="Arial"/>
                <w:color w:val="000000"/>
                <w:sz w:val="24"/>
                <w:szCs w:val="24"/>
              </w:rPr>
              <w:tab/>
            </w:r>
          </w:hyperlink>
          <w:r w:rsidR="0060782A">
            <w:fldChar w:fldCharType="begin"/>
          </w:r>
          <w:r w:rsidR="0060782A">
            <w:instrText xml:space="preserve"> PAGEREF _heading=h.3zvk0mu5vt23 \h </w:instrText>
          </w:r>
          <w:r w:rsidR="0060782A">
            <w:fldChar w:fldCharType="separate"/>
          </w:r>
          <w:r w:rsidR="0060782A">
            <w:rPr>
              <w:rFonts w:ascii="Arial" w:eastAsia="Arial" w:hAnsi="Arial" w:cs="Arial"/>
              <w:sz w:val="24"/>
              <w:szCs w:val="24"/>
            </w:rPr>
            <w:t>3</w:t>
          </w:r>
          <w:r w:rsidR="0060782A">
            <w:fldChar w:fldCharType="end"/>
          </w:r>
        </w:p>
        <w:p w14:paraId="3575BB51" w14:textId="77777777" w:rsidR="00EB70B0" w:rsidRDefault="0060782A">
          <w:pPr>
            <w:widowControl w:val="0"/>
            <w:tabs>
              <w:tab w:val="right" w:pos="9360"/>
            </w:tabs>
            <w:spacing w:before="60" w:line="360" w:lineRule="auto"/>
            <w:rPr>
              <w:rFonts w:ascii="Arial" w:eastAsia="Arial" w:hAnsi="Arial" w:cs="Arial"/>
              <w:b/>
              <w:bCs/>
              <w:color w:val="000000"/>
              <w:sz w:val="24"/>
              <w:szCs w:val="24"/>
            </w:rPr>
          </w:pPr>
          <w:r>
            <w:rPr>
              <w:rFonts w:ascii="Arial" w:eastAsia="Arial" w:hAnsi="Arial" w:cs="Arial"/>
              <w:color w:val="000000"/>
              <w:sz w:val="24"/>
              <w:szCs w:val="24"/>
            </w:rPr>
            <w:t xml:space="preserve">      </w:t>
          </w:r>
          <w:hyperlink w:anchor="_heading=h.t43li7mw9ly5">
            <w:r w:rsidR="00EB70B0">
              <w:rPr>
                <w:rFonts w:ascii="Arial" w:eastAsia="Arial" w:hAnsi="Arial" w:cs="Arial"/>
                <w:color w:val="000000"/>
                <w:sz w:val="24"/>
                <w:szCs w:val="24"/>
              </w:rPr>
              <w:t>Evidence of impact</w:t>
            </w:r>
          </w:hyperlink>
          <w:hyperlink w:anchor="_heading=h.t43li7mw9ly5">
            <w:r w:rsidR="00EB70B0">
              <w:rPr>
                <w:rFonts w:ascii="Arial" w:eastAsia="Arial" w:hAnsi="Arial" w:cs="Arial"/>
                <w:b/>
                <w:bCs/>
                <w:color w:val="000000"/>
                <w:sz w:val="24"/>
                <w:szCs w:val="24"/>
              </w:rPr>
              <w:tab/>
            </w:r>
          </w:hyperlink>
          <w:r>
            <w:fldChar w:fldCharType="begin"/>
          </w:r>
          <w:r>
            <w:instrText xml:space="preserve"> PAGEREF _heading=h.t43li7mw9ly5 \h </w:instrText>
          </w:r>
          <w:r>
            <w:fldChar w:fldCharType="separate"/>
          </w:r>
          <w:r>
            <w:rPr>
              <w:rFonts w:ascii="Arial" w:eastAsia="Arial" w:hAnsi="Arial" w:cs="Arial"/>
              <w:b/>
              <w:bCs/>
              <w:sz w:val="24"/>
              <w:szCs w:val="24"/>
            </w:rPr>
            <w:t>4</w:t>
          </w:r>
          <w:r>
            <w:fldChar w:fldCharType="end"/>
          </w:r>
        </w:p>
        <w:p w14:paraId="009FD112" w14:textId="77777777" w:rsidR="00EB70B0" w:rsidRDefault="00EB70B0">
          <w:pPr>
            <w:widowControl w:val="0"/>
            <w:tabs>
              <w:tab w:val="right" w:pos="9360"/>
            </w:tabs>
            <w:spacing w:before="60" w:line="360" w:lineRule="auto"/>
            <w:ind w:left="360"/>
            <w:rPr>
              <w:rFonts w:ascii="Arial" w:eastAsia="Arial" w:hAnsi="Arial" w:cs="Arial"/>
              <w:color w:val="000000"/>
              <w:sz w:val="24"/>
              <w:szCs w:val="24"/>
            </w:rPr>
          </w:pPr>
          <w:hyperlink w:anchor="_heading=h.ihuu967wrlyu">
            <w:r>
              <w:rPr>
                <w:rFonts w:ascii="Arial" w:eastAsia="Arial" w:hAnsi="Arial" w:cs="Arial"/>
                <w:color w:val="000000"/>
                <w:sz w:val="24"/>
                <w:szCs w:val="24"/>
              </w:rPr>
              <w:t>Advantages and shortfalls</w:t>
            </w:r>
            <w:r>
              <w:rPr>
                <w:rFonts w:ascii="Arial" w:eastAsia="Arial" w:hAnsi="Arial" w:cs="Arial"/>
                <w:color w:val="000000"/>
                <w:sz w:val="24"/>
                <w:szCs w:val="24"/>
              </w:rPr>
              <w:tab/>
            </w:r>
          </w:hyperlink>
          <w:r w:rsidR="0060782A">
            <w:fldChar w:fldCharType="begin"/>
          </w:r>
          <w:r w:rsidR="0060782A">
            <w:instrText xml:space="preserve"> PAGEREF _heading=h.ihuu967wrlyu \h </w:instrText>
          </w:r>
          <w:r w:rsidR="0060782A">
            <w:fldChar w:fldCharType="separate"/>
          </w:r>
          <w:r w:rsidR="0060782A">
            <w:rPr>
              <w:rFonts w:ascii="Arial" w:eastAsia="Arial" w:hAnsi="Arial" w:cs="Arial"/>
              <w:sz w:val="24"/>
              <w:szCs w:val="24"/>
            </w:rPr>
            <w:t>4</w:t>
          </w:r>
          <w:r w:rsidR="0060782A">
            <w:fldChar w:fldCharType="end"/>
          </w:r>
        </w:p>
        <w:p w14:paraId="0E244D53" w14:textId="77777777" w:rsidR="00EB70B0" w:rsidRDefault="00EB70B0">
          <w:pPr>
            <w:widowControl w:val="0"/>
            <w:tabs>
              <w:tab w:val="right" w:pos="9360"/>
            </w:tabs>
            <w:spacing w:before="60" w:line="360" w:lineRule="auto"/>
            <w:ind w:left="360"/>
            <w:rPr>
              <w:rFonts w:ascii="Arial" w:eastAsia="Arial" w:hAnsi="Arial" w:cs="Arial"/>
              <w:color w:val="000000"/>
              <w:sz w:val="24"/>
              <w:szCs w:val="24"/>
            </w:rPr>
          </w:pPr>
          <w:hyperlink w:anchor="_heading=h.2mcbcg6qlyd4">
            <w:r>
              <w:rPr>
                <w:rFonts w:ascii="Arial" w:eastAsia="Arial" w:hAnsi="Arial" w:cs="Arial"/>
                <w:color w:val="000000"/>
                <w:sz w:val="24"/>
                <w:szCs w:val="24"/>
              </w:rPr>
              <w:t>How this shortfall could be addressed</w:t>
            </w:r>
            <w:r>
              <w:rPr>
                <w:rFonts w:ascii="Arial" w:eastAsia="Arial" w:hAnsi="Arial" w:cs="Arial"/>
                <w:color w:val="000000"/>
                <w:sz w:val="24"/>
                <w:szCs w:val="24"/>
              </w:rPr>
              <w:tab/>
            </w:r>
          </w:hyperlink>
          <w:r w:rsidR="0060782A">
            <w:fldChar w:fldCharType="begin"/>
          </w:r>
          <w:r w:rsidR="0060782A">
            <w:instrText xml:space="preserve"> PAGEREF _heading=h.2mcbcg6qlyd4 \h </w:instrText>
          </w:r>
          <w:r w:rsidR="0060782A">
            <w:fldChar w:fldCharType="separate"/>
          </w:r>
          <w:r w:rsidR="0060782A">
            <w:rPr>
              <w:rFonts w:ascii="Arial" w:eastAsia="Arial" w:hAnsi="Arial" w:cs="Arial"/>
              <w:sz w:val="24"/>
              <w:szCs w:val="24"/>
            </w:rPr>
            <w:t>5</w:t>
          </w:r>
          <w:r w:rsidR="0060782A">
            <w:fldChar w:fldCharType="end"/>
          </w:r>
        </w:p>
        <w:p w14:paraId="21B71BF5" w14:textId="77777777" w:rsidR="00EB70B0" w:rsidRDefault="00EB70B0">
          <w:pPr>
            <w:widowControl w:val="0"/>
            <w:tabs>
              <w:tab w:val="right" w:pos="9360"/>
            </w:tabs>
            <w:spacing w:before="60" w:line="360" w:lineRule="auto"/>
            <w:ind w:left="360"/>
            <w:rPr>
              <w:rFonts w:ascii="Arial" w:eastAsia="Arial" w:hAnsi="Arial" w:cs="Arial"/>
              <w:color w:val="000000"/>
              <w:sz w:val="24"/>
              <w:szCs w:val="24"/>
            </w:rPr>
          </w:pPr>
          <w:hyperlink w:anchor="_heading=h.tjysv91chhlt">
            <w:r>
              <w:rPr>
                <w:rFonts w:ascii="Arial" w:eastAsia="Arial" w:hAnsi="Arial" w:cs="Arial"/>
                <w:color w:val="000000"/>
                <w:sz w:val="24"/>
                <w:szCs w:val="24"/>
              </w:rPr>
              <w:t>Reference List (Blog 1)</w:t>
            </w:r>
            <w:r>
              <w:rPr>
                <w:rFonts w:ascii="Arial" w:eastAsia="Arial" w:hAnsi="Arial" w:cs="Arial"/>
                <w:color w:val="000000"/>
                <w:sz w:val="24"/>
                <w:szCs w:val="24"/>
              </w:rPr>
              <w:tab/>
            </w:r>
          </w:hyperlink>
          <w:r w:rsidR="0060782A">
            <w:fldChar w:fldCharType="begin"/>
          </w:r>
          <w:r w:rsidR="0060782A">
            <w:instrText xml:space="preserve"> PAGEREF _heading=h.tjysv91chhlt \h </w:instrText>
          </w:r>
          <w:r w:rsidR="0060782A">
            <w:fldChar w:fldCharType="separate"/>
          </w:r>
          <w:r w:rsidR="0060782A">
            <w:rPr>
              <w:rFonts w:ascii="Arial" w:eastAsia="Arial" w:hAnsi="Arial" w:cs="Arial"/>
              <w:sz w:val="24"/>
              <w:szCs w:val="24"/>
            </w:rPr>
            <w:t>5</w:t>
          </w:r>
          <w:r w:rsidR="0060782A">
            <w:fldChar w:fldCharType="end"/>
          </w:r>
        </w:p>
        <w:p w14:paraId="08B84AD4" w14:textId="77777777" w:rsidR="00EB70B0" w:rsidRDefault="00EB70B0">
          <w:pPr>
            <w:widowControl w:val="0"/>
            <w:tabs>
              <w:tab w:val="right" w:pos="9360"/>
            </w:tabs>
            <w:spacing w:before="60" w:line="360" w:lineRule="auto"/>
            <w:rPr>
              <w:rFonts w:ascii="Arial" w:eastAsia="Arial" w:hAnsi="Arial" w:cs="Arial"/>
              <w:b/>
              <w:bCs/>
              <w:color w:val="000000"/>
              <w:sz w:val="24"/>
              <w:szCs w:val="24"/>
            </w:rPr>
          </w:pPr>
          <w:hyperlink w:anchor="_heading=h.h32cilu18tr2">
            <w:r>
              <w:rPr>
                <w:rFonts w:ascii="Arial" w:eastAsia="Arial" w:hAnsi="Arial" w:cs="Arial"/>
                <w:b/>
                <w:bCs/>
                <w:color w:val="000000"/>
                <w:sz w:val="24"/>
                <w:szCs w:val="24"/>
              </w:rPr>
              <w:t>Blog 2: QuitConnect — A Digital Technology I Designed for Smoking Cessation</w:t>
            </w:r>
            <w:r>
              <w:rPr>
                <w:rFonts w:ascii="Arial" w:eastAsia="Arial" w:hAnsi="Arial" w:cs="Arial"/>
                <w:b/>
                <w:bCs/>
                <w:color w:val="000000"/>
                <w:sz w:val="24"/>
                <w:szCs w:val="24"/>
              </w:rPr>
              <w:tab/>
            </w:r>
          </w:hyperlink>
          <w:r w:rsidR="0060782A">
            <w:fldChar w:fldCharType="begin"/>
          </w:r>
          <w:r w:rsidR="0060782A">
            <w:instrText xml:space="preserve"> PAGEREF _heading=h.h32cilu18tr2 \h </w:instrText>
          </w:r>
          <w:r w:rsidR="0060782A">
            <w:fldChar w:fldCharType="separate"/>
          </w:r>
          <w:r w:rsidR="0060782A">
            <w:rPr>
              <w:rFonts w:ascii="Arial" w:eastAsia="Arial" w:hAnsi="Arial" w:cs="Arial"/>
              <w:b/>
              <w:bCs/>
              <w:sz w:val="24"/>
              <w:szCs w:val="24"/>
            </w:rPr>
            <w:t>7</w:t>
          </w:r>
          <w:r w:rsidR="0060782A">
            <w:fldChar w:fldCharType="end"/>
          </w:r>
        </w:p>
        <w:p w14:paraId="211B676B" w14:textId="77777777" w:rsidR="00EB70B0" w:rsidRDefault="00EB70B0">
          <w:pPr>
            <w:widowControl w:val="0"/>
            <w:tabs>
              <w:tab w:val="right" w:pos="9360"/>
            </w:tabs>
            <w:spacing w:before="60" w:line="360" w:lineRule="auto"/>
            <w:ind w:left="360"/>
            <w:rPr>
              <w:rFonts w:ascii="Arial" w:eastAsia="Arial" w:hAnsi="Arial" w:cs="Arial"/>
              <w:color w:val="000000"/>
              <w:sz w:val="24"/>
              <w:szCs w:val="24"/>
            </w:rPr>
          </w:pPr>
          <w:hyperlink w:anchor="_heading=h.t0gcsorp3rdm">
            <w:r>
              <w:rPr>
                <w:rFonts w:ascii="Arial" w:eastAsia="Arial" w:hAnsi="Arial" w:cs="Arial"/>
                <w:color w:val="000000"/>
                <w:sz w:val="24"/>
                <w:szCs w:val="24"/>
              </w:rPr>
              <w:t>The problem, revisited</w:t>
            </w:r>
            <w:r>
              <w:rPr>
                <w:rFonts w:ascii="Arial" w:eastAsia="Arial" w:hAnsi="Arial" w:cs="Arial"/>
                <w:color w:val="000000"/>
                <w:sz w:val="24"/>
                <w:szCs w:val="24"/>
              </w:rPr>
              <w:tab/>
            </w:r>
          </w:hyperlink>
          <w:r w:rsidR="0060782A">
            <w:fldChar w:fldCharType="begin"/>
          </w:r>
          <w:r w:rsidR="0060782A">
            <w:instrText xml:space="preserve"> PAGEREF _heading=h.t0gcsorp3rdm \h </w:instrText>
          </w:r>
          <w:r w:rsidR="0060782A">
            <w:fldChar w:fldCharType="separate"/>
          </w:r>
          <w:r w:rsidR="0060782A">
            <w:rPr>
              <w:rFonts w:ascii="Arial" w:eastAsia="Arial" w:hAnsi="Arial" w:cs="Arial"/>
              <w:sz w:val="24"/>
              <w:szCs w:val="24"/>
            </w:rPr>
            <w:t>7</w:t>
          </w:r>
          <w:r w:rsidR="0060782A">
            <w:fldChar w:fldCharType="end"/>
          </w:r>
        </w:p>
        <w:p w14:paraId="335B3F23" w14:textId="77777777" w:rsidR="00EB70B0" w:rsidRDefault="00EB70B0">
          <w:pPr>
            <w:widowControl w:val="0"/>
            <w:tabs>
              <w:tab w:val="right" w:pos="9360"/>
            </w:tabs>
            <w:spacing w:before="60" w:line="360" w:lineRule="auto"/>
            <w:ind w:left="360"/>
            <w:rPr>
              <w:rFonts w:ascii="Arial" w:eastAsia="Arial" w:hAnsi="Arial" w:cs="Arial"/>
              <w:color w:val="000000"/>
              <w:sz w:val="24"/>
              <w:szCs w:val="24"/>
            </w:rPr>
          </w:pPr>
          <w:hyperlink w:anchor="_heading=h.l6ds8wvrlp9b">
            <w:r>
              <w:rPr>
                <w:rFonts w:ascii="Arial" w:eastAsia="Arial" w:hAnsi="Arial" w:cs="Arial"/>
                <w:color w:val="000000"/>
                <w:sz w:val="24"/>
                <w:szCs w:val="24"/>
              </w:rPr>
              <w:t>The technology I have designed: QuitConnect</w:t>
            </w:r>
            <w:r>
              <w:rPr>
                <w:rFonts w:ascii="Arial" w:eastAsia="Arial" w:hAnsi="Arial" w:cs="Arial"/>
                <w:color w:val="000000"/>
                <w:sz w:val="24"/>
                <w:szCs w:val="24"/>
              </w:rPr>
              <w:tab/>
            </w:r>
          </w:hyperlink>
          <w:r w:rsidR="0060782A">
            <w:fldChar w:fldCharType="begin"/>
          </w:r>
          <w:r w:rsidR="0060782A">
            <w:instrText xml:space="preserve"> PAGEREF _heading=h.l6ds8wvrlp9b \h </w:instrText>
          </w:r>
          <w:r w:rsidR="0060782A">
            <w:fldChar w:fldCharType="separate"/>
          </w:r>
          <w:r w:rsidR="0060782A">
            <w:rPr>
              <w:rFonts w:ascii="Arial" w:eastAsia="Arial" w:hAnsi="Arial" w:cs="Arial"/>
              <w:sz w:val="24"/>
              <w:szCs w:val="24"/>
            </w:rPr>
            <w:t>7</w:t>
          </w:r>
          <w:r w:rsidR="0060782A">
            <w:fldChar w:fldCharType="end"/>
          </w:r>
        </w:p>
        <w:p w14:paraId="4E91F9F1" w14:textId="77777777" w:rsidR="00EB70B0" w:rsidRDefault="00EB70B0">
          <w:pPr>
            <w:widowControl w:val="0"/>
            <w:tabs>
              <w:tab w:val="right" w:pos="9360"/>
            </w:tabs>
            <w:spacing w:before="60" w:line="360" w:lineRule="auto"/>
            <w:ind w:left="360"/>
            <w:rPr>
              <w:rFonts w:ascii="Arial" w:eastAsia="Arial" w:hAnsi="Arial" w:cs="Arial"/>
              <w:color w:val="000000"/>
              <w:sz w:val="24"/>
              <w:szCs w:val="24"/>
            </w:rPr>
          </w:pPr>
          <w:hyperlink w:anchor="_heading=h.4798hzkoanyd">
            <w:r>
              <w:rPr>
                <w:rFonts w:ascii="Arial" w:eastAsia="Arial" w:hAnsi="Arial" w:cs="Arial"/>
                <w:color w:val="000000"/>
                <w:sz w:val="24"/>
                <w:szCs w:val="24"/>
              </w:rPr>
              <w:t>Grounding in behaviour change theory</w:t>
            </w:r>
            <w:r>
              <w:rPr>
                <w:rFonts w:ascii="Arial" w:eastAsia="Arial" w:hAnsi="Arial" w:cs="Arial"/>
                <w:color w:val="000000"/>
                <w:sz w:val="24"/>
                <w:szCs w:val="24"/>
              </w:rPr>
              <w:tab/>
            </w:r>
          </w:hyperlink>
          <w:r w:rsidR="0060782A">
            <w:fldChar w:fldCharType="begin"/>
          </w:r>
          <w:r w:rsidR="0060782A">
            <w:instrText xml:space="preserve"> PAGEREF _heading=h.4798hzkoanyd \h </w:instrText>
          </w:r>
          <w:r w:rsidR="0060782A">
            <w:fldChar w:fldCharType="separate"/>
          </w:r>
          <w:r w:rsidR="0060782A">
            <w:rPr>
              <w:rFonts w:ascii="Arial" w:eastAsia="Arial" w:hAnsi="Arial" w:cs="Arial"/>
              <w:sz w:val="24"/>
              <w:szCs w:val="24"/>
            </w:rPr>
            <w:t>8</w:t>
          </w:r>
          <w:r w:rsidR="0060782A">
            <w:fldChar w:fldCharType="end"/>
          </w:r>
        </w:p>
        <w:p w14:paraId="512E7B0A" w14:textId="77777777" w:rsidR="00EB70B0" w:rsidRDefault="00EB70B0">
          <w:pPr>
            <w:widowControl w:val="0"/>
            <w:tabs>
              <w:tab w:val="right" w:pos="9360"/>
            </w:tabs>
            <w:spacing w:before="60" w:line="360" w:lineRule="auto"/>
            <w:ind w:left="360"/>
            <w:rPr>
              <w:rFonts w:ascii="Arial" w:eastAsia="Arial" w:hAnsi="Arial" w:cs="Arial"/>
              <w:color w:val="000000"/>
              <w:sz w:val="24"/>
              <w:szCs w:val="24"/>
            </w:rPr>
          </w:pPr>
          <w:hyperlink w:anchor="_heading=h.yj7vw8m9pmsk">
            <w:r>
              <w:rPr>
                <w:rFonts w:ascii="Arial" w:eastAsia="Arial" w:hAnsi="Arial" w:cs="Arial"/>
                <w:color w:val="000000"/>
                <w:sz w:val="24"/>
                <w:szCs w:val="24"/>
              </w:rPr>
              <w:t>Expected impact: advantages and shortfalls</w:t>
            </w:r>
            <w:r>
              <w:rPr>
                <w:rFonts w:ascii="Arial" w:eastAsia="Arial" w:hAnsi="Arial" w:cs="Arial"/>
                <w:color w:val="000000"/>
                <w:sz w:val="24"/>
                <w:szCs w:val="24"/>
              </w:rPr>
              <w:tab/>
            </w:r>
          </w:hyperlink>
          <w:r w:rsidR="0060782A">
            <w:fldChar w:fldCharType="begin"/>
          </w:r>
          <w:r w:rsidR="0060782A">
            <w:instrText xml:space="preserve"> PAGEREF _heading=h.yj7vw8m9pmsk \h </w:instrText>
          </w:r>
          <w:r w:rsidR="0060782A">
            <w:fldChar w:fldCharType="separate"/>
          </w:r>
          <w:r w:rsidR="0060782A">
            <w:rPr>
              <w:rFonts w:ascii="Arial" w:eastAsia="Arial" w:hAnsi="Arial" w:cs="Arial"/>
              <w:sz w:val="24"/>
              <w:szCs w:val="24"/>
            </w:rPr>
            <w:t>8</w:t>
          </w:r>
          <w:r w:rsidR="0060782A">
            <w:fldChar w:fldCharType="end"/>
          </w:r>
        </w:p>
        <w:p w14:paraId="7F3300C0" w14:textId="77777777" w:rsidR="00EB70B0" w:rsidRDefault="00EB70B0">
          <w:pPr>
            <w:widowControl w:val="0"/>
            <w:tabs>
              <w:tab w:val="right" w:pos="9360"/>
            </w:tabs>
            <w:spacing w:before="60" w:line="360" w:lineRule="auto"/>
            <w:ind w:left="360"/>
            <w:rPr>
              <w:rFonts w:ascii="Arial" w:eastAsia="Arial" w:hAnsi="Arial" w:cs="Arial"/>
              <w:color w:val="000000"/>
              <w:sz w:val="24"/>
              <w:szCs w:val="24"/>
            </w:rPr>
          </w:pPr>
          <w:hyperlink w:anchor="_heading=h.5n6gia6cuh2e">
            <w:r>
              <w:rPr>
                <w:rFonts w:ascii="Arial" w:eastAsia="Arial" w:hAnsi="Arial" w:cs="Arial"/>
                <w:color w:val="000000"/>
                <w:sz w:val="24"/>
                <w:szCs w:val="24"/>
              </w:rPr>
              <w:t>How this shortfall could be addressed</w:t>
            </w:r>
            <w:r>
              <w:rPr>
                <w:rFonts w:ascii="Arial" w:eastAsia="Arial" w:hAnsi="Arial" w:cs="Arial"/>
                <w:color w:val="000000"/>
                <w:sz w:val="24"/>
                <w:szCs w:val="24"/>
              </w:rPr>
              <w:tab/>
            </w:r>
          </w:hyperlink>
          <w:r w:rsidR="0060782A">
            <w:fldChar w:fldCharType="begin"/>
          </w:r>
          <w:r w:rsidR="0060782A">
            <w:instrText xml:space="preserve"> PAGEREF _heading=h.5n6gia6cuh2e \h </w:instrText>
          </w:r>
          <w:r w:rsidR="0060782A">
            <w:fldChar w:fldCharType="separate"/>
          </w:r>
          <w:r w:rsidR="0060782A">
            <w:rPr>
              <w:rFonts w:ascii="Arial" w:eastAsia="Arial" w:hAnsi="Arial" w:cs="Arial"/>
              <w:sz w:val="24"/>
              <w:szCs w:val="24"/>
            </w:rPr>
            <w:t>9</w:t>
          </w:r>
          <w:r w:rsidR="0060782A">
            <w:fldChar w:fldCharType="end"/>
          </w:r>
        </w:p>
        <w:p w14:paraId="62B0C8F3" w14:textId="77777777" w:rsidR="00EB70B0" w:rsidRDefault="00EB70B0">
          <w:pPr>
            <w:widowControl w:val="0"/>
            <w:tabs>
              <w:tab w:val="right" w:pos="9360"/>
            </w:tabs>
            <w:spacing w:before="60" w:line="360" w:lineRule="auto"/>
            <w:ind w:left="360"/>
            <w:rPr>
              <w:color w:val="000000"/>
            </w:rPr>
          </w:pPr>
          <w:hyperlink w:anchor="_heading=h.qkh63ef5wnqx">
            <w:r>
              <w:rPr>
                <w:rFonts w:ascii="Arial" w:eastAsia="Arial" w:hAnsi="Arial" w:cs="Arial"/>
                <w:color w:val="000000"/>
                <w:sz w:val="24"/>
                <w:szCs w:val="24"/>
              </w:rPr>
              <w:t>Reference List (Blog 2)</w:t>
            </w:r>
          </w:hyperlink>
          <w:hyperlink w:anchor="_heading=h.qkh63ef5wnqx">
            <w:r>
              <w:rPr>
                <w:color w:val="000000"/>
              </w:rPr>
              <w:tab/>
            </w:r>
          </w:hyperlink>
          <w:r w:rsidR="0060782A">
            <w:fldChar w:fldCharType="begin"/>
          </w:r>
          <w:r w:rsidR="0060782A">
            <w:instrText xml:space="preserve"> PAGEREF _heading=h.qkh63ef5wnqx \h </w:instrText>
          </w:r>
          <w:r w:rsidR="0060782A">
            <w:fldChar w:fldCharType="separate"/>
          </w:r>
          <w:r w:rsidR="0060782A">
            <w:t>9</w:t>
          </w:r>
          <w:r w:rsidR="0060782A">
            <w:fldChar w:fldCharType="end"/>
          </w:r>
          <w:r w:rsidR="0060782A">
            <w:fldChar w:fldCharType="end"/>
          </w:r>
        </w:p>
      </w:sdtContent>
    </w:sdt>
    <w:p w14:paraId="3319EE37" w14:textId="77777777" w:rsidR="00EB70B0" w:rsidRDefault="00EB70B0">
      <w:pPr>
        <w:spacing w:line="360" w:lineRule="auto"/>
        <w:jc w:val="both"/>
        <w:rPr>
          <w:rFonts w:ascii="Arial" w:eastAsia="Arial" w:hAnsi="Arial" w:cs="Arial"/>
          <w:sz w:val="24"/>
          <w:szCs w:val="24"/>
        </w:rPr>
      </w:pPr>
    </w:p>
    <w:p w14:paraId="04D488F4" w14:textId="77777777" w:rsidR="00EB70B0" w:rsidRDefault="00EB70B0">
      <w:pPr>
        <w:spacing w:line="360" w:lineRule="auto"/>
        <w:jc w:val="both"/>
        <w:rPr>
          <w:rFonts w:ascii="Arial" w:eastAsia="Arial" w:hAnsi="Arial" w:cs="Arial"/>
          <w:sz w:val="24"/>
          <w:szCs w:val="24"/>
        </w:rPr>
      </w:pPr>
    </w:p>
    <w:p w14:paraId="6896AB5D" w14:textId="77777777" w:rsidR="00EB70B0" w:rsidRDefault="00EB70B0">
      <w:pPr>
        <w:spacing w:line="360" w:lineRule="auto"/>
        <w:jc w:val="both"/>
        <w:rPr>
          <w:rFonts w:ascii="Arial" w:eastAsia="Arial" w:hAnsi="Arial" w:cs="Arial"/>
          <w:sz w:val="24"/>
          <w:szCs w:val="24"/>
        </w:rPr>
      </w:pPr>
    </w:p>
    <w:p w14:paraId="77390DDC" w14:textId="77777777" w:rsidR="00EB70B0" w:rsidRDefault="00EB70B0">
      <w:pPr>
        <w:spacing w:line="360" w:lineRule="auto"/>
        <w:jc w:val="both"/>
        <w:rPr>
          <w:rFonts w:ascii="Arial" w:eastAsia="Arial" w:hAnsi="Arial" w:cs="Arial"/>
          <w:sz w:val="24"/>
          <w:szCs w:val="24"/>
        </w:rPr>
      </w:pPr>
    </w:p>
    <w:p w14:paraId="62D5B385" w14:textId="77777777" w:rsidR="00EB70B0" w:rsidRDefault="00EB70B0">
      <w:pPr>
        <w:spacing w:line="360" w:lineRule="auto"/>
        <w:jc w:val="both"/>
        <w:rPr>
          <w:rFonts w:ascii="Arial" w:eastAsia="Arial" w:hAnsi="Arial" w:cs="Arial"/>
          <w:sz w:val="24"/>
          <w:szCs w:val="24"/>
        </w:rPr>
      </w:pPr>
    </w:p>
    <w:p w14:paraId="3B54E63C" w14:textId="77777777" w:rsidR="00EB70B0" w:rsidRDefault="00EB70B0">
      <w:pPr>
        <w:spacing w:line="360" w:lineRule="auto"/>
        <w:jc w:val="both"/>
        <w:rPr>
          <w:rFonts w:ascii="Arial" w:eastAsia="Arial" w:hAnsi="Arial" w:cs="Arial"/>
          <w:sz w:val="24"/>
          <w:szCs w:val="24"/>
        </w:rPr>
      </w:pPr>
    </w:p>
    <w:p w14:paraId="43115B5F" w14:textId="77777777" w:rsidR="00EB70B0" w:rsidRDefault="00EB70B0">
      <w:pPr>
        <w:spacing w:line="360" w:lineRule="auto"/>
        <w:jc w:val="both"/>
        <w:rPr>
          <w:rFonts w:ascii="Arial" w:eastAsia="Arial" w:hAnsi="Arial" w:cs="Arial"/>
          <w:sz w:val="24"/>
          <w:szCs w:val="24"/>
        </w:rPr>
      </w:pPr>
    </w:p>
    <w:p w14:paraId="0BEB219C" w14:textId="77777777" w:rsidR="00EB70B0" w:rsidRDefault="00EB70B0">
      <w:pPr>
        <w:spacing w:line="360" w:lineRule="auto"/>
        <w:jc w:val="both"/>
        <w:rPr>
          <w:rFonts w:ascii="Arial" w:eastAsia="Arial" w:hAnsi="Arial" w:cs="Arial"/>
          <w:sz w:val="24"/>
          <w:szCs w:val="24"/>
        </w:rPr>
      </w:pPr>
    </w:p>
    <w:p w14:paraId="567505D5" w14:textId="77777777" w:rsidR="00EB70B0" w:rsidRDefault="00EB70B0">
      <w:pPr>
        <w:spacing w:line="360" w:lineRule="auto"/>
        <w:jc w:val="both"/>
        <w:rPr>
          <w:rFonts w:ascii="Arial" w:eastAsia="Arial" w:hAnsi="Arial" w:cs="Arial"/>
          <w:sz w:val="24"/>
          <w:szCs w:val="24"/>
        </w:rPr>
      </w:pPr>
    </w:p>
    <w:p w14:paraId="626DA401" w14:textId="77777777" w:rsidR="00EB70B0" w:rsidRDefault="00EB70B0">
      <w:pPr>
        <w:spacing w:line="360" w:lineRule="auto"/>
        <w:jc w:val="both"/>
        <w:rPr>
          <w:rFonts w:ascii="Arial" w:eastAsia="Arial" w:hAnsi="Arial" w:cs="Arial"/>
          <w:sz w:val="24"/>
          <w:szCs w:val="24"/>
        </w:rPr>
      </w:pPr>
    </w:p>
    <w:p w14:paraId="23399C39" w14:textId="77777777" w:rsidR="00EB70B0" w:rsidRDefault="00EB70B0">
      <w:pPr>
        <w:spacing w:line="360" w:lineRule="auto"/>
        <w:jc w:val="both"/>
        <w:rPr>
          <w:rFonts w:ascii="Arial" w:eastAsia="Arial" w:hAnsi="Arial" w:cs="Arial"/>
          <w:sz w:val="24"/>
          <w:szCs w:val="24"/>
        </w:rPr>
      </w:pPr>
    </w:p>
    <w:p w14:paraId="742AF2B9" w14:textId="77777777" w:rsidR="00EB70B0" w:rsidRDefault="00EB70B0">
      <w:pPr>
        <w:spacing w:line="360" w:lineRule="auto"/>
        <w:jc w:val="both"/>
        <w:rPr>
          <w:rFonts w:ascii="Arial" w:eastAsia="Arial" w:hAnsi="Arial" w:cs="Arial"/>
          <w:sz w:val="24"/>
          <w:szCs w:val="24"/>
        </w:rPr>
      </w:pPr>
    </w:p>
    <w:p w14:paraId="2EAE9001" w14:textId="77777777" w:rsidR="00EB70B0" w:rsidRDefault="00EB70B0">
      <w:pPr>
        <w:spacing w:line="360" w:lineRule="auto"/>
        <w:jc w:val="both"/>
        <w:rPr>
          <w:rFonts w:ascii="Arial" w:eastAsia="Arial" w:hAnsi="Arial" w:cs="Arial"/>
          <w:sz w:val="24"/>
          <w:szCs w:val="24"/>
        </w:rPr>
      </w:pPr>
    </w:p>
    <w:p w14:paraId="79D7464F" w14:textId="77777777" w:rsidR="00EB70B0" w:rsidRDefault="00EB70B0">
      <w:pPr>
        <w:pStyle w:val="Heading1"/>
        <w:spacing w:after="200" w:line="360" w:lineRule="auto"/>
        <w:jc w:val="both"/>
      </w:pPr>
      <w:bookmarkStart w:id="0" w:name="_heading=h.dci146i5sf6u" w:colFirst="0" w:colLast="0"/>
      <w:bookmarkEnd w:id="0"/>
    </w:p>
    <w:p w14:paraId="52B13DA2" w14:textId="77777777" w:rsidR="00EB70B0" w:rsidRDefault="0060782A">
      <w:pPr>
        <w:pStyle w:val="Heading1"/>
        <w:spacing w:after="200" w:line="360" w:lineRule="auto"/>
        <w:jc w:val="both"/>
        <w:rPr>
          <w:rFonts w:ascii="Arial" w:eastAsia="Arial" w:hAnsi="Arial" w:cs="Arial"/>
          <w:b/>
          <w:bCs/>
          <w:color w:val="000000"/>
          <w:sz w:val="28"/>
          <w:szCs w:val="28"/>
        </w:rPr>
      </w:pPr>
      <w:bookmarkStart w:id="1" w:name="_heading=h.bqvhpq7yyjc3" w:colFirst="0" w:colLast="0"/>
      <w:bookmarkEnd w:id="1"/>
      <w:r>
        <w:rPr>
          <w:rFonts w:ascii="Arial" w:eastAsia="Arial" w:hAnsi="Arial" w:cs="Arial"/>
          <w:b/>
          <w:bCs/>
          <w:color w:val="000000"/>
          <w:sz w:val="28"/>
          <w:szCs w:val="28"/>
        </w:rPr>
        <w:lastRenderedPageBreak/>
        <w:t>Blog 1: Help Me Quit Telehealth in the Fight Against Smoking in Wales</w:t>
      </w:r>
    </w:p>
    <w:p w14:paraId="74965048" w14:textId="77777777" w:rsidR="00EB70B0" w:rsidRDefault="0060782A">
      <w:pPr>
        <w:pStyle w:val="Heading2"/>
        <w:spacing w:before="240" w:after="120" w:line="360" w:lineRule="auto"/>
        <w:jc w:val="both"/>
        <w:rPr>
          <w:rFonts w:ascii="Arial" w:eastAsia="Arial" w:hAnsi="Arial" w:cs="Arial"/>
          <w:b/>
          <w:bCs/>
          <w:color w:val="000000"/>
          <w:sz w:val="28"/>
          <w:szCs w:val="28"/>
        </w:rPr>
      </w:pPr>
      <w:bookmarkStart w:id="2" w:name="_heading=h.9jdrktsnit3z" w:colFirst="0" w:colLast="0"/>
      <w:bookmarkEnd w:id="2"/>
      <w:r>
        <w:rPr>
          <w:rFonts w:ascii="Arial" w:eastAsia="Arial" w:hAnsi="Arial" w:cs="Arial"/>
          <w:b/>
          <w:bCs/>
          <w:color w:val="000000"/>
          <w:sz w:val="28"/>
          <w:szCs w:val="28"/>
        </w:rPr>
        <w:t>A growing public health problem</w:t>
      </w:r>
    </w:p>
    <w:p w14:paraId="4592D198" w14:textId="77777777" w:rsidR="00EB70B0" w:rsidRDefault="0060782A">
      <w:pPr>
        <w:spacing w:after="200" w:line="360" w:lineRule="auto"/>
        <w:jc w:val="both"/>
        <w:rPr>
          <w:rFonts w:ascii="Arial" w:eastAsia="Arial" w:hAnsi="Arial" w:cs="Arial"/>
          <w:sz w:val="24"/>
          <w:szCs w:val="24"/>
        </w:rPr>
      </w:pPr>
      <w:r>
        <w:rPr>
          <w:rFonts w:ascii="Arial" w:eastAsia="Arial" w:hAnsi="Arial" w:cs="Arial"/>
          <w:sz w:val="24"/>
          <w:szCs w:val="24"/>
        </w:rPr>
        <w:t xml:space="preserve">Smoking is the leading known cause of cancer death among UK adults and continues to be the lead cause of preventable death in the world, causing over 8 million deaths per year (World Health Organization, 2024). The biggest cause of death for adults over the age of 35 in Wales is smoking, causing approximately 3,845 deaths a year and over 17,000 yearly hospital admissions in Figure 1 (Public Health Wales, 2026). Smoking is more prevalent amongst lower-income groups and manual occupation groups (Moor &amp; Stansfield 2017). Those most in need of such services, those with low SEC in Figure 1, are least able to access traditional appointment-based services (NHS England Digital, 2025). </w:t>
      </w:r>
    </w:p>
    <w:p w14:paraId="2C7F7C60" w14:textId="77777777" w:rsidR="00EB70B0" w:rsidRDefault="0060782A">
      <w:pPr>
        <w:spacing w:before="200" w:after="100" w:line="360" w:lineRule="auto"/>
        <w:jc w:val="center"/>
        <w:rPr>
          <w:rFonts w:ascii="Arial" w:eastAsia="Arial" w:hAnsi="Arial" w:cs="Arial"/>
          <w:sz w:val="24"/>
          <w:szCs w:val="24"/>
        </w:rPr>
      </w:pPr>
      <w:r>
        <w:rPr>
          <w:rFonts w:ascii="Arial" w:eastAsia="Arial" w:hAnsi="Arial" w:cs="Arial"/>
          <w:noProof/>
          <w:sz w:val="24"/>
          <w:szCs w:val="24"/>
        </w:rPr>
        <w:drawing>
          <wp:inline distT="0" distB="0" distL="0" distR="0" wp14:anchorId="7DAA6571" wp14:editId="0D0292D8">
            <wp:extent cx="5048250" cy="3115954"/>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t="11675"/>
                    <a:stretch>
                      <a:fillRect/>
                    </a:stretch>
                  </pic:blipFill>
                  <pic:spPr>
                    <a:xfrm>
                      <a:off x="0" y="0"/>
                      <a:ext cx="5048250" cy="3115954"/>
                    </a:xfrm>
                    <a:prstGeom prst="rect">
                      <a:avLst/>
                    </a:prstGeom>
                    <a:ln/>
                  </pic:spPr>
                </pic:pic>
              </a:graphicData>
            </a:graphic>
          </wp:inline>
        </w:drawing>
      </w:r>
    </w:p>
    <w:p w14:paraId="31D345A5" w14:textId="77777777" w:rsidR="00EB70B0" w:rsidRDefault="0060782A">
      <w:pPr>
        <w:spacing w:after="200" w:line="360" w:lineRule="auto"/>
        <w:jc w:val="both"/>
        <w:rPr>
          <w:rFonts w:ascii="Arial" w:eastAsia="Arial" w:hAnsi="Arial" w:cs="Arial"/>
          <w:sz w:val="24"/>
          <w:szCs w:val="24"/>
        </w:rPr>
      </w:pPr>
      <w:r>
        <w:rPr>
          <w:rFonts w:ascii="Arial" w:eastAsia="Arial" w:hAnsi="Arial" w:cs="Arial"/>
          <w:b/>
          <w:bCs/>
          <w:i/>
          <w:iCs/>
          <w:sz w:val="24"/>
          <w:szCs w:val="24"/>
        </w:rPr>
        <w:t>Figure 1: 4-week quit success rates by cessation aid, England 2024/25 (NHS England Digital, 2025)</w:t>
      </w:r>
    </w:p>
    <w:p w14:paraId="11238B75" w14:textId="77777777" w:rsidR="00EB70B0" w:rsidRDefault="0060782A">
      <w:pPr>
        <w:pStyle w:val="Heading2"/>
        <w:spacing w:before="240" w:after="120" w:line="360" w:lineRule="auto"/>
        <w:jc w:val="both"/>
        <w:rPr>
          <w:rFonts w:ascii="Arial" w:eastAsia="Arial" w:hAnsi="Arial" w:cs="Arial"/>
          <w:b/>
          <w:bCs/>
          <w:color w:val="000000"/>
          <w:sz w:val="28"/>
          <w:szCs w:val="28"/>
        </w:rPr>
      </w:pPr>
      <w:bookmarkStart w:id="3" w:name="_heading=h.3zvk0mu5vt23" w:colFirst="0" w:colLast="0"/>
      <w:bookmarkEnd w:id="3"/>
      <w:r>
        <w:rPr>
          <w:rFonts w:ascii="Arial" w:eastAsia="Arial" w:hAnsi="Arial" w:cs="Arial"/>
          <w:b/>
          <w:bCs/>
          <w:color w:val="000000"/>
          <w:sz w:val="28"/>
          <w:szCs w:val="28"/>
        </w:rPr>
        <w:t>The technology: virtual Help Me Quit consultations</w:t>
      </w:r>
    </w:p>
    <w:p w14:paraId="1BA9CA0B" w14:textId="77777777" w:rsidR="00EB70B0" w:rsidRDefault="0060782A">
      <w:pPr>
        <w:spacing w:after="200" w:line="360" w:lineRule="auto"/>
        <w:jc w:val="both"/>
        <w:rPr>
          <w:rFonts w:ascii="Arial" w:eastAsia="Arial" w:hAnsi="Arial" w:cs="Arial"/>
          <w:sz w:val="24"/>
          <w:szCs w:val="24"/>
        </w:rPr>
      </w:pPr>
      <w:r>
        <w:rPr>
          <w:rFonts w:ascii="Arial" w:eastAsia="Arial" w:hAnsi="Arial" w:cs="Arial"/>
          <w:sz w:val="24"/>
          <w:szCs w:val="24"/>
        </w:rPr>
        <w:t xml:space="preserve">Driven by the acceleration of change brought by COVID-19, in 2020 Swansea Bay Health Board partnered with Public Health Wales and piloted a virtual stop-smoking service </w:t>
      </w:r>
      <w:r>
        <w:rPr>
          <w:rFonts w:ascii="Arial" w:eastAsia="Arial" w:hAnsi="Arial" w:cs="Arial"/>
          <w:sz w:val="24"/>
          <w:szCs w:val="24"/>
        </w:rPr>
        <w:lastRenderedPageBreak/>
        <w:t>making behavioural support available by video conferencing in addition to the established telephone service (Swansea Bay University Health Board, 2020). This has been developed into the wider telehealth offer Help Me Quit that includes a bilingual application on Figure 2 that users can interact with, including setting a quit date, logging cravings, and tracking savings (Public Health Wales, 2026) and joining a live webinar with an adviser.</w:t>
      </w:r>
    </w:p>
    <w:p w14:paraId="5BB8C6DC" w14:textId="77777777" w:rsidR="00EB70B0" w:rsidRDefault="0060782A">
      <w:pPr>
        <w:spacing w:before="200" w:after="100" w:line="360" w:lineRule="auto"/>
        <w:jc w:val="center"/>
        <w:rPr>
          <w:rFonts w:ascii="Arial" w:eastAsia="Arial" w:hAnsi="Arial" w:cs="Arial"/>
          <w:sz w:val="24"/>
          <w:szCs w:val="24"/>
        </w:rPr>
      </w:pPr>
      <w:r>
        <w:rPr>
          <w:rFonts w:ascii="Arial" w:eastAsia="Arial" w:hAnsi="Arial" w:cs="Arial"/>
          <w:noProof/>
          <w:sz w:val="24"/>
          <w:szCs w:val="24"/>
        </w:rPr>
        <w:drawing>
          <wp:inline distT="0" distB="0" distL="0" distR="0" wp14:anchorId="36C8266F" wp14:editId="3777527B">
            <wp:extent cx="6000750" cy="212527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t="14511"/>
                    <a:stretch>
                      <a:fillRect/>
                    </a:stretch>
                  </pic:blipFill>
                  <pic:spPr>
                    <a:xfrm>
                      <a:off x="0" y="0"/>
                      <a:ext cx="6000750" cy="2125278"/>
                    </a:xfrm>
                    <a:prstGeom prst="rect">
                      <a:avLst/>
                    </a:prstGeom>
                    <a:ln/>
                  </pic:spPr>
                </pic:pic>
              </a:graphicData>
            </a:graphic>
          </wp:inline>
        </w:drawing>
      </w:r>
    </w:p>
    <w:p w14:paraId="5AB1CEF8" w14:textId="77777777" w:rsidR="00EB70B0" w:rsidRDefault="0060782A">
      <w:pPr>
        <w:spacing w:after="200" w:line="360" w:lineRule="auto"/>
        <w:jc w:val="both"/>
        <w:rPr>
          <w:rFonts w:ascii="Arial" w:eastAsia="Arial" w:hAnsi="Arial" w:cs="Arial"/>
          <w:sz w:val="24"/>
          <w:szCs w:val="24"/>
        </w:rPr>
      </w:pPr>
      <w:r>
        <w:rPr>
          <w:rFonts w:ascii="Arial" w:eastAsia="Arial" w:hAnsi="Arial" w:cs="Arial"/>
          <w:b/>
          <w:bCs/>
          <w:i/>
          <w:iCs/>
          <w:sz w:val="24"/>
          <w:szCs w:val="24"/>
        </w:rPr>
        <w:t>Figure 2: Patient pathway through the Help Me Quit virtual service (adapted from Public Health Wales, 2026)</w:t>
      </w:r>
    </w:p>
    <w:p w14:paraId="725DF341" w14:textId="77777777" w:rsidR="00EB70B0" w:rsidRDefault="0060782A">
      <w:pPr>
        <w:pStyle w:val="Heading2"/>
        <w:spacing w:before="240" w:after="120" w:line="360" w:lineRule="auto"/>
        <w:jc w:val="both"/>
        <w:rPr>
          <w:rFonts w:ascii="Arial" w:eastAsia="Arial" w:hAnsi="Arial" w:cs="Arial"/>
          <w:b/>
          <w:bCs/>
          <w:color w:val="000000"/>
          <w:sz w:val="28"/>
          <w:szCs w:val="28"/>
        </w:rPr>
      </w:pPr>
      <w:bookmarkStart w:id="4" w:name="_heading=h.t43li7mw9ly5" w:colFirst="0" w:colLast="0"/>
      <w:bookmarkEnd w:id="4"/>
      <w:r>
        <w:rPr>
          <w:rFonts w:ascii="Arial" w:eastAsia="Arial" w:hAnsi="Arial" w:cs="Arial"/>
          <w:b/>
          <w:bCs/>
          <w:color w:val="000000"/>
          <w:sz w:val="28"/>
          <w:szCs w:val="28"/>
        </w:rPr>
        <w:t>Evidence of impact</w:t>
      </w:r>
    </w:p>
    <w:p w14:paraId="194A0BC9" w14:textId="77777777" w:rsidR="00EB70B0" w:rsidRDefault="0060782A">
      <w:pPr>
        <w:spacing w:after="200" w:line="360" w:lineRule="auto"/>
        <w:jc w:val="both"/>
        <w:rPr>
          <w:rFonts w:ascii="Arial" w:eastAsia="Arial" w:hAnsi="Arial" w:cs="Arial"/>
          <w:sz w:val="24"/>
          <w:szCs w:val="24"/>
        </w:rPr>
      </w:pPr>
      <w:r>
        <w:rPr>
          <w:rFonts w:ascii="Arial" w:eastAsia="Arial" w:hAnsi="Arial" w:cs="Arial"/>
          <w:sz w:val="24"/>
          <w:szCs w:val="24"/>
        </w:rPr>
        <w:t xml:space="preserve">A systematic review of randomised controlled trials on personalised, interactive web-based interventions for smoking cessation found higher (around double) abstinence rates at 3 and 6 months when compared with less intensive web-based approaches, whilst non-interactive tools on the basis of studies showed no benefit in Table 1 (Fang et al., 2023). This is concordant with the Transtheoretical Model of behaviour change that structures Help Me Quit similar to the movement of a client from stage to stage, i.e., level of readiness (Prochaska and Velicer, 1997), and perhaps explains NHS services offering a combination of pharmacotherapy with behaviour interventions that report a 4-week quit rate greater than 50% (NHS England Digital, 2025). </w:t>
      </w:r>
    </w:p>
    <w:p w14:paraId="48B2EB92" w14:textId="77777777" w:rsidR="00EB70B0" w:rsidRDefault="00EB70B0">
      <w:pPr>
        <w:spacing w:after="200" w:line="360" w:lineRule="auto"/>
        <w:jc w:val="both"/>
        <w:rPr>
          <w:rFonts w:ascii="Arial" w:eastAsia="Arial" w:hAnsi="Arial" w:cs="Arial"/>
          <w:sz w:val="24"/>
          <w:szCs w:val="24"/>
        </w:rPr>
      </w:pPr>
    </w:p>
    <w:p w14:paraId="130419CE" w14:textId="77777777" w:rsidR="00EB70B0" w:rsidRDefault="00EB70B0">
      <w:pPr>
        <w:spacing w:after="200" w:line="360" w:lineRule="auto"/>
        <w:jc w:val="both"/>
        <w:rPr>
          <w:rFonts w:ascii="Arial" w:eastAsia="Arial" w:hAnsi="Arial" w:cs="Arial"/>
          <w:sz w:val="24"/>
          <w:szCs w:val="24"/>
        </w:rPr>
      </w:pPr>
    </w:p>
    <w:tbl>
      <w:tblPr>
        <w:tblStyle w:val="a"/>
        <w:tblW w:w="99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195"/>
        <w:gridCol w:w="3360"/>
        <w:gridCol w:w="3345"/>
      </w:tblGrid>
      <w:tr w:rsidR="00EB70B0" w14:paraId="0B161F06" w14:textId="77777777">
        <w:tc>
          <w:tcPr>
            <w:tcW w:w="3195" w:type="dxa"/>
            <w:shd w:val="clear" w:color="auto" w:fill="D9E2F3"/>
          </w:tcPr>
          <w:p w14:paraId="1F5EBE8B" w14:textId="77777777" w:rsidR="00EB70B0" w:rsidRDefault="0060782A">
            <w:pPr>
              <w:spacing w:line="360" w:lineRule="auto"/>
              <w:jc w:val="both"/>
              <w:rPr>
                <w:rFonts w:ascii="Arial" w:eastAsia="Arial" w:hAnsi="Arial" w:cs="Arial"/>
                <w:sz w:val="24"/>
                <w:szCs w:val="24"/>
              </w:rPr>
            </w:pPr>
            <w:r>
              <w:rPr>
                <w:rFonts w:ascii="Arial" w:eastAsia="Arial" w:hAnsi="Arial" w:cs="Arial"/>
                <w:b/>
                <w:bCs/>
                <w:sz w:val="24"/>
                <w:szCs w:val="24"/>
              </w:rPr>
              <w:lastRenderedPageBreak/>
              <w:t>Cessation aid</w:t>
            </w:r>
          </w:p>
        </w:tc>
        <w:tc>
          <w:tcPr>
            <w:tcW w:w="3360" w:type="dxa"/>
            <w:shd w:val="clear" w:color="auto" w:fill="D9E2F3"/>
          </w:tcPr>
          <w:p w14:paraId="10C091A6" w14:textId="77777777" w:rsidR="00EB70B0" w:rsidRDefault="0060782A">
            <w:pPr>
              <w:spacing w:line="360" w:lineRule="auto"/>
              <w:jc w:val="both"/>
              <w:rPr>
                <w:rFonts w:ascii="Arial" w:eastAsia="Arial" w:hAnsi="Arial" w:cs="Arial"/>
                <w:sz w:val="24"/>
                <w:szCs w:val="24"/>
              </w:rPr>
            </w:pPr>
            <w:r>
              <w:rPr>
                <w:rFonts w:ascii="Arial" w:eastAsia="Arial" w:hAnsi="Arial" w:cs="Arial"/>
                <w:b/>
                <w:bCs/>
                <w:sz w:val="24"/>
                <w:szCs w:val="24"/>
              </w:rPr>
              <w:t>Share of quit attempts</w:t>
            </w:r>
          </w:p>
        </w:tc>
        <w:tc>
          <w:tcPr>
            <w:tcW w:w="3345" w:type="dxa"/>
            <w:shd w:val="clear" w:color="auto" w:fill="D9E2F3"/>
          </w:tcPr>
          <w:p w14:paraId="46A034CB" w14:textId="77777777" w:rsidR="00EB70B0" w:rsidRDefault="0060782A">
            <w:pPr>
              <w:spacing w:line="360" w:lineRule="auto"/>
              <w:jc w:val="center"/>
              <w:rPr>
                <w:rFonts w:ascii="Arial" w:eastAsia="Arial" w:hAnsi="Arial" w:cs="Arial"/>
                <w:sz w:val="24"/>
                <w:szCs w:val="24"/>
              </w:rPr>
            </w:pPr>
            <w:r>
              <w:rPr>
                <w:rFonts w:ascii="Arial" w:eastAsia="Arial" w:hAnsi="Arial" w:cs="Arial"/>
                <w:b/>
                <w:bCs/>
                <w:sz w:val="24"/>
                <w:szCs w:val="24"/>
              </w:rPr>
              <w:t>4-week success rate</w:t>
            </w:r>
          </w:p>
        </w:tc>
      </w:tr>
      <w:tr w:rsidR="00EB70B0" w14:paraId="7F50FD20" w14:textId="77777777">
        <w:tc>
          <w:tcPr>
            <w:tcW w:w="3195" w:type="dxa"/>
          </w:tcPr>
          <w:p w14:paraId="6AB0E366" w14:textId="77777777" w:rsidR="00EB70B0" w:rsidRDefault="0060782A">
            <w:pPr>
              <w:spacing w:line="360" w:lineRule="auto"/>
              <w:jc w:val="both"/>
              <w:rPr>
                <w:rFonts w:ascii="Arial" w:eastAsia="Arial" w:hAnsi="Arial" w:cs="Arial"/>
                <w:sz w:val="24"/>
                <w:szCs w:val="24"/>
              </w:rPr>
            </w:pPr>
            <w:r>
              <w:rPr>
                <w:rFonts w:ascii="Arial" w:eastAsia="Arial" w:hAnsi="Arial" w:cs="Arial"/>
                <w:sz w:val="24"/>
                <w:szCs w:val="24"/>
              </w:rPr>
              <w:t>Combination NRT</w:t>
            </w:r>
          </w:p>
        </w:tc>
        <w:tc>
          <w:tcPr>
            <w:tcW w:w="3360" w:type="dxa"/>
          </w:tcPr>
          <w:p w14:paraId="1F109F11" w14:textId="77777777" w:rsidR="00EB70B0" w:rsidRDefault="0060782A">
            <w:pPr>
              <w:spacing w:line="360" w:lineRule="auto"/>
              <w:jc w:val="center"/>
              <w:rPr>
                <w:rFonts w:ascii="Arial" w:eastAsia="Arial" w:hAnsi="Arial" w:cs="Arial"/>
                <w:sz w:val="24"/>
                <w:szCs w:val="24"/>
              </w:rPr>
            </w:pPr>
            <w:r>
              <w:rPr>
                <w:rFonts w:ascii="Arial" w:eastAsia="Arial" w:hAnsi="Arial" w:cs="Arial"/>
                <w:sz w:val="24"/>
                <w:szCs w:val="24"/>
              </w:rPr>
              <w:t>36.1%</w:t>
            </w:r>
          </w:p>
        </w:tc>
        <w:tc>
          <w:tcPr>
            <w:tcW w:w="3345" w:type="dxa"/>
          </w:tcPr>
          <w:p w14:paraId="5BB30EF0" w14:textId="77777777" w:rsidR="00EB70B0" w:rsidRDefault="0060782A">
            <w:pPr>
              <w:spacing w:line="360" w:lineRule="auto"/>
              <w:jc w:val="center"/>
              <w:rPr>
                <w:rFonts w:ascii="Arial" w:eastAsia="Arial" w:hAnsi="Arial" w:cs="Arial"/>
                <w:sz w:val="24"/>
                <w:szCs w:val="24"/>
              </w:rPr>
            </w:pPr>
            <w:r>
              <w:rPr>
                <w:rFonts w:ascii="Arial" w:eastAsia="Arial" w:hAnsi="Arial" w:cs="Arial"/>
                <w:sz w:val="24"/>
                <w:szCs w:val="24"/>
              </w:rPr>
              <w:t>53.9%</w:t>
            </w:r>
          </w:p>
        </w:tc>
      </w:tr>
      <w:tr w:rsidR="00EB70B0" w14:paraId="3C535428" w14:textId="77777777">
        <w:tc>
          <w:tcPr>
            <w:tcW w:w="3195" w:type="dxa"/>
          </w:tcPr>
          <w:p w14:paraId="610BC310" w14:textId="77777777" w:rsidR="00EB70B0" w:rsidRDefault="0060782A">
            <w:pPr>
              <w:spacing w:line="360" w:lineRule="auto"/>
              <w:jc w:val="both"/>
              <w:rPr>
                <w:rFonts w:ascii="Arial" w:eastAsia="Arial" w:hAnsi="Arial" w:cs="Arial"/>
                <w:sz w:val="24"/>
                <w:szCs w:val="24"/>
              </w:rPr>
            </w:pPr>
            <w:r>
              <w:rPr>
                <w:rFonts w:ascii="Arial" w:eastAsia="Arial" w:hAnsi="Arial" w:cs="Arial"/>
                <w:sz w:val="24"/>
                <w:szCs w:val="24"/>
              </w:rPr>
              <w:t>Nicotine vapes (used alone)</w:t>
            </w:r>
          </w:p>
        </w:tc>
        <w:tc>
          <w:tcPr>
            <w:tcW w:w="3360" w:type="dxa"/>
          </w:tcPr>
          <w:p w14:paraId="1B472231" w14:textId="77777777" w:rsidR="00EB70B0" w:rsidRDefault="0060782A">
            <w:pPr>
              <w:spacing w:line="360" w:lineRule="auto"/>
              <w:jc w:val="center"/>
              <w:rPr>
                <w:rFonts w:ascii="Arial" w:eastAsia="Arial" w:hAnsi="Arial" w:cs="Arial"/>
                <w:sz w:val="24"/>
                <w:szCs w:val="24"/>
              </w:rPr>
            </w:pPr>
            <w:r>
              <w:rPr>
                <w:rFonts w:ascii="Arial" w:eastAsia="Arial" w:hAnsi="Arial" w:cs="Arial"/>
                <w:sz w:val="24"/>
                <w:szCs w:val="24"/>
              </w:rPr>
              <w:t>16.6%</w:t>
            </w:r>
          </w:p>
        </w:tc>
        <w:tc>
          <w:tcPr>
            <w:tcW w:w="3345" w:type="dxa"/>
          </w:tcPr>
          <w:p w14:paraId="12F7826D" w14:textId="77777777" w:rsidR="00EB70B0" w:rsidRDefault="0060782A">
            <w:pPr>
              <w:spacing w:line="360" w:lineRule="auto"/>
              <w:jc w:val="center"/>
              <w:rPr>
                <w:rFonts w:ascii="Arial" w:eastAsia="Arial" w:hAnsi="Arial" w:cs="Arial"/>
                <w:sz w:val="24"/>
                <w:szCs w:val="24"/>
              </w:rPr>
            </w:pPr>
            <w:r>
              <w:rPr>
                <w:rFonts w:ascii="Arial" w:eastAsia="Arial" w:hAnsi="Arial" w:cs="Arial"/>
                <w:sz w:val="24"/>
                <w:szCs w:val="24"/>
              </w:rPr>
              <w:t>56.2%</w:t>
            </w:r>
          </w:p>
        </w:tc>
      </w:tr>
      <w:tr w:rsidR="00EB70B0" w14:paraId="7B6A8656" w14:textId="77777777">
        <w:tc>
          <w:tcPr>
            <w:tcW w:w="3195" w:type="dxa"/>
          </w:tcPr>
          <w:p w14:paraId="63D06416" w14:textId="77777777" w:rsidR="00EB70B0" w:rsidRDefault="0060782A">
            <w:pPr>
              <w:spacing w:line="360" w:lineRule="auto"/>
              <w:jc w:val="both"/>
              <w:rPr>
                <w:rFonts w:ascii="Arial" w:eastAsia="Arial" w:hAnsi="Arial" w:cs="Arial"/>
                <w:sz w:val="24"/>
                <w:szCs w:val="24"/>
              </w:rPr>
            </w:pPr>
            <w:r>
              <w:rPr>
                <w:rFonts w:ascii="Arial" w:eastAsia="Arial" w:hAnsi="Arial" w:cs="Arial"/>
                <w:sz w:val="24"/>
                <w:szCs w:val="24"/>
              </w:rPr>
              <w:t>All Local Stop Smoking Services</w:t>
            </w:r>
          </w:p>
        </w:tc>
        <w:tc>
          <w:tcPr>
            <w:tcW w:w="3360" w:type="dxa"/>
          </w:tcPr>
          <w:p w14:paraId="4C9C8CDD" w14:textId="77777777" w:rsidR="00EB70B0" w:rsidRDefault="0060782A">
            <w:pPr>
              <w:spacing w:line="360" w:lineRule="auto"/>
              <w:jc w:val="center"/>
              <w:rPr>
                <w:rFonts w:ascii="Arial" w:eastAsia="Arial" w:hAnsi="Arial" w:cs="Arial"/>
                <w:sz w:val="24"/>
                <w:szCs w:val="24"/>
              </w:rPr>
            </w:pPr>
            <w:r>
              <w:rPr>
                <w:rFonts w:ascii="Arial" w:eastAsia="Arial" w:hAnsi="Arial" w:cs="Arial"/>
                <w:sz w:val="24"/>
                <w:szCs w:val="24"/>
              </w:rPr>
              <w:t>100%</w:t>
            </w:r>
          </w:p>
        </w:tc>
        <w:tc>
          <w:tcPr>
            <w:tcW w:w="3345" w:type="dxa"/>
          </w:tcPr>
          <w:p w14:paraId="2CD4D134" w14:textId="77777777" w:rsidR="00EB70B0" w:rsidRDefault="0060782A">
            <w:pPr>
              <w:spacing w:line="360" w:lineRule="auto"/>
              <w:jc w:val="center"/>
              <w:rPr>
                <w:rFonts w:ascii="Arial" w:eastAsia="Arial" w:hAnsi="Arial" w:cs="Arial"/>
                <w:sz w:val="24"/>
                <w:szCs w:val="24"/>
              </w:rPr>
            </w:pPr>
            <w:r>
              <w:rPr>
                <w:rFonts w:ascii="Arial" w:eastAsia="Arial" w:hAnsi="Arial" w:cs="Arial"/>
                <w:sz w:val="24"/>
                <w:szCs w:val="24"/>
              </w:rPr>
              <w:t>54.2%</w:t>
            </w:r>
          </w:p>
        </w:tc>
      </w:tr>
    </w:tbl>
    <w:p w14:paraId="40B09843" w14:textId="77777777" w:rsidR="00EB70B0" w:rsidRDefault="0060782A">
      <w:pPr>
        <w:spacing w:before="100" w:after="200" w:line="360" w:lineRule="auto"/>
        <w:jc w:val="both"/>
        <w:rPr>
          <w:rFonts w:ascii="Arial" w:eastAsia="Arial" w:hAnsi="Arial" w:cs="Arial"/>
          <w:b/>
          <w:bCs/>
          <w:i/>
          <w:iCs/>
          <w:sz w:val="24"/>
          <w:szCs w:val="24"/>
        </w:rPr>
      </w:pPr>
      <w:r>
        <w:rPr>
          <w:rFonts w:ascii="Arial" w:eastAsia="Arial" w:hAnsi="Arial" w:cs="Arial"/>
          <w:b/>
          <w:bCs/>
          <w:i/>
          <w:iCs/>
          <w:sz w:val="24"/>
          <w:szCs w:val="24"/>
        </w:rPr>
        <w:t>Table 1: Quit attempts and 4-week success rates by cessation aid, England 2024/25 (NHS England Digital, 2025)</w:t>
      </w:r>
    </w:p>
    <w:p w14:paraId="51CE2877" w14:textId="77777777" w:rsidR="00EB70B0" w:rsidRDefault="0060782A">
      <w:pPr>
        <w:pStyle w:val="Heading2"/>
        <w:spacing w:before="240" w:after="120" w:line="360" w:lineRule="auto"/>
        <w:jc w:val="both"/>
        <w:rPr>
          <w:rFonts w:ascii="Arial" w:eastAsia="Arial" w:hAnsi="Arial" w:cs="Arial"/>
          <w:b/>
          <w:bCs/>
          <w:color w:val="000000"/>
          <w:sz w:val="28"/>
          <w:szCs w:val="28"/>
        </w:rPr>
      </w:pPr>
      <w:bookmarkStart w:id="5" w:name="_heading=h.ihuu967wrlyu" w:colFirst="0" w:colLast="0"/>
      <w:bookmarkEnd w:id="5"/>
      <w:r>
        <w:rPr>
          <w:rFonts w:ascii="Arial" w:eastAsia="Arial" w:hAnsi="Arial" w:cs="Arial"/>
          <w:b/>
          <w:bCs/>
          <w:color w:val="000000"/>
          <w:sz w:val="28"/>
          <w:szCs w:val="28"/>
        </w:rPr>
        <w:t>Advantages and shortfalls</w:t>
      </w:r>
    </w:p>
    <w:p w14:paraId="6CF34D2C" w14:textId="77777777" w:rsidR="00EB70B0" w:rsidRDefault="0060782A">
      <w:pPr>
        <w:spacing w:after="200" w:line="360" w:lineRule="auto"/>
        <w:jc w:val="both"/>
        <w:rPr>
          <w:rFonts w:ascii="Arial" w:eastAsia="Arial" w:hAnsi="Arial" w:cs="Arial"/>
          <w:sz w:val="24"/>
          <w:szCs w:val="24"/>
        </w:rPr>
      </w:pPr>
      <w:r>
        <w:rPr>
          <w:rFonts w:ascii="Arial" w:eastAsia="Arial" w:hAnsi="Arial" w:cs="Arial"/>
          <w:sz w:val="24"/>
          <w:szCs w:val="24"/>
        </w:rPr>
        <w:t xml:space="preserve">The clearest benefit was one of accessibility; it eliminated travel and childcare burdens, as well as helping Wales meet its requirement to deliver services in Welsh. However, it was sorely lacking in digital accessibility: it expects internet reliability, use of a device, and digital confidence, the least likely of older, deprived smokers to experience in figure 4 (NHS England Digital, 2025). There is perhaps an issue with over-estimation of success due to reliance on self-report rather than biochemical authentication. </w:t>
      </w:r>
    </w:p>
    <w:p w14:paraId="4CE4790F" w14:textId="77777777" w:rsidR="00EB70B0" w:rsidRDefault="0060782A">
      <w:pPr>
        <w:spacing w:before="200" w:after="100" w:line="360" w:lineRule="auto"/>
        <w:jc w:val="center"/>
        <w:rPr>
          <w:rFonts w:ascii="Arial" w:eastAsia="Arial" w:hAnsi="Arial" w:cs="Arial"/>
          <w:sz w:val="24"/>
          <w:szCs w:val="24"/>
        </w:rPr>
      </w:pPr>
      <w:r>
        <w:rPr>
          <w:rFonts w:ascii="Arial" w:eastAsia="Arial" w:hAnsi="Arial" w:cs="Arial"/>
          <w:noProof/>
          <w:sz w:val="24"/>
          <w:szCs w:val="24"/>
        </w:rPr>
        <w:drawing>
          <wp:inline distT="0" distB="0" distL="0" distR="0" wp14:anchorId="77A41092" wp14:editId="6C1CB3B6">
            <wp:extent cx="4429125" cy="2794435"/>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t="12304"/>
                    <a:stretch>
                      <a:fillRect/>
                    </a:stretch>
                  </pic:blipFill>
                  <pic:spPr>
                    <a:xfrm>
                      <a:off x="0" y="0"/>
                      <a:ext cx="4429125" cy="2794435"/>
                    </a:xfrm>
                    <a:prstGeom prst="rect">
                      <a:avLst/>
                    </a:prstGeom>
                    <a:ln/>
                  </pic:spPr>
                </pic:pic>
              </a:graphicData>
            </a:graphic>
          </wp:inline>
        </w:drawing>
      </w:r>
    </w:p>
    <w:p w14:paraId="740519D3" w14:textId="77777777" w:rsidR="00EB70B0" w:rsidRDefault="0060782A">
      <w:pPr>
        <w:spacing w:after="200" w:line="360" w:lineRule="auto"/>
        <w:jc w:val="both"/>
        <w:rPr>
          <w:rFonts w:ascii="Arial" w:eastAsia="Arial" w:hAnsi="Arial" w:cs="Arial"/>
          <w:sz w:val="24"/>
          <w:szCs w:val="24"/>
        </w:rPr>
      </w:pPr>
      <w:r>
        <w:rPr>
          <w:rFonts w:ascii="Arial" w:eastAsia="Arial" w:hAnsi="Arial" w:cs="Arial"/>
          <w:b/>
          <w:bCs/>
          <w:i/>
          <w:iCs/>
          <w:sz w:val="24"/>
          <w:szCs w:val="24"/>
        </w:rPr>
        <w:t>Figure 4: Share of UK adults without home internet access, by age (ISPreview, 2025)</w:t>
      </w:r>
    </w:p>
    <w:p w14:paraId="02BCAAA4" w14:textId="77777777" w:rsidR="00EB70B0" w:rsidRDefault="0060782A">
      <w:pPr>
        <w:pStyle w:val="Heading2"/>
        <w:spacing w:before="240" w:after="120" w:line="360" w:lineRule="auto"/>
        <w:jc w:val="both"/>
        <w:rPr>
          <w:rFonts w:ascii="Arial" w:eastAsia="Arial" w:hAnsi="Arial" w:cs="Arial"/>
          <w:b/>
          <w:bCs/>
          <w:color w:val="000000"/>
          <w:sz w:val="28"/>
          <w:szCs w:val="28"/>
        </w:rPr>
      </w:pPr>
      <w:bookmarkStart w:id="6" w:name="_heading=h.2mcbcg6qlyd4" w:colFirst="0" w:colLast="0"/>
      <w:bookmarkEnd w:id="6"/>
      <w:r>
        <w:rPr>
          <w:rFonts w:ascii="Arial" w:eastAsia="Arial" w:hAnsi="Arial" w:cs="Arial"/>
          <w:b/>
          <w:bCs/>
          <w:color w:val="000000"/>
          <w:sz w:val="28"/>
          <w:szCs w:val="28"/>
        </w:rPr>
        <w:t>How this shortfall could be addressed</w:t>
      </w:r>
    </w:p>
    <w:p w14:paraId="1AEB1A24" w14:textId="77777777" w:rsidR="00EB70B0" w:rsidRDefault="0060782A">
      <w:pPr>
        <w:spacing w:after="200" w:line="360" w:lineRule="auto"/>
        <w:jc w:val="both"/>
        <w:rPr>
          <w:rFonts w:ascii="Arial" w:eastAsia="Arial" w:hAnsi="Arial" w:cs="Arial"/>
          <w:sz w:val="24"/>
          <w:szCs w:val="24"/>
        </w:rPr>
      </w:pPr>
      <w:r>
        <w:rPr>
          <w:rFonts w:ascii="Arial" w:eastAsia="Arial" w:hAnsi="Arial" w:cs="Arial"/>
          <w:sz w:val="24"/>
          <w:szCs w:val="24"/>
        </w:rPr>
        <w:lastRenderedPageBreak/>
        <w:t xml:space="preserve">The possibility of providing phone help as a standing option, rather than a fallback option, plus enabling secure use of library and community computers to access the web are all possible remedies that could be adopted to fill this breach in service, explored directly in Blog 2. </w:t>
      </w:r>
    </w:p>
    <w:p w14:paraId="48569246" w14:textId="77777777" w:rsidR="00EB70B0" w:rsidRDefault="0060782A">
      <w:pPr>
        <w:pStyle w:val="Heading2"/>
        <w:spacing w:before="240" w:after="120" w:line="360" w:lineRule="auto"/>
        <w:jc w:val="both"/>
        <w:rPr>
          <w:rFonts w:ascii="Arial" w:eastAsia="Arial" w:hAnsi="Arial" w:cs="Arial"/>
          <w:b/>
          <w:bCs/>
          <w:color w:val="000000"/>
          <w:sz w:val="28"/>
          <w:szCs w:val="28"/>
        </w:rPr>
      </w:pPr>
      <w:bookmarkStart w:id="7" w:name="_heading=h.tjysv91chhlt" w:colFirst="0" w:colLast="0"/>
      <w:bookmarkEnd w:id="7"/>
      <w:r>
        <w:rPr>
          <w:rFonts w:ascii="Arial" w:eastAsia="Arial" w:hAnsi="Arial" w:cs="Arial"/>
          <w:b/>
          <w:bCs/>
          <w:color w:val="000000"/>
          <w:sz w:val="28"/>
          <w:szCs w:val="28"/>
        </w:rPr>
        <w:t>Reference List (Blog 1)</w:t>
      </w:r>
    </w:p>
    <w:p w14:paraId="3C3664F1" w14:textId="77777777" w:rsidR="00EB70B0" w:rsidRDefault="0060782A">
      <w:pPr>
        <w:numPr>
          <w:ilvl w:val="0"/>
          <w:numId w:val="1"/>
        </w:numPr>
        <w:spacing w:line="360" w:lineRule="auto"/>
        <w:jc w:val="both"/>
        <w:rPr>
          <w:rFonts w:ascii="Arial" w:eastAsia="Arial" w:hAnsi="Arial" w:cs="Arial"/>
          <w:sz w:val="24"/>
          <w:szCs w:val="24"/>
        </w:rPr>
      </w:pPr>
      <w:r>
        <w:rPr>
          <w:rFonts w:ascii="Arial" w:eastAsia="Arial" w:hAnsi="Arial" w:cs="Arial"/>
          <w:sz w:val="24"/>
          <w:szCs w:val="24"/>
        </w:rPr>
        <w:t>Fang, Y.E., Zhang, Z., Wang, R., Yang, B., Chen, C., Nisa, C., Tong, X. and Yan, L.L. (2023) 'Effectiveness of eHealth Smoking Cessation Interventions: Systematic Review and Meta-Analysis', Journal of Medical Internet Research, 25, e45111.</w:t>
      </w:r>
    </w:p>
    <w:p w14:paraId="0DCB3F68" w14:textId="77777777" w:rsidR="00EB70B0" w:rsidRDefault="0060782A">
      <w:pPr>
        <w:numPr>
          <w:ilvl w:val="0"/>
          <w:numId w:val="1"/>
        </w:numPr>
        <w:spacing w:line="360" w:lineRule="auto"/>
        <w:jc w:val="both"/>
        <w:rPr>
          <w:rFonts w:ascii="Arial" w:eastAsia="Arial" w:hAnsi="Arial" w:cs="Arial"/>
          <w:sz w:val="24"/>
          <w:szCs w:val="24"/>
        </w:rPr>
      </w:pPr>
      <w:r>
        <w:rPr>
          <w:rFonts w:ascii="Arial" w:eastAsia="Arial" w:hAnsi="Arial" w:cs="Arial"/>
          <w:sz w:val="24"/>
          <w:szCs w:val="24"/>
        </w:rPr>
        <w:t>ISPreview (2025) Ofcom Finds Internet Access Levels in the UK Remain Stable in 2024. Available at: https://www.ispreview.co.uk/index.php/2025/05/ofcom-find-internet-access-levels-in-the-uk-remain-stable-in-2024.html (Accessed: 27 July 2026).</w:t>
      </w:r>
    </w:p>
    <w:p w14:paraId="494C21B1" w14:textId="77777777" w:rsidR="00EB70B0" w:rsidRDefault="0060782A">
      <w:pPr>
        <w:numPr>
          <w:ilvl w:val="0"/>
          <w:numId w:val="1"/>
        </w:numPr>
        <w:spacing w:line="360" w:lineRule="auto"/>
        <w:jc w:val="both"/>
        <w:rPr>
          <w:rFonts w:ascii="Arial" w:eastAsia="Arial" w:hAnsi="Arial" w:cs="Arial"/>
          <w:sz w:val="24"/>
          <w:szCs w:val="24"/>
        </w:rPr>
      </w:pPr>
      <w:r>
        <w:rPr>
          <w:rFonts w:ascii="Arial" w:eastAsia="Arial" w:hAnsi="Arial" w:cs="Arial"/>
          <w:sz w:val="24"/>
          <w:szCs w:val="24"/>
        </w:rPr>
        <w:t>NHS England Digital (2025) Statistics on Local Stop Smoking Services in England, April 2024 to March 2025. Available at: https://digital.nhs.uk/data-and-information/publications/statistical/statistics-on-nhs (Accessed: 27 July 2026).</w:t>
      </w:r>
    </w:p>
    <w:p w14:paraId="08B563E3" w14:textId="77777777" w:rsidR="00EB70B0" w:rsidRDefault="0060782A">
      <w:pPr>
        <w:numPr>
          <w:ilvl w:val="0"/>
          <w:numId w:val="1"/>
        </w:numPr>
        <w:spacing w:line="360" w:lineRule="auto"/>
        <w:jc w:val="both"/>
        <w:rPr>
          <w:rFonts w:ascii="Arial" w:eastAsia="Arial" w:hAnsi="Arial" w:cs="Arial"/>
          <w:sz w:val="24"/>
          <w:szCs w:val="24"/>
        </w:rPr>
      </w:pPr>
      <w:r>
        <w:rPr>
          <w:rFonts w:ascii="Arial" w:eastAsia="Arial" w:hAnsi="Arial" w:cs="Arial"/>
          <w:sz w:val="24"/>
          <w:szCs w:val="24"/>
        </w:rPr>
        <w:t>Prochaska, J.O. and Velicer, W.F. (1997) The transtheoretical model of health behaviour change', American Journal of Health Promotion, 12(1), pp. 38–48.</w:t>
      </w:r>
    </w:p>
    <w:p w14:paraId="31C5B41D" w14:textId="77777777" w:rsidR="00EB70B0" w:rsidRDefault="0060782A">
      <w:pPr>
        <w:numPr>
          <w:ilvl w:val="0"/>
          <w:numId w:val="1"/>
        </w:numPr>
        <w:spacing w:line="360" w:lineRule="auto"/>
        <w:jc w:val="both"/>
        <w:rPr>
          <w:rFonts w:ascii="Arial" w:eastAsia="Arial" w:hAnsi="Arial" w:cs="Arial"/>
          <w:sz w:val="24"/>
          <w:szCs w:val="24"/>
        </w:rPr>
      </w:pPr>
      <w:r>
        <w:rPr>
          <w:rFonts w:ascii="Arial" w:eastAsia="Arial" w:hAnsi="Arial" w:cs="Arial"/>
          <w:sz w:val="24"/>
          <w:szCs w:val="24"/>
        </w:rPr>
        <w:t>Public Health Wales (2026) Bilingual app launched to help people quit smoking in Wales. Available at: https://phw.nhs.wales/2026/07/12/bilingual-app-launched-to-help-people-quit-smoking (Accessed: 27 July 2026).</w:t>
      </w:r>
    </w:p>
    <w:p w14:paraId="089B7C4E" w14:textId="77777777" w:rsidR="00EB70B0" w:rsidRDefault="0060782A">
      <w:pPr>
        <w:numPr>
          <w:ilvl w:val="0"/>
          <w:numId w:val="1"/>
        </w:numPr>
        <w:spacing w:after="160" w:line="360" w:lineRule="auto"/>
        <w:jc w:val="both"/>
        <w:rPr>
          <w:rFonts w:ascii="Arial" w:eastAsia="Arial" w:hAnsi="Arial" w:cs="Arial"/>
          <w:sz w:val="24"/>
          <w:szCs w:val="24"/>
        </w:rPr>
      </w:pPr>
      <w:r>
        <w:rPr>
          <w:rFonts w:ascii="Arial" w:eastAsia="Arial" w:hAnsi="Arial" w:cs="Arial"/>
          <w:sz w:val="24"/>
          <w:szCs w:val="24"/>
        </w:rPr>
        <w:t>Swansea Bay University Health Board (2020) Smokers getting virtual support to help them give up. Available at: https://sbuhb.nhs.wales/news/swansea-bay-health-news/smokers-getting-virtual-(Accessed: 27 July 2026).</w:t>
      </w:r>
      <w:r>
        <w:br w:type="page"/>
      </w:r>
    </w:p>
    <w:p w14:paraId="4FFC5F8D" w14:textId="77777777" w:rsidR="00EB70B0" w:rsidRDefault="0060782A">
      <w:pPr>
        <w:pStyle w:val="Heading1"/>
        <w:spacing w:after="200" w:line="360" w:lineRule="auto"/>
        <w:jc w:val="both"/>
        <w:rPr>
          <w:rFonts w:ascii="Arial" w:eastAsia="Arial" w:hAnsi="Arial" w:cs="Arial"/>
          <w:b/>
          <w:bCs/>
          <w:color w:val="000000"/>
          <w:sz w:val="28"/>
          <w:szCs w:val="28"/>
        </w:rPr>
      </w:pPr>
      <w:bookmarkStart w:id="8" w:name="_heading=h.h32cilu18tr2" w:colFirst="0" w:colLast="0"/>
      <w:bookmarkEnd w:id="8"/>
      <w:r>
        <w:rPr>
          <w:rFonts w:ascii="Arial" w:eastAsia="Arial" w:hAnsi="Arial" w:cs="Arial"/>
          <w:b/>
          <w:bCs/>
          <w:color w:val="000000"/>
          <w:sz w:val="28"/>
          <w:szCs w:val="28"/>
        </w:rPr>
        <w:t>Blog 2: QuitConnect — A Digital Technology I Designed for Smoking Cessation</w:t>
      </w:r>
    </w:p>
    <w:p w14:paraId="1FEA8C4D" w14:textId="77777777" w:rsidR="00EB70B0" w:rsidRDefault="0060782A">
      <w:pPr>
        <w:pStyle w:val="Heading2"/>
        <w:spacing w:before="240" w:after="120" w:line="360" w:lineRule="auto"/>
        <w:jc w:val="both"/>
        <w:rPr>
          <w:rFonts w:ascii="Arial" w:eastAsia="Arial" w:hAnsi="Arial" w:cs="Arial"/>
          <w:b/>
          <w:bCs/>
          <w:color w:val="000000"/>
          <w:sz w:val="28"/>
          <w:szCs w:val="28"/>
        </w:rPr>
      </w:pPr>
      <w:bookmarkStart w:id="9" w:name="_heading=h.t0gcsorp3rdm" w:colFirst="0" w:colLast="0"/>
      <w:bookmarkEnd w:id="9"/>
      <w:r>
        <w:rPr>
          <w:rFonts w:ascii="Arial" w:eastAsia="Arial" w:hAnsi="Arial" w:cs="Arial"/>
          <w:b/>
          <w:bCs/>
          <w:color w:val="000000"/>
          <w:sz w:val="28"/>
          <w:szCs w:val="28"/>
        </w:rPr>
        <w:t>The problem, revisited</w:t>
      </w:r>
    </w:p>
    <w:p w14:paraId="041524EB" w14:textId="1148C465" w:rsidR="00EB70B0" w:rsidRDefault="0060782A">
      <w:pPr>
        <w:spacing w:after="200" w:line="360" w:lineRule="auto"/>
        <w:jc w:val="both"/>
        <w:rPr>
          <w:rFonts w:ascii="Arial" w:eastAsia="Arial" w:hAnsi="Arial" w:cs="Arial"/>
          <w:sz w:val="24"/>
          <w:szCs w:val="24"/>
        </w:rPr>
      </w:pPr>
      <w:r>
        <w:rPr>
          <w:rFonts w:ascii="Arial" w:eastAsia="Arial" w:hAnsi="Arial" w:cs="Arial"/>
          <w:sz w:val="24"/>
          <w:szCs w:val="24"/>
        </w:rPr>
        <w:t xml:space="preserve">As Blog 1 set out, smoking is </w:t>
      </w:r>
      <w:r w:rsidR="006E29B1">
        <w:rPr>
          <w:rFonts w:ascii="Arial" w:eastAsia="Arial" w:hAnsi="Arial" w:cs="Arial"/>
          <w:sz w:val="24"/>
          <w:szCs w:val="24"/>
        </w:rPr>
        <w:t>centered</w:t>
      </w:r>
      <w:r>
        <w:rPr>
          <w:rFonts w:ascii="Arial" w:eastAsia="Arial" w:hAnsi="Arial" w:cs="Arial"/>
          <w:sz w:val="24"/>
          <w:szCs w:val="24"/>
        </w:rPr>
        <w:t xml:space="preserve"> in lower-income and manual occupational groups, and smartphone ownership, data, and digital confidence are least likely to be met by these groups</w:t>
      </w:r>
      <w:r w:rsidR="006E29B1">
        <w:rPr>
          <w:rFonts w:ascii="Arial" w:eastAsia="Arial" w:hAnsi="Arial" w:cs="Arial"/>
          <w:sz w:val="24"/>
          <w:szCs w:val="24"/>
        </w:rPr>
        <w:t>,</w:t>
      </w:r>
      <w:r>
        <w:rPr>
          <w:rFonts w:ascii="Arial" w:eastAsia="Arial" w:hAnsi="Arial" w:cs="Arial"/>
          <w:sz w:val="24"/>
          <w:szCs w:val="24"/>
        </w:rPr>
        <w:t xml:space="preserve"> who depend on virtual cessation support options (NHS England Digital, 2025). If not dealt with, this may increase and perpetuate the gap in health-related smoking between social classes that services such as Help Me Quit want to close. </w:t>
      </w:r>
    </w:p>
    <w:p w14:paraId="3A35EEAA" w14:textId="77777777" w:rsidR="00EB70B0" w:rsidRDefault="00EB70B0">
      <w:pPr>
        <w:spacing w:after="200" w:line="360" w:lineRule="auto"/>
        <w:jc w:val="both"/>
        <w:rPr>
          <w:rFonts w:ascii="Arial" w:eastAsia="Arial" w:hAnsi="Arial" w:cs="Arial"/>
          <w:sz w:val="24"/>
          <w:szCs w:val="24"/>
        </w:rPr>
      </w:pPr>
    </w:p>
    <w:p w14:paraId="4211B870" w14:textId="77777777" w:rsidR="00EB70B0" w:rsidRDefault="0060782A">
      <w:pPr>
        <w:pStyle w:val="Heading2"/>
        <w:spacing w:before="240" w:after="120" w:line="360" w:lineRule="auto"/>
        <w:jc w:val="both"/>
        <w:rPr>
          <w:rFonts w:ascii="Arial" w:eastAsia="Arial" w:hAnsi="Arial" w:cs="Arial"/>
          <w:b/>
          <w:bCs/>
          <w:color w:val="000000"/>
          <w:sz w:val="28"/>
          <w:szCs w:val="28"/>
        </w:rPr>
      </w:pPr>
      <w:bookmarkStart w:id="10" w:name="_heading=h.l6ds8wvrlp9b" w:colFirst="0" w:colLast="0"/>
      <w:bookmarkEnd w:id="10"/>
      <w:r>
        <w:rPr>
          <w:rFonts w:ascii="Arial" w:eastAsia="Arial" w:hAnsi="Arial" w:cs="Arial"/>
          <w:b/>
          <w:bCs/>
          <w:color w:val="000000"/>
          <w:sz w:val="28"/>
          <w:szCs w:val="28"/>
        </w:rPr>
        <w:t>The technology I have designed: QuitConnect</w:t>
      </w:r>
    </w:p>
    <w:p w14:paraId="3CDD81DF" w14:textId="453C0419" w:rsidR="00EB70B0" w:rsidRDefault="0060782A">
      <w:pPr>
        <w:spacing w:after="200" w:line="360" w:lineRule="auto"/>
        <w:jc w:val="both"/>
        <w:rPr>
          <w:rFonts w:ascii="Arial" w:eastAsia="Arial" w:hAnsi="Arial" w:cs="Arial"/>
          <w:sz w:val="24"/>
          <w:szCs w:val="24"/>
        </w:rPr>
      </w:pPr>
      <w:r>
        <w:rPr>
          <w:rFonts w:ascii="Arial" w:eastAsia="Arial" w:hAnsi="Arial" w:cs="Arial"/>
          <w:sz w:val="24"/>
          <w:szCs w:val="24"/>
        </w:rPr>
        <w:t xml:space="preserve">QuitConnect was supposed to be a companion. The design of QuitConnect is a quit-smoking cessation support tool working entirely over SMS &amp; USSD. No app is needed, nor data; it was designed for those who will not be able to use QuitNow on a smartphone. The solution works for low bandwidth; through the phone calls, it developed this tool for quitting smoking based on a short assessment that records the client's smoking pattern, like times and </w:t>
      </w:r>
      <w:r w:rsidR="006E29B1">
        <w:rPr>
          <w:rFonts w:ascii="Arial" w:eastAsia="Arial" w:hAnsi="Arial" w:cs="Arial"/>
          <w:sz w:val="24"/>
          <w:szCs w:val="24"/>
        </w:rPr>
        <w:t>situations where</w:t>
      </w:r>
      <w:r>
        <w:rPr>
          <w:rFonts w:ascii="Arial" w:eastAsia="Arial" w:hAnsi="Arial" w:cs="Arial"/>
          <w:sz w:val="24"/>
          <w:szCs w:val="24"/>
        </w:rPr>
        <w:t xml:space="preserve"> they are mostly prone to smoking. This tool helps in sending SMS to clients at times </w:t>
      </w:r>
      <w:r w:rsidR="006E29B1">
        <w:rPr>
          <w:rFonts w:ascii="Arial" w:eastAsia="Arial" w:hAnsi="Arial" w:cs="Arial"/>
          <w:sz w:val="24"/>
          <w:szCs w:val="24"/>
        </w:rPr>
        <w:t xml:space="preserve">when </w:t>
      </w:r>
      <w:r>
        <w:rPr>
          <w:rFonts w:ascii="Arial" w:eastAsia="Arial" w:hAnsi="Arial" w:cs="Arial"/>
          <w:sz w:val="24"/>
          <w:szCs w:val="24"/>
        </w:rPr>
        <w:t xml:space="preserve">they are more prone to smoke; it would educate them with short psychoeducational messages from the recorded pattern to prevent that craving. The keywords feature will help to trigger immediate coping messages that relate to the smoking situation by texting "Urge", while being able to motivate clients through sending notifications as a savings tracker for clients and congratulating them on milestones; a simple missed check-in twice will call the Smokefree Advisor automatically (Figure 5). </w:t>
      </w:r>
    </w:p>
    <w:p w14:paraId="18CC120B" w14:textId="77777777" w:rsidR="00EB70B0" w:rsidRDefault="0060782A">
      <w:pPr>
        <w:spacing w:before="200" w:after="100" w:line="360" w:lineRule="auto"/>
        <w:jc w:val="center"/>
        <w:rPr>
          <w:rFonts w:ascii="Arial" w:eastAsia="Arial" w:hAnsi="Arial" w:cs="Arial"/>
          <w:sz w:val="24"/>
          <w:szCs w:val="24"/>
        </w:rPr>
      </w:pPr>
      <w:r>
        <w:rPr>
          <w:rFonts w:ascii="Arial" w:eastAsia="Arial" w:hAnsi="Arial" w:cs="Arial"/>
          <w:noProof/>
          <w:sz w:val="24"/>
          <w:szCs w:val="24"/>
        </w:rPr>
        <w:drawing>
          <wp:inline distT="0" distB="0" distL="0" distR="0" wp14:anchorId="242744EE" wp14:editId="118C2306">
            <wp:extent cx="4152900" cy="231442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t="12650"/>
                    <a:stretch>
                      <a:fillRect/>
                    </a:stretch>
                  </pic:blipFill>
                  <pic:spPr>
                    <a:xfrm>
                      <a:off x="0" y="0"/>
                      <a:ext cx="4152900" cy="2314425"/>
                    </a:xfrm>
                    <a:prstGeom prst="rect">
                      <a:avLst/>
                    </a:prstGeom>
                    <a:ln/>
                  </pic:spPr>
                </pic:pic>
              </a:graphicData>
            </a:graphic>
          </wp:inline>
        </w:drawing>
      </w:r>
    </w:p>
    <w:p w14:paraId="67DCF527" w14:textId="77777777" w:rsidR="00EB70B0" w:rsidRPr="006E29B1" w:rsidRDefault="0060782A">
      <w:pPr>
        <w:spacing w:after="200" w:line="360" w:lineRule="auto"/>
        <w:jc w:val="both"/>
        <w:rPr>
          <w:rFonts w:ascii="Arial" w:eastAsia="Arial" w:hAnsi="Arial" w:cs="Arial"/>
        </w:rPr>
      </w:pPr>
      <w:r w:rsidRPr="006E29B1">
        <w:rPr>
          <w:rFonts w:ascii="Arial" w:eastAsia="Arial" w:hAnsi="Arial" w:cs="Arial"/>
          <w:i/>
          <w:iCs/>
        </w:rPr>
        <w:t>Figure 5: UK adults facing digital exclusion, by connectivity type (Total Telecom, 2025)</w:t>
      </w:r>
    </w:p>
    <w:p w14:paraId="22B5CC1C" w14:textId="77777777" w:rsidR="00EB70B0" w:rsidRDefault="0060782A">
      <w:pPr>
        <w:pStyle w:val="Heading2"/>
        <w:spacing w:before="240" w:after="120" w:line="360" w:lineRule="auto"/>
        <w:jc w:val="both"/>
        <w:rPr>
          <w:rFonts w:ascii="Arial" w:eastAsia="Arial" w:hAnsi="Arial" w:cs="Arial"/>
          <w:b/>
          <w:bCs/>
          <w:color w:val="000000"/>
          <w:sz w:val="28"/>
          <w:szCs w:val="28"/>
        </w:rPr>
      </w:pPr>
      <w:bookmarkStart w:id="11" w:name="_heading=h.4798hzkoanyd" w:colFirst="0" w:colLast="0"/>
      <w:bookmarkEnd w:id="11"/>
      <w:r>
        <w:rPr>
          <w:rFonts w:ascii="Arial" w:eastAsia="Arial" w:hAnsi="Arial" w:cs="Arial"/>
          <w:b/>
          <w:bCs/>
          <w:color w:val="000000"/>
          <w:sz w:val="28"/>
          <w:szCs w:val="28"/>
        </w:rPr>
        <w:t>Grounding in behaviour change theory</w:t>
      </w:r>
    </w:p>
    <w:p w14:paraId="33641A13" w14:textId="77777777" w:rsidR="00EB70B0" w:rsidRDefault="0060782A">
      <w:pPr>
        <w:spacing w:after="200" w:line="360" w:lineRule="auto"/>
        <w:jc w:val="both"/>
        <w:rPr>
          <w:rFonts w:ascii="Arial" w:eastAsia="Arial" w:hAnsi="Arial" w:cs="Arial"/>
          <w:sz w:val="24"/>
          <w:szCs w:val="24"/>
        </w:rPr>
      </w:pPr>
      <w:r>
        <w:rPr>
          <w:rFonts w:ascii="Arial" w:eastAsia="Arial" w:hAnsi="Arial" w:cs="Arial"/>
          <w:sz w:val="24"/>
          <w:szCs w:val="24"/>
        </w:rPr>
        <w:t xml:space="preserve">QuitConnect draws on the COM-B model, using the wheel to understand behaviour in terms of capability, opportunity and motivation in Figure 3 in the paper submitted (Michie, van Stralen and West, 2011). It addresses psychological capability, like repeated psychoeducation; physical opportunity, where the barrier of smartphone and data usage is negated; and motivation, where there are immediate effects based on craving help and the progress is measured, mirroring the staged method to achieving goals in the Stop Smoking service example (Prochaska and Velicer, 1997). </w:t>
      </w:r>
    </w:p>
    <w:p w14:paraId="224924D2" w14:textId="77777777" w:rsidR="00EB70B0" w:rsidRDefault="0060782A">
      <w:pPr>
        <w:spacing w:before="200" w:after="100" w:line="360" w:lineRule="auto"/>
        <w:jc w:val="center"/>
        <w:rPr>
          <w:rFonts w:ascii="Arial" w:eastAsia="Arial" w:hAnsi="Arial" w:cs="Arial"/>
          <w:sz w:val="24"/>
          <w:szCs w:val="24"/>
        </w:rPr>
      </w:pPr>
      <w:r>
        <w:rPr>
          <w:rFonts w:ascii="Arial" w:eastAsia="Arial" w:hAnsi="Arial" w:cs="Arial"/>
          <w:noProof/>
          <w:sz w:val="24"/>
          <w:szCs w:val="24"/>
        </w:rPr>
        <w:drawing>
          <wp:inline distT="0" distB="0" distL="0" distR="0" wp14:anchorId="4828585F" wp14:editId="4ED32162">
            <wp:extent cx="5991225" cy="2576513"/>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t="10121"/>
                    <a:stretch>
                      <a:fillRect/>
                    </a:stretch>
                  </pic:blipFill>
                  <pic:spPr>
                    <a:xfrm>
                      <a:off x="0" y="0"/>
                      <a:ext cx="5991225" cy="2576513"/>
                    </a:xfrm>
                    <a:prstGeom prst="rect">
                      <a:avLst/>
                    </a:prstGeom>
                    <a:ln/>
                  </pic:spPr>
                </pic:pic>
              </a:graphicData>
            </a:graphic>
          </wp:inline>
        </w:drawing>
      </w:r>
    </w:p>
    <w:p w14:paraId="6B163E90" w14:textId="77777777" w:rsidR="00EB70B0" w:rsidRPr="006E29B1" w:rsidRDefault="0060782A">
      <w:pPr>
        <w:spacing w:after="200" w:line="360" w:lineRule="auto"/>
        <w:jc w:val="both"/>
        <w:rPr>
          <w:rFonts w:ascii="Arial" w:eastAsia="Arial" w:hAnsi="Arial" w:cs="Arial"/>
        </w:rPr>
      </w:pPr>
      <w:r w:rsidRPr="006E29B1">
        <w:rPr>
          <w:rFonts w:ascii="Arial" w:eastAsia="Arial" w:hAnsi="Arial" w:cs="Arial"/>
          <w:i/>
          <w:iCs/>
        </w:rPr>
        <w:t>Figure 3: QuitConnect mapped to the COM-B model of behaviour change (Michie, van Stralen and West, 2011)</w:t>
      </w:r>
    </w:p>
    <w:p w14:paraId="4F6B15F2" w14:textId="77777777" w:rsidR="00EB70B0" w:rsidRDefault="0060782A">
      <w:pPr>
        <w:pStyle w:val="Heading2"/>
        <w:spacing w:before="240" w:after="120" w:line="360" w:lineRule="auto"/>
        <w:jc w:val="both"/>
        <w:rPr>
          <w:rFonts w:ascii="Arial" w:eastAsia="Arial" w:hAnsi="Arial" w:cs="Arial"/>
          <w:b/>
          <w:bCs/>
          <w:color w:val="000000"/>
          <w:sz w:val="28"/>
          <w:szCs w:val="28"/>
        </w:rPr>
      </w:pPr>
      <w:bookmarkStart w:id="12" w:name="_heading=h.yj7vw8m9pmsk" w:colFirst="0" w:colLast="0"/>
      <w:bookmarkEnd w:id="12"/>
      <w:r>
        <w:rPr>
          <w:rFonts w:ascii="Arial" w:eastAsia="Arial" w:hAnsi="Arial" w:cs="Arial"/>
          <w:b/>
          <w:bCs/>
          <w:color w:val="000000"/>
          <w:sz w:val="28"/>
          <w:szCs w:val="28"/>
        </w:rPr>
        <w:t>Expected impact: advantages and shortfalls</w:t>
      </w:r>
    </w:p>
    <w:p w14:paraId="5A35B3AA" w14:textId="77777777" w:rsidR="00EB70B0" w:rsidRDefault="0060782A">
      <w:pPr>
        <w:spacing w:after="200" w:line="360" w:lineRule="auto"/>
        <w:jc w:val="both"/>
        <w:rPr>
          <w:rFonts w:ascii="Arial" w:eastAsia="Arial" w:hAnsi="Arial" w:cs="Arial"/>
          <w:sz w:val="24"/>
          <w:szCs w:val="24"/>
        </w:rPr>
      </w:pPr>
      <w:r>
        <w:rPr>
          <w:rFonts w:ascii="Arial" w:eastAsia="Arial" w:hAnsi="Arial" w:cs="Arial"/>
          <w:sz w:val="24"/>
          <w:szCs w:val="24"/>
        </w:rPr>
        <w:t xml:space="preserve">A major plus side is the equity of access – spreading HMQ wider without having to set up a new parallel service, as this plugs neatly into the existing advisor escalation pathway. Plus, bilingual messages would be able to be developed as part of this pilot with little added expense. As discussed, there have been gains in abstinence when compared with minimalistic support shown with SMS-based support (Fang et al., 2023). One downside is that the support is not as rich as a video call via just text, as it cannot pick up on tone of voice or body language and is still dependent on self-reported data (NHS England Digital, 2025). </w:t>
      </w:r>
    </w:p>
    <w:p w14:paraId="593A56ED" w14:textId="77777777" w:rsidR="00EB70B0" w:rsidRDefault="0060782A">
      <w:pPr>
        <w:pStyle w:val="Heading2"/>
        <w:spacing w:before="240" w:after="120" w:line="360" w:lineRule="auto"/>
        <w:jc w:val="both"/>
        <w:rPr>
          <w:rFonts w:ascii="Arial" w:eastAsia="Arial" w:hAnsi="Arial" w:cs="Arial"/>
          <w:b/>
          <w:bCs/>
          <w:color w:val="000000"/>
          <w:sz w:val="28"/>
          <w:szCs w:val="28"/>
        </w:rPr>
      </w:pPr>
      <w:bookmarkStart w:id="13" w:name="_heading=h.5n6gia6cuh2e" w:colFirst="0" w:colLast="0"/>
      <w:bookmarkEnd w:id="13"/>
      <w:r>
        <w:rPr>
          <w:rFonts w:ascii="Arial" w:eastAsia="Arial" w:hAnsi="Arial" w:cs="Arial"/>
          <w:b/>
          <w:bCs/>
          <w:color w:val="000000"/>
          <w:sz w:val="28"/>
          <w:szCs w:val="28"/>
        </w:rPr>
        <w:t>How this shortfall could be addressed</w:t>
      </w:r>
    </w:p>
    <w:p w14:paraId="2E259798" w14:textId="77777777" w:rsidR="00EB70B0" w:rsidRDefault="0060782A">
      <w:pPr>
        <w:spacing w:after="200" w:line="360" w:lineRule="auto"/>
        <w:jc w:val="both"/>
        <w:rPr>
          <w:rFonts w:ascii="Arial" w:eastAsia="Arial" w:hAnsi="Arial" w:cs="Arial"/>
          <w:sz w:val="24"/>
          <w:szCs w:val="24"/>
        </w:rPr>
      </w:pPr>
      <w:r>
        <w:rPr>
          <w:rFonts w:ascii="Arial" w:eastAsia="Arial" w:hAnsi="Arial" w:cs="Arial"/>
          <w:sz w:val="24"/>
          <w:szCs w:val="24"/>
        </w:rPr>
        <w:t xml:space="preserve">Improvements that could be made included keeping human escalation a priority instead of being a non-optional feature, piloting frequency control such that messaging is adaptive for the relapse risk, and evaluating against currently utilised Help Me Quits follow-up processes rather than just self-report alone. </w:t>
      </w:r>
    </w:p>
    <w:p w14:paraId="73355F5C" w14:textId="77777777" w:rsidR="00EB70B0" w:rsidRDefault="0060782A">
      <w:pPr>
        <w:pStyle w:val="Heading2"/>
        <w:spacing w:before="240" w:after="120" w:line="360" w:lineRule="auto"/>
        <w:jc w:val="both"/>
        <w:rPr>
          <w:rFonts w:ascii="Arial" w:eastAsia="Arial" w:hAnsi="Arial" w:cs="Arial"/>
          <w:b/>
          <w:bCs/>
          <w:color w:val="000000"/>
          <w:sz w:val="28"/>
          <w:szCs w:val="28"/>
        </w:rPr>
      </w:pPr>
      <w:bookmarkStart w:id="14" w:name="_heading=h.qkh63ef5wnqx" w:colFirst="0" w:colLast="0"/>
      <w:bookmarkEnd w:id="14"/>
      <w:r>
        <w:rPr>
          <w:rFonts w:ascii="Arial" w:eastAsia="Arial" w:hAnsi="Arial" w:cs="Arial"/>
          <w:b/>
          <w:bCs/>
          <w:color w:val="000000"/>
          <w:sz w:val="28"/>
          <w:szCs w:val="28"/>
        </w:rPr>
        <w:t>Reference List (Blog 2)</w:t>
      </w:r>
    </w:p>
    <w:p w14:paraId="61982EA7" w14:textId="77777777" w:rsidR="00EB70B0" w:rsidRDefault="0060782A">
      <w:pPr>
        <w:numPr>
          <w:ilvl w:val="0"/>
          <w:numId w:val="2"/>
        </w:numPr>
        <w:spacing w:line="360" w:lineRule="auto"/>
        <w:jc w:val="both"/>
        <w:rPr>
          <w:rFonts w:ascii="Arial" w:eastAsia="Arial" w:hAnsi="Arial" w:cs="Arial"/>
          <w:sz w:val="24"/>
          <w:szCs w:val="24"/>
        </w:rPr>
      </w:pPr>
      <w:r>
        <w:rPr>
          <w:rFonts w:ascii="Arial" w:eastAsia="Arial" w:hAnsi="Arial" w:cs="Arial"/>
          <w:sz w:val="24"/>
          <w:szCs w:val="24"/>
        </w:rPr>
        <w:t>Fang, Y.E., Zhang, Z., Wang, R., Yang, B., Chen, C., Nisa, C., Tong, X. and Yan, L.L. (2023) 'Effectiveness of eHealth Smoking Cessation Interventions: Systematic Review and Meta-Analysis', Journal of Medical Internet Research, 25, e45111.</w:t>
      </w:r>
    </w:p>
    <w:p w14:paraId="26429B9B" w14:textId="77777777" w:rsidR="00EB70B0" w:rsidRDefault="0060782A">
      <w:pPr>
        <w:numPr>
          <w:ilvl w:val="0"/>
          <w:numId w:val="2"/>
        </w:numPr>
        <w:spacing w:line="360" w:lineRule="auto"/>
        <w:jc w:val="both"/>
        <w:rPr>
          <w:rFonts w:ascii="Arial" w:eastAsia="Arial" w:hAnsi="Arial" w:cs="Arial"/>
          <w:sz w:val="24"/>
          <w:szCs w:val="24"/>
        </w:rPr>
      </w:pPr>
      <w:r>
        <w:rPr>
          <w:rFonts w:ascii="Arial" w:eastAsia="Arial" w:hAnsi="Arial" w:cs="Arial"/>
          <w:sz w:val="24"/>
          <w:szCs w:val="24"/>
        </w:rPr>
        <w:t>Michie, S., van Stralen, M.M. and West, R. (2011) 'The behaviour change wheel: A new method for characterising and designing behaviour change interventions', Implementation Science, 6(42).</w:t>
      </w:r>
    </w:p>
    <w:p w14:paraId="6458421A" w14:textId="77777777" w:rsidR="00EB70B0" w:rsidRDefault="0060782A">
      <w:pPr>
        <w:numPr>
          <w:ilvl w:val="0"/>
          <w:numId w:val="2"/>
        </w:numPr>
        <w:spacing w:line="360" w:lineRule="auto"/>
        <w:jc w:val="both"/>
        <w:rPr>
          <w:rFonts w:ascii="Arial" w:eastAsia="Arial" w:hAnsi="Arial" w:cs="Arial"/>
          <w:sz w:val="24"/>
          <w:szCs w:val="24"/>
        </w:rPr>
      </w:pPr>
      <w:r>
        <w:rPr>
          <w:rFonts w:ascii="Arial" w:eastAsia="Arial" w:hAnsi="Arial" w:cs="Arial"/>
          <w:sz w:val="24"/>
          <w:szCs w:val="24"/>
        </w:rPr>
        <w:t>NHS England Digital (2025) Statistics on Local Stop Smoking Services in England, April 2024 to March 2025. Available at: https://digital.nhs.uk/data-and-information/publications/statistical/statistics-on-nhs (Accessed: 27 July 2026).</w:t>
      </w:r>
    </w:p>
    <w:p w14:paraId="28ECD383" w14:textId="77777777" w:rsidR="00EB70B0" w:rsidRDefault="0060782A">
      <w:pPr>
        <w:numPr>
          <w:ilvl w:val="0"/>
          <w:numId w:val="2"/>
        </w:numPr>
        <w:spacing w:line="360" w:lineRule="auto"/>
        <w:jc w:val="both"/>
        <w:rPr>
          <w:rFonts w:ascii="Arial" w:eastAsia="Arial" w:hAnsi="Arial" w:cs="Arial"/>
          <w:sz w:val="24"/>
          <w:szCs w:val="24"/>
        </w:rPr>
      </w:pPr>
      <w:r>
        <w:rPr>
          <w:rFonts w:ascii="Arial" w:eastAsia="Arial" w:hAnsi="Arial" w:cs="Arial"/>
          <w:sz w:val="24"/>
          <w:szCs w:val="24"/>
        </w:rPr>
        <w:t>Prochaska, J.O. and Velicer, W.F. (1997) The transtheoretical model of health behaviour change', American Journal of Health Promotion, 12(1), pp.38–48.</w:t>
      </w:r>
    </w:p>
    <w:p w14:paraId="207B09EE" w14:textId="77777777" w:rsidR="00EB70B0" w:rsidRDefault="0060782A">
      <w:pPr>
        <w:numPr>
          <w:ilvl w:val="0"/>
          <w:numId w:val="2"/>
        </w:numPr>
        <w:spacing w:after="160" w:line="360" w:lineRule="auto"/>
        <w:jc w:val="both"/>
        <w:rPr>
          <w:rFonts w:ascii="Arial" w:eastAsia="Arial" w:hAnsi="Arial" w:cs="Arial"/>
          <w:sz w:val="24"/>
          <w:szCs w:val="24"/>
        </w:rPr>
      </w:pPr>
      <w:r>
        <w:rPr>
          <w:rFonts w:ascii="Arial" w:eastAsia="Arial" w:hAnsi="Arial" w:cs="Arial"/>
          <w:sz w:val="24"/>
          <w:szCs w:val="24"/>
        </w:rPr>
        <w:t>Total Telecom (2025) Millions of Brits have no home internet access, Ofcom warns. Available at: https://totaltele.com/millions-of-brits-have-no-home-internet-access-ofcom-warns/ (Accessed: 27 July 2026).</w:t>
      </w:r>
    </w:p>
    <w:sectPr w:rsidR="00EB70B0">
      <w:footerReference w:type="default" r:id="rId14"/>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038EE0" w14:textId="77777777" w:rsidR="007241EE" w:rsidRDefault="007241EE" w:rsidP="006E29B1">
      <w:r>
        <w:separator/>
      </w:r>
    </w:p>
  </w:endnote>
  <w:endnote w:type="continuationSeparator" w:id="0">
    <w:p w14:paraId="4682CC01" w14:textId="77777777" w:rsidR="007241EE" w:rsidRDefault="007241EE" w:rsidP="006E29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2" w:fontKey="{06C9C58B-AB9A-4301-822C-94DC88C9AE7C}"/>
  </w:font>
  <w:font w:name="Cambria">
    <w:panose1 w:val="02040503050406030204"/>
    <w:charset w:val="00"/>
    <w:family w:val="roman"/>
    <w:pitch w:val="variable"/>
    <w:sig w:usb0="E00006FF" w:usb1="420024FF" w:usb2="02000000" w:usb3="00000000" w:csb0="0000019F" w:csb1="00000000"/>
    <w:embedRegular r:id="rId3" w:fontKey="{00013DB0-562B-47AD-B8AF-2F430029B2F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0741067"/>
      <w:docPartObj>
        <w:docPartGallery w:val="Page Numbers (Bottom of Page)"/>
        <w:docPartUnique/>
      </w:docPartObj>
    </w:sdtPr>
    <w:sdtEndPr/>
    <w:sdtContent>
      <w:p w14:paraId="52AECBAA" w14:textId="740C3744" w:rsidR="006E29B1" w:rsidRDefault="006E29B1">
        <w:pPr>
          <w:pStyle w:val="Footer"/>
          <w:jc w:val="right"/>
        </w:pPr>
        <w:r>
          <w:fldChar w:fldCharType="begin"/>
        </w:r>
        <w:r>
          <w:instrText>PAGE   \* MERGEFORMAT</w:instrText>
        </w:r>
        <w:r>
          <w:fldChar w:fldCharType="separate"/>
        </w:r>
        <w:r>
          <w:rPr>
            <w:lang w:val="en-GB"/>
          </w:rPr>
          <w:t>2</w:t>
        </w:r>
        <w:r>
          <w:fldChar w:fldCharType="end"/>
        </w:r>
      </w:p>
    </w:sdtContent>
  </w:sdt>
  <w:p w14:paraId="365417CD" w14:textId="77777777" w:rsidR="006E29B1" w:rsidRDefault="006E29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C0C0BF" w14:textId="77777777" w:rsidR="007241EE" w:rsidRDefault="007241EE" w:rsidP="006E29B1">
      <w:r>
        <w:separator/>
      </w:r>
    </w:p>
  </w:footnote>
  <w:footnote w:type="continuationSeparator" w:id="0">
    <w:p w14:paraId="1B485BE6" w14:textId="77777777" w:rsidR="007241EE" w:rsidRDefault="007241EE" w:rsidP="006E29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4117B1"/>
    <w:multiLevelType w:val="multilevel"/>
    <w:tmpl w:val="21204AE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43C94569"/>
    <w:multiLevelType w:val="multilevel"/>
    <w:tmpl w:val="BF56CF1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602348545">
    <w:abstractNumId w:val="1"/>
  </w:num>
  <w:num w:numId="2" w16cid:durableId="5076444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70B0"/>
    <w:rsid w:val="00126A0A"/>
    <w:rsid w:val="0024119D"/>
    <w:rsid w:val="0060782A"/>
    <w:rsid w:val="006863D0"/>
    <w:rsid w:val="006E29B1"/>
    <w:rsid w:val="007241EE"/>
    <w:rsid w:val="007A57CE"/>
    <w:rsid w:val="008A5EC6"/>
    <w:rsid w:val="009022D2"/>
    <w:rsid w:val="00934FEE"/>
    <w:rsid w:val="00A00609"/>
    <w:rsid w:val="00CF27AC"/>
    <w:rsid w:val="00CF36E3"/>
    <w:rsid w:val="00EB70B0"/>
    <w:rsid w:val="00FA2AA6"/>
    <w:rsid w:val="00FB49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EEC0C"/>
  <w15:docId w15:val="{616374A3-B810-45A1-8650-5AE82C8895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outlineLvl w:val="0"/>
    </w:pPr>
    <w:rPr>
      <w:color w:val="2E74B5"/>
      <w:sz w:val="32"/>
      <w:szCs w:val="32"/>
    </w:rPr>
  </w:style>
  <w:style w:type="paragraph" w:styleId="Heading2">
    <w:name w:val="heading 2"/>
    <w:basedOn w:val="Normal"/>
    <w:next w:val="Normal"/>
    <w:uiPriority w:val="9"/>
    <w:unhideWhenUsed/>
    <w:qFormat/>
    <w:pPr>
      <w:pBdr>
        <w:top w:val="nil"/>
        <w:left w:val="nil"/>
        <w:bottom w:val="nil"/>
        <w:right w:val="nil"/>
        <w:between w:val="nil"/>
      </w:pBdr>
      <w:outlineLvl w:val="1"/>
    </w:pPr>
    <w:rPr>
      <w:color w:val="2E74B5"/>
      <w:sz w:val="26"/>
      <w:szCs w:val="26"/>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sz w:val="24"/>
      <w:szCs w:val="24"/>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paragraph" w:styleId="Header">
    <w:name w:val="header"/>
    <w:basedOn w:val="Normal"/>
    <w:link w:val="HeaderChar"/>
    <w:uiPriority w:val="99"/>
    <w:unhideWhenUsed/>
    <w:rsid w:val="006E29B1"/>
    <w:pPr>
      <w:tabs>
        <w:tab w:val="center" w:pos="4513"/>
        <w:tab w:val="right" w:pos="9026"/>
      </w:tabs>
    </w:pPr>
  </w:style>
  <w:style w:type="character" w:customStyle="1" w:styleId="HeaderChar">
    <w:name w:val="Header Char"/>
    <w:basedOn w:val="DefaultParagraphFont"/>
    <w:link w:val="Header"/>
    <w:uiPriority w:val="99"/>
    <w:rsid w:val="006E29B1"/>
  </w:style>
  <w:style w:type="paragraph" w:styleId="Footer">
    <w:name w:val="footer"/>
    <w:basedOn w:val="Normal"/>
    <w:link w:val="FooterChar"/>
    <w:uiPriority w:val="99"/>
    <w:unhideWhenUsed/>
    <w:rsid w:val="006E29B1"/>
    <w:pPr>
      <w:tabs>
        <w:tab w:val="center" w:pos="4513"/>
        <w:tab w:val="right" w:pos="9026"/>
      </w:tabs>
    </w:pPr>
  </w:style>
  <w:style w:type="character" w:customStyle="1" w:styleId="FooterChar">
    <w:name w:val="Footer Char"/>
    <w:basedOn w:val="DefaultParagraphFont"/>
    <w:link w:val="Footer"/>
    <w:uiPriority w:val="99"/>
    <w:rsid w:val="006E29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oter" Target="footer1.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ImwyzFpvbheGMFtnkorytE4gUCg==">CgMxLjAyDmguZGNpMTQ2aTVzZjZ1Mg5oLmJxdmhwcTd5eWpjMzIOaC45amRya3Rzbml0M3oyDmguM3p2azBtdTV2dDIzMg5oLnQ0M2xpN213OWx5NTIOaC5paHV1OTY3d3JseXUyDmguMm1jYmNnNnFseWQ0Mg5oLnRqeXN2OTFjaGhsdDIOaC5oMzJjaWx1MTh0cjIyDmgudDBnY3NvcnAzcmRtMg5oLmw2ZHM4d3ZybHA5YjIOaC40Nzk4aHprb2FueWQyDmgueWo3dnc4bTlwbXNrMg5oLjVuNmdpYTZjdWgyZTIOaC5xa2g2M2VmNXducXg4AHIhMWkydnYwNGxLNWsyU28tc0xpbmYtX2RZUUgwc3lDVXo1</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1766</Words>
  <Characters>10072</Characters>
  <Application>Microsoft Office Word</Application>
  <DocSecurity>0</DocSecurity>
  <Lines>83</Lines>
  <Paragraphs>23</Paragraphs>
  <ScaleCrop>false</ScaleCrop>
  <Company/>
  <LinksUpToDate>false</LinksUpToDate>
  <CharactersWithSpaces>11815</CharactersWithSpaces>
  <SharedDoc>false</SharedDoc>
  <HLinks>
    <vt:vector size="96" baseType="variant">
      <vt:variant>
        <vt:i4>2424896</vt:i4>
      </vt:variant>
      <vt:variant>
        <vt:i4>86</vt:i4>
      </vt:variant>
      <vt:variant>
        <vt:i4>0</vt:i4>
      </vt:variant>
      <vt:variant>
        <vt:i4>5</vt:i4>
      </vt:variant>
      <vt:variant>
        <vt:lpwstr/>
      </vt:variant>
      <vt:variant>
        <vt:lpwstr>_heading=h.qkh63ef5wnqx</vt:lpwstr>
      </vt:variant>
      <vt:variant>
        <vt:i4>2424896</vt:i4>
      </vt:variant>
      <vt:variant>
        <vt:i4>83</vt:i4>
      </vt:variant>
      <vt:variant>
        <vt:i4>0</vt:i4>
      </vt:variant>
      <vt:variant>
        <vt:i4>5</vt:i4>
      </vt:variant>
      <vt:variant>
        <vt:lpwstr/>
      </vt:variant>
      <vt:variant>
        <vt:lpwstr>_heading=h.qkh63ef5wnqx</vt:lpwstr>
      </vt:variant>
      <vt:variant>
        <vt:i4>7602240</vt:i4>
      </vt:variant>
      <vt:variant>
        <vt:i4>77</vt:i4>
      </vt:variant>
      <vt:variant>
        <vt:i4>0</vt:i4>
      </vt:variant>
      <vt:variant>
        <vt:i4>5</vt:i4>
      </vt:variant>
      <vt:variant>
        <vt:lpwstr/>
      </vt:variant>
      <vt:variant>
        <vt:lpwstr>_heading=h.5n6gia6cuh2e</vt:lpwstr>
      </vt:variant>
      <vt:variant>
        <vt:i4>3670099</vt:i4>
      </vt:variant>
      <vt:variant>
        <vt:i4>71</vt:i4>
      </vt:variant>
      <vt:variant>
        <vt:i4>0</vt:i4>
      </vt:variant>
      <vt:variant>
        <vt:i4>5</vt:i4>
      </vt:variant>
      <vt:variant>
        <vt:lpwstr/>
      </vt:variant>
      <vt:variant>
        <vt:lpwstr>_heading=h.yj7vw8m9pmsk</vt:lpwstr>
      </vt:variant>
      <vt:variant>
        <vt:i4>7929943</vt:i4>
      </vt:variant>
      <vt:variant>
        <vt:i4>65</vt:i4>
      </vt:variant>
      <vt:variant>
        <vt:i4>0</vt:i4>
      </vt:variant>
      <vt:variant>
        <vt:i4>5</vt:i4>
      </vt:variant>
      <vt:variant>
        <vt:lpwstr/>
      </vt:variant>
      <vt:variant>
        <vt:lpwstr>_heading=h.4798hzkoanyd</vt:lpwstr>
      </vt:variant>
      <vt:variant>
        <vt:i4>8126483</vt:i4>
      </vt:variant>
      <vt:variant>
        <vt:i4>59</vt:i4>
      </vt:variant>
      <vt:variant>
        <vt:i4>0</vt:i4>
      </vt:variant>
      <vt:variant>
        <vt:i4>5</vt:i4>
      </vt:variant>
      <vt:variant>
        <vt:lpwstr/>
      </vt:variant>
      <vt:variant>
        <vt:lpwstr>_heading=h.l6ds8wvrlp9b</vt:lpwstr>
      </vt:variant>
      <vt:variant>
        <vt:i4>2752541</vt:i4>
      </vt:variant>
      <vt:variant>
        <vt:i4>53</vt:i4>
      </vt:variant>
      <vt:variant>
        <vt:i4>0</vt:i4>
      </vt:variant>
      <vt:variant>
        <vt:i4>5</vt:i4>
      </vt:variant>
      <vt:variant>
        <vt:lpwstr/>
      </vt:variant>
      <vt:variant>
        <vt:lpwstr>_heading=h.t0gcsorp3rdm</vt:lpwstr>
      </vt:variant>
      <vt:variant>
        <vt:i4>6488154</vt:i4>
      </vt:variant>
      <vt:variant>
        <vt:i4>47</vt:i4>
      </vt:variant>
      <vt:variant>
        <vt:i4>0</vt:i4>
      </vt:variant>
      <vt:variant>
        <vt:i4>5</vt:i4>
      </vt:variant>
      <vt:variant>
        <vt:lpwstr/>
      </vt:variant>
      <vt:variant>
        <vt:lpwstr>_heading=h.h32cilu18tr2</vt:lpwstr>
      </vt:variant>
      <vt:variant>
        <vt:i4>2162696</vt:i4>
      </vt:variant>
      <vt:variant>
        <vt:i4>41</vt:i4>
      </vt:variant>
      <vt:variant>
        <vt:i4>0</vt:i4>
      </vt:variant>
      <vt:variant>
        <vt:i4>5</vt:i4>
      </vt:variant>
      <vt:variant>
        <vt:lpwstr/>
      </vt:variant>
      <vt:variant>
        <vt:lpwstr>_heading=h.tjysv91chhlt</vt:lpwstr>
      </vt:variant>
      <vt:variant>
        <vt:i4>6488131</vt:i4>
      </vt:variant>
      <vt:variant>
        <vt:i4>35</vt:i4>
      </vt:variant>
      <vt:variant>
        <vt:i4>0</vt:i4>
      </vt:variant>
      <vt:variant>
        <vt:i4>5</vt:i4>
      </vt:variant>
      <vt:variant>
        <vt:lpwstr/>
      </vt:variant>
      <vt:variant>
        <vt:lpwstr>_heading=h.2mcbcg6qlyd4</vt:lpwstr>
      </vt:variant>
      <vt:variant>
        <vt:i4>7733267</vt:i4>
      </vt:variant>
      <vt:variant>
        <vt:i4>29</vt:i4>
      </vt:variant>
      <vt:variant>
        <vt:i4>0</vt:i4>
      </vt:variant>
      <vt:variant>
        <vt:i4>5</vt:i4>
      </vt:variant>
      <vt:variant>
        <vt:lpwstr/>
      </vt:variant>
      <vt:variant>
        <vt:lpwstr>_heading=h.ihuu967wrlyu</vt:lpwstr>
      </vt:variant>
      <vt:variant>
        <vt:i4>7077975</vt:i4>
      </vt:variant>
      <vt:variant>
        <vt:i4>23</vt:i4>
      </vt:variant>
      <vt:variant>
        <vt:i4>0</vt:i4>
      </vt:variant>
      <vt:variant>
        <vt:i4>5</vt:i4>
      </vt:variant>
      <vt:variant>
        <vt:lpwstr/>
      </vt:variant>
      <vt:variant>
        <vt:lpwstr>_heading=h.t43li7mw9ly5</vt:lpwstr>
      </vt:variant>
      <vt:variant>
        <vt:i4>7077975</vt:i4>
      </vt:variant>
      <vt:variant>
        <vt:i4>20</vt:i4>
      </vt:variant>
      <vt:variant>
        <vt:i4>0</vt:i4>
      </vt:variant>
      <vt:variant>
        <vt:i4>5</vt:i4>
      </vt:variant>
      <vt:variant>
        <vt:lpwstr/>
      </vt:variant>
      <vt:variant>
        <vt:lpwstr>_heading=h.t43li7mw9ly5</vt:lpwstr>
      </vt:variant>
      <vt:variant>
        <vt:i4>2818078</vt:i4>
      </vt:variant>
      <vt:variant>
        <vt:i4>14</vt:i4>
      </vt:variant>
      <vt:variant>
        <vt:i4>0</vt:i4>
      </vt:variant>
      <vt:variant>
        <vt:i4>5</vt:i4>
      </vt:variant>
      <vt:variant>
        <vt:lpwstr/>
      </vt:variant>
      <vt:variant>
        <vt:lpwstr>_heading=h.3zvk0mu5vt23</vt:lpwstr>
      </vt:variant>
      <vt:variant>
        <vt:i4>7340117</vt:i4>
      </vt:variant>
      <vt:variant>
        <vt:i4>8</vt:i4>
      </vt:variant>
      <vt:variant>
        <vt:i4>0</vt:i4>
      </vt:variant>
      <vt:variant>
        <vt:i4>5</vt:i4>
      </vt:variant>
      <vt:variant>
        <vt:lpwstr/>
      </vt:variant>
      <vt:variant>
        <vt:lpwstr>_heading=h.9jdrktsnit3z</vt:lpwstr>
      </vt:variant>
      <vt:variant>
        <vt:i4>2490456</vt:i4>
      </vt:variant>
      <vt:variant>
        <vt:i4>2</vt:i4>
      </vt:variant>
      <vt:variant>
        <vt:i4>0</vt:i4>
      </vt:variant>
      <vt:variant>
        <vt:i4>5</vt:i4>
      </vt:variant>
      <vt:variant>
        <vt:lpwstr/>
      </vt:variant>
      <vt:variant>
        <vt:lpwstr>_heading=h.bqvhpq7yyjc3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Md Motiur Rahman (2518275)</cp:lastModifiedBy>
  <cp:revision>2</cp:revision>
  <dcterms:created xsi:type="dcterms:W3CDTF">2026-07-27T23:16:00Z</dcterms:created>
  <dcterms:modified xsi:type="dcterms:W3CDTF">2026-07-27T23:16:00Z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fe31cfc9-840f-4c2e-9aa2-731cae2aafa1</vt:lpwstr>
  </property>
</Properties>
</file>