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8B3DAF8" w14:textId="3E81DE0C" w:rsidR="00F61E2F" w:rsidRPr="00244DA2" w:rsidRDefault="00F61E2F" w:rsidP="00284780">
      <w:pPr>
        <w:tabs>
          <w:tab w:val="left" w:pos="8184"/>
        </w:tabs>
        <w:spacing w:line="360" w:lineRule="auto"/>
        <w:rPr>
          <w:rFonts w:ascii="Times New Roman" w:eastAsia="Times New Roman" w:hAnsi="Times New Roman" w:cs="Times New Roman"/>
          <w:b/>
          <w:sz w:val="24"/>
          <w:szCs w:val="24"/>
        </w:rPr>
      </w:pPr>
    </w:p>
    <w:p w14:paraId="16E42FF1" w14:textId="77777777" w:rsidR="00F61E2F" w:rsidRPr="00244DA2" w:rsidRDefault="00F61E2F">
      <w:pPr>
        <w:spacing w:line="360" w:lineRule="auto"/>
        <w:jc w:val="center"/>
        <w:rPr>
          <w:rFonts w:ascii="Times New Roman" w:eastAsia="Times New Roman" w:hAnsi="Times New Roman" w:cs="Times New Roman"/>
          <w:b/>
          <w:sz w:val="24"/>
          <w:szCs w:val="24"/>
        </w:rPr>
      </w:pPr>
    </w:p>
    <w:p w14:paraId="4B0FEDD7" w14:textId="77777777" w:rsidR="00F61E2F" w:rsidRPr="00244DA2" w:rsidRDefault="00F61E2F">
      <w:pPr>
        <w:spacing w:line="360" w:lineRule="auto"/>
        <w:jc w:val="center"/>
        <w:rPr>
          <w:rFonts w:ascii="Times New Roman" w:eastAsia="Times New Roman" w:hAnsi="Times New Roman" w:cs="Times New Roman"/>
          <w:b/>
          <w:sz w:val="24"/>
          <w:szCs w:val="24"/>
        </w:rPr>
      </w:pPr>
    </w:p>
    <w:p w14:paraId="2D98A0EF" w14:textId="77777777" w:rsidR="00284780" w:rsidRDefault="00015489">
      <w:pPr>
        <w:spacing w:line="360" w:lineRule="auto"/>
        <w:jc w:val="center"/>
        <w:rPr>
          <w:rFonts w:ascii="Times New Roman" w:eastAsia="Times New Roman" w:hAnsi="Times New Roman" w:cs="Times New Roman"/>
          <w:b/>
          <w:sz w:val="32"/>
          <w:szCs w:val="32"/>
        </w:rPr>
      </w:pPr>
      <w:r w:rsidRPr="00244DA2">
        <w:rPr>
          <w:rFonts w:ascii="Times New Roman" w:eastAsia="Times New Roman" w:hAnsi="Times New Roman" w:cs="Times New Roman"/>
          <w:b/>
          <w:sz w:val="32"/>
          <w:szCs w:val="32"/>
        </w:rPr>
        <w:t xml:space="preserve">FINANCIAL MANAGEMENT FOR THE HOTEL INDUSTRY </w:t>
      </w:r>
    </w:p>
    <w:p w14:paraId="0C8A9586" w14:textId="77777777" w:rsidR="00284780" w:rsidRDefault="00284780">
      <w:pPr>
        <w:spacing w:line="360" w:lineRule="auto"/>
        <w:jc w:val="center"/>
        <w:rPr>
          <w:rFonts w:ascii="Times New Roman" w:eastAsia="Times New Roman" w:hAnsi="Times New Roman" w:cs="Times New Roman"/>
          <w:b/>
          <w:sz w:val="32"/>
          <w:szCs w:val="32"/>
        </w:rPr>
      </w:pPr>
    </w:p>
    <w:p w14:paraId="2924E211" w14:textId="7091D6EC" w:rsidR="00284780" w:rsidRDefault="00284780" w:rsidP="00284780">
      <w:pPr>
        <w:spacing w:line="360" w:lineRule="auto"/>
        <w:rPr>
          <w:rFonts w:ascii="Times New Roman" w:eastAsia="Times New Roman" w:hAnsi="Times New Roman" w:cs="Times New Roman"/>
          <w:b/>
          <w:sz w:val="32"/>
          <w:szCs w:val="32"/>
        </w:rPr>
      </w:pPr>
    </w:p>
    <w:p w14:paraId="7CD8F4A4" w14:textId="07015D1A" w:rsidR="00284780" w:rsidRDefault="00284780">
      <w:pPr>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 xml:space="preserve"> </w:t>
      </w:r>
      <w:r w:rsidR="00015489" w:rsidRPr="00244DA2">
        <w:rPr>
          <w:rFonts w:ascii="Times New Roman" w:eastAsia="Times New Roman" w:hAnsi="Times New Roman" w:cs="Times New Roman"/>
          <w:b/>
          <w:sz w:val="32"/>
          <w:szCs w:val="32"/>
        </w:rPr>
        <w:t>BMIH5007</w:t>
      </w:r>
    </w:p>
    <w:p w14:paraId="66E7E21B" w14:textId="77777777" w:rsidR="00284780" w:rsidRDefault="00284780">
      <w:pPr>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 xml:space="preserve">Student Name: Ionela Madalina </w:t>
      </w:r>
      <w:proofErr w:type="spellStart"/>
      <w:r>
        <w:rPr>
          <w:rFonts w:ascii="Times New Roman" w:eastAsia="Times New Roman" w:hAnsi="Times New Roman" w:cs="Times New Roman"/>
          <w:b/>
          <w:sz w:val="32"/>
          <w:szCs w:val="32"/>
        </w:rPr>
        <w:t>Cananau</w:t>
      </w:r>
      <w:proofErr w:type="spellEnd"/>
    </w:p>
    <w:p w14:paraId="3806552D" w14:textId="77777777" w:rsidR="00284780" w:rsidRDefault="00284780" w:rsidP="00284780">
      <w:pPr>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Student Number: 2243593</w:t>
      </w:r>
    </w:p>
    <w:p w14:paraId="58477E65" w14:textId="77777777" w:rsidR="00D65E2B" w:rsidRDefault="00284780" w:rsidP="00284780">
      <w:pPr>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Module Lead</w:t>
      </w:r>
      <w:r w:rsidR="00C0084D">
        <w:rPr>
          <w:rFonts w:ascii="Times New Roman" w:eastAsia="Times New Roman" w:hAnsi="Times New Roman" w:cs="Times New Roman"/>
          <w:b/>
          <w:sz w:val="32"/>
          <w:szCs w:val="32"/>
        </w:rPr>
        <w:t xml:space="preserve">: Tristan Hawkins </w:t>
      </w:r>
    </w:p>
    <w:p w14:paraId="39F7BDBF" w14:textId="77777777" w:rsidR="00D65E2B" w:rsidRDefault="00D65E2B" w:rsidP="00284780">
      <w:pPr>
        <w:spacing w:line="360" w:lineRule="auto"/>
        <w:jc w:val="center"/>
        <w:rPr>
          <w:rFonts w:ascii="Times New Roman" w:eastAsia="Times New Roman" w:hAnsi="Times New Roman" w:cs="Times New Roman"/>
          <w:b/>
          <w:sz w:val="32"/>
          <w:szCs w:val="32"/>
        </w:rPr>
      </w:pPr>
    </w:p>
    <w:p w14:paraId="0C45F279" w14:textId="77777777" w:rsidR="00D65E2B" w:rsidRDefault="00D65E2B" w:rsidP="00284780">
      <w:pPr>
        <w:spacing w:line="360" w:lineRule="auto"/>
        <w:jc w:val="center"/>
        <w:rPr>
          <w:rFonts w:ascii="Times New Roman" w:eastAsia="Times New Roman" w:hAnsi="Times New Roman" w:cs="Times New Roman"/>
          <w:b/>
          <w:sz w:val="32"/>
          <w:szCs w:val="32"/>
        </w:rPr>
      </w:pPr>
    </w:p>
    <w:p w14:paraId="5DBD5468" w14:textId="77777777" w:rsidR="00D65E2B" w:rsidRDefault="00D65E2B" w:rsidP="00284780">
      <w:pPr>
        <w:spacing w:line="360" w:lineRule="auto"/>
        <w:jc w:val="center"/>
        <w:rPr>
          <w:rFonts w:ascii="Times New Roman" w:eastAsia="Times New Roman" w:hAnsi="Times New Roman" w:cs="Times New Roman"/>
          <w:b/>
          <w:sz w:val="32"/>
          <w:szCs w:val="32"/>
        </w:rPr>
      </w:pPr>
    </w:p>
    <w:p w14:paraId="3E77B491" w14:textId="77777777" w:rsidR="00D65E2B" w:rsidRDefault="00D65E2B" w:rsidP="00284780">
      <w:pPr>
        <w:spacing w:line="360" w:lineRule="auto"/>
        <w:jc w:val="center"/>
        <w:rPr>
          <w:rFonts w:ascii="Times New Roman" w:eastAsia="Times New Roman" w:hAnsi="Times New Roman" w:cs="Times New Roman"/>
          <w:b/>
          <w:sz w:val="32"/>
          <w:szCs w:val="32"/>
        </w:rPr>
      </w:pPr>
    </w:p>
    <w:p w14:paraId="4E218D4D" w14:textId="77777777" w:rsidR="00D65E2B" w:rsidRDefault="00D65E2B" w:rsidP="00284780">
      <w:pPr>
        <w:spacing w:line="360" w:lineRule="auto"/>
        <w:jc w:val="center"/>
        <w:rPr>
          <w:rFonts w:ascii="Times New Roman" w:eastAsia="Times New Roman" w:hAnsi="Times New Roman" w:cs="Times New Roman"/>
          <w:b/>
          <w:sz w:val="32"/>
          <w:szCs w:val="32"/>
        </w:rPr>
      </w:pPr>
    </w:p>
    <w:p w14:paraId="62082AC9" w14:textId="77777777" w:rsidR="00D65E2B" w:rsidRDefault="00D65E2B" w:rsidP="00284780">
      <w:pPr>
        <w:spacing w:line="360" w:lineRule="auto"/>
        <w:jc w:val="center"/>
        <w:rPr>
          <w:rFonts w:ascii="Times New Roman" w:eastAsia="Times New Roman" w:hAnsi="Times New Roman" w:cs="Times New Roman"/>
          <w:b/>
          <w:sz w:val="32"/>
          <w:szCs w:val="32"/>
        </w:rPr>
      </w:pPr>
    </w:p>
    <w:p w14:paraId="31A2C8F9" w14:textId="77777777" w:rsidR="00D65E2B" w:rsidRDefault="00D65E2B" w:rsidP="00284780">
      <w:pPr>
        <w:spacing w:line="360" w:lineRule="auto"/>
        <w:jc w:val="center"/>
        <w:rPr>
          <w:rFonts w:ascii="Times New Roman" w:eastAsia="Times New Roman" w:hAnsi="Times New Roman" w:cs="Times New Roman"/>
          <w:b/>
          <w:sz w:val="32"/>
          <w:szCs w:val="32"/>
        </w:rPr>
      </w:pPr>
    </w:p>
    <w:p w14:paraId="4A471ED6" w14:textId="77777777" w:rsidR="00D65E2B" w:rsidRDefault="00D65E2B" w:rsidP="00284780">
      <w:pPr>
        <w:spacing w:line="360" w:lineRule="auto"/>
        <w:jc w:val="center"/>
        <w:rPr>
          <w:rFonts w:ascii="Times New Roman" w:eastAsia="Times New Roman" w:hAnsi="Times New Roman" w:cs="Times New Roman"/>
          <w:b/>
          <w:sz w:val="32"/>
          <w:szCs w:val="32"/>
        </w:rPr>
      </w:pPr>
    </w:p>
    <w:p w14:paraId="5B78459C" w14:textId="77777777" w:rsidR="00D65E2B" w:rsidRDefault="00D65E2B" w:rsidP="00284780">
      <w:pPr>
        <w:spacing w:line="360" w:lineRule="auto"/>
        <w:jc w:val="center"/>
        <w:rPr>
          <w:rFonts w:ascii="Times New Roman" w:eastAsia="Times New Roman" w:hAnsi="Times New Roman" w:cs="Times New Roman"/>
          <w:b/>
          <w:sz w:val="32"/>
          <w:szCs w:val="32"/>
        </w:rPr>
      </w:pPr>
    </w:p>
    <w:p w14:paraId="6F72B031" w14:textId="77777777" w:rsidR="00D65E2B" w:rsidRDefault="00D65E2B" w:rsidP="00284780">
      <w:pPr>
        <w:spacing w:line="360" w:lineRule="auto"/>
        <w:jc w:val="center"/>
        <w:rPr>
          <w:rFonts w:ascii="Times New Roman" w:eastAsia="Times New Roman" w:hAnsi="Times New Roman" w:cs="Times New Roman"/>
          <w:b/>
          <w:sz w:val="32"/>
          <w:szCs w:val="32"/>
        </w:rPr>
      </w:pPr>
    </w:p>
    <w:p w14:paraId="6F4A107A" w14:textId="77777777" w:rsidR="00D65E2B" w:rsidRDefault="00D65E2B" w:rsidP="00284780">
      <w:pPr>
        <w:spacing w:line="360" w:lineRule="auto"/>
        <w:jc w:val="center"/>
        <w:rPr>
          <w:rFonts w:ascii="Times New Roman" w:eastAsia="Times New Roman" w:hAnsi="Times New Roman" w:cs="Times New Roman"/>
          <w:b/>
          <w:sz w:val="32"/>
          <w:szCs w:val="32"/>
        </w:rPr>
      </w:pPr>
    </w:p>
    <w:p w14:paraId="3D0E6D19" w14:textId="1DDE2BFB" w:rsidR="00D65E2B" w:rsidRDefault="00D65E2B" w:rsidP="00284780">
      <w:pPr>
        <w:spacing w:line="360" w:lineRule="auto"/>
        <w:jc w:val="center"/>
        <w:rPr>
          <w:rFonts w:ascii="Times New Roman" w:eastAsia="Times New Roman" w:hAnsi="Times New Roman" w:cs="Times New Roman"/>
          <w:b/>
          <w:sz w:val="32"/>
          <w:szCs w:val="32"/>
        </w:rPr>
      </w:pPr>
      <w: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14:paraId="3D244146" w14:textId="271DCB56" w:rsidR="00F61E2F" w:rsidRPr="00284780" w:rsidRDefault="00015489" w:rsidP="00284780">
      <w:pPr>
        <w:spacing w:line="360" w:lineRule="auto"/>
        <w:jc w:val="center"/>
        <w:rPr>
          <w:rFonts w:ascii="Times New Roman" w:eastAsia="Times New Roman" w:hAnsi="Times New Roman" w:cs="Times New Roman"/>
          <w:b/>
          <w:sz w:val="32"/>
          <w:szCs w:val="32"/>
        </w:rPr>
      </w:pPr>
      <w:r w:rsidRPr="00244DA2">
        <w:lastRenderedPageBreak/>
        <w:br w:type="page"/>
      </w:r>
    </w:p>
    <w:p w14:paraId="32E8F10C" w14:textId="77777777" w:rsidR="00F61E2F" w:rsidRPr="00B222F0" w:rsidRDefault="00000000" w:rsidP="00015489">
      <w:pPr>
        <w:spacing w:line="360" w:lineRule="auto"/>
        <w:jc w:val="center"/>
        <w:rPr>
          <w:rFonts w:eastAsia="Times New Roman"/>
          <w:b/>
          <w:sz w:val="28"/>
          <w:szCs w:val="28"/>
        </w:rPr>
      </w:pPr>
      <w:r w:rsidRPr="00B222F0">
        <w:rPr>
          <w:rFonts w:eastAsia="Times New Roman"/>
          <w:b/>
          <w:sz w:val="28"/>
          <w:szCs w:val="28"/>
        </w:rPr>
        <w:lastRenderedPageBreak/>
        <w:t>Executive Summary</w:t>
      </w:r>
    </w:p>
    <w:p w14:paraId="053470C0" w14:textId="77777777" w:rsidR="00015489" w:rsidRPr="00B222F0" w:rsidRDefault="00015489" w:rsidP="00015489">
      <w:pPr>
        <w:spacing w:line="360" w:lineRule="auto"/>
        <w:jc w:val="both"/>
        <w:rPr>
          <w:sz w:val="24"/>
          <w:szCs w:val="24"/>
        </w:rPr>
      </w:pPr>
      <w:r w:rsidRPr="00B222F0">
        <w:rPr>
          <w:sz w:val="24"/>
          <w:szCs w:val="24"/>
        </w:rPr>
        <w:t>The sector of hospitality is an important branch of the tourist industry that satisfies various customer demands or needs through several services and types of rooms. Technique: Shangri-La Hotels is positioned as targeting the luxury segment by providing high-end products while Premier Inn targets the value-conscious segment, with most of its outlets in the United Kingdom. Combining a comparison of Shangri-La to Premier Inn shows that while Shangri-La has huge revenues from rooms booked, Premier Inn has better profitability per room due to its mass market with excellent occupancy ratios. Shangri-La currently owns a fraction of the luxury market share, only 1 per cent, compared to Premier Inn’s 22 per cent of the budget market share. Both have a favourable growth potential where although Shangri-La continues to grow cautiously in newly emerging luxury markets, Premier Inn rampantly invests in the UK and Germany. The two brands show consideration to corporate social responsibility, that meets environmental and community needs.</w:t>
      </w:r>
    </w:p>
    <w:p w14:paraId="2D74324D" w14:textId="77777777" w:rsidR="00F61E2F" w:rsidRPr="00B222F0" w:rsidRDefault="00000000">
      <w:pPr>
        <w:spacing w:line="360" w:lineRule="auto"/>
        <w:jc w:val="both"/>
        <w:rPr>
          <w:rFonts w:eastAsia="Times New Roman"/>
          <w:b/>
          <w:sz w:val="24"/>
          <w:szCs w:val="24"/>
        </w:rPr>
      </w:pPr>
      <w:r w:rsidRPr="00B222F0">
        <w:rPr>
          <w:sz w:val="24"/>
          <w:szCs w:val="24"/>
        </w:rPr>
        <w:br w:type="page"/>
      </w:r>
    </w:p>
    <w:sdt>
      <w:sdtPr>
        <w:rPr>
          <w:rFonts w:ascii="Arial" w:eastAsia="Arial" w:hAnsi="Arial" w:cs="Arial"/>
          <w:color w:val="auto"/>
          <w:sz w:val="24"/>
          <w:szCs w:val="24"/>
          <w:lang w:val="en-GB" w:eastAsia="en-IN"/>
        </w:rPr>
        <w:id w:val="-2099548547"/>
        <w:docPartObj>
          <w:docPartGallery w:val="Table of Contents"/>
          <w:docPartUnique/>
        </w:docPartObj>
      </w:sdtPr>
      <w:sdtEndPr>
        <w:rPr>
          <w:b/>
          <w:bCs/>
          <w:noProof/>
        </w:rPr>
      </w:sdtEndPr>
      <w:sdtContent>
        <w:p w14:paraId="182A174C" w14:textId="20644314" w:rsidR="00244DA2" w:rsidRPr="00B222F0" w:rsidRDefault="00244DA2" w:rsidP="00244DA2">
          <w:pPr>
            <w:pStyle w:val="Titlucuprins"/>
            <w:jc w:val="center"/>
            <w:rPr>
              <w:rFonts w:ascii="Arial" w:hAnsi="Arial" w:cs="Arial"/>
              <w:b/>
              <w:bCs/>
              <w:color w:val="000000" w:themeColor="text1"/>
              <w:sz w:val="24"/>
              <w:szCs w:val="24"/>
            </w:rPr>
          </w:pPr>
          <w:r w:rsidRPr="00B222F0">
            <w:rPr>
              <w:rFonts w:ascii="Arial" w:hAnsi="Arial" w:cs="Arial"/>
              <w:b/>
              <w:bCs/>
              <w:color w:val="000000" w:themeColor="text1"/>
              <w:sz w:val="24"/>
              <w:szCs w:val="24"/>
            </w:rPr>
            <w:t>Table of Contents</w:t>
          </w:r>
        </w:p>
        <w:p w14:paraId="636E7DB9" w14:textId="7AC6486B" w:rsidR="00244DA2" w:rsidRPr="00B222F0" w:rsidRDefault="00244DA2" w:rsidP="00244DA2">
          <w:pPr>
            <w:pStyle w:val="Cuprins1"/>
            <w:tabs>
              <w:tab w:val="right" w:leader="dot" w:pos="9350"/>
            </w:tabs>
            <w:spacing w:line="360" w:lineRule="auto"/>
            <w:jc w:val="both"/>
            <w:rPr>
              <w:noProof/>
              <w:sz w:val="24"/>
              <w:szCs w:val="24"/>
            </w:rPr>
          </w:pPr>
          <w:r w:rsidRPr="00B222F0">
            <w:rPr>
              <w:sz w:val="24"/>
              <w:szCs w:val="24"/>
            </w:rPr>
            <w:fldChar w:fldCharType="begin"/>
          </w:r>
          <w:r w:rsidRPr="00B222F0">
            <w:rPr>
              <w:sz w:val="24"/>
              <w:szCs w:val="24"/>
            </w:rPr>
            <w:instrText xml:space="preserve"> TOC \o "1-3" \h \z \u </w:instrText>
          </w:r>
          <w:r w:rsidRPr="00B222F0">
            <w:rPr>
              <w:sz w:val="24"/>
              <w:szCs w:val="24"/>
            </w:rPr>
            <w:fldChar w:fldCharType="separate"/>
          </w:r>
          <w:hyperlink w:anchor="_Toc180142706" w:history="1">
            <w:r w:rsidRPr="00B222F0">
              <w:rPr>
                <w:rStyle w:val="Hyperlink"/>
                <w:noProof/>
                <w:sz w:val="24"/>
                <w:szCs w:val="24"/>
              </w:rPr>
              <w:t>Introduction</w:t>
            </w:r>
            <w:r w:rsidRPr="00B222F0">
              <w:rPr>
                <w:noProof/>
                <w:webHidden/>
                <w:sz w:val="24"/>
                <w:szCs w:val="24"/>
              </w:rPr>
              <w:tab/>
            </w:r>
            <w:r w:rsidRPr="00B222F0">
              <w:rPr>
                <w:noProof/>
                <w:webHidden/>
                <w:sz w:val="24"/>
                <w:szCs w:val="24"/>
              </w:rPr>
              <w:fldChar w:fldCharType="begin"/>
            </w:r>
            <w:r w:rsidRPr="00B222F0">
              <w:rPr>
                <w:noProof/>
                <w:webHidden/>
                <w:sz w:val="24"/>
                <w:szCs w:val="24"/>
              </w:rPr>
              <w:instrText xml:space="preserve"> PAGEREF _Toc180142706 \h </w:instrText>
            </w:r>
            <w:r w:rsidRPr="00B222F0">
              <w:rPr>
                <w:noProof/>
                <w:webHidden/>
                <w:sz w:val="24"/>
                <w:szCs w:val="24"/>
              </w:rPr>
            </w:r>
            <w:r w:rsidRPr="00B222F0">
              <w:rPr>
                <w:noProof/>
                <w:webHidden/>
                <w:sz w:val="24"/>
                <w:szCs w:val="24"/>
              </w:rPr>
              <w:fldChar w:fldCharType="separate"/>
            </w:r>
            <w:r w:rsidRPr="00B222F0">
              <w:rPr>
                <w:noProof/>
                <w:webHidden/>
                <w:sz w:val="24"/>
                <w:szCs w:val="24"/>
              </w:rPr>
              <w:t>4</w:t>
            </w:r>
            <w:r w:rsidRPr="00B222F0">
              <w:rPr>
                <w:noProof/>
                <w:webHidden/>
                <w:sz w:val="24"/>
                <w:szCs w:val="24"/>
              </w:rPr>
              <w:fldChar w:fldCharType="end"/>
            </w:r>
          </w:hyperlink>
        </w:p>
        <w:p w14:paraId="20DA105B" w14:textId="0AA49E8C" w:rsidR="00244DA2" w:rsidRPr="00B222F0" w:rsidRDefault="00244DA2" w:rsidP="00244DA2">
          <w:pPr>
            <w:pStyle w:val="Cuprins1"/>
            <w:tabs>
              <w:tab w:val="right" w:leader="dot" w:pos="9350"/>
            </w:tabs>
            <w:spacing w:line="360" w:lineRule="auto"/>
            <w:jc w:val="both"/>
            <w:rPr>
              <w:noProof/>
              <w:sz w:val="24"/>
              <w:szCs w:val="24"/>
            </w:rPr>
          </w:pPr>
          <w:hyperlink w:anchor="_Toc180142707" w:history="1">
            <w:r w:rsidRPr="00B222F0">
              <w:rPr>
                <w:rStyle w:val="Hyperlink"/>
                <w:noProof/>
                <w:sz w:val="24"/>
                <w:szCs w:val="24"/>
              </w:rPr>
              <w:t>Total Revenue Comparison</w:t>
            </w:r>
            <w:r w:rsidRPr="00B222F0">
              <w:rPr>
                <w:noProof/>
                <w:webHidden/>
                <w:sz w:val="24"/>
                <w:szCs w:val="24"/>
              </w:rPr>
              <w:tab/>
            </w:r>
            <w:r w:rsidRPr="00B222F0">
              <w:rPr>
                <w:noProof/>
                <w:webHidden/>
                <w:sz w:val="24"/>
                <w:szCs w:val="24"/>
              </w:rPr>
              <w:fldChar w:fldCharType="begin"/>
            </w:r>
            <w:r w:rsidRPr="00B222F0">
              <w:rPr>
                <w:noProof/>
                <w:webHidden/>
                <w:sz w:val="24"/>
                <w:szCs w:val="24"/>
              </w:rPr>
              <w:instrText xml:space="preserve"> PAGEREF _Toc180142707 \h </w:instrText>
            </w:r>
            <w:r w:rsidRPr="00B222F0">
              <w:rPr>
                <w:noProof/>
                <w:webHidden/>
                <w:sz w:val="24"/>
                <w:szCs w:val="24"/>
              </w:rPr>
            </w:r>
            <w:r w:rsidRPr="00B222F0">
              <w:rPr>
                <w:noProof/>
                <w:webHidden/>
                <w:sz w:val="24"/>
                <w:szCs w:val="24"/>
              </w:rPr>
              <w:fldChar w:fldCharType="separate"/>
            </w:r>
            <w:r w:rsidRPr="00B222F0">
              <w:rPr>
                <w:noProof/>
                <w:webHidden/>
                <w:sz w:val="24"/>
                <w:szCs w:val="24"/>
              </w:rPr>
              <w:t>4</w:t>
            </w:r>
            <w:r w:rsidRPr="00B222F0">
              <w:rPr>
                <w:noProof/>
                <w:webHidden/>
                <w:sz w:val="24"/>
                <w:szCs w:val="24"/>
              </w:rPr>
              <w:fldChar w:fldCharType="end"/>
            </w:r>
          </w:hyperlink>
        </w:p>
        <w:p w14:paraId="68B226FB" w14:textId="3E3E8BBD" w:rsidR="00244DA2" w:rsidRPr="00B222F0" w:rsidRDefault="00244DA2" w:rsidP="00244DA2">
          <w:pPr>
            <w:pStyle w:val="Cuprins1"/>
            <w:tabs>
              <w:tab w:val="right" w:leader="dot" w:pos="9350"/>
            </w:tabs>
            <w:spacing w:line="360" w:lineRule="auto"/>
            <w:jc w:val="both"/>
            <w:rPr>
              <w:noProof/>
              <w:sz w:val="24"/>
              <w:szCs w:val="24"/>
            </w:rPr>
          </w:pPr>
          <w:hyperlink w:anchor="_Toc180142708" w:history="1">
            <w:r w:rsidRPr="00B222F0">
              <w:rPr>
                <w:rStyle w:val="Hyperlink"/>
                <w:noProof/>
                <w:sz w:val="24"/>
                <w:szCs w:val="24"/>
              </w:rPr>
              <w:t>Market Position</w:t>
            </w:r>
            <w:r w:rsidRPr="00B222F0">
              <w:rPr>
                <w:noProof/>
                <w:webHidden/>
                <w:sz w:val="24"/>
                <w:szCs w:val="24"/>
              </w:rPr>
              <w:tab/>
            </w:r>
            <w:r w:rsidRPr="00B222F0">
              <w:rPr>
                <w:noProof/>
                <w:webHidden/>
                <w:sz w:val="24"/>
                <w:szCs w:val="24"/>
              </w:rPr>
              <w:fldChar w:fldCharType="begin"/>
            </w:r>
            <w:r w:rsidRPr="00B222F0">
              <w:rPr>
                <w:noProof/>
                <w:webHidden/>
                <w:sz w:val="24"/>
                <w:szCs w:val="24"/>
              </w:rPr>
              <w:instrText xml:space="preserve"> PAGEREF _Toc180142708 \h </w:instrText>
            </w:r>
            <w:r w:rsidRPr="00B222F0">
              <w:rPr>
                <w:noProof/>
                <w:webHidden/>
                <w:sz w:val="24"/>
                <w:szCs w:val="24"/>
              </w:rPr>
            </w:r>
            <w:r w:rsidRPr="00B222F0">
              <w:rPr>
                <w:noProof/>
                <w:webHidden/>
                <w:sz w:val="24"/>
                <w:szCs w:val="24"/>
              </w:rPr>
              <w:fldChar w:fldCharType="separate"/>
            </w:r>
            <w:r w:rsidRPr="00B222F0">
              <w:rPr>
                <w:noProof/>
                <w:webHidden/>
                <w:sz w:val="24"/>
                <w:szCs w:val="24"/>
              </w:rPr>
              <w:t>5</w:t>
            </w:r>
            <w:r w:rsidRPr="00B222F0">
              <w:rPr>
                <w:noProof/>
                <w:webHidden/>
                <w:sz w:val="24"/>
                <w:szCs w:val="24"/>
              </w:rPr>
              <w:fldChar w:fldCharType="end"/>
            </w:r>
          </w:hyperlink>
        </w:p>
        <w:p w14:paraId="158E66AB" w14:textId="6BBD0E09" w:rsidR="00244DA2" w:rsidRPr="00B222F0" w:rsidRDefault="00244DA2" w:rsidP="00244DA2">
          <w:pPr>
            <w:pStyle w:val="Cuprins1"/>
            <w:tabs>
              <w:tab w:val="right" w:leader="dot" w:pos="9350"/>
            </w:tabs>
            <w:spacing w:line="360" w:lineRule="auto"/>
            <w:jc w:val="both"/>
            <w:rPr>
              <w:noProof/>
              <w:sz w:val="24"/>
              <w:szCs w:val="24"/>
            </w:rPr>
          </w:pPr>
          <w:hyperlink w:anchor="_Toc180142709" w:history="1">
            <w:r w:rsidRPr="00B222F0">
              <w:rPr>
                <w:rStyle w:val="Hyperlink"/>
                <w:noProof/>
                <w:sz w:val="24"/>
                <w:szCs w:val="24"/>
              </w:rPr>
              <w:t>Growth Potential</w:t>
            </w:r>
            <w:r w:rsidRPr="00B222F0">
              <w:rPr>
                <w:noProof/>
                <w:webHidden/>
                <w:sz w:val="24"/>
                <w:szCs w:val="24"/>
              </w:rPr>
              <w:tab/>
            </w:r>
            <w:r w:rsidRPr="00B222F0">
              <w:rPr>
                <w:noProof/>
                <w:webHidden/>
                <w:sz w:val="24"/>
                <w:szCs w:val="24"/>
              </w:rPr>
              <w:fldChar w:fldCharType="begin"/>
            </w:r>
            <w:r w:rsidRPr="00B222F0">
              <w:rPr>
                <w:noProof/>
                <w:webHidden/>
                <w:sz w:val="24"/>
                <w:szCs w:val="24"/>
              </w:rPr>
              <w:instrText xml:space="preserve"> PAGEREF _Toc180142709 \h </w:instrText>
            </w:r>
            <w:r w:rsidRPr="00B222F0">
              <w:rPr>
                <w:noProof/>
                <w:webHidden/>
                <w:sz w:val="24"/>
                <w:szCs w:val="24"/>
              </w:rPr>
            </w:r>
            <w:r w:rsidRPr="00B222F0">
              <w:rPr>
                <w:noProof/>
                <w:webHidden/>
                <w:sz w:val="24"/>
                <w:szCs w:val="24"/>
              </w:rPr>
              <w:fldChar w:fldCharType="separate"/>
            </w:r>
            <w:r w:rsidRPr="00B222F0">
              <w:rPr>
                <w:noProof/>
                <w:webHidden/>
                <w:sz w:val="24"/>
                <w:szCs w:val="24"/>
              </w:rPr>
              <w:t>7</w:t>
            </w:r>
            <w:r w:rsidRPr="00B222F0">
              <w:rPr>
                <w:noProof/>
                <w:webHidden/>
                <w:sz w:val="24"/>
                <w:szCs w:val="24"/>
              </w:rPr>
              <w:fldChar w:fldCharType="end"/>
            </w:r>
          </w:hyperlink>
        </w:p>
        <w:p w14:paraId="13056ECA" w14:textId="7538E472" w:rsidR="00244DA2" w:rsidRPr="00B222F0" w:rsidRDefault="00244DA2" w:rsidP="00244DA2">
          <w:pPr>
            <w:pStyle w:val="Cuprins1"/>
            <w:tabs>
              <w:tab w:val="right" w:leader="dot" w:pos="9350"/>
            </w:tabs>
            <w:spacing w:line="360" w:lineRule="auto"/>
            <w:jc w:val="both"/>
            <w:rPr>
              <w:noProof/>
              <w:sz w:val="24"/>
              <w:szCs w:val="24"/>
            </w:rPr>
          </w:pPr>
          <w:hyperlink w:anchor="_Toc180142710" w:history="1">
            <w:r w:rsidRPr="00B222F0">
              <w:rPr>
                <w:rStyle w:val="Hyperlink"/>
                <w:noProof/>
                <w:sz w:val="24"/>
                <w:szCs w:val="24"/>
              </w:rPr>
              <w:t>Financial Commitment to CSR</w:t>
            </w:r>
            <w:r w:rsidRPr="00B222F0">
              <w:rPr>
                <w:noProof/>
                <w:webHidden/>
                <w:sz w:val="24"/>
                <w:szCs w:val="24"/>
              </w:rPr>
              <w:tab/>
            </w:r>
            <w:r w:rsidRPr="00B222F0">
              <w:rPr>
                <w:noProof/>
                <w:webHidden/>
                <w:sz w:val="24"/>
                <w:szCs w:val="24"/>
              </w:rPr>
              <w:fldChar w:fldCharType="begin"/>
            </w:r>
            <w:r w:rsidRPr="00B222F0">
              <w:rPr>
                <w:noProof/>
                <w:webHidden/>
                <w:sz w:val="24"/>
                <w:szCs w:val="24"/>
              </w:rPr>
              <w:instrText xml:space="preserve"> PAGEREF _Toc180142710 \h </w:instrText>
            </w:r>
            <w:r w:rsidRPr="00B222F0">
              <w:rPr>
                <w:noProof/>
                <w:webHidden/>
                <w:sz w:val="24"/>
                <w:szCs w:val="24"/>
              </w:rPr>
            </w:r>
            <w:r w:rsidRPr="00B222F0">
              <w:rPr>
                <w:noProof/>
                <w:webHidden/>
                <w:sz w:val="24"/>
                <w:szCs w:val="24"/>
              </w:rPr>
              <w:fldChar w:fldCharType="separate"/>
            </w:r>
            <w:r w:rsidRPr="00B222F0">
              <w:rPr>
                <w:noProof/>
                <w:webHidden/>
                <w:sz w:val="24"/>
                <w:szCs w:val="24"/>
              </w:rPr>
              <w:t>8</w:t>
            </w:r>
            <w:r w:rsidRPr="00B222F0">
              <w:rPr>
                <w:noProof/>
                <w:webHidden/>
                <w:sz w:val="24"/>
                <w:szCs w:val="24"/>
              </w:rPr>
              <w:fldChar w:fldCharType="end"/>
            </w:r>
          </w:hyperlink>
        </w:p>
        <w:p w14:paraId="5277E57E" w14:textId="2A5F61A2" w:rsidR="00244DA2" w:rsidRPr="00B222F0" w:rsidRDefault="00244DA2" w:rsidP="00244DA2">
          <w:pPr>
            <w:pStyle w:val="Cuprins1"/>
            <w:tabs>
              <w:tab w:val="right" w:leader="dot" w:pos="9350"/>
            </w:tabs>
            <w:spacing w:line="360" w:lineRule="auto"/>
            <w:jc w:val="both"/>
            <w:rPr>
              <w:noProof/>
              <w:sz w:val="24"/>
              <w:szCs w:val="24"/>
            </w:rPr>
          </w:pPr>
          <w:hyperlink w:anchor="_Toc180142711" w:history="1">
            <w:r w:rsidRPr="00B222F0">
              <w:rPr>
                <w:rStyle w:val="Hyperlink"/>
                <w:noProof/>
                <w:sz w:val="24"/>
                <w:szCs w:val="24"/>
              </w:rPr>
              <w:t>Recommendations</w:t>
            </w:r>
            <w:r w:rsidRPr="00B222F0">
              <w:rPr>
                <w:noProof/>
                <w:webHidden/>
                <w:sz w:val="24"/>
                <w:szCs w:val="24"/>
              </w:rPr>
              <w:tab/>
            </w:r>
            <w:r w:rsidRPr="00B222F0">
              <w:rPr>
                <w:noProof/>
                <w:webHidden/>
                <w:sz w:val="24"/>
                <w:szCs w:val="24"/>
              </w:rPr>
              <w:fldChar w:fldCharType="begin"/>
            </w:r>
            <w:r w:rsidRPr="00B222F0">
              <w:rPr>
                <w:noProof/>
                <w:webHidden/>
                <w:sz w:val="24"/>
                <w:szCs w:val="24"/>
              </w:rPr>
              <w:instrText xml:space="preserve"> PAGEREF _Toc180142711 \h </w:instrText>
            </w:r>
            <w:r w:rsidRPr="00B222F0">
              <w:rPr>
                <w:noProof/>
                <w:webHidden/>
                <w:sz w:val="24"/>
                <w:szCs w:val="24"/>
              </w:rPr>
            </w:r>
            <w:r w:rsidRPr="00B222F0">
              <w:rPr>
                <w:noProof/>
                <w:webHidden/>
                <w:sz w:val="24"/>
                <w:szCs w:val="24"/>
              </w:rPr>
              <w:fldChar w:fldCharType="separate"/>
            </w:r>
            <w:r w:rsidRPr="00B222F0">
              <w:rPr>
                <w:noProof/>
                <w:webHidden/>
                <w:sz w:val="24"/>
                <w:szCs w:val="24"/>
              </w:rPr>
              <w:t>10</w:t>
            </w:r>
            <w:r w:rsidRPr="00B222F0">
              <w:rPr>
                <w:noProof/>
                <w:webHidden/>
                <w:sz w:val="24"/>
                <w:szCs w:val="24"/>
              </w:rPr>
              <w:fldChar w:fldCharType="end"/>
            </w:r>
          </w:hyperlink>
        </w:p>
        <w:p w14:paraId="5CABEFC2" w14:textId="2BB2AE05" w:rsidR="00244DA2" w:rsidRPr="00B222F0" w:rsidRDefault="00244DA2" w:rsidP="00244DA2">
          <w:pPr>
            <w:pStyle w:val="Cuprins1"/>
            <w:tabs>
              <w:tab w:val="right" w:leader="dot" w:pos="9350"/>
            </w:tabs>
            <w:spacing w:line="360" w:lineRule="auto"/>
            <w:jc w:val="both"/>
            <w:rPr>
              <w:noProof/>
              <w:sz w:val="24"/>
              <w:szCs w:val="24"/>
            </w:rPr>
          </w:pPr>
          <w:hyperlink w:anchor="_Toc180142712" w:history="1">
            <w:r w:rsidRPr="00B222F0">
              <w:rPr>
                <w:rStyle w:val="Hyperlink"/>
                <w:noProof/>
                <w:sz w:val="24"/>
                <w:szCs w:val="24"/>
              </w:rPr>
              <w:t>Conclusion</w:t>
            </w:r>
            <w:r w:rsidRPr="00B222F0">
              <w:rPr>
                <w:noProof/>
                <w:webHidden/>
                <w:sz w:val="24"/>
                <w:szCs w:val="24"/>
              </w:rPr>
              <w:tab/>
            </w:r>
            <w:r w:rsidRPr="00B222F0">
              <w:rPr>
                <w:noProof/>
                <w:webHidden/>
                <w:sz w:val="24"/>
                <w:szCs w:val="24"/>
              </w:rPr>
              <w:fldChar w:fldCharType="begin"/>
            </w:r>
            <w:r w:rsidRPr="00B222F0">
              <w:rPr>
                <w:noProof/>
                <w:webHidden/>
                <w:sz w:val="24"/>
                <w:szCs w:val="24"/>
              </w:rPr>
              <w:instrText xml:space="preserve"> PAGEREF _Toc180142712 \h </w:instrText>
            </w:r>
            <w:r w:rsidRPr="00B222F0">
              <w:rPr>
                <w:noProof/>
                <w:webHidden/>
                <w:sz w:val="24"/>
                <w:szCs w:val="24"/>
              </w:rPr>
            </w:r>
            <w:r w:rsidRPr="00B222F0">
              <w:rPr>
                <w:noProof/>
                <w:webHidden/>
                <w:sz w:val="24"/>
                <w:szCs w:val="24"/>
              </w:rPr>
              <w:fldChar w:fldCharType="separate"/>
            </w:r>
            <w:r w:rsidRPr="00B222F0">
              <w:rPr>
                <w:noProof/>
                <w:webHidden/>
                <w:sz w:val="24"/>
                <w:szCs w:val="24"/>
              </w:rPr>
              <w:t>10</w:t>
            </w:r>
            <w:r w:rsidRPr="00B222F0">
              <w:rPr>
                <w:noProof/>
                <w:webHidden/>
                <w:sz w:val="24"/>
                <w:szCs w:val="24"/>
              </w:rPr>
              <w:fldChar w:fldCharType="end"/>
            </w:r>
          </w:hyperlink>
        </w:p>
        <w:p w14:paraId="4B19CF46" w14:textId="31CA17AB" w:rsidR="00244DA2" w:rsidRPr="00B222F0" w:rsidRDefault="00244DA2" w:rsidP="00244DA2">
          <w:pPr>
            <w:pStyle w:val="Cuprins1"/>
            <w:tabs>
              <w:tab w:val="right" w:leader="dot" w:pos="9350"/>
            </w:tabs>
            <w:spacing w:line="360" w:lineRule="auto"/>
            <w:jc w:val="both"/>
            <w:rPr>
              <w:noProof/>
              <w:sz w:val="24"/>
              <w:szCs w:val="24"/>
            </w:rPr>
          </w:pPr>
          <w:hyperlink w:anchor="_Toc180142713" w:history="1">
            <w:r w:rsidRPr="00B222F0">
              <w:rPr>
                <w:rStyle w:val="Hyperlink"/>
                <w:noProof/>
                <w:sz w:val="24"/>
                <w:szCs w:val="24"/>
              </w:rPr>
              <w:t>References</w:t>
            </w:r>
            <w:r w:rsidRPr="00B222F0">
              <w:rPr>
                <w:noProof/>
                <w:webHidden/>
                <w:sz w:val="24"/>
                <w:szCs w:val="24"/>
              </w:rPr>
              <w:tab/>
            </w:r>
            <w:r w:rsidRPr="00B222F0">
              <w:rPr>
                <w:noProof/>
                <w:webHidden/>
                <w:sz w:val="24"/>
                <w:szCs w:val="24"/>
              </w:rPr>
              <w:fldChar w:fldCharType="begin"/>
            </w:r>
            <w:r w:rsidRPr="00B222F0">
              <w:rPr>
                <w:noProof/>
                <w:webHidden/>
                <w:sz w:val="24"/>
                <w:szCs w:val="24"/>
              </w:rPr>
              <w:instrText xml:space="preserve"> PAGEREF _Toc180142713 \h </w:instrText>
            </w:r>
            <w:r w:rsidRPr="00B222F0">
              <w:rPr>
                <w:noProof/>
                <w:webHidden/>
                <w:sz w:val="24"/>
                <w:szCs w:val="24"/>
              </w:rPr>
            </w:r>
            <w:r w:rsidRPr="00B222F0">
              <w:rPr>
                <w:noProof/>
                <w:webHidden/>
                <w:sz w:val="24"/>
                <w:szCs w:val="24"/>
              </w:rPr>
              <w:fldChar w:fldCharType="separate"/>
            </w:r>
            <w:r w:rsidRPr="00B222F0">
              <w:rPr>
                <w:noProof/>
                <w:webHidden/>
                <w:sz w:val="24"/>
                <w:szCs w:val="24"/>
              </w:rPr>
              <w:t>11</w:t>
            </w:r>
            <w:r w:rsidRPr="00B222F0">
              <w:rPr>
                <w:noProof/>
                <w:webHidden/>
                <w:sz w:val="24"/>
                <w:szCs w:val="24"/>
              </w:rPr>
              <w:fldChar w:fldCharType="end"/>
            </w:r>
          </w:hyperlink>
        </w:p>
        <w:p w14:paraId="21CC778F" w14:textId="30FACBAC" w:rsidR="00244DA2" w:rsidRPr="00B222F0" w:rsidRDefault="00244DA2">
          <w:pPr>
            <w:rPr>
              <w:sz w:val="24"/>
              <w:szCs w:val="24"/>
            </w:rPr>
          </w:pPr>
          <w:r w:rsidRPr="00B222F0">
            <w:rPr>
              <w:b/>
              <w:bCs/>
              <w:noProof/>
              <w:sz w:val="24"/>
              <w:szCs w:val="24"/>
            </w:rPr>
            <w:fldChar w:fldCharType="end"/>
          </w:r>
        </w:p>
      </w:sdtContent>
    </w:sdt>
    <w:p w14:paraId="61054CBF" w14:textId="77777777" w:rsidR="00244DA2" w:rsidRPr="00B222F0" w:rsidRDefault="00244DA2">
      <w:pPr>
        <w:rPr>
          <w:b/>
          <w:sz w:val="24"/>
          <w:szCs w:val="24"/>
        </w:rPr>
      </w:pPr>
      <w:r w:rsidRPr="00B222F0">
        <w:rPr>
          <w:sz w:val="24"/>
          <w:szCs w:val="24"/>
        </w:rPr>
        <w:br w:type="page"/>
      </w:r>
    </w:p>
    <w:p w14:paraId="5DBA7EC0" w14:textId="10E94B95" w:rsidR="00F61E2F" w:rsidRPr="00B222F0" w:rsidRDefault="00000000" w:rsidP="00244DA2">
      <w:pPr>
        <w:pStyle w:val="Titlu1"/>
        <w:rPr>
          <w:rFonts w:ascii="Arial" w:hAnsi="Arial"/>
          <w:sz w:val="24"/>
          <w:szCs w:val="24"/>
        </w:rPr>
      </w:pPr>
      <w:bookmarkStart w:id="0" w:name="_Toc180142706"/>
      <w:r w:rsidRPr="00B222F0">
        <w:rPr>
          <w:rFonts w:ascii="Arial" w:hAnsi="Arial"/>
          <w:sz w:val="24"/>
          <w:szCs w:val="24"/>
        </w:rPr>
        <w:lastRenderedPageBreak/>
        <w:t>Introduction</w:t>
      </w:r>
      <w:bookmarkEnd w:id="0"/>
      <w:r w:rsidRPr="00B222F0">
        <w:rPr>
          <w:rFonts w:ascii="Arial" w:hAnsi="Arial"/>
          <w:sz w:val="24"/>
          <w:szCs w:val="24"/>
        </w:rPr>
        <w:t xml:space="preserve"> </w:t>
      </w:r>
    </w:p>
    <w:p w14:paraId="569D703A" w14:textId="77777777" w:rsidR="00F61E2F" w:rsidRPr="00B222F0" w:rsidRDefault="00000000">
      <w:pPr>
        <w:spacing w:line="360" w:lineRule="auto"/>
        <w:jc w:val="both"/>
        <w:rPr>
          <w:rFonts w:eastAsia="Times New Roman"/>
          <w:sz w:val="24"/>
          <w:szCs w:val="24"/>
        </w:rPr>
      </w:pPr>
      <w:r w:rsidRPr="00B222F0">
        <w:rPr>
          <w:rFonts w:eastAsia="Times New Roman"/>
          <w:sz w:val="24"/>
          <w:szCs w:val="24"/>
        </w:rPr>
        <w:t xml:space="preserve">The hospitality industry has an important function in the tourism sector to satisfy the needs of the customers by providing a range of products such as different degrees of accommodation facilities, eating places and services. Two of the market giants in this line of production are Shangri-La Hotels for the higher-end market and Premier Inn Hotels for the lower-end market. in the context of luxury, Shangri-La Hotels. It is a luxury hotelier that has been providing services that are mainly high-end and located in prime locations as opposed to Premier Inn which offers customers an affordable, quality lodging solution with its main markets in the United Kingdom. The following report is a critical analysis and comparative evaluation of the two hotel groups regarding total management, covering such aspects as total income, market position, growth potential, and the degree of financial commitment to CSR. </w:t>
      </w:r>
    </w:p>
    <w:p w14:paraId="70E75129" w14:textId="77777777" w:rsidR="00F61E2F" w:rsidRPr="00B222F0" w:rsidRDefault="00000000" w:rsidP="00244DA2">
      <w:pPr>
        <w:pStyle w:val="Titlu1"/>
        <w:rPr>
          <w:rFonts w:ascii="Arial" w:hAnsi="Arial"/>
          <w:sz w:val="24"/>
          <w:szCs w:val="24"/>
        </w:rPr>
      </w:pPr>
      <w:bookmarkStart w:id="1" w:name="_Toc180142707"/>
      <w:r w:rsidRPr="00B222F0">
        <w:rPr>
          <w:rFonts w:ascii="Arial" w:hAnsi="Arial"/>
          <w:sz w:val="24"/>
          <w:szCs w:val="24"/>
        </w:rPr>
        <w:t>Total Revenue Comparison</w:t>
      </w:r>
      <w:bookmarkEnd w:id="1"/>
    </w:p>
    <w:p w14:paraId="752187E7" w14:textId="77777777" w:rsidR="00F61E2F" w:rsidRPr="00B222F0" w:rsidRDefault="00000000">
      <w:pPr>
        <w:spacing w:line="360" w:lineRule="auto"/>
        <w:jc w:val="both"/>
        <w:rPr>
          <w:rFonts w:eastAsia="Times New Roman"/>
          <w:sz w:val="24"/>
          <w:szCs w:val="24"/>
        </w:rPr>
      </w:pPr>
      <w:r w:rsidRPr="00B222F0">
        <w:rPr>
          <w:rFonts w:eastAsia="Times New Roman"/>
          <w:sz w:val="24"/>
          <w:szCs w:val="24"/>
        </w:rPr>
        <w:t>Total revenue is another central financial figure for both Shangri-La Hotels and Premier Inn Hotels because it explains the organisation’s ability to deliver revenues from multiple types of operations, such as accommodation, eating places, and other services (Pereira-Moliner et al., 2021). Unfortunately, because of the market segmentation, where Shangri-La is a luxury hotel and Premier Inn is an economy hotel, the two companies have different structural revenue and performance (Pereira-Moliner et al., 2021).</w:t>
      </w:r>
    </w:p>
    <w:p w14:paraId="2267AC6B" w14:textId="77777777" w:rsidR="00F61E2F" w:rsidRPr="00B222F0" w:rsidRDefault="00000000">
      <w:pPr>
        <w:spacing w:line="360" w:lineRule="auto"/>
        <w:jc w:val="both"/>
        <w:rPr>
          <w:rFonts w:eastAsia="Times New Roman"/>
          <w:sz w:val="24"/>
          <w:szCs w:val="24"/>
        </w:rPr>
      </w:pPr>
      <w:r w:rsidRPr="00B222F0">
        <w:rPr>
          <w:rFonts w:eastAsia="Times New Roman"/>
          <w:sz w:val="24"/>
          <w:szCs w:val="24"/>
        </w:rPr>
        <w:t>Shangri-La Hotels</w:t>
      </w:r>
    </w:p>
    <w:p w14:paraId="7E4E5651" w14:textId="77777777" w:rsidR="00F61E2F" w:rsidRPr="00B222F0" w:rsidRDefault="00000000">
      <w:pPr>
        <w:spacing w:line="360" w:lineRule="auto"/>
        <w:jc w:val="both"/>
        <w:rPr>
          <w:rFonts w:eastAsia="Times New Roman"/>
          <w:sz w:val="24"/>
          <w:szCs w:val="24"/>
        </w:rPr>
      </w:pPr>
      <w:r w:rsidRPr="00B222F0">
        <w:rPr>
          <w:rFonts w:eastAsia="Times New Roman"/>
          <w:sz w:val="24"/>
          <w:szCs w:val="24"/>
        </w:rPr>
        <w:t>Shangri-La is in the strategic business segment of luxury, which means it delivers services at higher prices. By the operation of February 2022, Shangri-La ranging from £200 to £350 consequent to the type of locale and property regarding its ADR while its RevPAR influencing by the property was approximately £170 (IHG, 2023). B, how the revenue is distributed in the group: about 60% of the total revenue is attributed to room booking; 30% to food consumption in the hotel and restaurant business; the remaining 10% for the other services provided including SPA and event hosting.</w:t>
      </w:r>
    </w:p>
    <w:p w14:paraId="1E524C47" w14:textId="77777777" w:rsidR="00F61E2F" w:rsidRPr="00B222F0" w:rsidRDefault="00000000">
      <w:pPr>
        <w:spacing w:line="360" w:lineRule="auto"/>
        <w:jc w:val="both"/>
        <w:rPr>
          <w:rFonts w:eastAsia="Times New Roman"/>
          <w:sz w:val="24"/>
          <w:szCs w:val="24"/>
        </w:rPr>
      </w:pPr>
      <w:r w:rsidRPr="00B222F0">
        <w:rPr>
          <w:rFonts w:eastAsia="Times New Roman"/>
          <w:sz w:val="24"/>
          <w:szCs w:val="24"/>
        </w:rPr>
        <w:t xml:space="preserve">The total UK revenue recovered from the COVID-19 pandemic dip for Shangri-La stood at £180 million in 2022 (Nevett, 2023). The global annual revenue of Shangri-La in the pre-COVID world was over £2.3 billion, however, the revenue in the year 2020 had </w:t>
      </w:r>
      <w:r w:rsidRPr="00B222F0">
        <w:rPr>
          <w:rFonts w:eastAsia="Times New Roman"/>
          <w:sz w:val="24"/>
          <w:szCs w:val="24"/>
        </w:rPr>
        <w:lastRenderedPageBreak/>
        <w:t>reduced by over 45% mainly due to a decrease in customer travel and tourism industry due to COVID restrictions, job losses and reduction in customer’s disposable income leading to reduced expenditure on luxury goods which has badly impacted the luxury hotel business of Shangri-La (Nevett, 2023). Despite its subsequent rebound, Shangri-La is still highly sensitive to changes in the international tourist market and the world economy because its primary target market is international high-end tourists.</w:t>
      </w:r>
    </w:p>
    <w:p w14:paraId="5644F42B" w14:textId="77777777" w:rsidR="00F61E2F" w:rsidRPr="00B222F0" w:rsidRDefault="00000000">
      <w:pPr>
        <w:spacing w:line="360" w:lineRule="auto"/>
        <w:jc w:val="both"/>
        <w:rPr>
          <w:rFonts w:eastAsia="Times New Roman"/>
          <w:sz w:val="24"/>
          <w:szCs w:val="24"/>
        </w:rPr>
      </w:pPr>
      <w:r w:rsidRPr="00B222F0">
        <w:rPr>
          <w:rFonts w:eastAsia="Times New Roman"/>
          <w:sz w:val="24"/>
          <w:szCs w:val="24"/>
        </w:rPr>
        <w:t>Premier Inn Hotels</w:t>
      </w:r>
    </w:p>
    <w:p w14:paraId="2E57EE30" w14:textId="77777777" w:rsidR="00F61E2F" w:rsidRPr="00B222F0" w:rsidRDefault="00000000">
      <w:pPr>
        <w:spacing w:line="360" w:lineRule="auto"/>
        <w:jc w:val="both"/>
        <w:rPr>
          <w:rFonts w:eastAsia="Times New Roman"/>
          <w:sz w:val="24"/>
          <w:szCs w:val="24"/>
        </w:rPr>
      </w:pPr>
      <w:r w:rsidRPr="00B222F0">
        <w:rPr>
          <w:rFonts w:eastAsia="Times New Roman"/>
          <w:sz w:val="24"/>
          <w:szCs w:val="24"/>
        </w:rPr>
        <w:t>Marriot has its competitors in the low-end segment in the home country, including the largest hotel chain in the UK, Premier Inn. In 2022, Premier Inn’s ADR was about £60-£85 based on location but has a steady occupancy of roughly 80% (Statista, 2024). The source of revenue for Premier Inn is based on the turnover model ensuring that they have large markets in the United Kingdom and Germany. The RevPAR was around £50 in 2022 for the company.</w:t>
      </w:r>
    </w:p>
    <w:p w14:paraId="7E5975BC" w14:textId="77777777" w:rsidR="00F61E2F" w:rsidRPr="00B222F0" w:rsidRDefault="00000000">
      <w:pPr>
        <w:spacing w:line="360" w:lineRule="auto"/>
        <w:jc w:val="both"/>
        <w:rPr>
          <w:rFonts w:eastAsia="Times New Roman"/>
          <w:sz w:val="24"/>
          <w:szCs w:val="24"/>
        </w:rPr>
      </w:pPr>
      <w:r w:rsidRPr="00B222F0">
        <w:rPr>
          <w:rFonts w:eastAsia="Times New Roman"/>
          <w:sz w:val="24"/>
          <w:szCs w:val="24"/>
        </w:rPr>
        <w:t xml:space="preserve">If we discuss the overall sales figure, the operating sales in the United Kingdom during 2022 amounted to £ 1.4 billion, out of which 75 % is the income from selling rooms and the rest of the 20 % is the total sales from food and beverages selling from the restaurants that are there in the premises of Premier Inn (Statista, 2024). The remaining 5% of the firm’s revenue was collected from other related services like parking and meeting room facilities. Domestic hotel business also outperformed international business </w:t>
      </w:r>
      <w:proofErr w:type="gramStart"/>
      <w:r w:rsidRPr="00B222F0">
        <w:rPr>
          <w:rFonts w:eastAsia="Times New Roman"/>
          <w:sz w:val="24"/>
          <w:szCs w:val="24"/>
        </w:rPr>
        <w:t>in the course of</w:t>
      </w:r>
      <w:proofErr w:type="gramEnd"/>
      <w:r w:rsidRPr="00B222F0">
        <w:rPr>
          <w:rFonts w:eastAsia="Times New Roman"/>
          <w:sz w:val="24"/>
          <w:szCs w:val="24"/>
        </w:rPr>
        <w:t xml:space="preserve"> the pandemic, and the focus on the domestic market gave Premier Inn an advantage over many of its competitors in the luxury category. The following year, the company registered a recovery of its revenues to 18% after having a contraction of 33% in 2020 (Statista, 2024).</w:t>
      </w:r>
    </w:p>
    <w:p w14:paraId="4906A661" w14:textId="77777777" w:rsidR="00F61E2F" w:rsidRPr="00B222F0" w:rsidRDefault="00000000" w:rsidP="00244DA2">
      <w:pPr>
        <w:pStyle w:val="Titlu1"/>
        <w:rPr>
          <w:rFonts w:ascii="Arial" w:hAnsi="Arial"/>
          <w:sz w:val="24"/>
          <w:szCs w:val="24"/>
        </w:rPr>
      </w:pPr>
      <w:bookmarkStart w:id="2" w:name="_Toc180142708"/>
      <w:r w:rsidRPr="00B222F0">
        <w:rPr>
          <w:rFonts w:ascii="Arial" w:hAnsi="Arial"/>
          <w:sz w:val="24"/>
          <w:szCs w:val="24"/>
        </w:rPr>
        <w:t>Market Position</w:t>
      </w:r>
      <w:bookmarkEnd w:id="2"/>
    </w:p>
    <w:p w14:paraId="1F29C576" w14:textId="77777777" w:rsidR="00F61E2F" w:rsidRPr="00B222F0" w:rsidRDefault="00000000">
      <w:pPr>
        <w:spacing w:line="360" w:lineRule="auto"/>
        <w:jc w:val="both"/>
        <w:rPr>
          <w:rFonts w:eastAsia="Times New Roman"/>
          <w:sz w:val="24"/>
          <w:szCs w:val="24"/>
        </w:rPr>
      </w:pPr>
      <w:r w:rsidRPr="00B222F0">
        <w:rPr>
          <w:rFonts w:eastAsia="Times New Roman"/>
          <w:sz w:val="24"/>
          <w:szCs w:val="24"/>
        </w:rPr>
        <w:t xml:space="preserve">Shangri-La is a luxury hotel player serving global markets with a particular focus on the Asia Pacific region, the Middle East and a few European cities such as London (Shangri-la Group, 2020). As it has been seen, the current market positioning of Shangri-La is principally focused on upgraded-class customers, </w:t>
      </w:r>
      <w:proofErr w:type="gramStart"/>
      <w:r w:rsidRPr="00B222F0">
        <w:rPr>
          <w:rFonts w:eastAsia="Times New Roman"/>
          <w:sz w:val="24"/>
          <w:szCs w:val="24"/>
        </w:rPr>
        <w:t>business persons</w:t>
      </w:r>
      <w:proofErr w:type="gramEnd"/>
      <w:r w:rsidRPr="00B222F0">
        <w:rPr>
          <w:rFonts w:eastAsia="Times New Roman"/>
          <w:sz w:val="24"/>
          <w:szCs w:val="24"/>
        </w:rPr>
        <w:t xml:space="preserve">, and global tourist service seekers. In the UK The company’s brand image is represented by the Shangri-La at The Shard, London which is a landmark of the country (Shangri-la Group, 2020). </w:t>
      </w:r>
    </w:p>
    <w:p w14:paraId="2088FAC3" w14:textId="77777777" w:rsidR="00F61E2F" w:rsidRPr="00B222F0" w:rsidRDefault="00000000">
      <w:pPr>
        <w:spacing w:line="360" w:lineRule="auto"/>
        <w:jc w:val="both"/>
        <w:rPr>
          <w:rFonts w:eastAsia="Times New Roman"/>
          <w:b/>
          <w:sz w:val="24"/>
          <w:szCs w:val="24"/>
        </w:rPr>
      </w:pPr>
      <w:r w:rsidRPr="00B222F0">
        <w:rPr>
          <w:rFonts w:eastAsia="Times New Roman"/>
          <w:b/>
          <w:noProof/>
          <w:sz w:val="24"/>
          <w:szCs w:val="24"/>
        </w:rPr>
        <w:lastRenderedPageBreak/>
        <w:drawing>
          <wp:inline distT="114300" distB="114300" distL="114300" distR="114300" wp14:anchorId="69341C48" wp14:editId="0F2DDD09">
            <wp:extent cx="5943600" cy="4216400"/>
            <wp:effectExtent l="25400" t="25400" r="25400" b="2540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5943600" cy="4216400"/>
                    </a:xfrm>
                    <a:prstGeom prst="rect">
                      <a:avLst/>
                    </a:prstGeom>
                    <a:ln w="25400">
                      <a:solidFill>
                        <a:srgbClr val="000000"/>
                      </a:solidFill>
                      <a:prstDash val="solid"/>
                    </a:ln>
                  </pic:spPr>
                </pic:pic>
              </a:graphicData>
            </a:graphic>
          </wp:inline>
        </w:drawing>
      </w:r>
    </w:p>
    <w:p w14:paraId="4208DBD6" w14:textId="77777777" w:rsidR="00F61E2F" w:rsidRPr="00B222F0" w:rsidRDefault="00000000">
      <w:pPr>
        <w:spacing w:line="360" w:lineRule="auto"/>
        <w:jc w:val="center"/>
        <w:rPr>
          <w:rFonts w:eastAsia="Times New Roman"/>
          <w:b/>
          <w:sz w:val="24"/>
          <w:szCs w:val="24"/>
        </w:rPr>
      </w:pPr>
      <w:r w:rsidRPr="00B222F0">
        <w:rPr>
          <w:rFonts w:eastAsia="Times New Roman"/>
          <w:b/>
          <w:sz w:val="24"/>
          <w:szCs w:val="24"/>
        </w:rPr>
        <w:t xml:space="preserve">Figure 1: Market position of luxury hotel brands </w:t>
      </w:r>
    </w:p>
    <w:p w14:paraId="68E68824" w14:textId="77777777" w:rsidR="00F61E2F" w:rsidRPr="00B222F0" w:rsidRDefault="00000000">
      <w:pPr>
        <w:spacing w:line="360" w:lineRule="auto"/>
        <w:jc w:val="center"/>
        <w:rPr>
          <w:rFonts w:eastAsia="Times New Roman"/>
          <w:sz w:val="24"/>
          <w:szCs w:val="24"/>
        </w:rPr>
      </w:pPr>
      <w:r w:rsidRPr="00B222F0">
        <w:rPr>
          <w:rFonts w:eastAsia="Times New Roman"/>
          <w:sz w:val="24"/>
          <w:szCs w:val="24"/>
        </w:rPr>
        <w:t>(Source: Statista, 2022)</w:t>
      </w:r>
    </w:p>
    <w:p w14:paraId="6F01C064" w14:textId="77777777" w:rsidR="00F61E2F" w:rsidRPr="00B222F0" w:rsidRDefault="00000000">
      <w:pPr>
        <w:spacing w:line="360" w:lineRule="auto"/>
        <w:jc w:val="both"/>
        <w:rPr>
          <w:rFonts w:eastAsia="Times New Roman"/>
          <w:sz w:val="24"/>
          <w:szCs w:val="24"/>
        </w:rPr>
      </w:pPr>
      <w:r w:rsidRPr="00B222F0">
        <w:rPr>
          <w:rFonts w:eastAsia="Times New Roman"/>
          <w:sz w:val="24"/>
          <w:szCs w:val="24"/>
        </w:rPr>
        <w:t xml:space="preserve">Up to the year 2022, Shangri-La operated with a market share of about 1% among the luxury hotel chain systems (IHG, 2023). The Shangri-La accounts for a low market share in the UK and they are generally established in the higher end and limited to key destinations in cities like London. Its brand image is associated with classy, professional and selective services, which are reflective of its high-profile customers. </w:t>
      </w:r>
      <w:proofErr w:type="gramStart"/>
      <w:r w:rsidRPr="00B222F0">
        <w:rPr>
          <w:rFonts w:eastAsia="Times New Roman"/>
          <w:sz w:val="24"/>
          <w:szCs w:val="24"/>
        </w:rPr>
        <w:t>In regards to</w:t>
      </w:r>
      <w:proofErr w:type="gramEnd"/>
      <w:r w:rsidRPr="00B222F0">
        <w:rPr>
          <w:rFonts w:eastAsia="Times New Roman"/>
          <w:sz w:val="24"/>
          <w:szCs w:val="24"/>
        </w:rPr>
        <w:t xml:space="preserve"> customers, many of Shangri-La’s consumers are global visitors, most especially Asian, European, and North American patrons. </w:t>
      </w:r>
    </w:p>
    <w:p w14:paraId="313EAB13" w14:textId="77777777" w:rsidR="00F61E2F" w:rsidRPr="00B222F0" w:rsidRDefault="00000000">
      <w:pPr>
        <w:spacing w:line="360" w:lineRule="auto"/>
        <w:jc w:val="both"/>
        <w:rPr>
          <w:rFonts w:eastAsia="Times New Roman"/>
          <w:sz w:val="24"/>
          <w:szCs w:val="24"/>
        </w:rPr>
      </w:pPr>
      <w:r w:rsidRPr="00B222F0">
        <w:rPr>
          <w:rFonts w:eastAsia="Times New Roman"/>
          <w:sz w:val="24"/>
          <w:szCs w:val="24"/>
        </w:rPr>
        <w:t>While Accor owns a chain of hotels such as Formula 1, TPRE owns a sub-brand like Premier Inn which highly competes with Formula 1 in the UK budget hotel market. Premier Inn was enjoying 7% of the market share in the UK hotel industry and dominating 22% in the budget hotel segment in 2022 (Financial Times, 2018). Premier Inn is the UK’s largest hotel brand in terms of the number of hotels currently flying over 800 hotels and more than 82, 000 rooms.</w:t>
      </w:r>
    </w:p>
    <w:p w14:paraId="4C35BD5C" w14:textId="3F2F729C" w:rsidR="00F61E2F" w:rsidRPr="00B222F0" w:rsidRDefault="00000000">
      <w:pPr>
        <w:spacing w:line="360" w:lineRule="auto"/>
        <w:jc w:val="both"/>
        <w:rPr>
          <w:rFonts w:eastAsia="Times New Roman"/>
          <w:sz w:val="24"/>
          <w:szCs w:val="24"/>
        </w:rPr>
      </w:pPr>
      <w:r w:rsidRPr="00B222F0">
        <w:rPr>
          <w:rFonts w:eastAsia="Times New Roman"/>
          <w:sz w:val="24"/>
          <w:szCs w:val="24"/>
        </w:rPr>
        <w:lastRenderedPageBreak/>
        <w:t xml:space="preserve">Also, reading about this company, one can conclude that it focuses on British customers, families, </w:t>
      </w:r>
      <w:proofErr w:type="gramStart"/>
      <w:r w:rsidRPr="00B222F0">
        <w:rPr>
          <w:rFonts w:eastAsia="Times New Roman"/>
          <w:sz w:val="24"/>
          <w:szCs w:val="24"/>
        </w:rPr>
        <w:t>business people</w:t>
      </w:r>
      <w:proofErr w:type="gramEnd"/>
      <w:r w:rsidRPr="00B222F0">
        <w:rPr>
          <w:rFonts w:eastAsia="Times New Roman"/>
          <w:sz w:val="24"/>
          <w:szCs w:val="24"/>
        </w:rPr>
        <w:t xml:space="preserve"> using cheap offers, and tourists. The strength is in the fact that it provides a similar service at all outlets: comfortable and conveniently adapted spaces and at reasonable prices. This market has been seized by Whitbread PLC, the parent company of Premier Inn, which has grown rapidly not only in the UK but also in Germany where Premier Inn currently has 51 hotels and intends to open 68 more by 2024 in what is expected to be a burgeoning German market for budget hotels (Financial Times, 2018). </w:t>
      </w:r>
    </w:p>
    <w:p w14:paraId="44AE5ADF" w14:textId="77777777" w:rsidR="00F61E2F" w:rsidRPr="00B222F0" w:rsidRDefault="00000000">
      <w:pPr>
        <w:spacing w:line="360" w:lineRule="auto"/>
        <w:jc w:val="both"/>
        <w:rPr>
          <w:rFonts w:eastAsia="Times New Roman"/>
          <w:b/>
          <w:i/>
          <w:sz w:val="24"/>
          <w:szCs w:val="24"/>
        </w:rPr>
      </w:pPr>
      <w:r w:rsidRPr="00B222F0">
        <w:rPr>
          <w:rFonts w:eastAsia="Times New Roman"/>
          <w:b/>
          <w:i/>
          <w:sz w:val="24"/>
          <w:szCs w:val="24"/>
        </w:rPr>
        <w:t>Market Position Comparison</w:t>
      </w:r>
    </w:p>
    <w:p w14:paraId="6FE0FECA" w14:textId="77777777" w:rsidR="00F61E2F" w:rsidRPr="00B222F0" w:rsidRDefault="00000000">
      <w:pPr>
        <w:spacing w:line="360" w:lineRule="auto"/>
        <w:jc w:val="both"/>
        <w:rPr>
          <w:rFonts w:eastAsia="Times New Roman"/>
          <w:sz w:val="24"/>
          <w:szCs w:val="24"/>
        </w:rPr>
      </w:pPr>
      <w:r w:rsidRPr="00B222F0">
        <w:rPr>
          <w:rFonts w:eastAsia="Times New Roman"/>
          <w:sz w:val="24"/>
          <w:szCs w:val="24"/>
        </w:rPr>
        <w:t>Market Share: Shangri-La has only 1% of the market share in the luxury segment globally, on the other hand, Premier Inn has 22% of the market share in the UK in the economy segment (Cognitive Market Research, 2023).</w:t>
      </w:r>
    </w:p>
    <w:p w14:paraId="259B8D29" w14:textId="77777777" w:rsidR="00F61E2F" w:rsidRPr="00B222F0" w:rsidRDefault="00000000">
      <w:pPr>
        <w:spacing w:line="360" w:lineRule="auto"/>
        <w:jc w:val="both"/>
        <w:rPr>
          <w:rFonts w:eastAsia="Times New Roman"/>
          <w:sz w:val="24"/>
          <w:szCs w:val="24"/>
        </w:rPr>
      </w:pPr>
      <w:r w:rsidRPr="00B222F0">
        <w:rPr>
          <w:rFonts w:eastAsia="Times New Roman"/>
          <w:sz w:val="24"/>
          <w:szCs w:val="24"/>
        </w:rPr>
        <w:t xml:space="preserve">Geographic Presence: Shangri-La is a global brand with a focus on the luxury segment, the key hotel </w:t>
      </w:r>
      <w:proofErr w:type="gramStart"/>
      <w:r w:rsidRPr="00B222F0">
        <w:rPr>
          <w:rFonts w:eastAsia="Times New Roman"/>
          <w:sz w:val="24"/>
          <w:szCs w:val="24"/>
        </w:rPr>
        <w:t>is located in</w:t>
      </w:r>
      <w:proofErr w:type="gramEnd"/>
      <w:r w:rsidRPr="00B222F0">
        <w:rPr>
          <w:rFonts w:eastAsia="Times New Roman"/>
          <w:sz w:val="24"/>
          <w:szCs w:val="24"/>
        </w:rPr>
        <w:t xml:space="preserve"> London. On the other hand, Premier Inn is relatively widespread across the United Kingdom with over 800 hotels and aims at expansion in Germany because it operates in the low-cost market segment (Cognitive Market Research, 2023).</w:t>
      </w:r>
    </w:p>
    <w:p w14:paraId="5B832872" w14:textId="77777777" w:rsidR="00F61E2F" w:rsidRPr="00B222F0" w:rsidRDefault="00000000">
      <w:pPr>
        <w:spacing w:line="360" w:lineRule="auto"/>
        <w:jc w:val="both"/>
        <w:rPr>
          <w:rFonts w:eastAsia="Times New Roman"/>
          <w:sz w:val="24"/>
          <w:szCs w:val="24"/>
        </w:rPr>
      </w:pPr>
      <w:r w:rsidRPr="00B222F0">
        <w:rPr>
          <w:rFonts w:eastAsia="Times New Roman"/>
          <w:sz w:val="24"/>
          <w:szCs w:val="24"/>
        </w:rPr>
        <w:t>Customer Demographics: Shangri-La mainly targets global wealthy guests, while Premier Inn targets only national, cost-sensitive customers (Roll, 2019). Due to this Premier Inn is less vulnerable to global travel bans while Shangri-La, which heavily relies on international luxury tourists, is most likely to be affected more by market risks, especially during economic downturns or travel restrictions.</w:t>
      </w:r>
    </w:p>
    <w:p w14:paraId="51B3935A" w14:textId="77777777" w:rsidR="00F61E2F" w:rsidRPr="00B222F0" w:rsidRDefault="00000000">
      <w:pPr>
        <w:spacing w:line="360" w:lineRule="auto"/>
        <w:jc w:val="both"/>
        <w:rPr>
          <w:rFonts w:eastAsia="Times New Roman"/>
          <w:sz w:val="24"/>
          <w:szCs w:val="24"/>
        </w:rPr>
      </w:pPr>
      <w:r w:rsidRPr="00B222F0">
        <w:rPr>
          <w:rFonts w:eastAsia="Times New Roman"/>
          <w:sz w:val="24"/>
          <w:szCs w:val="24"/>
        </w:rPr>
        <w:t>Brand Perception: Shangri-La maintains the image of the hotel as luxurious and belonging to the elite, thus the Hotel has a limited market reach but commands high travelling customers (Roll, 2019). On the other hand, Premier Inn is regarded as a no-frills brand for the majority, has very loyal customers, and a brand familiarity among the population.</w:t>
      </w:r>
    </w:p>
    <w:p w14:paraId="7128B9C9" w14:textId="77777777" w:rsidR="00F61E2F" w:rsidRPr="00B222F0" w:rsidRDefault="00000000" w:rsidP="00244DA2">
      <w:pPr>
        <w:pStyle w:val="Titlu1"/>
        <w:rPr>
          <w:rFonts w:ascii="Arial" w:hAnsi="Arial"/>
          <w:sz w:val="24"/>
          <w:szCs w:val="24"/>
        </w:rPr>
      </w:pPr>
      <w:bookmarkStart w:id="3" w:name="_Toc180142709"/>
      <w:r w:rsidRPr="00B222F0">
        <w:rPr>
          <w:rFonts w:ascii="Arial" w:hAnsi="Arial"/>
          <w:sz w:val="24"/>
          <w:szCs w:val="24"/>
        </w:rPr>
        <w:t>Growth Potential</w:t>
      </w:r>
      <w:bookmarkEnd w:id="3"/>
      <w:r w:rsidRPr="00B222F0">
        <w:rPr>
          <w:rFonts w:ascii="Arial" w:hAnsi="Arial"/>
          <w:sz w:val="24"/>
          <w:szCs w:val="24"/>
        </w:rPr>
        <w:t xml:space="preserve"> </w:t>
      </w:r>
    </w:p>
    <w:p w14:paraId="426C48E8" w14:textId="77777777" w:rsidR="00F61E2F" w:rsidRPr="00B222F0" w:rsidRDefault="00000000">
      <w:pPr>
        <w:spacing w:line="360" w:lineRule="auto"/>
        <w:jc w:val="both"/>
        <w:rPr>
          <w:rFonts w:eastAsia="Times New Roman"/>
          <w:sz w:val="24"/>
          <w:szCs w:val="24"/>
        </w:rPr>
      </w:pPr>
      <w:r w:rsidRPr="00B222F0">
        <w:rPr>
          <w:rFonts w:eastAsia="Times New Roman"/>
          <w:sz w:val="24"/>
          <w:szCs w:val="24"/>
        </w:rPr>
        <w:t xml:space="preserve">It competed in the luxury segment, which has its advantages and disadvantages associated with its development. Hence luxury hotel market is anticipated to expand continuously because of the higher spending power of tourists globally especially in the Asia-Pacific and Middle Eastern countries (Zhou, 2020). Today, Shangri-La has more than 100 hotels around the world, primarily in Asia and Arabic countries, but it has few </w:t>
      </w:r>
      <w:r w:rsidRPr="00B222F0">
        <w:rPr>
          <w:rFonts w:eastAsia="Times New Roman"/>
          <w:sz w:val="24"/>
          <w:szCs w:val="24"/>
        </w:rPr>
        <w:lastRenderedPageBreak/>
        <w:t>establishments in Europe. The luxury hotel market is expected to register a growth rate of 4.7 % through a Compound Annual Growth Rate (CAGR) from 2023 to 2030 due to high growth in travel across borders and growing discretionary income, particularly amongst the nascent economies (Zhou, 2020).</w:t>
      </w:r>
    </w:p>
    <w:p w14:paraId="4F35D3E8" w14:textId="77777777" w:rsidR="00F61E2F" w:rsidRPr="00B222F0" w:rsidRDefault="00000000">
      <w:pPr>
        <w:spacing w:line="360" w:lineRule="auto"/>
        <w:jc w:val="both"/>
        <w:rPr>
          <w:rFonts w:eastAsia="Times New Roman"/>
          <w:sz w:val="24"/>
          <w:szCs w:val="24"/>
        </w:rPr>
      </w:pPr>
      <w:r w:rsidRPr="00B222F0">
        <w:rPr>
          <w:rFonts w:eastAsia="Times New Roman"/>
          <w:sz w:val="24"/>
          <w:szCs w:val="24"/>
        </w:rPr>
        <w:t xml:space="preserve">The business growth planning done by Premier Inn is predominantly organic – the chain’s expansion inside the United Kingdom and the company’s expansion of the international market into Europe especially in Germany (Gill, 2024). Further, Premier Inn is the largest chain of Bridging </w:t>
      </w:r>
      <w:proofErr w:type="gramStart"/>
      <w:r w:rsidRPr="00B222F0">
        <w:rPr>
          <w:rFonts w:eastAsia="Times New Roman"/>
          <w:sz w:val="24"/>
          <w:szCs w:val="24"/>
        </w:rPr>
        <w:t>Hotels</w:t>
      </w:r>
      <w:proofErr w:type="gramEnd"/>
      <w:r w:rsidRPr="00B222F0">
        <w:rPr>
          <w:rFonts w:eastAsia="Times New Roman"/>
          <w:sz w:val="24"/>
          <w:szCs w:val="24"/>
        </w:rPr>
        <w:t xml:space="preserve"> and it believes there remain ample opportunities in the growth sectors that remain largely untapped. It is worth explaining the company’s plans to increase more than 1,500 room capacity in the UK by 2024 as a clear sign of its strategic desire to further cement its already dominant position in the domestic market (Gill, 2024). This competitiveness can be seen in one of the significant growth strategies of Premier Inn and this is in Germany the firm has noted there is a growth opportunity (Gill, 2024). </w:t>
      </w:r>
      <w:proofErr w:type="gramStart"/>
      <w:r w:rsidRPr="00B222F0">
        <w:rPr>
          <w:rFonts w:eastAsia="Times New Roman"/>
          <w:sz w:val="24"/>
          <w:szCs w:val="24"/>
        </w:rPr>
        <w:t>At the moment</w:t>
      </w:r>
      <w:proofErr w:type="gramEnd"/>
      <w:r w:rsidRPr="00B222F0">
        <w:rPr>
          <w:rFonts w:eastAsia="Times New Roman"/>
          <w:sz w:val="24"/>
          <w:szCs w:val="24"/>
        </w:rPr>
        <w:t xml:space="preserve">, Premier Inn has 51 hotels in Germany and is aiming to reach over 120 hotels in the country by 2025. </w:t>
      </w:r>
    </w:p>
    <w:p w14:paraId="5F0F4D23" w14:textId="77777777" w:rsidR="00F61E2F" w:rsidRPr="00B222F0" w:rsidRDefault="00000000">
      <w:pPr>
        <w:spacing w:line="360" w:lineRule="auto"/>
        <w:jc w:val="both"/>
        <w:rPr>
          <w:rFonts w:eastAsia="Times New Roman"/>
          <w:b/>
          <w:i/>
          <w:sz w:val="24"/>
          <w:szCs w:val="24"/>
        </w:rPr>
      </w:pPr>
      <w:r w:rsidRPr="00B222F0">
        <w:rPr>
          <w:rFonts w:eastAsia="Times New Roman"/>
          <w:b/>
          <w:i/>
          <w:sz w:val="24"/>
          <w:szCs w:val="24"/>
        </w:rPr>
        <w:t>Growth Potential Comparison</w:t>
      </w:r>
    </w:p>
    <w:p w14:paraId="690F1A18" w14:textId="77777777" w:rsidR="00F61E2F" w:rsidRPr="00B222F0" w:rsidRDefault="00000000">
      <w:pPr>
        <w:spacing w:line="360" w:lineRule="auto"/>
        <w:jc w:val="both"/>
        <w:rPr>
          <w:rFonts w:eastAsia="Times New Roman"/>
          <w:sz w:val="24"/>
          <w:szCs w:val="24"/>
        </w:rPr>
      </w:pPr>
      <w:r w:rsidRPr="00B222F0">
        <w:rPr>
          <w:rFonts w:eastAsia="Times New Roman"/>
          <w:sz w:val="24"/>
          <w:szCs w:val="24"/>
        </w:rPr>
        <w:t>Geographic Expansion: In terms of matters of growth opportunity, the key strengths include Shangri-La’s potential to grow selectively in first-tier emerging Asia-Pacific and Middle Eastern luxury markets, and possibly second or third-tier European and North American cities that are likely to be underserved by luxury hotels (Hung et al., 2021). While Whitbread Plc of UK, the parent company of Premier Inn, has a clear plan for growing its outlets in the UK and Germany, the company’s primary objective appears to capture more share of the low-priced hotel market in Europe (Hung et al., 2021).</w:t>
      </w:r>
    </w:p>
    <w:p w14:paraId="0368F785" w14:textId="77777777" w:rsidR="00F61E2F" w:rsidRPr="00B222F0" w:rsidRDefault="00000000">
      <w:pPr>
        <w:spacing w:line="360" w:lineRule="auto"/>
        <w:jc w:val="both"/>
        <w:rPr>
          <w:rFonts w:eastAsia="Times New Roman"/>
          <w:sz w:val="24"/>
          <w:szCs w:val="24"/>
        </w:rPr>
      </w:pPr>
      <w:r w:rsidRPr="00B222F0">
        <w:rPr>
          <w:rFonts w:eastAsia="Times New Roman"/>
          <w:sz w:val="24"/>
          <w:szCs w:val="24"/>
        </w:rPr>
        <w:t>Market Opportunities: The opportunity I see in Shangri-La is that there is a growing emphasis on travel experience products, including wellness tourism and adventure tourism (Liu, Zhou and Sun, 2023). The UK-based company, Premier Inn seems to be adequately placed to benefit from the ongoing domestic tourism trends and the general appetite to go for cheap vacations within Europe.</w:t>
      </w:r>
    </w:p>
    <w:p w14:paraId="6CEC52E6" w14:textId="77777777" w:rsidR="00F61E2F" w:rsidRPr="00B222F0" w:rsidRDefault="00000000">
      <w:pPr>
        <w:spacing w:line="360" w:lineRule="auto"/>
        <w:jc w:val="both"/>
        <w:rPr>
          <w:rFonts w:eastAsia="Times New Roman"/>
          <w:sz w:val="24"/>
          <w:szCs w:val="24"/>
        </w:rPr>
      </w:pPr>
      <w:r w:rsidRPr="00B222F0">
        <w:rPr>
          <w:rFonts w:eastAsia="Times New Roman"/>
          <w:sz w:val="24"/>
          <w:szCs w:val="24"/>
        </w:rPr>
        <w:t>Barriers to Growth: There are many entry obstacles for Shangri-La including the fact that luxury hotels require huge investments and construction costs, downturns of high-end travel and heavy dependence on tourist traffic (Nguyen, 2021).</w:t>
      </w:r>
    </w:p>
    <w:p w14:paraId="41353A7D" w14:textId="77777777" w:rsidR="00F61E2F" w:rsidRPr="00B222F0" w:rsidRDefault="00000000" w:rsidP="00244DA2">
      <w:pPr>
        <w:pStyle w:val="Titlu1"/>
        <w:rPr>
          <w:rFonts w:ascii="Arial" w:hAnsi="Arial"/>
          <w:sz w:val="24"/>
          <w:szCs w:val="24"/>
        </w:rPr>
      </w:pPr>
      <w:bookmarkStart w:id="4" w:name="_Toc180142710"/>
      <w:r w:rsidRPr="00B222F0">
        <w:rPr>
          <w:rFonts w:ascii="Arial" w:hAnsi="Arial"/>
          <w:sz w:val="24"/>
          <w:szCs w:val="24"/>
        </w:rPr>
        <w:lastRenderedPageBreak/>
        <w:t>Financial Commitment to CSR</w:t>
      </w:r>
      <w:bookmarkEnd w:id="4"/>
    </w:p>
    <w:p w14:paraId="3211ADD8" w14:textId="77777777" w:rsidR="00F61E2F" w:rsidRPr="00B222F0" w:rsidRDefault="00000000">
      <w:pPr>
        <w:spacing w:line="360" w:lineRule="auto"/>
        <w:jc w:val="both"/>
        <w:rPr>
          <w:rFonts w:eastAsia="Times New Roman"/>
          <w:sz w:val="24"/>
          <w:szCs w:val="24"/>
        </w:rPr>
      </w:pPr>
      <w:r w:rsidRPr="00B222F0">
        <w:rPr>
          <w:rFonts w:eastAsia="Times New Roman"/>
          <w:sz w:val="24"/>
          <w:szCs w:val="24"/>
        </w:rPr>
        <w:t xml:space="preserve">CSR has gained significant significance in the hospitality industry since people and spectators ensure that organizations balance the top-down economic benefits and social and environmental impacts (Cao et al., 2024). CSR programmes, Shangri-La Hotels have CSR </w:t>
      </w:r>
      <w:proofErr w:type="gramStart"/>
      <w:r w:rsidRPr="00B222F0">
        <w:rPr>
          <w:rFonts w:eastAsia="Times New Roman"/>
          <w:sz w:val="24"/>
          <w:szCs w:val="24"/>
        </w:rPr>
        <w:t>programmes</w:t>
      </w:r>
      <w:proofErr w:type="gramEnd"/>
      <w:r w:rsidRPr="00B222F0">
        <w:rPr>
          <w:rFonts w:eastAsia="Times New Roman"/>
          <w:sz w:val="24"/>
          <w:szCs w:val="24"/>
        </w:rPr>
        <w:t xml:space="preserve"> but the strategies adopted are different from those adopted by Premier Inn Hotels about their strategies depending on their market segments and corporate strategies.</w:t>
      </w:r>
    </w:p>
    <w:p w14:paraId="6B47088A" w14:textId="77777777" w:rsidR="00F61E2F" w:rsidRPr="00B222F0" w:rsidRDefault="00000000">
      <w:pPr>
        <w:spacing w:line="360" w:lineRule="auto"/>
        <w:jc w:val="center"/>
        <w:rPr>
          <w:rFonts w:eastAsia="Times New Roman"/>
          <w:sz w:val="24"/>
          <w:szCs w:val="24"/>
        </w:rPr>
      </w:pPr>
      <w:r w:rsidRPr="00B222F0">
        <w:rPr>
          <w:rFonts w:eastAsia="Times New Roman"/>
          <w:noProof/>
          <w:sz w:val="24"/>
          <w:szCs w:val="24"/>
        </w:rPr>
        <w:drawing>
          <wp:inline distT="114300" distB="114300" distL="114300" distR="114300" wp14:anchorId="6D8564CE" wp14:editId="31791811">
            <wp:extent cx="4476750" cy="2762250"/>
            <wp:effectExtent l="25400" t="25400" r="25400" b="2540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4476750" cy="2762250"/>
                    </a:xfrm>
                    <a:prstGeom prst="rect">
                      <a:avLst/>
                    </a:prstGeom>
                    <a:ln w="25400">
                      <a:solidFill>
                        <a:srgbClr val="000000"/>
                      </a:solidFill>
                      <a:prstDash val="solid"/>
                    </a:ln>
                  </pic:spPr>
                </pic:pic>
              </a:graphicData>
            </a:graphic>
          </wp:inline>
        </w:drawing>
      </w:r>
    </w:p>
    <w:p w14:paraId="1F1F8481" w14:textId="77777777" w:rsidR="00F61E2F" w:rsidRPr="00B222F0" w:rsidRDefault="00000000">
      <w:pPr>
        <w:spacing w:line="360" w:lineRule="auto"/>
        <w:jc w:val="center"/>
        <w:rPr>
          <w:rFonts w:eastAsia="Times New Roman"/>
          <w:b/>
          <w:bCs/>
          <w:sz w:val="24"/>
          <w:szCs w:val="24"/>
        </w:rPr>
      </w:pPr>
      <w:r w:rsidRPr="00B222F0">
        <w:rPr>
          <w:rFonts w:eastAsia="Times New Roman"/>
          <w:b/>
          <w:bCs/>
          <w:sz w:val="24"/>
          <w:szCs w:val="24"/>
        </w:rPr>
        <w:t>Figure 2: Shangri-La Xian supports the Dan Yang School</w:t>
      </w:r>
    </w:p>
    <w:p w14:paraId="172B11C5" w14:textId="77777777" w:rsidR="00F61E2F" w:rsidRPr="00B222F0" w:rsidRDefault="00000000">
      <w:pPr>
        <w:spacing w:line="360" w:lineRule="auto"/>
        <w:jc w:val="center"/>
        <w:rPr>
          <w:rFonts w:eastAsia="Times New Roman"/>
          <w:sz w:val="24"/>
          <w:szCs w:val="24"/>
        </w:rPr>
      </w:pPr>
      <w:r w:rsidRPr="00B222F0">
        <w:rPr>
          <w:rFonts w:eastAsia="Times New Roman"/>
          <w:sz w:val="24"/>
          <w:szCs w:val="24"/>
        </w:rPr>
        <w:t>(Source: Shangri-la.com, 2012)</w:t>
      </w:r>
    </w:p>
    <w:p w14:paraId="6A55824A" w14:textId="77777777" w:rsidR="00F61E2F" w:rsidRPr="00B222F0" w:rsidRDefault="00000000">
      <w:pPr>
        <w:spacing w:line="360" w:lineRule="auto"/>
        <w:jc w:val="both"/>
        <w:rPr>
          <w:rFonts w:eastAsia="Times New Roman"/>
          <w:sz w:val="24"/>
          <w:szCs w:val="24"/>
        </w:rPr>
      </w:pPr>
      <w:r w:rsidRPr="00B222F0">
        <w:rPr>
          <w:rFonts w:eastAsia="Times New Roman"/>
          <w:sz w:val="24"/>
          <w:szCs w:val="24"/>
        </w:rPr>
        <w:t xml:space="preserve">Shangri-La Xian runs a school called Dan Yang that caters for schooling to close to 200 children. The school </w:t>
      </w:r>
      <w:proofErr w:type="gramStart"/>
      <w:r w:rsidRPr="00B222F0">
        <w:rPr>
          <w:rFonts w:eastAsia="Times New Roman"/>
          <w:sz w:val="24"/>
          <w:szCs w:val="24"/>
        </w:rPr>
        <w:t>is located in</w:t>
      </w:r>
      <w:proofErr w:type="gramEnd"/>
      <w:r w:rsidRPr="00B222F0">
        <w:rPr>
          <w:rFonts w:eastAsia="Times New Roman"/>
          <w:sz w:val="24"/>
          <w:szCs w:val="24"/>
        </w:rPr>
        <w:t xml:space="preserve"> one of the poorest farming districts in China. Up to the year 2010 (Shangri-la.com, 2012), Dan Yang School was characterized by so many problems, among them being very aged facilities and the absence of developmental tools, including a reading room, computers, and proper lighting. The hotel upgraded school facilities targeting to create a conducive learning environment within their walls in the first year of support.</w:t>
      </w:r>
    </w:p>
    <w:p w14:paraId="6D7434E9" w14:textId="77777777" w:rsidR="00F61E2F" w:rsidRPr="00B222F0" w:rsidRDefault="00000000">
      <w:pPr>
        <w:spacing w:line="360" w:lineRule="auto"/>
        <w:jc w:val="both"/>
        <w:rPr>
          <w:rFonts w:eastAsia="Times New Roman"/>
          <w:sz w:val="24"/>
          <w:szCs w:val="24"/>
        </w:rPr>
      </w:pPr>
      <w:r w:rsidRPr="00B222F0">
        <w:rPr>
          <w:rFonts w:eastAsia="Times New Roman"/>
          <w:sz w:val="24"/>
          <w:szCs w:val="24"/>
        </w:rPr>
        <w:t xml:space="preserve">Environmental responsibility and local community involvement constitute an important aspect of the company’s brand guidelines for Shangri-La Hotels (Mahmood and Bashir, 2020). Many of the CSR activities of Shangri-La are steered by the company’s ‘Sustainability, Environment, Health and Safety (SEHS)’ policy (Mahmood and Bashir, </w:t>
      </w:r>
      <w:r w:rsidRPr="00B222F0">
        <w:rPr>
          <w:rFonts w:eastAsia="Times New Roman"/>
          <w:sz w:val="24"/>
          <w:szCs w:val="24"/>
        </w:rPr>
        <w:lastRenderedPageBreak/>
        <w:t xml:space="preserve">2020). This company has made environmental conservation pledges through such causes as carbon footprints, waste, </w:t>
      </w:r>
      <w:proofErr w:type="gramStart"/>
      <w:r w:rsidRPr="00B222F0">
        <w:rPr>
          <w:rFonts w:eastAsia="Times New Roman"/>
          <w:sz w:val="24"/>
          <w:szCs w:val="24"/>
        </w:rPr>
        <w:t>and also</w:t>
      </w:r>
      <w:proofErr w:type="gramEnd"/>
      <w:r w:rsidRPr="00B222F0">
        <w:rPr>
          <w:rFonts w:eastAsia="Times New Roman"/>
          <w:sz w:val="24"/>
          <w:szCs w:val="24"/>
        </w:rPr>
        <w:t xml:space="preserve"> the support of biodiversity through the “Sanctuary” which is an endangered species protective program where the company’s operated hotels are located (Andersen, Åberg and </w:t>
      </w:r>
      <w:proofErr w:type="spellStart"/>
      <w:r w:rsidRPr="00B222F0">
        <w:rPr>
          <w:rFonts w:eastAsia="Times New Roman"/>
          <w:sz w:val="24"/>
          <w:szCs w:val="24"/>
        </w:rPr>
        <w:t>Bujac</w:t>
      </w:r>
      <w:proofErr w:type="spellEnd"/>
      <w:r w:rsidRPr="00B222F0">
        <w:rPr>
          <w:rFonts w:eastAsia="Times New Roman"/>
          <w:sz w:val="24"/>
          <w:szCs w:val="24"/>
        </w:rPr>
        <w:t xml:space="preserve">, 2023). </w:t>
      </w:r>
      <w:proofErr w:type="gramStart"/>
      <w:r w:rsidRPr="00B222F0">
        <w:rPr>
          <w:rFonts w:eastAsia="Times New Roman"/>
          <w:sz w:val="24"/>
          <w:szCs w:val="24"/>
        </w:rPr>
        <w:t>A</w:t>
      </w:r>
      <w:proofErr w:type="gramEnd"/>
      <w:r w:rsidRPr="00B222F0">
        <w:rPr>
          <w:rFonts w:eastAsia="Times New Roman"/>
          <w:sz w:val="24"/>
          <w:szCs w:val="24"/>
        </w:rPr>
        <w:t xml:space="preserve"> also big focus on CSR can be seen with Premier Inn, a Whitbread PLC company and the main focus areas include sustainability, supporting the community and the welfare of employees. </w:t>
      </w:r>
      <w:proofErr w:type="gramStart"/>
      <w:r w:rsidRPr="00B222F0">
        <w:rPr>
          <w:rFonts w:eastAsia="Times New Roman"/>
          <w:sz w:val="24"/>
          <w:szCs w:val="24"/>
        </w:rPr>
        <w:t>Whilst,</w:t>
      </w:r>
      <w:proofErr w:type="gramEnd"/>
      <w:r w:rsidRPr="00B222F0">
        <w:rPr>
          <w:rFonts w:eastAsia="Times New Roman"/>
          <w:sz w:val="24"/>
          <w:szCs w:val="24"/>
        </w:rPr>
        <w:t xml:space="preserve"> the ambition of Premier Inn’s corporate social responsibility program “Force for Good” is to eliminate carbon emissions, send zero waste to landfill and use only renewable electricity by 2025 (Andersen, Åberg and </w:t>
      </w:r>
      <w:proofErr w:type="spellStart"/>
      <w:r w:rsidRPr="00B222F0">
        <w:rPr>
          <w:rFonts w:eastAsia="Times New Roman"/>
          <w:sz w:val="24"/>
          <w:szCs w:val="24"/>
        </w:rPr>
        <w:t>Bujac</w:t>
      </w:r>
      <w:proofErr w:type="spellEnd"/>
      <w:r w:rsidRPr="00B222F0">
        <w:rPr>
          <w:rFonts w:eastAsia="Times New Roman"/>
          <w:sz w:val="24"/>
          <w:szCs w:val="24"/>
        </w:rPr>
        <w:t xml:space="preserve">, 2023). The firm has also extended corporate responsibility by raising money for Great Ormond Street Hospital as well as donating to local food banks and other charities for the homeless (Andersen, Åberg and </w:t>
      </w:r>
      <w:proofErr w:type="spellStart"/>
      <w:r w:rsidRPr="00B222F0">
        <w:rPr>
          <w:rFonts w:eastAsia="Times New Roman"/>
          <w:sz w:val="24"/>
          <w:szCs w:val="24"/>
        </w:rPr>
        <w:t>Bujac</w:t>
      </w:r>
      <w:proofErr w:type="spellEnd"/>
      <w:r w:rsidRPr="00B222F0">
        <w:rPr>
          <w:rFonts w:eastAsia="Times New Roman"/>
          <w:sz w:val="24"/>
          <w:szCs w:val="24"/>
        </w:rPr>
        <w:t xml:space="preserve">, 2023). Whitbread spent £13 million on CSR in the fiscal year ending 2022, which is equal to 1 per cent of the group revenue. </w:t>
      </w:r>
    </w:p>
    <w:p w14:paraId="1E1EBB4B" w14:textId="77777777" w:rsidR="00F61E2F" w:rsidRPr="00B222F0" w:rsidRDefault="00000000" w:rsidP="00244DA2">
      <w:pPr>
        <w:pStyle w:val="Titlu1"/>
        <w:rPr>
          <w:rFonts w:ascii="Arial" w:hAnsi="Arial"/>
          <w:sz w:val="24"/>
          <w:szCs w:val="24"/>
        </w:rPr>
      </w:pPr>
      <w:bookmarkStart w:id="5" w:name="_Toc180142711"/>
      <w:r w:rsidRPr="00B222F0">
        <w:rPr>
          <w:rFonts w:ascii="Arial" w:hAnsi="Arial"/>
          <w:sz w:val="24"/>
          <w:szCs w:val="24"/>
        </w:rPr>
        <w:t>Recommendations</w:t>
      </w:r>
      <w:bookmarkEnd w:id="5"/>
    </w:p>
    <w:p w14:paraId="1C03EE69" w14:textId="77777777" w:rsidR="00F61E2F" w:rsidRPr="00B222F0" w:rsidRDefault="00000000">
      <w:pPr>
        <w:spacing w:line="360" w:lineRule="auto"/>
        <w:jc w:val="both"/>
        <w:rPr>
          <w:rFonts w:eastAsia="Times New Roman"/>
          <w:sz w:val="24"/>
          <w:szCs w:val="24"/>
        </w:rPr>
      </w:pPr>
      <w:r w:rsidRPr="00B222F0">
        <w:rPr>
          <w:rFonts w:eastAsia="Times New Roman"/>
          <w:sz w:val="24"/>
          <w:szCs w:val="24"/>
        </w:rPr>
        <w:t>To improve CSR strategy, it is suggested that Shangri-La Hotels and Resorts should develop environmental sustainability in Europe, especially in cutting its carbon emissions within its city-centric luxury hotels (Yu, 2022). Moreover, the increased cooperation with international environmental organizations will also foster the brand to improve the CSR image and attract travellers concerned with the environment (Yu, 2022).</w:t>
      </w:r>
    </w:p>
    <w:p w14:paraId="5DDDF488" w14:textId="77777777" w:rsidR="00F61E2F" w:rsidRPr="00B222F0" w:rsidRDefault="00000000">
      <w:pPr>
        <w:spacing w:line="360" w:lineRule="auto"/>
        <w:jc w:val="both"/>
        <w:rPr>
          <w:rFonts w:eastAsia="Times New Roman"/>
          <w:sz w:val="24"/>
          <w:szCs w:val="24"/>
        </w:rPr>
      </w:pPr>
      <w:r w:rsidRPr="00B222F0">
        <w:rPr>
          <w:rFonts w:eastAsia="Times New Roman"/>
          <w:sz w:val="24"/>
          <w:szCs w:val="24"/>
        </w:rPr>
        <w:t>Thus, to increase its Force for Good programme, Premier Inn needs to allocate higher levels of capital to renewable energy investment across the UK and German settings (</w:t>
      </w:r>
      <w:proofErr w:type="spellStart"/>
      <w:r w:rsidRPr="00B222F0">
        <w:rPr>
          <w:rFonts w:eastAsia="Times New Roman"/>
          <w:sz w:val="24"/>
          <w:szCs w:val="24"/>
        </w:rPr>
        <w:t>Filimonau</w:t>
      </w:r>
      <w:proofErr w:type="spellEnd"/>
      <w:r w:rsidRPr="00B222F0">
        <w:rPr>
          <w:rFonts w:eastAsia="Times New Roman"/>
          <w:sz w:val="24"/>
          <w:szCs w:val="24"/>
        </w:rPr>
        <w:t xml:space="preserve"> and </w:t>
      </w:r>
      <w:proofErr w:type="spellStart"/>
      <w:r w:rsidRPr="00B222F0">
        <w:rPr>
          <w:rFonts w:eastAsia="Times New Roman"/>
          <w:sz w:val="24"/>
          <w:szCs w:val="24"/>
        </w:rPr>
        <w:t>Magklaropoulou</w:t>
      </w:r>
      <w:proofErr w:type="spellEnd"/>
      <w:r w:rsidRPr="00B222F0">
        <w:rPr>
          <w:rFonts w:eastAsia="Times New Roman"/>
          <w:sz w:val="24"/>
          <w:szCs w:val="24"/>
        </w:rPr>
        <w:t>, 2020). Also, mounting community-engaging programs in new environments like Germany will blend with cultures and would boost the brand’s corporate social responsibility.</w:t>
      </w:r>
    </w:p>
    <w:p w14:paraId="26FADCB3" w14:textId="77777777" w:rsidR="00F61E2F" w:rsidRPr="00B222F0" w:rsidRDefault="00000000" w:rsidP="00244DA2">
      <w:pPr>
        <w:pStyle w:val="Titlu1"/>
        <w:rPr>
          <w:rFonts w:ascii="Arial" w:hAnsi="Arial"/>
          <w:sz w:val="24"/>
          <w:szCs w:val="24"/>
        </w:rPr>
      </w:pPr>
      <w:bookmarkStart w:id="6" w:name="_Toc180142712"/>
      <w:r w:rsidRPr="00B222F0">
        <w:rPr>
          <w:rFonts w:ascii="Arial" w:hAnsi="Arial"/>
          <w:sz w:val="24"/>
          <w:szCs w:val="24"/>
        </w:rPr>
        <w:t>Conclusion</w:t>
      </w:r>
      <w:bookmarkEnd w:id="6"/>
      <w:r w:rsidRPr="00B222F0">
        <w:rPr>
          <w:rFonts w:ascii="Arial" w:hAnsi="Arial"/>
          <w:sz w:val="24"/>
          <w:szCs w:val="24"/>
        </w:rPr>
        <w:t xml:space="preserve"> </w:t>
      </w:r>
    </w:p>
    <w:p w14:paraId="00F189F6" w14:textId="77777777" w:rsidR="00F61E2F" w:rsidRPr="00B222F0" w:rsidRDefault="00000000">
      <w:pPr>
        <w:spacing w:line="360" w:lineRule="auto"/>
        <w:jc w:val="both"/>
        <w:rPr>
          <w:rFonts w:eastAsia="Times New Roman"/>
          <w:sz w:val="24"/>
          <w:szCs w:val="24"/>
        </w:rPr>
      </w:pPr>
      <w:r w:rsidRPr="00B222F0">
        <w:rPr>
          <w:rFonts w:eastAsia="Times New Roman"/>
          <w:sz w:val="24"/>
          <w:szCs w:val="24"/>
        </w:rPr>
        <w:t xml:space="preserve">In conclusion, there are profound differences in the strategic orientations and financial performances of Shangri-La Hotels, on the one hand, and Premier Inn Hotels on the other, being orientated in the sphere of luxury and budget hotels, accordingly. Utopia or Shangri-La has revenues per room that are higher than most of its competitors because of the </w:t>
      </w:r>
      <w:r w:rsidRPr="00B222F0">
        <w:rPr>
          <w:rFonts w:eastAsia="Times New Roman"/>
          <w:sz w:val="24"/>
          <w:szCs w:val="24"/>
        </w:rPr>
        <w:lastRenderedPageBreak/>
        <w:t xml:space="preserve">concentration on luxurious services and is however facing many problems due to the </w:t>
      </w:r>
      <w:proofErr w:type="gramStart"/>
      <w:r w:rsidRPr="00B222F0">
        <w:rPr>
          <w:rFonts w:eastAsia="Times New Roman"/>
          <w:sz w:val="24"/>
          <w:szCs w:val="24"/>
        </w:rPr>
        <w:t>following;</w:t>
      </w:r>
      <w:proofErr w:type="gramEnd"/>
      <w:r w:rsidRPr="00B222F0">
        <w:rPr>
          <w:rFonts w:eastAsia="Times New Roman"/>
          <w:sz w:val="24"/>
          <w:szCs w:val="24"/>
        </w:rPr>
        <w:t xml:space="preserve"> it mainly depends on international </w:t>
      </w:r>
      <w:proofErr w:type="spellStart"/>
      <w:r w:rsidRPr="00B222F0">
        <w:rPr>
          <w:rFonts w:eastAsia="Times New Roman"/>
          <w:sz w:val="24"/>
          <w:szCs w:val="24"/>
        </w:rPr>
        <w:t>travelers</w:t>
      </w:r>
      <w:proofErr w:type="spellEnd"/>
      <w:r w:rsidRPr="00B222F0">
        <w:rPr>
          <w:rFonts w:eastAsia="Times New Roman"/>
          <w:sz w:val="24"/>
          <w:szCs w:val="24"/>
        </w:rPr>
        <w:t xml:space="preserve"> and its operations are capital intensive. In contrast, Premier Inn has a volume, focusing on the domestic market, and has stable growth, which is amplified through expansion in Germany. Shangri-La being an environmental conservationist firm and Premier Inn addressing issues to do with sustainability and the local community it is clear both organizations have embraced CSR.</w:t>
      </w:r>
    </w:p>
    <w:p w14:paraId="4D46480E" w14:textId="77777777" w:rsidR="00F61E2F" w:rsidRPr="00B222F0" w:rsidRDefault="00000000">
      <w:pPr>
        <w:spacing w:line="360" w:lineRule="auto"/>
        <w:jc w:val="both"/>
        <w:rPr>
          <w:rFonts w:eastAsia="Times New Roman"/>
          <w:sz w:val="24"/>
          <w:szCs w:val="24"/>
        </w:rPr>
      </w:pPr>
      <w:r w:rsidRPr="00B222F0">
        <w:rPr>
          <w:sz w:val="24"/>
          <w:szCs w:val="24"/>
        </w:rPr>
        <w:br w:type="page"/>
      </w:r>
    </w:p>
    <w:p w14:paraId="1C4728F1" w14:textId="77777777" w:rsidR="00F61E2F" w:rsidRPr="00B222F0" w:rsidRDefault="00000000" w:rsidP="00244DA2">
      <w:pPr>
        <w:pStyle w:val="Titlu1"/>
        <w:rPr>
          <w:rFonts w:ascii="Arial" w:hAnsi="Arial"/>
          <w:sz w:val="24"/>
          <w:szCs w:val="24"/>
        </w:rPr>
      </w:pPr>
      <w:bookmarkStart w:id="7" w:name="_Toc180142713"/>
      <w:r w:rsidRPr="00B222F0">
        <w:rPr>
          <w:rFonts w:ascii="Arial" w:hAnsi="Arial"/>
          <w:sz w:val="24"/>
          <w:szCs w:val="24"/>
        </w:rPr>
        <w:lastRenderedPageBreak/>
        <w:t>References</w:t>
      </w:r>
      <w:bookmarkEnd w:id="7"/>
    </w:p>
    <w:p w14:paraId="70FA5B0C" w14:textId="77777777" w:rsidR="00F61E2F" w:rsidRPr="00B222F0" w:rsidRDefault="00000000">
      <w:pPr>
        <w:spacing w:after="240" w:line="360" w:lineRule="auto"/>
        <w:jc w:val="both"/>
        <w:rPr>
          <w:rFonts w:eastAsia="Times New Roman"/>
          <w:sz w:val="24"/>
          <w:szCs w:val="24"/>
        </w:rPr>
      </w:pPr>
      <w:r w:rsidRPr="00B222F0">
        <w:rPr>
          <w:rFonts w:eastAsia="Times New Roman"/>
          <w:sz w:val="24"/>
          <w:szCs w:val="24"/>
        </w:rPr>
        <w:t xml:space="preserve">Andersen, P.H., Åberg, S. and </w:t>
      </w:r>
      <w:proofErr w:type="spellStart"/>
      <w:r w:rsidRPr="00B222F0">
        <w:rPr>
          <w:rFonts w:eastAsia="Times New Roman"/>
          <w:sz w:val="24"/>
          <w:szCs w:val="24"/>
        </w:rPr>
        <w:t>Bujac</w:t>
      </w:r>
      <w:proofErr w:type="spellEnd"/>
      <w:r w:rsidRPr="00B222F0">
        <w:rPr>
          <w:rFonts w:eastAsia="Times New Roman"/>
          <w:sz w:val="24"/>
          <w:szCs w:val="24"/>
        </w:rPr>
        <w:t xml:space="preserve">, A. (2023). Corporate sustainable brand identity work and network embeddedness: Learnings from Better Place (2007–2013). </w:t>
      </w:r>
      <w:r w:rsidRPr="00B222F0">
        <w:rPr>
          <w:rFonts w:eastAsia="Times New Roman"/>
          <w:i/>
          <w:sz w:val="24"/>
          <w:szCs w:val="24"/>
        </w:rPr>
        <w:t>Industrial Marketing Management</w:t>
      </w:r>
      <w:r w:rsidRPr="00B222F0">
        <w:rPr>
          <w:rFonts w:eastAsia="Times New Roman"/>
          <w:sz w:val="24"/>
          <w:szCs w:val="24"/>
        </w:rPr>
        <w:t xml:space="preserve">, [online] 115, pp.526–538. </w:t>
      </w:r>
      <w:proofErr w:type="spellStart"/>
      <w:proofErr w:type="gramStart"/>
      <w:r w:rsidRPr="00B222F0">
        <w:rPr>
          <w:rFonts w:eastAsia="Times New Roman"/>
          <w:sz w:val="24"/>
          <w:szCs w:val="24"/>
        </w:rPr>
        <w:t>doi:https</w:t>
      </w:r>
      <w:proofErr w:type="spellEnd"/>
      <w:r w:rsidRPr="00B222F0">
        <w:rPr>
          <w:rFonts w:eastAsia="Times New Roman"/>
          <w:sz w:val="24"/>
          <w:szCs w:val="24"/>
        </w:rPr>
        <w:t>://doi.org/10.1016/j.indmarman.2023.10.014</w:t>
      </w:r>
      <w:proofErr w:type="gramEnd"/>
      <w:r w:rsidRPr="00B222F0">
        <w:rPr>
          <w:rFonts w:eastAsia="Times New Roman"/>
          <w:sz w:val="24"/>
          <w:szCs w:val="24"/>
        </w:rPr>
        <w:t>.</w:t>
      </w:r>
    </w:p>
    <w:p w14:paraId="4F83CFB9" w14:textId="77777777" w:rsidR="00F61E2F" w:rsidRPr="00B222F0" w:rsidRDefault="00000000">
      <w:pPr>
        <w:spacing w:after="240" w:line="360" w:lineRule="auto"/>
        <w:jc w:val="both"/>
        <w:rPr>
          <w:rFonts w:eastAsia="Times New Roman"/>
          <w:sz w:val="24"/>
          <w:szCs w:val="24"/>
        </w:rPr>
      </w:pPr>
      <w:r w:rsidRPr="00B222F0">
        <w:rPr>
          <w:rFonts w:eastAsia="Times New Roman"/>
          <w:sz w:val="24"/>
          <w:szCs w:val="24"/>
        </w:rPr>
        <w:t xml:space="preserve">Cao, P., Sial, M.S., Álvarez-Otero, S., </w:t>
      </w:r>
      <w:proofErr w:type="spellStart"/>
      <w:r w:rsidRPr="00B222F0">
        <w:rPr>
          <w:rFonts w:eastAsia="Times New Roman"/>
          <w:sz w:val="24"/>
          <w:szCs w:val="24"/>
        </w:rPr>
        <w:t>Brugni</w:t>
      </w:r>
      <w:proofErr w:type="spellEnd"/>
      <w:r w:rsidRPr="00B222F0">
        <w:rPr>
          <w:rFonts w:eastAsia="Times New Roman"/>
          <w:sz w:val="24"/>
          <w:szCs w:val="24"/>
        </w:rPr>
        <w:t xml:space="preserve">, T.V. and </w:t>
      </w:r>
      <w:proofErr w:type="spellStart"/>
      <w:r w:rsidRPr="00B222F0">
        <w:rPr>
          <w:rFonts w:eastAsia="Times New Roman"/>
          <w:sz w:val="24"/>
          <w:szCs w:val="24"/>
        </w:rPr>
        <w:t>Comite</w:t>
      </w:r>
      <w:proofErr w:type="spellEnd"/>
      <w:r w:rsidRPr="00B222F0">
        <w:rPr>
          <w:rFonts w:eastAsia="Times New Roman"/>
          <w:sz w:val="24"/>
          <w:szCs w:val="24"/>
        </w:rPr>
        <w:t xml:space="preserve">, U. (2024). Eco-engagement: Tracing CSR communication’s ripple effect on consumer hospitality loyalty. </w:t>
      </w:r>
      <w:r w:rsidRPr="00B222F0">
        <w:rPr>
          <w:rFonts w:eastAsia="Times New Roman"/>
          <w:i/>
          <w:sz w:val="24"/>
          <w:szCs w:val="24"/>
        </w:rPr>
        <w:t>Journal of Retailing and Consumer Services</w:t>
      </w:r>
      <w:r w:rsidRPr="00B222F0">
        <w:rPr>
          <w:rFonts w:eastAsia="Times New Roman"/>
          <w:sz w:val="24"/>
          <w:szCs w:val="24"/>
        </w:rPr>
        <w:t xml:space="preserve">, [online] 79, p.103879. </w:t>
      </w:r>
      <w:proofErr w:type="spellStart"/>
      <w:proofErr w:type="gramStart"/>
      <w:r w:rsidRPr="00B222F0">
        <w:rPr>
          <w:rFonts w:eastAsia="Times New Roman"/>
          <w:sz w:val="24"/>
          <w:szCs w:val="24"/>
        </w:rPr>
        <w:t>doi:https</w:t>
      </w:r>
      <w:proofErr w:type="spellEnd"/>
      <w:r w:rsidRPr="00B222F0">
        <w:rPr>
          <w:rFonts w:eastAsia="Times New Roman"/>
          <w:sz w:val="24"/>
          <w:szCs w:val="24"/>
        </w:rPr>
        <w:t>://doi.org/10.1016/j.jretconser.2024.103879</w:t>
      </w:r>
      <w:proofErr w:type="gramEnd"/>
      <w:r w:rsidRPr="00B222F0">
        <w:rPr>
          <w:rFonts w:eastAsia="Times New Roman"/>
          <w:sz w:val="24"/>
          <w:szCs w:val="24"/>
        </w:rPr>
        <w:t>.</w:t>
      </w:r>
    </w:p>
    <w:p w14:paraId="0EC4C97F" w14:textId="77777777" w:rsidR="00F61E2F" w:rsidRPr="00B222F0" w:rsidRDefault="00000000">
      <w:pPr>
        <w:spacing w:after="240" w:line="360" w:lineRule="auto"/>
        <w:jc w:val="both"/>
        <w:rPr>
          <w:rFonts w:eastAsia="Times New Roman"/>
          <w:sz w:val="24"/>
          <w:szCs w:val="24"/>
        </w:rPr>
      </w:pPr>
      <w:r w:rsidRPr="00B222F0">
        <w:rPr>
          <w:rFonts w:eastAsia="Times New Roman"/>
          <w:sz w:val="24"/>
          <w:szCs w:val="24"/>
        </w:rPr>
        <w:t xml:space="preserve">Cognitive Market Research (2023). </w:t>
      </w:r>
      <w:r w:rsidRPr="00B222F0">
        <w:rPr>
          <w:rFonts w:eastAsia="Times New Roman"/>
          <w:i/>
          <w:sz w:val="24"/>
          <w:szCs w:val="24"/>
        </w:rPr>
        <w:t>The global Budget Hotels market size is USD 284582.6 million in 2024.</w:t>
      </w:r>
      <w:r w:rsidRPr="00B222F0">
        <w:rPr>
          <w:rFonts w:eastAsia="Times New Roman"/>
          <w:sz w:val="24"/>
          <w:szCs w:val="24"/>
        </w:rPr>
        <w:t xml:space="preserve"> [online] Cognitive Market Research. Available at: https://www.cognitivemarketresearch.com/budget-hotels-market-report [Accessed 18 Oct. 2024].</w:t>
      </w:r>
    </w:p>
    <w:p w14:paraId="2E72C615" w14:textId="77777777" w:rsidR="00F61E2F" w:rsidRPr="00B222F0" w:rsidRDefault="00000000">
      <w:pPr>
        <w:spacing w:after="240" w:line="360" w:lineRule="auto"/>
        <w:jc w:val="both"/>
        <w:rPr>
          <w:rFonts w:eastAsia="Times New Roman"/>
          <w:sz w:val="24"/>
          <w:szCs w:val="24"/>
        </w:rPr>
      </w:pPr>
      <w:proofErr w:type="spellStart"/>
      <w:r w:rsidRPr="00B222F0">
        <w:rPr>
          <w:rFonts w:eastAsia="Times New Roman"/>
          <w:sz w:val="24"/>
          <w:szCs w:val="24"/>
        </w:rPr>
        <w:t>Filimonau</w:t>
      </w:r>
      <w:proofErr w:type="spellEnd"/>
      <w:r w:rsidRPr="00B222F0">
        <w:rPr>
          <w:rFonts w:eastAsia="Times New Roman"/>
          <w:sz w:val="24"/>
          <w:szCs w:val="24"/>
        </w:rPr>
        <w:t xml:space="preserve">, V. and </w:t>
      </w:r>
      <w:proofErr w:type="spellStart"/>
      <w:r w:rsidRPr="00B222F0">
        <w:rPr>
          <w:rFonts w:eastAsia="Times New Roman"/>
          <w:sz w:val="24"/>
          <w:szCs w:val="24"/>
        </w:rPr>
        <w:t>Magklaropoulou</w:t>
      </w:r>
      <w:proofErr w:type="spellEnd"/>
      <w:r w:rsidRPr="00B222F0">
        <w:rPr>
          <w:rFonts w:eastAsia="Times New Roman"/>
          <w:sz w:val="24"/>
          <w:szCs w:val="24"/>
        </w:rPr>
        <w:t xml:space="preserve">, A. (2020). Exploring the viability of a new ‘pay-as-you-use’ energy management model in budget hotels. </w:t>
      </w:r>
      <w:r w:rsidRPr="00B222F0">
        <w:rPr>
          <w:rFonts w:eastAsia="Times New Roman"/>
          <w:i/>
          <w:sz w:val="24"/>
          <w:szCs w:val="24"/>
        </w:rPr>
        <w:t>International Journal of Hospitality Management</w:t>
      </w:r>
      <w:r w:rsidRPr="00B222F0">
        <w:rPr>
          <w:rFonts w:eastAsia="Times New Roman"/>
          <w:sz w:val="24"/>
          <w:szCs w:val="24"/>
        </w:rPr>
        <w:t xml:space="preserve">, 89, p.102538. </w:t>
      </w:r>
      <w:proofErr w:type="spellStart"/>
      <w:proofErr w:type="gramStart"/>
      <w:r w:rsidRPr="00B222F0">
        <w:rPr>
          <w:rFonts w:eastAsia="Times New Roman"/>
          <w:sz w:val="24"/>
          <w:szCs w:val="24"/>
        </w:rPr>
        <w:t>doi:https</w:t>
      </w:r>
      <w:proofErr w:type="spellEnd"/>
      <w:r w:rsidRPr="00B222F0">
        <w:rPr>
          <w:rFonts w:eastAsia="Times New Roman"/>
          <w:sz w:val="24"/>
          <w:szCs w:val="24"/>
        </w:rPr>
        <w:t>://doi.org/10.1016/j.ijhm.2020.102538</w:t>
      </w:r>
      <w:proofErr w:type="gramEnd"/>
      <w:r w:rsidRPr="00B222F0">
        <w:rPr>
          <w:rFonts w:eastAsia="Times New Roman"/>
          <w:sz w:val="24"/>
          <w:szCs w:val="24"/>
        </w:rPr>
        <w:t>.</w:t>
      </w:r>
    </w:p>
    <w:p w14:paraId="0425EF45" w14:textId="77777777" w:rsidR="00F61E2F" w:rsidRPr="00B222F0" w:rsidRDefault="00000000">
      <w:pPr>
        <w:spacing w:after="240" w:line="360" w:lineRule="auto"/>
        <w:jc w:val="both"/>
        <w:rPr>
          <w:rFonts w:eastAsia="Times New Roman"/>
          <w:sz w:val="24"/>
          <w:szCs w:val="24"/>
        </w:rPr>
      </w:pPr>
      <w:r w:rsidRPr="00B222F0">
        <w:rPr>
          <w:rFonts w:eastAsia="Times New Roman"/>
          <w:sz w:val="24"/>
          <w:szCs w:val="24"/>
        </w:rPr>
        <w:t xml:space="preserve">Financial Times (2018). </w:t>
      </w:r>
      <w:r w:rsidRPr="00B222F0">
        <w:rPr>
          <w:rFonts w:eastAsia="Times New Roman"/>
          <w:i/>
          <w:sz w:val="24"/>
          <w:szCs w:val="24"/>
        </w:rPr>
        <w:t>Financial Times</w:t>
      </w:r>
      <w:r w:rsidRPr="00B222F0">
        <w:rPr>
          <w:rFonts w:eastAsia="Times New Roman"/>
          <w:sz w:val="24"/>
          <w:szCs w:val="24"/>
        </w:rPr>
        <w:t>. [online] @FinancialTimes. Available at: https://www.ft.com/content/a1269f87-1f17-4d22-aec9-434fba210b97 [Accessed 18 Oct. 2024].</w:t>
      </w:r>
    </w:p>
    <w:p w14:paraId="3E58E32A" w14:textId="77777777" w:rsidR="00F61E2F" w:rsidRPr="00B222F0" w:rsidRDefault="00000000">
      <w:pPr>
        <w:spacing w:after="240" w:line="360" w:lineRule="auto"/>
        <w:jc w:val="both"/>
        <w:rPr>
          <w:rFonts w:eastAsia="Times New Roman"/>
          <w:sz w:val="24"/>
          <w:szCs w:val="24"/>
        </w:rPr>
      </w:pPr>
      <w:r w:rsidRPr="00B222F0">
        <w:rPr>
          <w:rFonts w:eastAsia="Times New Roman"/>
          <w:sz w:val="24"/>
          <w:szCs w:val="24"/>
        </w:rPr>
        <w:t xml:space="preserve">Gill, R. (2024). </w:t>
      </w:r>
      <w:r w:rsidRPr="00B222F0">
        <w:rPr>
          <w:rFonts w:eastAsia="Times New Roman"/>
          <w:i/>
          <w:sz w:val="24"/>
          <w:szCs w:val="24"/>
        </w:rPr>
        <w:t>Premier Inn targets further UK expansion</w:t>
      </w:r>
      <w:r w:rsidRPr="00B222F0">
        <w:rPr>
          <w:rFonts w:eastAsia="Times New Roman"/>
          <w:sz w:val="24"/>
          <w:szCs w:val="24"/>
        </w:rPr>
        <w:t>. [online] Businesstravelnewseurope.com. Available at: https://www.businesstravelnewseurope.com/Accommodation/Premier-Inn-targets-further-UK-expansion [Accessed 18 Oct. 2024].</w:t>
      </w:r>
    </w:p>
    <w:p w14:paraId="730F8577" w14:textId="77777777" w:rsidR="00F61E2F" w:rsidRPr="00B222F0" w:rsidRDefault="00000000">
      <w:pPr>
        <w:spacing w:after="240" w:line="360" w:lineRule="auto"/>
        <w:jc w:val="both"/>
        <w:rPr>
          <w:rFonts w:eastAsia="Times New Roman"/>
          <w:sz w:val="24"/>
          <w:szCs w:val="24"/>
        </w:rPr>
      </w:pPr>
      <w:r w:rsidRPr="00B222F0">
        <w:rPr>
          <w:rFonts w:eastAsia="Times New Roman"/>
          <w:sz w:val="24"/>
          <w:szCs w:val="24"/>
        </w:rPr>
        <w:t xml:space="preserve">Hung, K., Qiu Zhang, H., </w:t>
      </w:r>
      <w:proofErr w:type="spellStart"/>
      <w:r w:rsidRPr="00B222F0">
        <w:rPr>
          <w:rFonts w:eastAsia="Times New Roman"/>
          <w:sz w:val="24"/>
          <w:szCs w:val="24"/>
        </w:rPr>
        <w:t>Denizci</w:t>
      </w:r>
      <w:proofErr w:type="spellEnd"/>
      <w:r w:rsidRPr="00B222F0">
        <w:rPr>
          <w:rFonts w:eastAsia="Times New Roman"/>
          <w:sz w:val="24"/>
          <w:szCs w:val="24"/>
        </w:rPr>
        <w:t xml:space="preserve"> Guillet, B. and Wang, L. (2021). China </w:t>
      </w:r>
      <w:proofErr w:type="gramStart"/>
      <w:r w:rsidRPr="00B222F0">
        <w:rPr>
          <w:rFonts w:eastAsia="Times New Roman"/>
          <w:sz w:val="24"/>
          <w:szCs w:val="24"/>
        </w:rPr>
        <w:t>watching:</w:t>
      </w:r>
      <w:proofErr w:type="gramEnd"/>
      <w:r w:rsidRPr="00B222F0">
        <w:rPr>
          <w:rFonts w:eastAsia="Times New Roman"/>
          <w:sz w:val="24"/>
          <w:szCs w:val="24"/>
        </w:rPr>
        <w:t xml:space="preserve"> luxury consumption and its implications. </w:t>
      </w:r>
      <w:r w:rsidRPr="00B222F0">
        <w:rPr>
          <w:rFonts w:eastAsia="Times New Roman"/>
          <w:i/>
          <w:sz w:val="24"/>
          <w:szCs w:val="24"/>
        </w:rPr>
        <w:t>Travel and Lifestyle</w:t>
      </w:r>
      <w:r w:rsidRPr="00B222F0">
        <w:rPr>
          <w:rFonts w:eastAsia="Times New Roman"/>
          <w:sz w:val="24"/>
          <w:szCs w:val="24"/>
        </w:rPr>
        <w:t xml:space="preserve">, pp.45–60. </w:t>
      </w:r>
      <w:proofErr w:type="spellStart"/>
      <w:proofErr w:type="gramStart"/>
      <w:r w:rsidRPr="00B222F0">
        <w:rPr>
          <w:rFonts w:eastAsia="Times New Roman"/>
          <w:sz w:val="24"/>
          <w:szCs w:val="24"/>
        </w:rPr>
        <w:t>doi:https</w:t>
      </w:r>
      <w:proofErr w:type="spellEnd"/>
      <w:r w:rsidRPr="00B222F0">
        <w:rPr>
          <w:rFonts w:eastAsia="Times New Roman"/>
          <w:sz w:val="24"/>
          <w:szCs w:val="24"/>
        </w:rPr>
        <w:t>://doi.org/10.4324/9781003243823-5</w:t>
      </w:r>
      <w:proofErr w:type="gramEnd"/>
      <w:r w:rsidRPr="00B222F0">
        <w:rPr>
          <w:rFonts w:eastAsia="Times New Roman"/>
          <w:sz w:val="24"/>
          <w:szCs w:val="24"/>
        </w:rPr>
        <w:t>.</w:t>
      </w:r>
    </w:p>
    <w:p w14:paraId="358023D0" w14:textId="77777777" w:rsidR="00F61E2F" w:rsidRPr="00B222F0" w:rsidRDefault="00000000">
      <w:pPr>
        <w:spacing w:after="240" w:line="360" w:lineRule="auto"/>
        <w:jc w:val="both"/>
        <w:rPr>
          <w:rFonts w:eastAsia="Times New Roman"/>
          <w:sz w:val="24"/>
          <w:szCs w:val="24"/>
        </w:rPr>
      </w:pPr>
      <w:r w:rsidRPr="00B222F0">
        <w:rPr>
          <w:rFonts w:eastAsia="Times New Roman"/>
          <w:sz w:val="24"/>
          <w:szCs w:val="24"/>
        </w:rPr>
        <w:lastRenderedPageBreak/>
        <w:t xml:space="preserve">IHG (2023). </w:t>
      </w:r>
      <w:r w:rsidRPr="00B222F0">
        <w:rPr>
          <w:rFonts w:eastAsia="Times New Roman"/>
          <w:i/>
          <w:sz w:val="24"/>
          <w:szCs w:val="24"/>
        </w:rPr>
        <w:t>True Hospitality for Good</w:t>
      </w:r>
      <w:r w:rsidRPr="00B222F0">
        <w:rPr>
          <w:rFonts w:eastAsia="Times New Roman"/>
          <w:sz w:val="24"/>
          <w:szCs w:val="24"/>
        </w:rPr>
        <w:t>. [online] Available at: https://www.ihgplc.com/~/media/Files/I/Ihg-Plc/investors/annual-report/2023/annual-report-2023.pdf [Accessed 18 Oct. 2024].</w:t>
      </w:r>
    </w:p>
    <w:p w14:paraId="0FEAA687" w14:textId="77777777" w:rsidR="00F61E2F" w:rsidRPr="00B222F0" w:rsidRDefault="00000000">
      <w:pPr>
        <w:spacing w:after="240" w:line="360" w:lineRule="auto"/>
        <w:jc w:val="both"/>
        <w:rPr>
          <w:rFonts w:eastAsia="Times New Roman"/>
          <w:sz w:val="24"/>
          <w:szCs w:val="24"/>
        </w:rPr>
      </w:pPr>
      <w:r w:rsidRPr="00B222F0">
        <w:rPr>
          <w:rFonts w:eastAsia="Times New Roman"/>
          <w:sz w:val="24"/>
          <w:szCs w:val="24"/>
        </w:rPr>
        <w:t xml:space="preserve">Liu, L., Zhou, Y. and Sun, X. (2023). The Impact of the Wellness Tourism Experience on Tourist Well-Being: The Mediating Role of Tourist Satisfaction. </w:t>
      </w:r>
      <w:r w:rsidRPr="00B222F0">
        <w:rPr>
          <w:rFonts w:eastAsia="Times New Roman"/>
          <w:i/>
          <w:sz w:val="24"/>
          <w:szCs w:val="24"/>
        </w:rPr>
        <w:t>Sustainability</w:t>
      </w:r>
      <w:r w:rsidRPr="00B222F0">
        <w:rPr>
          <w:rFonts w:eastAsia="Times New Roman"/>
          <w:sz w:val="24"/>
          <w:szCs w:val="24"/>
        </w:rPr>
        <w:t xml:space="preserve">, 15(3), p.1872. </w:t>
      </w:r>
      <w:proofErr w:type="spellStart"/>
      <w:proofErr w:type="gramStart"/>
      <w:r w:rsidRPr="00B222F0">
        <w:rPr>
          <w:rFonts w:eastAsia="Times New Roman"/>
          <w:sz w:val="24"/>
          <w:szCs w:val="24"/>
        </w:rPr>
        <w:t>doi:https</w:t>
      </w:r>
      <w:proofErr w:type="spellEnd"/>
      <w:r w:rsidRPr="00B222F0">
        <w:rPr>
          <w:rFonts w:eastAsia="Times New Roman"/>
          <w:sz w:val="24"/>
          <w:szCs w:val="24"/>
        </w:rPr>
        <w:t>://doi.org/10.3390/su15031872</w:t>
      </w:r>
      <w:proofErr w:type="gramEnd"/>
      <w:r w:rsidRPr="00B222F0">
        <w:rPr>
          <w:rFonts w:eastAsia="Times New Roman"/>
          <w:sz w:val="24"/>
          <w:szCs w:val="24"/>
        </w:rPr>
        <w:t>.</w:t>
      </w:r>
    </w:p>
    <w:p w14:paraId="380332DB" w14:textId="77777777" w:rsidR="00F61E2F" w:rsidRPr="00B222F0" w:rsidRDefault="00000000">
      <w:pPr>
        <w:spacing w:after="240" w:line="360" w:lineRule="auto"/>
        <w:jc w:val="both"/>
        <w:rPr>
          <w:rFonts w:eastAsia="Times New Roman"/>
          <w:sz w:val="24"/>
          <w:szCs w:val="24"/>
        </w:rPr>
      </w:pPr>
      <w:r w:rsidRPr="00B222F0">
        <w:rPr>
          <w:rFonts w:eastAsia="Times New Roman"/>
          <w:sz w:val="24"/>
          <w:szCs w:val="24"/>
        </w:rPr>
        <w:t xml:space="preserve">Mahmood, A. and Bashir, J. (2020). How does corporate social responsibility transform brand reputation into brand equity? Economic and noneconomic perspectives of CSR. </w:t>
      </w:r>
      <w:r w:rsidRPr="00B222F0">
        <w:rPr>
          <w:rFonts w:eastAsia="Times New Roman"/>
          <w:i/>
          <w:sz w:val="24"/>
          <w:szCs w:val="24"/>
        </w:rPr>
        <w:t>International Journal of Engineering Business Management</w:t>
      </w:r>
      <w:r w:rsidRPr="00B222F0">
        <w:rPr>
          <w:rFonts w:eastAsia="Times New Roman"/>
          <w:sz w:val="24"/>
          <w:szCs w:val="24"/>
        </w:rPr>
        <w:t xml:space="preserve">, [online] 12(1), pp.1–13. </w:t>
      </w:r>
      <w:proofErr w:type="spellStart"/>
      <w:proofErr w:type="gramStart"/>
      <w:r w:rsidRPr="00B222F0">
        <w:rPr>
          <w:rFonts w:eastAsia="Times New Roman"/>
          <w:sz w:val="24"/>
          <w:szCs w:val="24"/>
        </w:rPr>
        <w:t>doi:https</w:t>
      </w:r>
      <w:proofErr w:type="spellEnd"/>
      <w:r w:rsidRPr="00B222F0">
        <w:rPr>
          <w:rFonts w:eastAsia="Times New Roman"/>
          <w:sz w:val="24"/>
          <w:szCs w:val="24"/>
        </w:rPr>
        <w:t>://doi.org/10.1177/1847979020927547</w:t>
      </w:r>
      <w:proofErr w:type="gramEnd"/>
      <w:r w:rsidRPr="00B222F0">
        <w:rPr>
          <w:rFonts w:eastAsia="Times New Roman"/>
          <w:sz w:val="24"/>
          <w:szCs w:val="24"/>
        </w:rPr>
        <w:t>.</w:t>
      </w:r>
    </w:p>
    <w:p w14:paraId="6DC2BCAB" w14:textId="77777777" w:rsidR="00F61E2F" w:rsidRPr="00B222F0" w:rsidRDefault="00000000">
      <w:pPr>
        <w:spacing w:after="240" w:line="360" w:lineRule="auto"/>
        <w:jc w:val="both"/>
        <w:rPr>
          <w:rFonts w:eastAsia="Times New Roman"/>
          <w:sz w:val="24"/>
          <w:szCs w:val="24"/>
        </w:rPr>
      </w:pPr>
      <w:r w:rsidRPr="00B222F0">
        <w:rPr>
          <w:rFonts w:eastAsia="Times New Roman"/>
          <w:sz w:val="24"/>
          <w:szCs w:val="24"/>
        </w:rPr>
        <w:t xml:space="preserve">Nevett, J. (2023). </w:t>
      </w:r>
      <w:r w:rsidRPr="00B222F0">
        <w:rPr>
          <w:rFonts w:eastAsia="Times New Roman"/>
          <w:i/>
          <w:sz w:val="24"/>
          <w:szCs w:val="24"/>
        </w:rPr>
        <w:t>Covid-19 support worth £4.5bn lost to error and fraud</w:t>
      </w:r>
      <w:r w:rsidRPr="00B222F0">
        <w:rPr>
          <w:rFonts w:eastAsia="Times New Roman"/>
          <w:sz w:val="24"/>
          <w:szCs w:val="24"/>
        </w:rPr>
        <w:t xml:space="preserve">. </w:t>
      </w:r>
      <w:r w:rsidRPr="00B222F0">
        <w:rPr>
          <w:rFonts w:eastAsia="Times New Roman"/>
          <w:i/>
          <w:sz w:val="24"/>
          <w:szCs w:val="24"/>
        </w:rPr>
        <w:t>BBC</w:t>
      </w:r>
      <w:r w:rsidRPr="00B222F0">
        <w:rPr>
          <w:rFonts w:eastAsia="Times New Roman"/>
          <w:sz w:val="24"/>
          <w:szCs w:val="24"/>
        </w:rPr>
        <w:t>. Available at: https://www.bbc.com/news/uk-politics-64304428 [Accessed 18 Oct. 2024].</w:t>
      </w:r>
    </w:p>
    <w:p w14:paraId="62CCE667" w14:textId="77777777" w:rsidR="00F61E2F" w:rsidRPr="00B222F0" w:rsidRDefault="00000000">
      <w:pPr>
        <w:spacing w:after="240" w:line="360" w:lineRule="auto"/>
        <w:jc w:val="both"/>
        <w:rPr>
          <w:rFonts w:eastAsia="Times New Roman"/>
          <w:sz w:val="24"/>
          <w:szCs w:val="24"/>
        </w:rPr>
      </w:pPr>
      <w:r w:rsidRPr="00B222F0">
        <w:rPr>
          <w:rFonts w:eastAsia="Times New Roman"/>
          <w:sz w:val="24"/>
          <w:szCs w:val="24"/>
        </w:rPr>
        <w:t xml:space="preserve">Nguyen, Q.H. (2021). Impact of Investment in Tourism Infrastructure Development on Attracting International Visitors: A Nonlinear Panel ARDL Approach Using Vietnam’s Data. </w:t>
      </w:r>
      <w:r w:rsidRPr="00B222F0">
        <w:rPr>
          <w:rFonts w:eastAsia="Times New Roman"/>
          <w:i/>
          <w:sz w:val="24"/>
          <w:szCs w:val="24"/>
        </w:rPr>
        <w:t>Economies</w:t>
      </w:r>
      <w:r w:rsidRPr="00B222F0">
        <w:rPr>
          <w:rFonts w:eastAsia="Times New Roman"/>
          <w:sz w:val="24"/>
          <w:szCs w:val="24"/>
        </w:rPr>
        <w:t xml:space="preserve">, 9(3), p.131. </w:t>
      </w:r>
      <w:proofErr w:type="spellStart"/>
      <w:proofErr w:type="gramStart"/>
      <w:r w:rsidRPr="00B222F0">
        <w:rPr>
          <w:rFonts w:eastAsia="Times New Roman"/>
          <w:sz w:val="24"/>
          <w:szCs w:val="24"/>
        </w:rPr>
        <w:t>doi:https</w:t>
      </w:r>
      <w:proofErr w:type="spellEnd"/>
      <w:r w:rsidRPr="00B222F0">
        <w:rPr>
          <w:rFonts w:eastAsia="Times New Roman"/>
          <w:sz w:val="24"/>
          <w:szCs w:val="24"/>
        </w:rPr>
        <w:t>://doi.org/10.3390/economies9030131</w:t>
      </w:r>
      <w:proofErr w:type="gramEnd"/>
      <w:r w:rsidRPr="00B222F0">
        <w:rPr>
          <w:rFonts w:eastAsia="Times New Roman"/>
          <w:sz w:val="24"/>
          <w:szCs w:val="24"/>
        </w:rPr>
        <w:t>.</w:t>
      </w:r>
    </w:p>
    <w:p w14:paraId="69AFE80A" w14:textId="77777777" w:rsidR="00F61E2F" w:rsidRPr="00B222F0" w:rsidRDefault="00000000">
      <w:pPr>
        <w:spacing w:after="240" w:line="360" w:lineRule="auto"/>
        <w:jc w:val="both"/>
        <w:rPr>
          <w:rFonts w:eastAsia="Times New Roman"/>
          <w:sz w:val="24"/>
          <w:szCs w:val="24"/>
        </w:rPr>
      </w:pPr>
      <w:r w:rsidRPr="00B222F0">
        <w:rPr>
          <w:rFonts w:eastAsia="Times New Roman"/>
          <w:sz w:val="24"/>
          <w:szCs w:val="24"/>
        </w:rPr>
        <w:t>Pereira-Moliner, J., Molina-</w:t>
      </w:r>
      <w:proofErr w:type="spellStart"/>
      <w:r w:rsidRPr="00B222F0">
        <w:rPr>
          <w:rFonts w:eastAsia="Times New Roman"/>
          <w:sz w:val="24"/>
          <w:szCs w:val="24"/>
        </w:rPr>
        <w:t>Azorín</w:t>
      </w:r>
      <w:proofErr w:type="spellEnd"/>
      <w:r w:rsidRPr="00B222F0">
        <w:rPr>
          <w:rFonts w:eastAsia="Times New Roman"/>
          <w:sz w:val="24"/>
          <w:szCs w:val="24"/>
        </w:rPr>
        <w:t xml:space="preserve">, J.F., </w:t>
      </w:r>
      <w:proofErr w:type="spellStart"/>
      <w:r w:rsidRPr="00B222F0">
        <w:rPr>
          <w:rFonts w:eastAsia="Times New Roman"/>
          <w:sz w:val="24"/>
          <w:szCs w:val="24"/>
        </w:rPr>
        <w:t>Tarí</w:t>
      </w:r>
      <w:proofErr w:type="spellEnd"/>
      <w:r w:rsidRPr="00B222F0">
        <w:rPr>
          <w:rFonts w:eastAsia="Times New Roman"/>
          <w:sz w:val="24"/>
          <w:szCs w:val="24"/>
        </w:rPr>
        <w:t xml:space="preserve">, J.J., López-Gamero, M.D. and </w:t>
      </w:r>
      <w:proofErr w:type="spellStart"/>
      <w:r w:rsidRPr="00B222F0">
        <w:rPr>
          <w:rFonts w:eastAsia="Times New Roman"/>
          <w:sz w:val="24"/>
          <w:szCs w:val="24"/>
        </w:rPr>
        <w:t>Pertursa</w:t>
      </w:r>
      <w:proofErr w:type="spellEnd"/>
      <w:r w:rsidRPr="00B222F0">
        <w:rPr>
          <w:rFonts w:eastAsia="Times New Roman"/>
          <w:sz w:val="24"/>
          <w:szCs w:val="24"/>
        </w:rPr>
        <w:t xml:space="preserve">-Ortega, E.M. (2021). How do dynamic capabilities explain hotel performance? </w:t>
      </w:r>
      <w:r w:rsidRPr="00B222F0">
        <w:rPr>
          <w:rFonts w:eastAsia="Times New Roman"/>
          <w:i/>
          <w:sz w:val="24"/>
          <w:szCs w:val="24"/>
        </w:rPr>
        <w:t>International Journal of Hospitality Management</w:t>
      </w:r>
      <w:r w:rsidRPr="00B222F0">
        <w:rPr>
          <w:rFonts w:eastAsia="Times New Roman"/>
          <w:sz w:val="24"/>
          <w:szCs w:val="24"/>
        </w:rPr>
        <w:t xml:space="preserve">, 98, p.103023. </w:t>
      </w:r>
      <w:proofErr w:type="spellStart"/>
      <w:proofErr w:type="gramStart"/>
      <w:r w:rsidRPr="00B222F0">
        <w:rPr>
          <w:rFonts w:eastAsia="Times New Roman"/>
          <w:sz w:val="24"/>
          <w:szCs w:val="24"/>
        </w:rPr>
        <w:t>doi:https</w:t>
      </w:r>
      <w:proofErr w:type="spellEnd"/>
      <w:r w:rsidRPr="00B222F0">
        <w:rPr>
          <w:rFonts w:eastAsia="Times New Roman"/>
          <w:sz w:val="24"/>
          <w:szCs w:val="24"/>
        </w:rPr>
        <w:t>://doi.org/10.1016/j.ijhm.2021.103023</w:t>
      </w:r>
      <w:proofErr w:type="gramEnd"/>
      <w:r w:rsidRPr="00B222F0">
        <w:rPr>
          <w:rFonts w:eastAsia="Times New Roman"/>
          <w:sz w:val="24"/>
          <w:szCs w:val="24"/>
        </w:rPr>
        <w:t>.</w:t>
      </w:r>
    </w:p>
    <w:p w14:paraId="1C65B3AF" w14:textId="77777777" w:rsidR="00F61E2F" w:rsidRPr="00B222F0" w:rsidRDefault="00000000">
      <w:pPr>
        <w:spacing w:after="240" w:line="360" w:lineRule="auto"/>
        <w:jc w:val="both"/>
        <w:rPr>
          <w:rFonts w:eastAsia="Times New Roman"/>
          <w:sz w:val="24"/>
          <w:szCs w:val="24"/>
        </w:rPr>
      </w:pPr>
      <w:r w:rsidRPr="00B222F0">
        <w:rPr>
          <w:rFonts w:eastAsia="Times New Roman"/>
          <w:sz w:val="24"/>
          <w:szCs w:val="24"/>
        </w:rPr>
        <w:t xml:space="preserve">Roll, M. (2019). </w:t>
      </w:r>
      <w:r w:rsidRPr="00B222F0">
        <w:rPr>
          <w:rFonts w:eastAsia="Times New Roman"/>
          <w:i/>
          <w:sz w:val="24"/>
          <w:szCs w:val="24"/>
        </w:rPr>
        <w:t xml:space="preserve">Shangri-La Hotels &amp; Resorts - Bringing Asian Hospitality </w:t>
      </w:r>
      <w:proofErr w:type="gramStart"/>
      <w:r w:rsidRPr="00B222F0">
        <w:rPr>
          <w:rFonts w:eastAsia="Times New Roman"/>
          <w:i/>
          <w:sz w:val="24"/>
          <w:szCs w:val="24"/>
        </w:rPr>
        <w:t>To</w:t>
      </w:r>
      <w:proofErr w:type="gramEnd"/>
      <w:r w:rsidRPr="00B222F0">
        <w:rPr>
          <w:rFonts w:eastAsia="Times New Roman"/>
          <w:i/>
          <w:sz w:val="24"/>
          <w:szCs w:val="24"/>
        </w:rPr>
        <w:t xml:space="preserve"> The World</w:t>
      </w:r>
      <w:r w:rsidRPr="00B222F0">
        <w:rPr>
          <w:rFonts w:eastAsia="Times New Roman"/>
          <w:sz w:val="24"/>
          <w:szCs w:val="24"/>
        </w:rPr>
        <w:t>. [online] Martin Roll. Available at: https://martinroll.com/resources/articles/asia/shangri-la-hotels-resorts-bringing-asian-hospitality-to-the-world/ [Accessed 18 Oct. 2024].</w:t>
      </w:r>
    </w:p>
    <w:p w14:paraId="04AAF135" w14:textId="77777777" w:rsidR="00F61E2F" w:rsidRPr="00B222F0" w:rsidRDefault="00000000">
      <w:pPr>
        <w:spacing w:after="240" w:line="360" w:lineRule="auto"/>
        <w:jc w:val="both"/>
        <w:rPr>
          <w:rFonts w:eastAsia="Times New Roman"/>
          <w:sz w:val="24"/>
          <w:szCs w:val="24"/>
        </w:rPr>
      </w:pPr>
      <w:r w:rsidRPr="00B222F0">
        <w:rPr>
          <w:rFonts w:eastAsia="Times New Roman"/>
          <w:sz w:val="24"/>
          <w:szCs w:val="24"/>
        </w:rPr>
        <w:t xml:space="preserve">Shangri-la Group (2020). </w:t>
      </w:r>
      <w:r w:rsidRPr="00B222F0">
        <w:rPr>
          <w:rFonts w:eastAsia="Times New Roman"/>
          <w:i/>
          <w:sz w:val="24"/>
          <w:szCs w:val="24"/>
        </w:rPr>
        <w:t>Welcome: Shangri-La Group</w:t>
      </w:r>
      <w:r w:rsidRPr="00B222F0">
        <w:rPr>
          <w:rFonts w:eastAsia="Times New Roman"/>
          <w:sz w:val="24"/>
          <w:szCs w:val="24"/>
        </w:rPr>
        <w:t>. [online] Shangri-la.com. Available at: https://www.shangri-la.com/group/our-businesses/hotels-and-resorts [Accessed 18 Oct. 2024].</w:t>
      </w:r>
    </w:p>
    <w:p w14:paraId="2CF42D4F" w14:textId="77777777" w:rsidR="00F61E2F" w:rsidRPr="00B222F0" w:rsidRDefault="00000000">
      <w:pPr>
        <w:spacing w:after="240" w:line="360" w:lineRule="auto"/>
        <w:jc w:val="both"/>
        <w:rPr>
          <w:rFonts w:eastAsia="Times New Roman"/>
          <w:sz w:val="24"/>
          <w:szCs w:val="24"/>
        </w:rPr>
      </w:pPr>
      <w:r w:rsidRPr="00B222F0">
        <w:rPr>
          <w:rFonts w:eastAsia="Times New Roman"/>
          <w:sz w:val="24"/>
          <w:szCs w:val="24"/>
        </w:rPr>
        <w:lastRenderedPageBreak/>
        <w:t xml:space="preserve">Statista (2022). </w:t>
      </w:r>
      <w:r w:rsidRPr="00B222F0">
        <w:rPr>
          <w:rFonts w:eastAsia="Times New Roman"/>
          <w:i/>
          <w:sz w:val="24"/>
          <w:szCs w:val="24"/>
        </w:rPr>
        <w:t>Most Popular Hotel Brands in the UK 2019</w:t>
      </w:r>
      <w:r w:rsidRPr="00B222F0">
        <w:rPr>
          <w:rFonts w:eastAsia="Times New Roman"/>
          <w:sz w:val="24"/>
          <w:szCs w:val="24"/>
        </w:rPr>
        <w:t>. [online] Statista. Available at: https://www.statista.com/statistics/951262/most-popular-hotel-brands-uk/ [Accessed 18 Oct. 2024].</w:t>
      </w:r>
    </w:p>
    <w:p w14:paraId="2E7B0C3D" w14:textId="77777777" w:rsidR="00F61E2F" w:rsidRPr="00B222F0" w:rsidRDefault="00000000">
      <w:pPr>
        <w:spacing w:after="240" w:line="360" w:lineRule="auto"/>
        <w:jc w:val="both"/>
        <w:rPr>
          <w:rFonts w:eastAsia="Times New Roman"/>
          <w:sz w:val="24"/>
          <w:szCs w:val="24"/>
        </w:rPr>
      </w:pPr>
      <w:r w:rsidRPr="00B222F0">
        <w:rPr>
          <w:rFonts w:eastAsia="Times New Roman"/>
          <w:sz w:val="24"/>
          <w:szCs w:val="24"/>
        </w:rPr>
        <w:t xml:space="preserve">Statista (2024). </w:t>
      </w:r>
      <w:r w:rsidRPr="00B222F0">
        <w:rPr>
          <w:rFonts w:eastAsia="Times New Roman"/>
          <w:i/>
          <w:sz w:val="24"/>
          <w:szCs w:val="24"/>
        </w:rPr>
        <w:t>Premier Inn hotel occupancy rates 2011-2020</w:t>
      </w:r>
      <w:r w:rsidRPr="00B222F0">
        <w:rPr>
          <w:rFonts w:eastAsia="Times New Roman"/>
          <w:sz w:val="24"/>
          <w:szCs w:val="24"/>
        </w:rPr>
        <w:t>. [online] Statista. Available at: https://www.statista.com/statistics/739831/premier-inn-hotel-occupancy-rates/ [Accessed 18 Oct. 2024].</w:t>
      </w:r>
    </w:p>
    <w:p w14:paraId="41914026" w14:textId="77777777" w:rsidR="00F61E2F" w:rsidRPr="00B222F0" w:rsidRDefault="00000000">
      <w:pPr>
        <w:spacing w:after="240" w:line="360" w:lineRule="auto"/>
        <w:jc w:val="both"/>
        <w:rPr>
          <w:rFonts w:eastAsia="Times New Roman"/>
          <w:sz w:val="24"/>
          <w:szCs w:val="24"/>
        </w:rPr>
      </w:pPr>
      <w:r w:rsidRPr="00B222F0">
        <w:rPr>
          <w:rFonts w:eastAsia="Times New Roman"/>
          <w:sz w:val="24"/>
          <w:szCs w:val="24"/>
        </w:rPr>
        <w:t xml:space="preserve">Yu, J. (2022). Exploring Recreationist-Environment Fit Hospitality Experiences of Green Hotels in China. </w:t>
      </w:r>
      <w:r w:rsidRPr="00B222F0">
        <w:rPr>
          <w:rFonts w:eastAsia="Times New Roman"/>
          <w:i/>
          <w:sz w:val="24"/>
          <w:szCs w:val="24"/>
        </w:rPr>
        <w:t>Sustainability</w:t>
      </w:r>
      <w:r w:rsidRPr="00B222F0">
        <w:rPr>
          <w:rFonts w:eastAsia="Times New Roman"/>
          <w:sz w:val="24"/>
          <w:szCs w:val="24"/>
        </w:rPr>
        <w:t xml:space="preserve">, 14(3), p.1850. </w:t>
      </w:r>
      <w:proofErr w:type="spellStart"/>
      <w:proofErr w:type="gramStart"/>
      <w:r w:rsidRPr="00B222F0">
        <w:rPr>
          <w:rFonts w:eastAsia="Times New Roman"/>
          <w:sz w:val="24"/>
          <w:szCs w:val="24"/>
        </w:rPr>
        <w:t>doi:https</w:t>
      </w:r>
      <w:proofErr w:type="spellEnd"/>
      <w:r w:rsidRPr="00B222F0">
        <w:rPr>
          <w:rFonts w:eastAsia="Times New Roman"/>
          <w:sz w:val="24"/>
          <w:szCs w:val="24"/>
        </w:rPr>
        <w:t>://doi.org/10.3390/su14031850</w:t>
      </w:r>
      <w:proofErr w:type="gramEnd"/>
      <w:r w:rsidRPr="00B222F0">
        <w:rPr>
          <w:rFonts w:eastAsia="Times New Roman"/>
          <w:sz w:val="24"/>
          <w:szCs w:val="24"/>
        </w:rPr>
        <w:t>.</w:t>
      </w:r>
    </w:p>
    <w:p w14:paraId="7C56D049" w14:textId="77777777" w:rsidR="00F61E2F" w:rsidRPr="00B222F0" w:rsidRDefault="00000000">
      <w:pPr>
        <w:spacing w:after="240" w:line="360" w:lineRule="auto"/>
        <w:jc w:val="both"/>
        <w:rPr>
          <w:rFonts w:eastAsia="Times New Roman"/>
          <w:sz w:val="24"/>
          <w:szCs w:val="24"/>
        </w:rPr>
      </w:pPr>
      <w:r w:rsidRPr="00B222F0">
        <w:rPr>
          <w:rFonts w:eastAsia="Times New Roman"/>
          <w:sz w:val="24"/>
          <w:szCs w:val="24"/>
        </w:rPr>
        <w:t xml:space="preserve">Zhou, Z. (2020). Critical shifts in the global tourism industry: perspectives from Africa. </w:t>
      </w:r>
      <w:proofErr w:type="spellStart"/>
      <w:r w:rsidRPr="00B222F0">
        <w:rPr>
          <w:rFonts w:eastAsia="Times New Roman"/>
          <w:i/>
          <w:sz w:val="24"/>
          <w:szCs w:val="24"/>
        </w:rPr>
        <w:t>GeoJournal</w:t>
      </w:r>
      <w:proofErr w:type="spellEnd"/>
      <w:r w:rsidRPr="00B222F0">
        <w:rPr>
          <w:rFonts w:eastAsia="Times New Roman"/>
          <w:sz w:val="24"/>
          <w:szCs w:val="24"/>
        </w:rPr>
        <w:t xml:space="preserve">, 87. </w:t>
      </w:r>
      <w:proofErr w:type="spellStart"/>
      <w:proofErr w:type="gramStart"/>
      <w:r w:rsidRPr="00B222F0">
        <w:rPr>
          <w:rFonts w:eastAsia="Times New Roman"/>
          <w:sz w:val="24"/>
          <w:szCs w:val="24"/>
        </w:rPr>
        <w:t>doi:https</w:t>
      </w:r>
      <w:proofErr w:type="spellEnd"/>
      <w:r w:rsidRPr="00B222F0">
        <w:rPr>
          <w:rFonts w:eastAsia="Times New Roman"/>
          <w:sz w:val="24"/>
          <w:szCs w:val="24"/>
        </w:rPr>
        <w:t>://doi.org/10.1007/s10708-020-10297-y</w:t>
      </w:r>
      <w:proofErr w:type="gramEnd"/>
      <w:r w:rsidRPr="00B222F0">
        <w:rPr>
          <w:rFonts w:eastAsia="Times New Roman"/>
          <w:sz w:val="24"/>
          <w:szCs w:val="24"/>
        </w:rPr>
        <w:t>.</w:t>
      </w:r>
    </w:p>
    <w:p w14:paraId="29818299" w14:textId="77777777" w:rsidR="00F61E2F" w:rsidRPr="00B222F0" w:rsidRDefault="00F61E2F">
      <w:pPr>
        <w:spacing w:line="360" w:lineRule="auto"/>
        <w:jc w:val="both"/>
        <w:rPr>
          <w:rFonts w:eastAsia="Times New Roman"/>
          <w:sz w:val="24"/>
          <w:szCs w:val="24"/>
        </w:rPr>
      </w:pPr>
    </w:p>
    <w:p w14:paraId="687BE7A5" w14:textId="77777777" w:rsidR="00F61E2F" w:rsidRPr="00B222F0" w:rsidRDefault="00F61E2F">
      <w:pPr>
        <w:spacing w:line="360" w:lineRule="auto"/>
        <w:jc w:val="both"/>
        <w:rPr>
          <w:rFonts w:eastAsia="Times New Roman"/>
          <w:sz w:val="24"/>
          <w:szCs w:val="24"/>
        </w:rPr>
      </w:pPr>
    </w:p>
    <w:p w14:paraId="74728A64" w14:textId="77777777" w:rsidR="00F61E2F" w:rsidRPr="00B222F0" w:rsidRDefault="00F61E2F">
      <w:pPr>
        <w:spacing w:line="360" w:lineRule="auto"/>
        <w:jc w:val="both"/>
        <w:rPr>
          <w:rFonts w:ascii="Times New Roman" w:eastAsia="Times New Roman" w:hAnsi="Times New Roman" w:cs="Times New Roman"/>
          <w:sz w:val="24"/>
          <w:szCs w:val="24"/>
        </w:rPr>
      </w:pPr>
    </w:p>
    <w:sectPr w:rsidR="00F61E2F" w:rsidRPr="00B222F0" w:rsidSect="00015489">
      <w:footerReference w:type="default" r:id="rId9"/>
      <w:pgSz w:w="12240" w:h="15840" w:code="1"/>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F9212D0" w14:textId="77777777" w:rsidR="00A26111" w:rsidRPr="00244DA2" w:rsidRDefault="00A26111" w:rsidP="00015489">
      <w:pPr>
        <w:spacing w:line="240" w:lineRule="auto"/>
      </w:pPr>
      <w:r w:rsidRPr="00244DA2">
        <w:separator/>
      </w:r>
    </w:p>
  </w:endnote>
  <w:endnote w:type="continuationSeparator" w:id="0">
    <w:p w14:paraId="45672AD6" w14:textId="77777777" w:rsidR="00A26111" w:rsidRPr="00244DA2" w:rsidRDefault="00A26111" w:rsidP="00015489">
      <w:pPr>
        <w:spacing w:line="240" w:lineRule="auto"/>
      </w:pPr>
      <w:r w:rsidRPr="00244DA2">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127143492"/>
      <w:docPartObj>
        <w:docPartGallery w:val="Page Numbers (Bottom of Page)"/>
        <w:docPartUnique/>
      </w:docPartObj>
    </w:sdtPr>
    <w:sdtEndPr>
      <w:rPr>
        <w:rFonts w:ascii="Times New Roman" w:hAnsi="Times New Roman" w:cs="Times New Roman"/>
        <w:sz w:val="20"/>
        <w:szCs w:val="20"/>
      </w:rPr>
    </w:sdtEndPr>
    <w:sdtContent>
      <w:p w14:paraId="22A2D380" w14:textId="05A09270" w:rsidR="00015489" w:rsidRPr="00244DA2" w:rsidRDefault="00015489">
        <w:pPr>
          <w:pStyle w:val="Subsol"/>
          <w:jc w:val="right"/>
          <w:rPr>
            <w:rFonts w:ascii="Times New Roman" w:hAnsi="Times New Roman" w:cs="Times New Roman"/>
            <w:sz w:val="20"/>
            <w:szCs w:val="20"/>
          </w:rPr>
        </w:pPr>
        <w:r w:rsidRPr="00244DA2">
          <w:rPr>
            <w:rFonts w:ascii="Times New Roman" w:hAnsi="Times New Roman" w:cs="Times New Roman"/>
            <w:sz w:val="20"/>
            <w:szCs w:val="20"/>
          </w:rPr>
          <w:fldChar w:fldCharType="begin"/>
        </w:r>
        <w:r w:rsidRPr="00244DA2">
          <w:rPr>
            <w:rFonts w:ascii="Times New Roman" w:hAnsi="Times New Roman" w:cs="Times New Roman"/>
            <w:sz w:val="20"/>
            <w:szCs w:val="20"/>
          </w:rPr>
          <w:instrText xml:space="preserve"> PAGE   \* MERGEFORMAT </w:instrText>
        </w:r>
        <w:r w:rsidRPr="00244DA2">
          <w:rPr>
            <w:rFonts w:ascii="Times New Roman" w:hAnsi="Times New Roman" w:cs="Times New Roman"/>
            <w:sz w:val="20"/>
            <w:szCs w:val="20"/>
          </w:rPr>
          <w:fldChar w:fldCharType="separate"/>
        </w:r>
        <w:r w:rsidRPr="00244DA2">
          <w:rPr>
            <w:rFonts w:ascii="Times New Roman" w:hAnsi="Times New Roman" w:cs="Times New Roman"/>
            <w:sz w:val="20"/>
            <w:szCs w:val="20"/>
          </w:rPr>
          <w:t>2</w:t>
        </w:r>
        <w:r w:rsidRPr="00244DA2">
          <w:rPr>
            <w:rFonts w:ascii="Times New Roman" w:hAnsi="Times New Roman" w:cs="Times New Roman"/>
            <w:sz w:val="20"/>
            <w:szCs w:val="20"/>
          </w:rPr>
          <w:fldChar w:fldCharType="end"/>
        </w:r>
      </w:p>
    </w:sdtContent>
  </w:sdt>
  <w:p w14:paraId="3A94BE04" w14:textId="77777777" w:rsidR="00015489" w:rsidRPr="00244DA2" w:rsidRDefault="00015489">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E47D997" w14:textId="77777777" w:rsidR="00A26111" w:rsidRPr="00244DA2" w:rsidRDefault="00A26111" w:rsidP="00015489">
      <w:pPr>
        <w:spacing w:line="240" w:lineRule="auto"/>
      </w:pPr>
      <w:r w:rsidRPr="00244DA2">
        <w:separator/>
      </w:r>
    </w:p>
  </w:footnote>
  <w:footnote w:type="continuationSeparator" w:id="0">
    <w:p w14:paraId="71978A6C" w14:textId="77777777" w:rsidR="00A26111" w:rsidRPr="00244DA2" w:rsidRDefault="00A26111" w:rsidP="00015489">
      <w:pPr>
        <w:spacing w:line="240" w:lineRule="auto"/>
      </w:pPr>
      <w:r w:rsidRPr="00244DA2">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61E2F"/>
    <w:rsid w:val="00015489"/>
    <w:rsid w:val="00145C06"/>
    <w:rsid w:val="00244DA2"/>
    <w:rsid w:val="00284780"/>
    <w:rsid w:val="003F4A5E"/>
    <w:rsid w:val="00563791"/>
    <w:rsid w:val="0056708C"/>
    <w:rsid w:val="00A26111"/>
    <w:rsid w:val="00A80045"/>
    <w:rsid w:val="00B222F0"/>
    <w:rsid w:val="00C0084D"/>
    <w:rsid w:val="00D65E2B"/>
    <w:rsid w:val="00F61E2F"/>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9EABB1"/>
  <w15:docId w15:val="{3A28E8E2-81DD-4F89-919E-CDC5CE2C19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e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Titlu1">
    <w:name w:val="heading 1"/>
    <w:basedOn w:val="Normal"/>
    <w:next w:val="Normal"/>
    <w:autoRedefine/>
    <w:uiPriority w:val="9"/>
    <w:qFormat/>
    <w:rsid w:val="00244DA2"/>
    <w:pPr>
      <w:keepNext/>
      <w:keepLines/>
      <w:spacing w:before="400" w:after="120" w:line="360" w:lineRule="auto"/>
      <w:jc w:val="both"/>
      <w:outlineLvl w:val="0"/>
    </w:pPr>
    <w:rPr>
      <w:rFonts w:ascii="Times New Roman" w:hAnsi="Times New Roman"/>
      <w:b/>
      <w:sz w:val="28"/>
      <w:szCs w:val="40"/>
    </w:rPr>
  </w:style>
  <w:style w:type="paragraph" w:styleId="Titlu2">
    <w:name w:val="heading 2"/>
    <w:basedOn w:val="Normal"/>
    <w:next w:val="Normal"/>
    <w:uiPriority w:val="9"/>
    <w:semiHidden/>
    <w:unhideWhenUsed/>
    <w:qFormat/>
    <w:pPr>
      <w:keepNext/>
      <w:keepLines/>
      <w:spacing w:before="360" w:after="120"/>
      <w:outlineLvl w:val="1"/>
    </w:pPr>
    <w:rPr>
      <w:sz w:val="32"/>
      <w:szCs w:val="32"/>
    </w:rPr>
  </w:style>
  <w:style w:type="paragraph" w:styleId="Titlu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Titlu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Titlu5">
    <w:name w:val="heading 5"/>
    <w:basedOn w:val="Normal"/>
    <w:next w:val="Normal"/>
    <w:uiPriority w:val="9"/>
    <w:semiHidden/>
    <w:unhideWhenUsed/>
    <w:qFormat/>
    <w:pPr>
      <w:keepNext/>
      <w:keepLines/>
      <w:spacing w:before="240" w:after="80"/>
      <w:outlineLvl w:val="4"/>
    </w:pPr>
    <w:rPr>
      <w:color w:val="666666"/>
    </w:rPr>
  </w:style>
  <w:style w:type="paragraph" w:styleId="Titlu6">
    <w:name w:val="heading 6"/>
    <w:basedOn w:val="Normal"/>
    <w:next w:val="Normal"/>
    <w:uiPriority w:val="9"/>
    <w:semiHidden/>
    <w:unhideWhenUsed/>
    <w:qFormat/>
    <w:pPr>
      <w:keepNext/>
      <w:keepLines/>
      <w:spacing w:before="240" w:after="80"/>
      <w:outlineLvl w:val="5"/>
    </w:pPr>
    <w:rPr>
      <w:i/>
      <w:color w:val="66666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itlu">
    <w:name w:val="Title"/>
    <w:basedOn w:val="Normal"/>
    <w:next w:val="Normal"/>
    <w:uiPriority w:val="10"/>
    <w:qFormat/>
    <w:pPr>
      <w:keepNext/>
      <w:keepLines/>
      <w:spacing w:after="60"/>
    </w:pPr>
    <w:rPr>
      <w:sz w:val="52"/>
      <w:szCs w:val="52"/>
    </w:rPr>
  </w:style>
  <w:style w:type="paragraph" w:styleId="Subtitlu">
    <w:name w:val="Subtitle"/>
    <w:basedOn w:val="Normal"/>
    <w:next w:val="Normal"/>
    <w:uiPriority w:val="11"/>
    <w:qFormat/>
    <w:pPr>
      <w:keepNext/>
      <w:keepLines/>
      <w:spacing w:after="320"/>
    </w:pPr>
    <w:rPr>
      <w:color w:val="666666"/>
      <w:sz w:val="30"/>
      <w:szCs w:val="30"/>
    </w:rPr>
  </w:style>
  <w:style w:type="paragraph" w:styleId="Antet">
    <w:name w:val="header"/>
    <w:basedOn w:val="Normal"/>
    <w:link w:val="AntetCaracter"/>
    <w:uiPriority w:val="99"/>
    <w:unhideWhenUsed/>
    <w:rsid w:val="00015489"/>
    <w:pPr>
      <w:tabs>
        <w:tab w:val="center" w:pos="4513"/>
        <w:tab w:val="right" w:pos="9026"/>
      </w:tabs>
      <w:spacing w:line="240" w:lineRule="auto"/>
    </w:pPr>
  </w:style>
  <w:style w:type="character" w:customStyle="1" w:styleId="AntetCaracter">
    <w:name w:val="Antet Caracter"/>
    <w:basedOn w:val="Fontdeparagrafimplicit"/>
    <w:link w:val="Antet"/>
    <w:uiPriority w:val="99"/>
    <w:rsid w:val="00015489"/>
  </w:style>
  <w:style w:type="paragraph" w:styleId="Subsol">
    <w:name w:val="footer"/>
    <w:basedOn w:val="Normal"/>
    <w:link w:val="SubsolCaracter"/>
    <w:uiPriority w:val="99"/>
    <w:unhideWhenUsed/>
    <w:rsid w:val="00015489"/>
    <w:pPr>
      <w:tabs>
        <w:tab w:val="center" w:pos="4513"/>
        <w:tab w:val="right" w:pos="9026"/>
      </w:tabs>
      <w:spacing w:line="240" w:lineRule="auto"/>
    </w:pPr>
  </w:style>
  <w:style w:type="character" w:customStyle="1" w:styleId="SubsolCaracter">
    <w:name w:val="Subsol Caracter"/>
    <w:basedOn w:val="Fontdeparagrafimplicit"/>
    <w:link w:val="Subsol"/>
    <w:uiPriority w:val="99"/>
    <w:rsid w:val="00015489"/>
  </w:style>
  <w:style w:type="paragraph" w:styleId="Titlucuprins">
    <w:name w:val="TOC Heading"/>
    <w:basedOn w:val="Titlu1"/>
    <w:next w:val="Normal"/>
    <w:uiPriority w:val="39"/>
    <w:unhideWhenUsed/>
    <w:qFormat/>
    <w:rsid w:val="00244DA2"/>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Cuprins1">
    <w:name w:val="toc 1"/>
    <w:basedOn w:val="Normal"/>
    <w:next w:val="Normal"/>
    <w:autoRedefine/>
    <w:uiPriority w:val="39"/>
    <w:unhideWhenUsed/>
    <w:rsid w:val="00244DA2"/>
    <w:pPr>
      <w:spacing w:after="100"/>
    </w:pPr>
  </w:style>
  <w:style w:type="character" w:styleId="Hyperlink">
    <w:name w:val="Hyperlink"/>
    <w:basedOn w:val="Fontdeparagrafimplicit"/>
    <w:uiPriority w:val="99"/>
    <w:unhideWhenUsed/>
    <w:rsid w:val="00244DA2"/>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20609631">
      <w:bodyDiv w:val="1"/>
      <w:marLeft w:val="0"/>
      <w:marRight w:val="0"/>
      <w:marTop w:val="0"/>
      <w:marBottom w:val="0"/>
      <w:divBdr>
        <w:top w:val="none" w:sz="0" w:space="0" w:color="auto"/>
        <w:left w:val="none" w:sz="0" w:space="0" w:color="auto"/>
        <w:bottom w:val="none" w:sz="0" w:space="0" w:color="auto"/>
        <w:right w:val="none" w:sz="0" w:space="0" w:color="auto"/>
      </w:divBdr>
    </w:div>
    <w:div w:id="212811602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687A4E-E9F6-46A2-84D0-5A1F1EBE79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15</Pages>
  <Words>3161</Words>
  <Characters>18022</Characters>
  <Application>Microsoft Office Word</Application>
  <DocSecurity>0</DocSecurity>
  <Lines>150</Lines>
  <Paragraphs>42</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21141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Madalina</dc:creator>
  <cp:lastModifiedBy>Sebastian Negrutiu</cp:lastModifiedBy>
  <cp:revision>2</cp:revision>
  <dcterms:created xsi:type="dcterms:W3CDTF">2024-10-18T20:49:00Z</dcterms:created>
  <dcterms:modified xsi:type="dcterms:W3CDTF">2024-10-18T20:49:00Z</dcterms:modified>
</cp:coreProperties>
</file>