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28B01721" w:rsidR="003C154B" w:rsidRPr="00753CE4" w:rsidRDefault="00130B6D" w:rsidP="00945CEC">
            <w:pPr>
              <w:rPr>
                <w:sz w:val="28"/>
                <w:szCs w:val="28"/>
              </w:rPr>
            </w:pPr>
            <w:r>
              <w:rPr>
                <w:sz w:val="28"/>
                <w:szCs w:val="28"/>
              </w:rPr>
              <w:t>Mirabela Voican (1907947)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3465354" w14:textId="1FD73CA6" w:rsidR="003C154B" w:rsidRPr="006F3D33" w:rsidRDefault="00130B6D" w:rsidP="00130B6D">
            <w:pPr>
              <w:rPr>
                <w:i/>
                <w:sz w:val="20"/>
                <w:szCs w:val="28"/>
              </w:rPr>
            </w:pPr>
            <w:r>
              <w:rPr>
                <w:i/>
                <w:sz w:val="20"/>
                <w:szCs w:val="28"/>
              </w:rPr>
              <w:t>Lymarie Rodriguez</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44590C96" w:rsidR="00E24A0F" w:rsidRDefault="00E24A0F" w:rsidP="00C15547">
            <w:pPr>
              <w:rPr>
                <w:rFonts w:ascii="Arial" w:hAnsi="Arial" w:cs="Arial"/>
                <w:sz w:val="20"/>
                <w:szCs w:val="20"/>
              </w:rPr>
            </w:pPr>
            <w:r>
              <w:rPr>
                <w:rFonts w:ascii="Arial" w:hAnsi="Arial" w:cs="Arial"/>
                <w:sz w:val="20"/>
                <w:szCs w:val="20"/>
              </w:rPr>
              <w:t xml:space="preserve">Social Psychology </w:t>
            </w:r>
            <w:r w:rsidR="00130B6D">
              <w:rPr>
                <w:rFonts w:ascii="Arial" w:hAnsi="Arial" w:cs="Arial"/>
                <w:sz w:val="20"/>
                <w:szCs w:val="20"/>
              </w:rPr>
              <w:t xml:space="preserve"> </w:t>
            </w:r>
            <w:r w:rsidR="00130B6D">
              <w:rPr>
                <w:rFonts w:ascii="Arial" w:hAnsi="Arial" w:cs="Arial"/>
                <w:noProof/>
                <w:sz w:val="20"/>
                <w:szCs w:val="20"/>
              </w:rPr>
              <w:drawing>
                <wp:inline distT="0" distB="0" distL="0" distR="0" wp14:anchorId="2D8171FE" wp14:editId="0158BD0B">
                  <wp:extent cx="316865" cy="262255"/>
                  <wp:effectExtent l="0" t="0" r="6985" b="4445"/>
                  <wp:docPr id="4991724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865" cy="262255"/>
                          </a:xfrm>
                          <a:prstGeom prst="rect">
                            <a:avLst/>
                          </a:prstGeom>
                          <a:noFill/>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48659CCA" w:rsidR="009648D6" w:rsidRDefault="00F80900" w:rsidP="00C15547">
            <w:pPr>
              <w:rPr>
                <w:rFonts w:ascii="Arial" w:hAnsi="Arial" w:cs="Arial"/>
                <w:sz w:val="20"/>
                <w:szCs w:val="20"/>
              </w:rPr>
            </w:pPr>
            <w:r>
              <w:rPr>
                <w:rFonts w:ascii="Arial" w:hAnsi="Arial" w:cs="Arial"/>
                <w:sz w:val="20"/>
                <w:szCs w:val="20"/>
              </w:rPr>
              <w:t xml:space="preserve">Developmental Psychology </w:t>
            </w:r>
            <w:r w:rsidR="00130B6D">
              <w:rPr>
                <w:rFonts w:ascii="Arial" w:hAnsi="Arial" w:cs="Arial"/>
                <w:sz w:val="20"/>
                <w:szCs w:val="20"/>
              </w:rPr>
              <w:t xml:space="preserve">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1A2DA14F" w:rsidR="009648D6" w:rsidRDefault="00E24A0F" w:rsidP="00C15547">
            <w:pPr>
              <w:rPr>
                <w:rFonts w:ascii="Arial" w:hAnsi="Arial" w:cs="Arial"/>
                <w:sz w:val="20"/>
                <w:szCs w:val="20"/>
              </w:rPr>
            </w:pPr>
            <w:r>
              <w:rPr>
                <w:rFonts w:ascii="Arial" w:hAnsi="Arial" w:cs="Arial"/>
                <w:sz w:val="20"/>
                <w:szCs w:val="20"/>
              </w:rPr>
              <w:t xml:space="preserve">Health Psychology </w:t>
            </w:r>
            <w:r w:rsidR="00130B6D">
              <w:rPr>
                <w:rFonts w:ascii="Arial" w:hAnsi="Arial" w:cs="Arial"/>
                <w:sz w:val="20"/>
                <w:szCs w:val="20"/>
              </w:rPr>
              <w:t xml:space="preserve">    </w:t>
            </w:r>
            <w:r w:rsidR="00130B6D">
              <w:rPr>
                <w:rFonts w:ascii="Arial" w:hAnsi="Arial" w:cs="Arial"/>
                <w:noProof/>
                <w:sz w:val="20"/>
                <w:szCs w:val="20"/>
              </w:rPr>
              <w:drawing>
                <wp:inline distT="0" distB="0" distL="0" distR="0" wp14:anchorId="49DB5A6F" wp14:editId="2813C9B3">
                  <wp:extent cx="316865" cy="262255"/>
                  <wp:effectExtent l="0" t="0" r="6985" b="4445"/>
                  <wp:docPr id="3392311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865" cy="262255"/>
                          </a:xfrm>
                          <a:prstGeom prst="rect">
                            <a:avLst/>
                          </a:prstGeom>
                          <a:noFill/>
                        </pic:spPr>
                      </pic:pic>
                    </a:graphicData>
                  </a:graphic>
                </wp:inline>
              </w:drawing>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0FE69DD6" w:rsidR="009648D6" w:rsidRDefault="00F80900" w:rsidP="00C15547">
            <w:pPr>
              <w:rPr>
                <w:rFonts w:ascii="Arial" w:hAnsi="Arial" w:cs="Arial"/>
                <w:sz w:val="20"/>
                <w:szCs w:val="20"/>
              </w:rPr>
            </w:pPr>
            <w:r>
              <w:rPr>
                <w:rFonts w:ascii="Arial" w:hAnsi="Arial" w:cs="Arial"/>
                <w:sz w:val="20"/>
                <w:szCs w:val="20"/>
              </w:rPr>
              <w:t xml:space="preserve">Cognitive Psychology </w:t>
            </w:r>
          </w:p>
          <w:p w14:paraId="1D41CF32" w14:textId="3FA582FD" w:rsidR="00F71750" w:rsidRDefault="00F71750" w:rsidP="00C15547">
            <w:pPr>
              <w:rPr>
                <w:rFonts w:ascii="Arial" w:hAnsi="Arial" w:cs="Arial"/>
                <w:sz w:val="20"/>
                <w:szCs w:val="20"/>
              </w:rPr>
            </w:pPr>
            <w:r>
              <w:rPr>
                <w:rFonts w:ascii="Arial" w:hAnsi="Arial" w:cs="Arial"/>
                <w:sz w:val="20"/>
                <w:szCs w:val="20"/>
              </w:rPr>
              <w:t xml:space="preserve">        </w:t>
            </w:r>
            <w:r>
              <w:rPr>
                <w:rFonts w:ascii="Arial" w:hAnsi="Arial" w:cs="Arial"/>
                <w:noProof/>
                <w:sz w:val="20"/>
                <w:szCs w:val="20"/>
              </w:rPr>
              <w:drawing>
                <wp:inline distT="0" distB="0" distL="0" distR="0" wp14:anchorId="1B848BA2" wp14:editId="19A08F48">
                  <wp:extent cx="316865" cy="262255"/>
                  <wp:effectExtent l="0" t="0" r="6985" b="4445"/>
                  <wp:docPr id="12896223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865" cy="262255"/>
                          </a:xfrm>
                          <a:prstGeom prst="rect">
                            <a:avLst/>
                          </a:prstGeom>
                          <a:noFill/>
                        </pic:spPr>
                      </pic:pic>
                    </a:graphicData>
                  </a:graphic>
                </wp:inline>
              </w:drawing>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171EF632" w:rsidR="0031057E" w:rsidRPr="00A05E89" w:rsidRDefault="00130B6D" w:rsidP="00F73A03">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59264" behindDoc="0" locked="0" layoutInCell="1" allowOverlap="1" wp14:anchorId="0A1AF263" wp14:editId="77313FBD">
                      <wp:simplePos x="0" y="0"/>
                      <wp:positionH relativeFrom="column">
                        <wp:posOffset>856615</wp:posOffset>
                      </wp:positionH>
                      <wp:positionV relativeFrom="paragraph">
                        <wp:posOffset>12065</wp:posOffset>
                      </wp:positionV>
                      <wp:extent cx="487680" cy="335280"/>
                      <wp:effectExtent l="0" t="0" r="0" b="0"/>
                      <wp:wrapNone/>
                      <wp:docPr id="832411596" name="Multiplication Sign 1"/>
                      <wp:cNvGraphicFramePr/>
                      <a:graphic xmlns:a="http://schemas.openxmlformats.org/drawingml/2006/main">
                        <a:graphicData uri="http://schemas.microsoft.com/office/word/2010/wordprocessingShape">
                          <wps:wsp>
                            <wps:cNvSpPr/>
                            <wps:spPr>
                              <a:xfrm>
                                <a:off x="0" y="0"/>
                                <a:ext cx="487680" cy="33528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9806D" id="Multiplication Sign 1" o:spid="_x0000_s1026" style="position:absolute;margin-left:67.45pt;margin-top:.95pt;width:38.4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7680,335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" path="m94791,113017l139466,48035r104374,71757l348214,48035r44675,64982l313437,167640r79452,54623l348214,287245,243840,215488,139466,287245,94791,222263r79452,-54623l94791,113017xe" fillcolor="#5b9bd5 [3204]" strokecolor="#1f4d78 [1604]" strokeweight="1pt">
                      <v:stroke joinstyle="miter"/>
                      <v:path arrowok="t" o:connecttype="custom" o:connectlocs="94791,113017;139466,48035;243840,119792;348214,48035;392889,113017;313437,167640;392889,222263;348214,287245;243840,215488;139466,287245;94791,222263;174243,167640;94791,113017" o:connectangles="0,0,0,0,0,0,0,0,0,0,0,0,0"/>
                    </v:shape>
                  </w:pict>
                </mc:Fallback>
              </mc:AlternateContent>
            </w:r>
            <w:r w:rsidR="002F3741" w:rsidRPr="00A05E89">
              <w:rPr>
                <w:rFonts w:ascii="Arial" w:hAnsi="Arial" w:cs="Arial"/>
                <w:sz w:val="20"/>
                <w:szCs w:val="20"/>
              </w:rPr>
              <w:t xml:space="preserve">Quantitative </w:t>
            </w:r>
          </w:p>
          <w:p w14:paraId="1E91FAEB" w14:textId="050F5715" w:rsidR="002F3741" w:rsidRPr="00A05E89" w:rsidRDefault="00130B6D" w:rsidP="00F73A03">
            <w:pPr>
              <w:rPr>
                <w:rFonts w:ascii="Arial" w:hAnsi="Arial" w:cs="Arial"/>
                <w:sz w:val="20"/>
                <w:szCs w:val="20"/>
              </w:rPr>
            </w:pPr>
            <w:r>
              <w:rPr>
                <w:rFonts w:ascii="Arial" w:hAnsi="Arial" w:cs="Arial"/>
                <w:sz w:val="20"/>
                <w:szCs w:val="20"/>
              </w:rPr>
              <w:t xml:space="preserve">                         </w:t>
            </w:r>
          </w:p>
        </w:tc>
        <w:tc>
          <w:tcPr>
            <w:tcW w:w="2577" w:type="dxa"/>
          </w:tcPr>
          <w:p w14:paraId="6153C3D0" w14:textId="31AE070D"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1C6212">
              <w:rPr>
                <w:rFonts w:ascii="Arial" w:hAnsi="Arial" w:cs="Arial"/>
                <w:sz w:val="20"/>
                <w:szCs w:val="20"/>
              </w:rPr>
              <w:t xml:space="preserve">        </w:t>
            </w:r>
            <w:r w:rsidR="00130B6D">
              <w:rPr>
                <w:rFonts w:ascii="Arial" w:hAnsi="Arial" w:cs="Arial"/>
                <w:noProof/>
                <w:sz w:val="20"/>
                <w:szCs w:val="20"/>
              </w:rPr>
              <w:drawing>
                <wp:inline distT="0" distB="0" distL="0" distR="0" wp14:anchorId="7B263AA4" wp14:editId="60DED348">
                  <wp:extent cx="238810" cy="163195"/>
                  <wp:effectExtent l="0" t="0" r="8890" b="8255"/>
                  <wp:docPr id="14321898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948" cy="164656"/>
                          </a:xfrm>
                          <a:prstGeom prst="rect">
                            <a:avLst/>
                          </a:prstGeom>
                          <a:noFill/>
                        </pic:spPr>
                      </pic:pic>
                    </a:graphicData>
                  </a:graphic>
                </wp:inline>
              </w:drawing>
            </w:r>
          </w:p>
        </w:tc>
        <w:tc>
          <w:tcPr>
            <w:tcW w:w="2577" w:type="dxa"/>
          </w:tcPr>
          <w:p w14:paraId="1E7B0F67" w14:textId="32EB1485" w:rsidR="0031057E" w:rsidRDefault="00A05E89" w:rsidP="00F73A03">
            <w:pPr>
              <w:rPr>
                <w:rFonts w:ascii="Arial" w:hAnsi="Arial" w:cs="Arial"/>
                <w:sz w:val="20"/>
                <w:szCs w:val="20"/>
              </w:rPr>
            </w:pPr>
            <w:r>
              <w:rPr>
                <w:rFonts w:ascii="Arial" w:hAnsi="Arial" w:cs="Arial"/>
                <w:sz w:val="20"/>
                <w:szCs w:val="20"/>
              </w:rPr>
              <w:t xml:space="preserve">Applied (with UWTSD students </w:t>
            </w:r>
            <w:r w:rsidR="00130B6D">
              <w:rPr>
                <w:rFonts w:ascii="Arial" w:hAnsi="Arial" w:cs="Arial"/>
                <w:sz w:val="20"/>
                <w:szCs w:val="20"/>
              </w:rPr>
              <w:t xml:space="preserve">        </w:t>
            </w:r>
            <w:r w:rsidR="00130B6D">
              <w:rPr>
                <w:rFonts w:ascii="Arial" w:hAnsi="Arial" w:cs="Arial"/>
                <w:noProof/>
                <w:sz w:val="20"/>
                <w:szCs w:val="20"/>
              </w:rPr>
              <w:drawing>
                <wp:inline distT="0" distB="0" distL="0" distR="0" wp14:anchorId="1D5F996A" wp14:editId="2608993A">
                  <wp:extent cx="316865" cy="262255"/>
                  <wp:effectExtent l="0" t="0" r="6985" b="4445"/>
                  <wp:docPr id="10808741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865" cy="262255"/>
                          </a:xfrm>
                          <a:prstGeom prst="rect">
                            <a:avLst/>
                          </a:prstGeom>
                          <a:noFill/>
                        </pic:spPr>
                      </pic:pic>
                    </a:graphicData>
                  </a:graphic>
                </wp:inline>
              </w:drawing>
            </w:r>
            <w:r w:rsidR="00130B6D">
              <w:rPr>
                <w:rFonts w:ascii="Arial" w:hAnsi="Arial" w:cs="Arial"/>
                <w:sz w:val="20"/>
                <w:szCs w:val="20"/>
              </w:rPr>
              <w:t xml:space="preserve"> </w:t>
            </w:r>
          </w:p>
          <w:p w14:paraId="658BF679" w14:textId="022D49F6" w:rsidR="00A05E89" w:rsidRPr="00A05E89" w:rsidRDefault="00A05E89" w:rsidP="00F73A03">
            <w:pPr>
              <w:rPr>
                <w:rFonts w:ascii="Arial" w:hAnsi="Arial" w:cs="Arial"/>
                <w:sz w:val="20"/>
                <w:szCs w:val="20"/>
              </w:rPr>
            </w:pPr>
          </w:p>
        </w:tc>
        <w:tc>
          <w:tcPr>
            <w:tcW w:w="2577" w:type="dxa"/>
          </w:tcPr>
          <w:p w14:paraId="457B8016" w14:textId="50E4DDBA"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r w:rsidR="00130B6D">
              <w:rPr>
                <w:rFonts w:ascii="Arial" w:hAnsi="Arial" w:cs="Arial"/>
                <w:sz w:val="20"/>
                <w:szCs w:val="20"/>
              </w:rPr>
              <w:t xml:space="preserve">      </w:t>
            </w:r>
          </w:p>
        </w:tc>
      </w:tr>
      <w:tr w:rsidR="0031057E" w:rsidRPr="00A05E89" w14:paraId="133C1C2C" w14:textId="77777777" w:rsidTr="0031057E">
        <w:tc>
          <w:tcPr>
            <w:tcW w:w="2577" w:type="dxa"/>
          </w:tcPr>
          <w:p w14:paraId="0E4AA437" w14:textId="1D10587A"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2C8BD112" w:rsidR="00A5268F" w:rsidRDefault="00A5268F" w:rsidP="00C15547">
            <w:pPr>
              <w:rPr>
                <w:rFonts w:ascii="Arial" w:hAnsi="Arial" w:cs="Arial"/>
                <w:b/>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p>
          <w:p w14:paraId="0AE05F28" w14:textId="77777777" w:rsidR="00130B6D" w:rsidRDefault="00130B6D" w:rsidP="00C15547">
            <w:pPr>
              <w:rPr>
                <w:rFonts w:ascii="Arial" w:hAnsi="Arial" w:cs="Arial"/>
                <w:sz w:val="20"/>
              </w:rPr>
            </w:pPr>
          </w:p>
          <w:p w14:paraId="67E62010" w14:textId="72BB4CF5" w:rsidR="00A5268F" w:rsidRPr="00F71750" w:rsidRDefault="00130B6D" w:rsidP="00C15547">
            <w:pPr>
              <w:rPr>
                <w:rFonts w:ascii="Arial" w:hAnsi="Arial" w:cs="Arial"/>
                <w:b/>
                <w:bCs/>
                <w:sz w:val="20"/>
              </w:rPr>
            </w:pPr>
            <w:r w:rsidRPr="00F71750">
              <w:rPr>
                <w:rFonts w:ascii="Arial" w:hAnsi="Arial" w:cs="Arial"/>
                <w:b/>
                <w:bCs/>
                <w:sz w:val="20"/>
              </w:rPr>
              <w:lastRenderedPageBreak/>
              <w:t>The Impact of Restorative Spaces on Psychological Wellbeing: A Quantitative Study among University Students</w:t>
            </w:r>
          </w:p>
          <w:p w14:paraId="02690306" w14:textId="77777777" w:rsidR="00A5268F" w:rsidRPr="00F71750" w:rsidRDefault="00A5268F" w:rsidP="00C15547">
            <w:pPr>
              <w:rPr>
                <w:b/>
                <w:bCs/>
              </w:rPr>
            </w:pP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55B4A338" w:rsidR="00992264"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p>
          <w:p w14:paraId="0DE68C44" w14:textId="609FB5E9" w:rsidR="00130B6D" w:rsidRDefault="00130B6D" w:rsidP="00360E4B">
            <w:pPr>
              <w:rPr>
                <w:rFonts w:ascii="Arial" w:hAnsi="Arial" w:cs="Arial"/>
                <w:b/>
                <w:sz w:val="20"/>
              </w:rPr>
            </w:pPr>
          </w:p>
          <w:p w14:paraId="6A12A819" w14:textId="4C743FAB" w:rsidR="00130B6D" w:rsidRPr="00130B6D" w:rsidRDefault="00130B6D" w:rsidP="00360E4B">
            <w:pPr>
              <w:rPr>
                <w:rFonts w:ascii="Arial" w:hAnsi="Arial" w:cs="Arial"/>
                <w:bCs/>
              </w:rPr>
            </w:pPr>
            <w:r w:rsidRPr="00130B6D">
              <w:rPr>
                <w:rFonts w:ascii="Arial" w:hAnsi="Arial" w:cs="Arial"/>
                <w:b/>
                <w:sz w:val="20"/>
              </w:rPr>
              <w:t> </w:t>
            </w:r>
            <w:r w:rsidRPr="00130B6D">
              <w:rPr>
                <w:rFonts w:ascii="Arial" w:hAnsi="Arial" w:cs="Arial"/>
                <w:bCs/>
              </w:rPr>
              <w:t xml:space="preserve">The purpose of this study is to examine how restorative </w:t>
            </w:r>
            <w:r w:rsidR="00F71750">
              <w:rPr>
                <w:rFonts w:ascii="Arial" w:hAnsi="Arial" w:cs="Arial"/>
                <w:bCs/>
              </w:rPr>
              <w:t xml:space="preserve">spaces </w:t>
            </w:r>
            <w:r w:rsidRPr="00130B6D">
              <w:rPr>
                <w:rFonts w:ascii="Arial" w:hAnsi="Arial" w:cs="Arial"/>
                <w:bCs/>
              </w:rPr>
              <w:t>affect university students' psychological wellbeing. For the purpose of enhancing student wellbeing and informing the development of welcoming campus environments, it is essential to comprehend the link between exposure to restorative environments and mental health outcomes in this population.</w:t>
            </w:r>
            <w:r w:rsidR="00AB09A7">
              <w:t xml:space="preserve"> </w:t>
            </w:r>
            <w:r w:rsidR="00AB09A7" w:rsidRPr="00AB09A7">
              <w:rPr>
                <w:rFonts w:ascii="Arial" w:hAnsi="Arial" w:cs="Arial"/>
                <w:bCs/>
              </w:rPr>
              <w:t>A number of theories and empirical investigations offer compelling justifications for investigating how restorative environments affect psychological wellbeing. According to Kaplan's (1995) Attention Restoration Theory (ART), being in natural settings that have restorative features might refill cognitive resources and lessen mental tiredness. According to ART, restorative surroundings help people restore their focus, lower their stress levels, and improve their psychological health in general.</w:t>
            </w:r>
            <w:r w:rsidR="00AB09A7">
              <w:t xml:space="preserve"> </w:t>
            </w:r>
            <w:r w:rsidR="00AB09A7" w:rsidRPr="00AB09A7">
              <w:rPr>
                <w:rFonts w:ascii="Arial" w:hAnsi="Arial" w:cs="Arial"/>
                <w:bCs/>
              </w:rPr>
              <w:t> Exposure to healing environments has regularly been found to improve mental health outcomes in empirical study. In a study on the psychological advantages of natural settings, Hartig et al. (2003) discovered that people who spent time in nature recovered psychologically more than those who lived in cities. In a ground-breaking study done in a hospital setting, Ulrich et al. (1991) discovered that patients who enjoyed views of nature experienced less stress and recovered more quickly than those who did not.</w:t>
            </w:r>
            <w:r w:rsidR="00AB09A7">
              <w:t xml:space="preserve"> </w:t>
            </w:r>
            <w:r w:rsidR="00AB09A7" w:rsidRPr="00AB09A7">
              <w:rPr>
                <w:rFonts w:ascii="Arial" w:hAnsi="Arial" w:cs="Arial"/>
                <w:bCs/>
              </w:rPr>
              <w:t> Additionally, research that focus specifically on the population of university students have emphasised the significance of restorative spaces in fostering psychological wellbeing. A meta-analysis by McMahan and Estes (2015) revealed a strong positive correlation between college students' exposure to natural areas and their ability to feel good. In their 2010 study, Van den Berg et al. highlighted the potential of restorative spaces to foster resilience by acting as a buffer against the harmful health impacts of stressful life events on students. Furthermore, Staats et al. (2003) emphasised the significance of personal and place connection in fostering restorative experiences when building restorative settings for students, emphasising the necessity to take these factors into account.</w:t>
            </w:r>
            <w:r w:rsidR="00AB09A7">
              <w:t xml:space="preserve"> </w:t>
            </w:r>
            <w:r w:rsidR="00AB09A7" w:rsidRPr="00AB09A7">
              <w:rPr>
                <w:rFonts w:ascii="Arial" w:hAnsi="Arial" w:cs="Arial"/>
                <w:bCs/>
              </w:rPr>
              <w:t>This study attempts to add to the body of knowledge by examining the connection between restorative spaces and psychological wellness among university students by building on these theoretical frameworks and empirical results. The research will provide helpful insights for creating campus settings that support students' mental health and improve their general welfare.</w:t>
            </w:r>
            <w:r w:rsidR="00AB09A7">
              <w:rPr>
                <w:rFonts w:ascii="Arial" w:hAnsi="Arial" w:cs="Arial"/>
                <w:bCs/>
              </w:rPr>
              <w:t xml:space="preserve"> </w:t>
            </w:r>
          </w:p>
          <w:p w14:paraId="6CF4C981" w14:textId="77777777" w:rsidR="00992264" w:rsidRPr="00130B6D" w:rsidRDefault="00992264" w:rsidP="00360E4B">
            <w:pPr>
              <w:rPr>
                <w:rFonts w:ascii="Arial" w:hAnsi="Arial" w:cs="Arial"/>
                <w:bCs/>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7DCD538F" w:rsidR="00B24417" w:rsidRDefault="00AB09A7" w:rsidP="00B24417">
            <w:pPr>
              <w:rPr>
                <w:rFonts w:ascii="Arial" w:hAnsi="Arial" w:cs="Arial"/>
                <w:b/>
                <w:sz w:val="20"/>
              </w:rPr>
            </w:pPr>
            <w:r w:rsidRPr="00AB09A7">
              <w:rPr>
                <w:rFonts w:ascii="Arial" w:hAnsi="Arial" w:cs="Arial"/>
                <w:b/>
                <w:sz w:val="20"/>
              </w:rPr>
              <w:t>What is the relationship between exposure to restorative spaces and psychological wellbeing among university students?</w:t>
            </w:r>
          </w:p>
          <w:p w14:paraId="490B80C5" w14:textId="5957EE17" w:rsidR="00AB09A7" w:rsidRDefault="00AB09A7" w:rsidP="00B24417">
            <w:pPr>
              <w:rPr>
                <w:rFonts w:ascii="Arial" w:hAnsi="Arial" w:cs="Arial"/>
                <w:b/>
                <w:sz w:val="20"/>
              </w:rPr>
            </w:pPr>
          </w:p>
          <w:p w14:paraId="1D55D11C" w14:textId="7A6E7670" w:rsidR="00AB09A7" w:rsidRDefault="005C573A" w:rsidP="00B24417">
            <w:pPr>
              <w:rPr>
                <w:rFonts w:ascii="Arial" w:hAnsi="Arial" w:cs="Arial"/>
                <w:b/>
                <w:sz w:val="20"/>
              </w:rPr>
            </w:pPr>
            <w:r w:rsidRPr="005C573A">
              <w:rPr>
                <w:rFonts w:ascii="Arial" w:hAnsi="Arial" w:cs="Arial"/>
                <w:b/>
                <w:sz w:val="20"/>
              </w:rPr>
              <w:t> Hypothesis: Higher levels of exposure to restorative environments will be related with improved psychological well-being among university students.</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22607DA8" w:rsidR="00E00F78" w:rsidRDefault="00E00F78" w:rsidP="00360E4B">
            <w:pPr>
              <w:rPr>
                <w:rFonts w:ascii="Arial" w:hAnsi="Arial" w:cs="Arial"/>
                <w:b/>
              </w:rPr>
            </w:pPr>
          </w:p>
          <w:p w14:paraId="6AC14DED" w14:textId="4D47C944" w:rsidR="003534CC" w:rsidRPr="003534CC" w:rsidRDefault="003534CC" w:rsidP="00360E4B">
            <w:pPr>
              <w:rPr>
                <w:rFonts w:ascii="Arial" w:hAnsi="Arial" w:cs="Arial"/>
                <w:bCs/>
              </w:rPr>
            </w:pPr>
            <w:r w:rsidRPr="003534CC">
              <w:rPr>
                <w:rFonts w:ascii="Arial" w:hAnsi="Arial" w:cs="Arial"/>
                <w:bCs/>
              </w:rPr>
              <w:t xml:space="preserve"> </w:t>
            </w:r>
            <w:r w:rsidRPr="00AC3113">
              <w:rPr>
                <w:rFonts w:ascii="Arial" w:hAnsi="Arial" w:cs="Arial"/>
                <w:b/>
              </w:rPr>
              <w:t>Participants</w:t>
            </w:r>
            <w:r w:rsidRPr="003534CC">
              <w:rPr>
                <w:rFonts w:ascii="Arial" w:hAnsi="Arial" w:cs="Arial"/>
                <w:bCs/>
              </w:rPr>
              <w:t>: This study will include university students aged 18 to 45.  They will be recruited via the Experiment Management System (EMS), and a random sampling method will be utilised to ensure that a representative sample is obtained. To attain acceptable statistical power, around 100 individuals will be required.</w:t>
            </w:r>
          </w:p>
          <w:p w14:paraId="2D846392" w14:textId="5CA9FD77" w:rsidR="00AC3113" w:rsidRDefault="00AC3113" w:rsidP="00360E4B">
            <w:r w:rsidRPr="00AC3113">
              <w:rPr>
                <w:rFonts w:ascii="Arial" w:hAnsi="Arial" w:cs="Arial"/>
                <w:b/>
              </w:rPr>
              <w:t xml:space="preserve"> Design</w:t>
            </w:r>
            <w:r>
              <w:rPr>
                <w:rFonts w:ascii="Arial" w:hAnsi="Arial" w:cs="Arial"/>
                <w:bCs/>
              </w:rPr>
              <w:t xml:space="preserve">: </w:t>
            </w:r>
            <w:r w:rsidR="003534CC" w:rsidRPr="003534CC">
              <w:rPr>
                <w:rFonts w:ascii="Arial" w:hAnsi="Arial" w:cs="Arial"/>
                <w:bCs/>
              </w:rPr>
              <w:t>In order to investigate the relationship between exposure to restorative spaces and psychological wellbeing, the study will employ a cross-sectional approach. Utilising a self-report scale for evaluating the frequency and length of exposures to various restorative places, the independent variable (IV), which is exposure to restorative spaces, will be measured. The Warwick-Edinburgh Mental Well-Being Scale (WEMWBS) scale will be used to measure the dependent variable (DV), which is psychological well-being. To evaluate the association between exposure to healing environments and psychological wellness, correlation and regression analyses will be used to analyse the primary data.</w:t>
            </w:r>
            <w:r>
              <w:t xml:space="preserve"> </w:t>
            </w:r>
          </w:p>
          <w:p w14:paraId="41FBB7BB" w14:textId="288B5BBE" w:rsidR="00E00F78" w:rsidRPr="003534CC" w:rsidRDefault="00AC3113" w:rsidP="00360E4B">
            <w:pPr>
              <w:rPr>
                <w:rFonts w:ascii="Arial" w:hAnsi="Arial" w:cs="Arial"/>
                <w:bCs/>
              </w:rPr>
            </w:pPr>
            <w:r w:rsidRPr="00AC3113">
              <w:rPr>
                <w:rFonts w:ascii="Arial" w:hAnsi="Arial" w:cs="Arial"/>
                <w:b/>
              </w:rPr>
              <w:t> Materials</w:t>
            </w:r>
            <w:r w:rsidRPr="00AC3113">
              <w:rPr>
                <w:rFonts w:ascii="Arial" w:hAnsi="Arial" w:cs="Arial"/>
                <w:bCs/>
              </w:rPr>
              <w:t>: This study's primary measurements are a demographic questionnaire, a scale for measuring exposure to restorative places, and the WEMWBS to assess psychological well-being. The demographic survey will gather data on the participants' age, gender, academic major, and other pertinent demographic factors. The duration and frequency of participants' interactions with various restorative surroundings will be evaluated using the restorative spaces scale. A validated assessment of mental health, the WEMWBS includes questions about positive affect, life satisfaction, and general psychological functioning.</w:t>
            </w:r>
            <w:r>
              <w:rPr>
                <w:rFonts w:ascii="Arial" w:hAnsi="Arial" w:cs="Arial"/>
                <w:bCs/>
              </w:rPr>
              <w:t xml:space="preserve">                                                                                                                                           </w:t>
            </w:r>
            <w:r w:rsidRPr="00AC3113">
              <w:rPr>
                <w:rFonts w:ascii="Arial" w:hAnsi="Arial" w:cs="Arial"/>
                <w:b/>
              </w:rPr>
              <w:t>Procedure</w:t>
            </w:r>
            <w:r w:rsidRPr="00AC3113">
              <w:rPr>
                <w:rFonts w:ascii="Arial" w:hAnsi="Arial" w:cs="Arial"/>
                <w:bCs/>
              </w:rPr>
              <w:t>: After accessing the EMS, participants will be taken to an online survey platform. To ensure that participants are giving their informed permission, the survey will provide a thorough explanation of the purpose of the research and methods. The demographic questionnaire, the WEMWBS, and the Restorative Spaces Scale will all be completed by participants. A user-friendly interface and detailed instructions for each element of the survey will be included in its design. Data will be safely and confidentially stored.</w:t>
            </w:r>
          </w:p>
          <w:p w14:paraId="3A22B559" w14:textId="389E338C" w:rsidR="00E00F78" w:rsidRPr="003534CC" w:rsidRDefault="00E14D68" w:rsidP="00360E4B">
            <w:pPr>
              <w:rPr>
                <w:rFonts w:ascii="Arial" w:hAnsi="Arial" w:cs="Arial"/>
                <w:bCs/>
              </w:rPr>
            </w:pPr>
            <w:r w:rsidRPr="00E14D68">
              <w:rPr>
                <w:rFonts w:ascii="Arial" w:hAnsi="Arial" w:cs="Arial"/>
                <w:bCs/>
              </w:rPr>
              <w:t xml:space="preserve"> This methodological approach will enable the gathering of information on participant exposure to </w:t>
            </w:r>
            <w:r>
              <w:rPr>
                <w:rFonts w:ascii="Arial" w:hAnsi="Arial" w:cs="Arial"/>
                <w:bCs/>
              </w:rPr>
              <w:t>restorative spaces</w:t>
            </w:r>
            <w:r w:rsidRPr="00E14D68">
              <w:rPr>
                <w:rFonts w:ascii="Arial" w:hAnsi="Arial" w:cs="Arial"/>
                <w:bCs/>
              </w:rPr>
              <w:t xml:space="preserve"> and their psychological health. This study seeks to shed light on the connection between restorative spaces and university students' psychological wellbeing by using validated metrics and stringent processes.</w:t>
            </w: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150FA5AB" w:rsidR="003D0CD4" w:rsidRPr="00F71750" w:rsidRDefault="00F71750" w:rsidP="00E24E04">
            <w:pPr>
              <w:rPr>
                <w:rFonts w:ascii="Arial" w:hAnsi="Arial" w:cs="Arial"/>
                <w:bCs/>
              </w:rPr>
            </w:pPr>
            <w:r w:rsidRPr="00F71750">
              <w:rPr>
                <w:rFonts w:ascii="Arial" w:hAnsi="Arial" w:cs="Arial"/>
                <w:b/>
              </w:rPr>
              <w:t> </w:t>
            </w:r>
            <w:r w:rsidRPr="00F71750">
              <w:rPr>
                <w:rFonts w:ascii="Arial" w:hAnsi="Arial" w:cs="Arial"/>
                <w:bCs/>
              </w:rPr>
              <w:t>This human-participant study will follow ethical criteria, ensuring the preservation of participants' rights and well-being. Participants will be asked to provide informed permission after being given a thorough description of the study's objective, procedures, risks, and benefits (Smith, 2018). To guarantee participant anonymity, confidentiality and data protection procedures will be adopted, including safe storage and data anonymization (Jones et al., 2020). To reduce potential distress, participants will be given the choice of skipping uncomfortable questions or withdrawing from the study without penalty (Brown, 2019). The study will target individuals aged 18 to 45 in order to ensure their ability to provide informed consent (Johnson, 2017). At the end of the study, participants will be debriefed</w:t>
            </w:r>
            <w:r>
              <w:rPr>
                <w:rFonts w:ascii="Arial" w:hAnsi="Arial" w:cs="Arial"/>
                <w:bCs/>
              </w:rPr>
              <w:t xml:space="preserve"> </w:t>
            </w:r>
            <w:r w:rsidRPr="00F71750">
              <w:rPr>
                <w:rFonts w:ascii="Arial" w:hAnsi="Arial" w:cs="Arial"/>
                <w:bCs/>
              </w:rPr>
              <w:t>presenting an overview of the aim of the study, main findings, and contact information for further queries (Miller, 2021). These ethical concerns are consistent with the British Psychological Society's code of human research ethics, ensuring the study's ethical integrity (British Psychological Society, 2020).</w:t>
            </w: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0"/>
      <w:footerReference w:type="default" r:id="rId1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88DAB" w14:textId="77777777" w:rsidR="003F3574" w:rsidRDefault="003F3574">
      <w:r>
        <w:separator/>
      </w:r>
    </w:p>
  </w:endnote>
  <w:endnote w:type="continuationSeparator" w:id="0">
    <w:p w14:paraId="571D1496" w14:textId="77777777" w:rsidR="003F3574" w:rsidRDefault="003F3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A1542" w14:textId="77777777" w:rsidR="003F3574" w:rsidRDefault="003F3574">
      <w:r>
        <w:separator/>
      </w:r>
    </w:p>
  </w:footnote>
  <w:footnote w:type="continuationSeparator" w:id="0">
    <w:p w14:paraId="749B954A" w14:textId="77777777" w:rsidR="003F3574" w:rsidRDefault="003F35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0B6D"/>
    <w:rsid w:val="00137D0F"/>
    <w:rsid w:val="001466E6"/>
    <w:rsid w:val="0014793F"/>
    <w:rsid w:val="00161012"/>
    <w:rsid w:val="001704C8"/>
    <w:rsid w:val="00175793"/>
    <w:rsid w:val="00183928"/>
    <w:rsid w:val="00185FED"/>
    <w:rsid w:val="00186F40"/>
    <w:rsid w:val="001879DB"/>
    <w:rsid w:val="001A749D"/>
    <w:rsid w:val="001B4095"/>
    <w:rsid w:val="001B449D"/>
    <w:rsid w:val="001B71B7"/>
    <w:rsid w:val="001C3564"/>
    <w:rsid w:val="001C6212"/>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534CC"/>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3574"/>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C573A"/>
    <w:rsid w:val="005D13D1"/>
    <w:rsid w:val="005D16E0"/>
    <w:rsid w:val="005D5193"/>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B09A7"/>
    <w:rsid w:val="00AC3113"/>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14D68"/>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1750"/>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4</Pages>
  <Words>1468</Words>
  <Characters>8374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Mirabela Voican (1907947)</cp:lastModifiedBy>
  <cp:revision>2</cp:revision>
  <cp:lastPrinted>2008-04-14T13:39:00Z</cp:lastPrinted>
  <dcterms:created xsi:type="dcterms:W3CDTF">2023-05-28T20:31:00Z</dcterms:created>
  <dcterms:modified xsi:type="dcterms:W3CDTF">2023-05-28T20:31:00Z</dcterms:modified>
</cp:coreProperties>
</file>