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82E706" w14:textId="77777777" w:rsidR="00CD553F" w:rsidRPr="0040361E" w:rsidRDefault="00CD553F" w:rsidP="009C3D58">
      <w:pPr>
        <w:spacing w:line="360" w:lineRule="auto"/>
        <w:rPr>
          <w:rFonts w:asciiTheme="minorBidi" w:hAnsiTheme="minorBidi"/>
          <w:b/>
          <w:bCs/>
          <w:sz w:val="22"/>
          <w:szCs w:val="22"/>
        </w:rPr>
      </w:pPr>
    </w:p>
    <w:p w14:paraId="57EB963E" w14:textId="52714446" w:rsidR="00CD553F" w:rsidRPr="0040361E" w:rsidRDefault="00CD553F" w:rsidP="009C3D58">
      <w:pPr>
        <w:spacing w:line="360" w:lineRule="auto"/>
        <w:rPr>
          <w:rFonts w:asciiTheme="minorBidi" w:hAnsiTheme="minorBidi"/>
          <w:b/>
          <w:bCs/>
          <w:sz w:val="22"/>
          <w:szCs w:val="22"/>
          <w:lang w:val="nl-NL"/>
        </w:rPr>
      </w:pPr>
      <w:r w:rsidRPr="0040361E">
        <w:rPr>
          <w:rFonts w:asciiTheme="minorBidi" w:hAnsiTheme="minorBidi"/>
          <w:b/>
          <w:bCs/>
          <w:sz w:val="22"/>
          <w:szCs w:val="22"/>
          <w:lang w:val="nl-NL"/>
        </w:rPr>
        <w:t xml:space="preserve">Student Name: </w:t>
      </w:r>
      <w:proofErr w:type="spellStart"/>
      <w:r w:rsidRPr="0040361E">
        <w:rPr>
          <w:rFonts w:asciiTheme="minorBidi" w:hAnsiTheme="minorBidi"/>
          <w:b/>
          <w:bCs/>
          <w:sz w:val="22"/>
          <w:szCs w:val="22"/>
          <w:lang w:val="nl-NL"/>
        </w:rPr>
        <w:t>Haider</w:t>
      </w:r>
      <w:proofErr w:type="spellEnd"/>
      <w:r w:rsidRPr="0040361E">
        <w:rPr>
          <w:rFonts w:asciiTheme="minorBidi" w:hAnsiTheme="minorBidi"/>
          <w:b/>
          <w:bCs/>
          <w:sz w:val="22"/>
          <w:szCs w:val="22"/>
          <w:lang w:val="nl-NL"/>
        </w:rPr>
        <w:t xml:space="preserve"> </w:t>
      </w:r>
      <w:proofErr w:type="spellStart"/>
      <w:r w:rsidRPr="0040361E">
        <w:rPr>
          <w:rFonts w:asciiTheme="minorBidi" w:hAnsiTheme="minorBidi"/>
          <w:b/>
          <w:bCs/>
          <w:sz w:val="22"/>
          <w:szCs w:val="22"/>
          <w:lang w:val="nl-NL"/>
        </w:rPr>
        <w:t>Ghazanfar</w:t>
      </w:r>
      <w:proofErr w:type="spellEnd"/>
    </w:p>
    <w:p w14:paraId="03EFAEF4" w14:textId="5C2C2DA9" w:rsidR="00CD553F" w:rsidRPr="0040361E" w:rsidRDefault="00CD553F" w:rsidP="009C3D58">
      <w:pPr>
        <w:spacing w:line="360" w:lineRule="auto"/>
        <w:rPr>
          <w:rFonts w:asciiTheme="minorBidi" w:hAnsiTheme="minorBidi"/>
          <w:b/>
          <w:bCs/>
          <w:sz w:val="22"/>
          <w:szCs w:val="22"/>
        </w:rPr>
      </w:pPr>
      <w:r w:rsidRPr="0040361E">
        <w:rPr>
          <w:rFonts w:asciiTheme="minorBidi" w:hAnsiTheme="minorBidi"/>
          <w:b/>
          <w:bCs/>
          <w:sz w:val="22"/>
          <w:szCs w:val="22"/>
        </w:rPr>
        <w:t>Student ID: 242</w:t>
      </w:r>
      <w:r w:rsidRPr="0040361E">
        <w:rPr>
          <w:rFonts w:asciiTheme="minorBidi" w:hAnsiTheme="minorBidi"/>
          <w:b/>
          <w:bCs/>
          <w:sz w:val="22"/>
          <w:szCs w:val="22"/>
        </w:rPr>
        <w:t>4119</w:t>
      </w:r>
    </w:p>
    <w:p w14:paraId="1D1785BC" w14:textId="3264F877" w:rsidR="00CD553F" w:rsidRPr="0040361E" w:rsidRDefault="00CD553F" w:rsidP="009C3D58">
      <w:pPr>
        <w:spacing w:line="360" w:lineRule="auto"/>
        <w:rPr>
          <w:rFonts w:asciiTheme="minorBidi" w:hAnsiTheme="minorBidi"/>
          <w:b/>
          <w:bCs/>
          <w:sz w:val="22"/>
          <w:szCs w:val="22"/>
        </w:rPr>
      </w:pPr>
      <w:r w:rsidRPr="0040361E">
        <w:rPr>
          <w:rFonts w:asciiTheme="minorBidi" w:hAnsiTheme="minorBidi"/>
          <w:b/>
          <w:bCs/>
          <w:sz w:val="22"/>
          <w:szCs w:val="22"/>
        </w:rPr>
        <w:t>Module: Introduction to Independent Research Skills</w:t>
      </w:r>
    </w:p>
    <w:p w14:paraId="2A722E87" w14:textId="48035FAE" w:rsidR="00CD553F" w:rsidRPr="0040361E" w:rsidRDefault="00CD553F" w:rsidP="009C3D58">
      <w:pPr>
        <w:spacing w:line="360" w:lineRule="auto"/>
        <w:rPr>
          <w:rFonts w:asciiTheme="minorBidi" w:hAnsiTheme="minorBidi"/>
          <w:b/>
          <w:bCs/>
          <w:sz w:val="22"/>
          <w:szCs w:val="22"/>
        </w:rPr>
      </w:pPr>
      <w:r w:rsidRPr="0040361E">
        <w:rPr>
          <w:rFonts w:asciiTheme="minorBidi" w:hAnsiTheme="minorBidi"/>
          <w:b/>
          <w:bCs/>
          <w:sz w:val="22"/>
          <w:szCs w:val="22"/>
        </w:rPr>
        <w:t>Module Code:</w:t>
      </w:r>
      <w:r w:rsidRPr="0040361E">
        <w:rPr>
          <w:rFonts w:asciiTheme="minorBidi" w:hAnsiTheme="minorBidi"/>
          <w:b/>
          <w:bCs/>
          <w:sz w:val="22"/>
          <w:szCs w:val="22"/>
        </w:rPr>
        <w:t xml:space="preserve"> </w:t>
      </w:r>
      <w:r w:rsidRPr="0040361E">
        <w:rPr>
          <w:rFonts w:asciiTheme="minorBidi" w:hAnsiTheme="minorBidi"/>
          <w:b/>
          <w:bCs/>
          <w:sz w:val="22"/>
          <w:szCs w:val="22"/>
        </w:rPr>
        <w:t>BMHP5019</w:t>
      </w:r>
    </w:p>
    <w:p w14:paraId="796FB17A" w14:textId="19399994" w:rsidR="00CD553F" w:rsidRPr="0040361E" w:rsidRDefault="00CD553F" w:rsidP="009C3D58">
      <w:pPr>
        <w:spacing w:line="360" w:lineRule="auto"/>
        <w:rPr>
          <w:rFonts w:asciiTheme="minorBidi" w:hAnsiTheme="minorBidi"/>
          <w:b/>
          <w:bCs/>
          <w:sz w:val="22"/>
          <w:szCs w:val="22"/>
        </w:rPr>
      </w:pPr>
      <w:r w:rsidRPr="0040361E">
        <w:rPr>
          <w:rFonts w:asciiTheme="minorBidi" w:hAnsiTheme="minorBidi"/>
          <w:b/>
          <w:bCs/>
          <w:sz w:val="22"/>
          <w:szCs w:val="22"/>
        </w:rPr>
        <w:t xml:space="preserve">Assignment Title: Component </w:t>
      </w:r>
      <w:r w:rsidRPr="0040361E">
        <w:rPr>
          <w:rFonts w:asciiTheme="minorBidi" w:hAnsiTheme="minorBidi"/>
          <w:b/>
          <w:bCs/>
          <w:sz w:val="22"/>
          <w:szCs w:val="22"/>
        </w:rPr>
        <w:t>1</w:t>
      </w:r>
      <w:r w:rsidRPr="0040361E">
        <w:rPr>
          <w:rFonts w:asciiTheme="minorBidi" w:hAnsiTheme="minorBidi"/>
          <w:b/>
          <w:bCs/>
          <w:sz w:val="22"/>
          <w:szCs w:val="22"/>
        </w:rPr>
        <w:t xml:space="preserve"> Written Assignment (Research Proposal)</w:t>
      </w:r>
    </w:p>
    <w:p w14:paraId="54477454" w14:textId="0CB9C13B" w:rsidR="00CD553F" w:rsidRPr="0040361E" w:rsidRDefault="00CD553F" w:rsidP="009C3D58">
      <w:pPr>
        <w:spacing w:line="360" w:lineRule="auto"/>
        <w:rPr>
          <w:rFonts w:asciiTheme="minorBidi" w:hAnsiTheme="minorBidi"/>
          <w:b/>
          <w:bCs/>
          <w:sz w:val="22"/>
          <w:szCs w:val="22"/>
        </w:rPr>
      </w:pPr>
      <w:r w:rsidRPr="0040361E">
        <w:rPr>
          <w:rFonts w:asciiTheme="minorBidi" w:hAnsiTheme="minorBidi"/>
          <w:b/>
          <w:bCs/>
          <w:sz w:val="22"/>
          <w:szCs w:val="22"/>
        </w:rPr>
        <w:t>Lecturer: Philip Jones</w:t>
      </w:r>
      <w:r w:rsidRPr="0040361E">
        <w:rPr>
          <w:rFonts w:asciiTheme="minorBidi" w:hAnsiTheme="minorBidi"/>
          <w:b/>
          <w:bCs/>
          <w:sz w:val="22"/>
          <w:szCs w:val="22"/>
        </w:rPr>
        <w:t xml:space="preserve"> </w:t>
      </w:r>
    </w:p>
    <w:p w14:paraId="4D36A776" w14:textId="77777777" w:rsidR="00CD553F" w:rsidRPr="0040361E" w:rsidRDefault="00CD553F" w:rsidP="009C3D58">
      <w:pPr>
        <w:spacing w:line="360" w:lineRule="auto"/>
        <w:rPr>
          <w:rFonts w:asciiTheme="minorBidi" w:hAnsiTheme="minorBidi"/>
          <w:b/>
          <w:bCs/>
          <w:sz w:val="22"/>
          <w:szCs w:val="22"/>
        </w:rPr>
      </w:pPr>
      <w:r w:rsidRPr="0040361E">
        <w:rPr>
          <w:rFonts w:asciiTheme="minorBidi" w:hAnsiTheme="minorBidi"/>
          <w:b/>
          <w:bCs/>
          <w:sz w:val="22"/>
          <w:szCs w:val="22"/>
        </w:rPr>
        <w:br w:type="page"/>
      </w:r>
    </w:p>
    <w:p w14:paraId="694AB8A6" w14:textId="60B37E73" w:rsidR="00333876" w:rsidRPr="009C3D58" w:rsidRDefault="00333876" w:rsidP="009C3D58">
      <w:pPr>
        <w:spacing w:line="360" w:lineRule="auto"/>
        <w:rPr>
          <w:rFonts w:asciiTheme="minorBidi" w:hAnsiTheme="minorBidi"/>
          <w:b/>
          <w:bCs/>
          <w:sz w:val="22"/>
          <w:szCs w:val="22"/>
        </w:rPr>
      </w:pPr>
      <w:r w:rsidRPr="009C3D58">
        <w:rPr>
          <w:rFonts w:asciiTheme="minorBidi" w:hAnsiTheme="minorBidi"/>
          <w:b/>
          <w:bCs/>
          <w:sz w:val="22"/>
          <w:szCs w:val="22"/>
        </w:rPr>
        <w:lastRenderedPageBreak/>
        <w:t xml:space="preserve">Introduction </w:t>
      </w:r>
    </w:p>
    <w:p w14:paraId="61D775C5" w14:textId="77777777" w:rsidR="009C3D58" w:rsidRPr="009C3D58" w:rsidRDefault="009C3D58" w:rsidP="009C3D58">
      <w:pPr>
        <w:spacing w:line="360" w:lineRule="auto"/>
        <w:rPr>
          <w:rFonts w:asciiTheme="minorBidi" w:hAnsiTheme="minorBidi"/>
          <w:sz w:val="22"/>
          <w:szCs w:val="22"/>
        </w:rPr>
      </w:pPr>
      <w:r w:rsidRPr="009C3D58">
        <w:rPr>
          <w:rFonts w:asciiTheme="minorBidi" w:hAnsiTheme="minorBidi"/>
          <w:sz w:val="22"/>
          <w:szCs w:val="22"/>
        </w:rPr>
        <w:t>Digital technologies are increasingly used to deliver healthcare in the United Kingdom (UK), including online GP consultations, appointment booking and electronic health information. However, older adults may experience difficulties accessing these services because of limited digital skills, financial constraints, disability or inadequate internet access. This digital exclusion may contribute to inequalities in healthcare access. This proposal outlines a scoping review exploring digital exclusion and older adults’ access to digital NHS services. The research question is: What barriers do older adults experience when accessing digital NHS services in the UK, and what strategies support inclusive access? The objectives are to identify barriers, explore support strategies and highlight evidence gaps.</w:t>
      </w:r>
    </w:p>
    <w:p w14:paraId="30BCD1E8" w14:textId="5D27FB10" w:rsidR="00333876" w:rsidRPr="009C3D58" w:rsidRDefault="00333876" w:rsidP="009C3D58">
      <w:pPr>
        <w:spacing w:line="360" w:lineRule="auto"/>
        <w:rPr>
          <w:rFonts w:asciiTheme="minorBidi" w:hAnsiTheme="minorBidi"/>
          <w:b/>
          <w:bCs/>
          <w:sz w:val="22"/>
          <w:szCs w:val="22"/>
        </w:rPr>
      </w:pPr>
      <w:r w:rsidRPr="009C3D58">
        <w:rPr>
          <w:rFonts w:asciiTheme="minorBidi" w:hAnsiTheme="minorBidi"/>
          <w:b/>
          <w:bCs/>
          <w:sz w:val="22"/>
          <w:szCs w:val="22"/>
        </w:rPr>
        <w:t xml:space="preserve">Rationale </w:t>
      </w:r>
    </w:p>
    <w:p w14:paraId="21C92F4D" w14:textId="77777777" w:rsidR="009C3D58" w:rsidRPr="009C3D58" w:rsidRDefault="009C3D58" w:rsidP="009C3D58">
      <w:pPr>
        <w:spacing w:line="360" w:lineRule="auto"/>
        <w:rPr>
          <w:rFonts w:asciiTheme="minorBidi" w:hAnsiTheme="minorBidi"/>
          <w:sz w:val="22"/>
          <w:szCs w:val="22"/>
        </w:rPr>
      </w:pPr>
      <w:r w:rsidRPr="009C3D58">
        <w:rPr>
          <w:rFonts w:asciiTheme="minorBidi" w:hAnsiTheme="minorBidi"/>
          <w:sz w:val="22"/>
          <w:szCs w:val="22"/>
        </w:rPr>
        <w:t>Digital exclusion is an important health and social care issue because healthcare services increasingly rely on technology. Kebede et al. (2022) explored older adults’ digital engagement, highlighting factors influencing technology use. Ge et al. (2025) examined digital exclusion among older adults, demonstrating the importance of understanding barriers to digital participation. Lu, Yao and Jin (2022) found associations between digital exclusion and functional dependence among older people, highlighting potential implications for independence and wellbeing. Shorthose et al. (2024) investigated exclusion from video consultations in England, making their research relevant to UK healthcare practice. Wu et al. (2026) reviewed digital exclusion and health among older adults, further supporting the importance of this topic. Understanding these barriers is essential for nurses and health and social care professionals supporting older people. Identifying effective support strategies may help improve accessibility and promote equitable healthcare. A scoping review is appropriate because it maps existing evidence and identifies knowledge gaps (Peters et al., 2020). The findings may inform inclusive digital services and support equitable access to NHS care.</w:t>
      </w:r>
    </w:p>
    <w:p w14:paraId="1C09EA53" w14:textId="2207D6D3" w:rsidR="00333876" w:rsidRPr="009C3D58" w:rsidRDefault="00333876" w:rsidP="009C3D58">
      <w:pPr>
        <w:spacing w:line="360" w:lineRule="auto"/>
        <w:rPr>
          <w:rFonts w:asciiTheme="minorBidi" w:hAnsiTheme="minorBidi"/>
          <w:b/>
          <w:bCs/>
          <w:sz w:val="22"/>
          <w:szCs w:val="22"/>
        </w:rPr>
      </w:pPr>
      <w:r w:rsidRPr="009C3D58">
        <w:rPr>
          <w:rFonts w:asciiTheme="minorBidi" w:hAnsiTheme="minorBidi"/>
          <w:b/>
          <w:bCs/>
          <w:sz w:val="22"/>
          <w:szCs w:val="22"/>
        </w:rPr>
        <w:t xml:space="preserve">Methods </w:t>
      </w:r>
    </w:p>
    <w:p w14:paraId="68071E16" w14:textId="77777777" w:rsidR="009C3D58" w:rsidRPr="009C3D58" w:rsidRDefault="009C3D58" w:rsidP="009C3D58">
      <w:pPr>
        <w:spacing w:line="360" w:lineRule="auto"/>
        <w:rPr>
          <w:rFonts w:asciiTheme="minorBidi" w:hAnsiTheme="minorBidi"/>
          <w:sz w:val="22"/>
          <w:szCs w:val="22"/>
        </w:rPr>
      </w:pPr>
      <w:r w:rsidRPr="009C3D58">
        <w:rPr>
          <w:rFonts w:asciiTheme="minorBidi" w:hAnsiTheme="minorBidi"/>
          <w:sz w:val="22"/>
          <w:szCs w:val="22"/>
        </w:rPr>
        <w:t>This secondary research will use a scoping review approach guided by Peters et al. (2020). Searches will be planned in CINAHL, MEDLINE and PubMed using terms including “older adults”, “digital exclusion”, “digital health”, “digital literacy” and “NHS”. Boolean operators will combine search terms. English-language studies focusing on UK adults aged 65 and over will be considered. Titles, abstracts and full texts will be screened against inclusion criteria. Relevant data will be extracted and analysed using thematic analysis to identify barriers, support strategies and evidence gaps.</w:t>
      </w:r>
    </w:p>
    <w:p w14:paraId="1A0EE2A5" w14:textId="51B3566B" w:rsidR="00333876" w:rsidRPr="009C3D58" w:rsidRDefault="00333876" w:rsidP="009C3D58">
      <w:pPr>
        <w:spacing w:line="360" w:lineRule="auto"/>
        <w:rPr>
          <w:rFonts w:asciiTheme="minorBidi" w:hAnsiTheme="minorBidi"/>
          <w:sz w:val="22"/>
          <w:szCs w:val="22"/>
        </w:rPr>
      </w:pPr>
      <w:r w:rsidRPr="009C3D58">
        <w:rPr>
          <w:rFonts w:asciiTheme="minorBidi" w:hAnsiTheme="minorBidi"/>
          <w:b/>
          <w:bCs/>
          <w:sz w:val="22"/>
          <w:szCs w:val="22"/>
        </w:rPr>
        <w:lastRenderedPageBreak/>
        <w:t xml:space="preserve"> Ethical considerations </w:t>
      </w:r>
    </w:p>
    <w:p w14:paraId="48199CD9" w14:textId="533E8DBB" w:rsidR="00333876" w:rsidRPr="009C3D58" w:rsidRDefault="009C3D58" w:rsidP="009C3D58">
      <w:pPr>
        <w:spacing w:line="360" w:lineRule="auto"/>
        <w:rPr>
          <w:rFonts w:asciiTheme="minorBidi" w:hAnsiTheme="minorBidi"/>
          <w:sz w:val="22"/>
          <w:szCs w:val="22"/>
        </w:rPr>
      </w:pPr>
      <w:r w:rsidRPr="009C3D58">
        <w:rPr>
          <w:rFonts w:asciiTheme="minorBidi" w:hAnsiTheme="minorBidi"/>
          <w:sz w:val="22"/>
          <w:szCs w:val="22"/>
        </w:rPr>
        <w:t xml:space="preserve">As this research uses published studies, no participants will be </w:t>
      </w:r>
      <w:proofErr w:type="gramStart"/>
      <w:r w:rsidRPr="009C3D58">
        <w:rPr>
          <w:rFonts w:asciiTheme="minorBidi" w:hAnsiTheme="minorBidi"/>
          <w:sz w:val="22"/>
          <w:szCs w:val="22"/>
        </w:rPr>
        <w:t>recruited</w:t>
      </w:r>
      <w:proofErr w:type="gramEnd"/>
      <w:r w:rsidRPr="009C3D58">
        <w:rPr>
          <w:rFonts w:asciiTheme="minorBidi" w:hAnsiTheme="minorBidi"/>
          <w:sz w:val="22"/>
          <w:szCs w:val="22"/>
        </w:rPr>
        <w:t xml:space="preserve"> and no new personal data will be collected. University ethical approval requirements will be checked. Ethical practice will include accurate referencing, avoiding plagiarism, representing findings fairly, acknowledging limitations and reporting results transparently. Copyright and academic integrity requirements will be respected throughout the </w:t>
      </w:r>
      <w:proofErr w:type="gramStart"/>
      <w:r w:rsidRPr="009C3D58">
        <w:rPr>
          <w:rFonts w:asciiTheme="minorBidi" w:hAnsiTheme="minorBidi"/>
          <w:sz w:val="22"/>
          <w:szCs w:val="22"/>
        </w:rPr>
        <w:t>review.</w:t>
      </w:r>
      <w:r w:rsidR="0040361E" w:rsidRPr="009C3D58">
        <w:rPr>
          <w:rFonts w:asciiTheme="minorBidi" w:hAnsiTheme="minorBidi"/>
          <w:sz w:val="22"/>
          <w:szCs w:val="22"/>
        </w:rPr>
        <w:t>.</w:t>
      </w:r>
      <w:proofErr w:type="gramEnd"/>
    </w:p>
    <w:p w14:paraId="2B1CD8E6" w14:textId="4098AE21" w:rsidR="000F5E9D" w:rsidRPr="0040361E" w:rsidRDefault="000F5E9D" w:rsidP="009C3D58">
      <w:pPr>
        <w:spacing w:line="360" w:lineRule="auto"/>
        <w:rPr>
          <w:rFonts w:asciiTheme="minorBidi" w:hAnsiTheme="minorBidi"/>
          <w:b/>
          <w:bCs/>
        </w:rPr>
      </w:pPr>
    </w:p>
    <w:p w14:paraId="3C5D0CD8" w14:textId="77777777" w:rsidR="000F5E9D" w:rsidRPr="0040361E" w:rsidRDefault="000F5E9D" w:rsidP="009C3D58">
      <w:pPr>
        <w:spacing w:line="360" w:lineRule="auto"/>
        <w:rPr>
          <w:rFonts w:asciiTheme="minorBidi" w:hAnsiTheme="minorBidi"/>
          <w:b/>
          <w:bCs/>
        </w:rPr>
      </w:pPr>
      <w:r w:rsidRPr="0040361E">
        <w:rPr>
          <w:rFonts w:asciiTheme="minorBidi" w:hAnsiTheme="minorBidi"/>
          <w:b/>
          <w:bCs/>
        </w:rPr>
        <w:br w:type="page"/>
      </w:r>
    </w:p>
    <w:p w14:paraId="6210FBCC" w14:textId="3272CCA8" w:rsidR="00CD553F" w:rsidRPr="0040361E" w:rsidRDefault="000F5E9D" w:rsidP="009C3D58">
      <w:pPr>
        <w:spacing w:line="360" w:lineRule="auto"/>
        <w:rPr>
          <w:rFonts w:asciiTheme="minorBidi" w:hAnsiTheme="minorBidi"/>
          <w:b/>
          <w:bCs/>
          <w:sz w:val="22"/>
          <w:szCs w:val="22"/>
        </w:rPr>
      </w:pPr>
      <w:r w:rsidRPr="0040361E">
        <w:rPr>
          <w:rFonts w:asciiTheme="minorBidi" w:hAnsiTheme="minorBidi"/>
          <w:b/>
          <w:bCs/>
          <w:sz w:val="22"/>
          <w:szCs w:val="22"/>
        </w:rPr>
        <w:lastRenderedPageBreak/>
        <w:t>References</w:t>
      </w:r>
    </w:p>
    <w:p w14:paraId="2A1FBF09" w14:textId="77777777" w:rsidR="000F5E9D" w:rsidRPr="0040361E" w:rsidRDefault="000F5E9D" w:rsidP="009C3D58">
      <w:pPr>
        <w:spacing w:line="360" w:lineRule="auto"/>
        <w:rPr>
          <w:rFonts w:asciiTheme="minorBidi" w:hAnsiTheme="minorBidi"/>
          <w:b/>
          <w:bCs/>
          <w:sz w:val="22"/>
          <w:szCs w:val="22"/>
        </w:rPr>
      </w:pPr>
    </w:p>
    <w:p w14:paraId="1F23243D" w14:textId="77777777" w:rsidR="009C3D58" w:rsidRPr="009C3D58" w:rsidRDefault="009C3D58" w:rsidP="009C3D58">
      <w:pPr>
        <w:spacing w:line="360" w:lineRule="auto"/>
        <w:rPr>
          <w:rFonts w:asciiTheme="minorBidi" w:hAnsiTheme="minorBidi"/>
          <w:sz w:val="22"/>
          <w:szCs w:val="22"/>
        </w:rPr>
      </w:pPr>
      <w:r w:rsidRPr="009C3D58">
        <w:rPr>
          <w:rFonts w:asciiTheme="minorBidi" w:hAnsiTheme="minorBidi"/>
          <w:sz w:val="22"/>
          <w:szCs w:val="22"/>
        </w:rPr>
        <w:t>Ge, H., Li, J., Hu, H., Feng, T. and Wu, X. (2025) ‘Digital exclusion in older adults: A scoping review’, International Journal of Nursing Studies, 168, article 105082. Available at: https://doi.org/10.1016/j.ijnurstu.2025.105082 (Accessed: 7 October 2026).</w:t>
      </w:r>
    </w:p>
    <w:p w14:paraId="22320A6F" w14:textId="77777777" w:rsidR="009C3D58" w:rsidRPr="009C3D58" w:rsidRDefault="009C3D58" w:rsidP="009C3D58">
      <w:pPr>
        <w:spacing w:line="360" w:lineRule="auto"/>
        <w:rPr>
          <w:rFonts w:asciiTheme="minorBidi" w:hAnsiTheme="minorBidi"/>
          <w:sz w:val="22"/>
          <w:szCs w:val="22"/>
        </w:rPr>
      </w:pPr>
    </w:p>
    <w:p w14:paraId="74C708BB" w14:textId="77777777" w:rsidR="009C3D58" w:rsidRPr="009C3D58" w:rsidRDefault="009C3D58" w:rsidP="009C3D58">
      <w:pPr>
        <w:spacing w:line="360" w:lineRule="auto"/>
        <w:rPr>
          <w:rFonts w:asciiTheme="minorBidi" w:hAnsiTheme="minorBidi"/>
          <w:sz w:val="22"/>
          <w:szCs w:val="22"/>
        </w:rPr>
      </w:pPr>
      <w:r w:rsidRPr="009C3D58">
        <w:rPr>
          <w:rFonts w:asciiTheme="minorBidi" w:hAnsiTheme="minorBidi"/>
          <w:sz w:val="22"/>
          <w:szCs w:val="22"/>
        </w:rPr>
        <w:t>Kebede, A.S., Ozolins, L.-L., Holst, H. and Galvin, K. (2022) ‘Digital engagement of older adults: Scoping review’, Journal of Medical Internet Research, 24(12), article e40192. Available at: https://doi.org/10.2196/40192 (Accessed: 7 October 2026).</w:t>
      </w:r>
    </w:p>
    <w:p w14:paraId="12A6E7EC" w14:textId="77777777" w:rsidR="009C3D58" w:rsidRPr="009C3D58" w:rsidRDefault="009C3D58" w:rsidP="009C3D58">
      <w:pPr>
        <w:spacing w:line="360" w:lineRule="auto"/>
        <w:rPr>
          <w:rFonts w:asciiTheme="minorBidi" w:hAnsiTheme="minorBidi"/>
          <w:sz w:val="22"/>
          <w:szCs w:val="22"/>
        </w:rPr>
      </w:pPr>
    </w:p>
    <w:p w14:paraId="281BF11F" w14:textId="77777777" w:rsidR="009C3D58" w:rsidRPr="009C3D58" w:rsidRDefault="009C3D58" w:rsidP="009C3D58">
      <w:pPr>
        <w:spacing w:line="360" w:lineRule="auto"/>
        <w:rPr>
          <w:rFonts w:asciiTheme="minorBidi" w:hAnsiTheme="minorBidi"/>
          <w:sz w:val="22"/>
          <w:szCs w:val="22"/>
        </w:rPr>
      </w:pPr>
      <w:r w:rsidRPr="009C3D58">
        <w:rPr>
          <w:rFonts w:asciiTheme="minorBidi" w:hAnsiTheme="minorBidi"/>
          <w:sz w:val="22"/>
          <w:szCs w:val="22"/>
        </w:rPr>
        <w:t xml:space="preserve">Lu, X., Yao, Y. and Jin, Y. (2022) ‘Digital exclusion and functional dependence in older people: Findings from five longitudinal cohort studies’, </w:t>
      </w:r>
      <w:proofErr w:type="spellStart"/>
      <w:r w:rsidRPr="009C3D58">
        <w:rPr>
          <w:rFonts w:asciiTheme="minorBidi" w:hAnsiTheme="minorBidi"/>
          <w:sz w:val="22"/>
          <w:szCs w:val="22"/>
        </w:rPr>
        <w:t>eClinicalMedicine</w:t>
      </w:r>
      <w:proofErr w:type="spellEnd"/>
      <w:r w:rsidRPr="009C3D58">
        <w:rPr>
          <w:rFonts w:asciiTheme="minorBidi" w:hAnsiTheme="minorBidi"/>
          <w:sz w:val="22"/>
          <w:szCs w:val="22"/>
        </w:rPr>
        <w:t>, 54, article 101708. Available at: https://doi.org/10.1016/j.eclinm.2022.101708 (Accessed: 7 October 2026).</w:t>
      </w:r>
    </w:p>
    <w:p w14:paraId="52FE086E" w14:textId="77777777" w:rsidR="009C3D58" w:rsidRPr="009C3D58" w:rsidRDefault="009C3D58" w:rsidP="009C3D58">
      <w:pPr>
        <w:spacing w:line="360" w:lineRule="auto"/>
        <w:rPr>
          <w:rFonts w:asciiTheme="minorBidi" w:hAnsiTheme="minorBidi"/>
          <w:sz w:val="22"/>
          <w:szCs w:val="22"/>
        </w:rPr>
      </w:pPr>
    </w:p>
    <w:p w14:paraId="76963973" w14:textId="77777777" w:rsidR="009C3D58" w:rsidRPr="009C3D58" w:rsidRDefault="009C3D58" w:rsidP="009C3D58">
      <w:pPr>
        <w:spacing w:line="360" w:lineRule="auto"/>
        <w:rPr>
          <w:rFonts w:asciiTheme="minorBidi" w:hAnsiTheme="minorBidi"/>
          <w:sz w:val="22"/>
          <w:szCs w:val="22"/>
        </w:rPr>
      </w:pPr>
      <w:r w:rsidRPr="009C3D58">
        <w:rPr>
          <w:rFonts w:asciiTheme="minorBidi" w:hAnsiTheme="minorBidi"/>
          <w:sz w:val="22"/>
          <w:szCs w:val="22"/>
        </w:rPr>
        <w:t xml:space="preserve">Peters, M.D.J., Marnie, C., </w:t>
      </w:r>
      <w:proofErr w:type="spellStart"/>
      <w:r w:rsidRPr="009C3D58">
        <w:rPr>
          <w:rFonts w:asciiTheme="minorBidi" w:hAnsiTheme="minorBidi"/>
          <w:sz w:val="22"/>
          <w:szCs w:val="22"/>
        </w:rPr>
        <w:t>Tricco</w:t>
      </w:r>
      <w:proofErr w:type="spellEnd"/>
      <w:r w:rsidRPr="009C3D58">
        <w:rPr>
          <w:rFonts w:asciiTheme="minorBidi" w:hAnsiTheme="minorBidi"/>
          <w:sz w:val="22"/>
          <w:szCs w:val="22"/>
        </w:rPr>
        <w:t>, A.C., Pollock, D., Munn, Z., Alexander, L., McInerney, P., Godfrey, C.M. and Khalil, H. (2020) ‘Updated methodological guidance for the conduct of scoping reviews’, JBI Evidence Synthesis, 18(10), pp. 2119–2126. Available at: https://doi.org/10.11124/JBIES-20-00167 (Accessed: 7 October 2026).</w:t>
      </w:r>
    </w:p>
    <w:p w14:paraId="7C26FAA4" w14:textId="77777777" w:rsidR="009C3D58" w:rsidRPr="009C3D58" w:rsidRDefault="009C3D58" w:rsidP="009C3D58">
      <w:pPr>
        <w:spacing w:line="360" w:lineRule="auto"/>
        <w:rPr>
          <w:rFonts w:asciiTheme="minorBidi" w:hAnsiTheme="minorBidi"/>
          <w:sz w:val="22"/>
          <w:szCs w:val="22"/>
        </w:rPr>
      </w:pPr>
    </w:p>
    <w:p w14:paraId="7E6A6E2B" w14:textId="77777777" w:rsidR="009C3D58" w:rsidRPr="009C3D58" w:rsidRDefault="009C3D58" w:rsidP="009C3D58">
      <w:pPr>
        <w:spacing w:line="360" w:lineRule="auto"/>
        <w:rPr>
          <w:rFonts w:asciiTheme="minorBidi" w:hAnsiTheme="minorBidi"/>
          <w:sz w:val="22"/>
          <w:szCs w:val="22"/>
        </w:rPr>
      </w:pPr>
      <w:r w:rsidRPr="009C3D58">
        <w:rPr>
          <w:rFonts w:asciiTheme="minorBidi" w:hAnsiTheme="minorBidi"/>
          <w:sz w:val="22"/>
          <w:szCs w:val="22"/>
        </w:rPr>
        <w:t>Shorthose, M.F. et al. (2024) ‘A multicentre cross-sectional observational study to determine the effect of living with frailty on digital exclusion from video consultations: (Access-VIGIL)’, Journal of the American Medical Directors Association, 25(4), pp. 676–682. Available at: https://doi.org/10.1016/j.jamda.2023.08.028 (Accessed: 7 October 2026).</w:t>
      </w:r>
    </w:p>
    <w:p w14:paraId="54116CEB" w14:textId="77777777" w:rsidR="009C3D58" w:rsidRPr="009C3D58" w:rsidRDefault="009C3D58" w:rsidP="009C3D58">
      <w:pPr>
        <w:spacing w:line="360" w:lineRule="auto"/>
        <w:rPr>
          <w:rFonts w:asciiTheme="minorBidi" w:hAnsiTheme="minorBidi"/>
          <w:sz w:val="22"/>
          <w:szCs w:val="22"/>
        </w:rPr>
      </w:pPr>
    </w:p>
    <w:p w14:paraId="0BE72270" w14:textId="3B8C529B" w:rsidR="000F5E9D" w:rsidRPr="0040361E" w:rsidRDefault="009C3D58" w:rsidP="009C3D58">
      <w:pPr>
        <w:spacing w:line="360" w:lineRule="auto"/>
        <w:rPr>
          <w:rFonts w:asciiTheme="minorBidi" w:hAnsiTheme="minorBidi"/>
          <w:b/>
          <w:bCs/>
          <w:sz w:val="22"/>
          <w:szCs w:val="22"/>
        </w:rPr>
      </w:pPr>
      <w:r w:rsidRPr="009C3D58">
        <w:rPr>
          <w:rFonts w:asciiTheme="minorBidi" w:hAnsiTheme="minorBidi"/>
          <w:sz w:val="22"/>
          <w:szCs w:val="22"/>
        </w:rPr>
        <w:t xml:space="preserve">Wu, Y., Pang, J., Xu, S. et al. (2026) ‘Digital exclusion and health in older adults: A systematic review’, </w:t>
      </w:r>
      <w:proofErr w:type="spellStart"/>
      <w:r w:rsidRPr="009C3D58">
        <w:rPr>
          <w:rFonts w:asciiTheme="minorBidi" w:hAnsiTheme="minorBidi"/>
          <w:sz w:val="22"/>
          <w:szCs w:val="22"/>
        </w:rPr>
        <w:t>npj</w:t>
      </w:r>
      <w:proofErr w:type="spellEnd"/>
      <w:r w:rsidRPr="009C3D58">
        <w:rPr>
          <w:rFonts w:asciiTheme="minorBidi" w:hAnsiTheme="minorBidi"/>
          <w:sz w:val="22"/>
          <w:szCs w:val="22"/>
        </w:rPr>
        <w:t xml:space="preserve"> Digital Medicine. Available at: https://doi.org/10.1038/s41746-026-03091-6 (Accessed: 7 October 2026).</w:t>
      </w:r>
    </w:p>
    <w:sectPr w:rsidR="000F5E9D" w:rsidRPr="0040361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FCA49E" w14:textId="77777777" w:rsidR="0007327F" w:rsidRDefault="0007327F" w:rsidP="00CD553F">
      <w:pPr>
        <w:spacing w:after="0" w:line="240" w:lineRule="auto"/>
      </w:pPr>
      <w:r>
        <w:separator/>
      </w:r>
    </w:p>
  </w:endnote>
  <w:endnote w:type="continuationSeparator" w:id="0">
    <w:p w14:paraId="7EF45E59" w14:textId="77777777" w:rsidR="0007327F" w:rsidRDefault="0007327F" w:rsidP="00CD55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46A5DF" w14:textId="77777777" w:rsidR="0007327F" w:rsidRDefault="0007327F" w:rsidP="00CD553F">
      <w:pPr>
        <w:spacing w:after="0" w:line="240" w:lineRule="auto"/>
      </w:pPr>
      <w:r>
        <w:separator/>
      </w:r>
    </w:p>
  </w:footnote>
  <w:footnote w:type="continuationSeparator" w:id="0">
    <w:p w14:paraId="3559301B" w14:textId="77777777" w:rsidR="0007327F" w:rsidRDefault="0007327F" w:rsidP="00CD553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0B684A"/>
    <w:multiLevelType w:val="hybridMultilevel"/>
    <w:tmpl w:val="CF4075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1EC7ADF"/>
    <w:multiLevelType w:val="hybridMultilevel"/>
    <w:tmpl w:val="3ECEE6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E8B0C0D"/>
    <w:multiLevelType w:val="hybridMultilevel"/>
    <w:tmpl w:val="7556E0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65580178">
    <w:abstractNumId w:val="0"/>
  </w:num>
  <w:num w:numId="2" w16cid:durableId="1380203178">
    <w:abstractNumId w:val="2"/>
  </w:num>
  <w:num w:numId="3" w16cid:durableId="183621703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553F"/>
    <w:rsid w:val="0007327F"/>
    <w:rsid w:val="000F5E9D"/>
    <w:rsid w:val="00312C54"/>
    <w:rsid w:val="00333876"/>
    <w:rsid w:val="0040361E"/>
    <w:rsid w:val="007A422E"/>
    <w:rsid w:val="009C3D58"/>
    <w:rsid w:val="00B7442B"/>
    <w:rsid w:val="00CD553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F018B5"/>
  <w15:chartTrackingRefBased/>
  <w15:docId w15:val="{BA1EC43B-F982-4072-92B0-5877935ADE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553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D553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D553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D553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D553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D553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D553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D553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D553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553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D553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D553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D553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D553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D553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D553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D553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D553F"/>
    <w:rPr>
      <w:rFonts w:eastAsiaTheme="majorEastAsia" w:cstheme="majorBidi"/>
      <w:color w:val="272727" w:themeColor="text1" w:themeTint="D8"/>
    </w:rPr>
  </w:style>
  <w:style w:type="paragraph" w:styleId="Title">
    <w:name w:val="Title"/>
    <w:basedOn w:val="Normal"/>
    <w:next w:val="Normal"/>
    <w:link w:val="TitleChar"/>
    <w:uiPriority w:val="10"/>
    <w:qFormat/>
    <w:rsid w:val="00CD553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553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D553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D553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D553F"/>
    <w:pPr>
      <w:spacing w:before="160"/>
      <w:jc w:val="center"/>
    </w:pPr>
    <w:rPr>
      <w:i/>
      <w:iCs/>
      <w:color w:val="404040" w:themeColor="text1" w:themeTint="BF"/>
    </w:rPr>
  </w:style>
  <w:style w:type="character" w:customStyle="1" w:styleId="QuoteChar">
    <w:name w:val="Quote Char"/>
    <w:basedOn w:val="DefaultParagraphFont"/>
    <w:link w:val="Quote"/>
    <w:uiPriority w:val="29"/>
    <w:rsid w:val="00CD553F"/>
    <w:rPr>
      <w:i/>
      <w:iCs/>
      <w:color w:val="404040" w:themeColor="text1" w:themeTint="BF"/>
    </w:rPr>
  </w:style>
  <w:style w:type="paragraph" w:styleId="ListParagraph">
    <w:name w:val="List Paragraph"/>
    <w:basedOn w:val="Normal"/>
    <w:uiPriority w:val="34"/>
    <w:qFormat/>
    <w:rsid w:val="00CD553F"/>
    <w:pPr>
      <w:ind w:left="720"/>
      <w:contextualSpacing/>
    </w:pPr>
  </w:style>
  <w:style w:type="character" w:styleId="IntenseEmphasis">
    <w:name w:val="Intense Emphasis"/>
    <w:basedOn w:val="DefaultParagraphFont"/>
    <w:uiPriority w:val="21"/>
    <w:qFormat/>
    <w:rsid w:val="00CD553F"/>
    <w:rPr>
      <w:i/>
      <w:iCs/>
      <w:color w:val="0F4761" w:themeColor="accent1" w:themeShade="BF"/>
    </w:rPr>
  </w:style>
  <w:style w:type="paragraph" w:styleId="IntenseQuote">
    <w:name w:val="Intense Quote"/>
    <w:basedOn w:val="Normal"/>
    <w:next w:val="Normal"/>
    <w:link w:val="IntenseQuoteChar"/>
    <w:uiPriority w:val="30"/>
    <w:qFormat/>
    <w:rsid w:val="00CD553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D553F"/>
    <w:rPr>
      <w:i/>
      <w:iCs/>
      <w:color w:val="0F4761" w:themeColor="accent1" w:themeShade="BF"/>
    </w:rPr>
  </w:style>
  <w:style w:type="character" w:styleId="IntenseReference">
    <w:name w:val="Intense Reference"/>
    <w:basedOn w:val="DefaultParagraphFont"/>
    <w:uiPriority w:val="32"/>
    <w:qFormat/>
    <w:rsid w:val="00CD553F"/>
    <w:rPr>
      <w:b/>
      <w:bCs/>
      <w:smallCaps/>
      <w:color w:val="0F4761" w:themeColor="accent1" w:themeShade="BF"/>
      <w:spacing w:val="5"/>
    </w:rPr>
  </w:style>
  <w:style w:type="paragraph" w:styleId="Header">
    <w:name w:val="header"/>
    <w:basedOn w:val="Normal"/>
    <w:link w:val="HeaderChar"/>
    <w:uiPriority w:val="99"/>
    <w:unhideWhenUsed/>
    <w:rsid w:val="00CD55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553F"/>
  </w:style>
  <w:style w:type="paragraph" w:styleId="Footer">
    <w:name w:val="footer"/>
    <w:basedOn w:val="Normal"/>
    <w:link w:val="FooterChar"/>
    <w:uiPriority w:val="99"/>
    <w:unhideWhenUsed/>
    <w:rsid w:val="00CD55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55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757</Words>
  <Characters>4317</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Tahira Aziz (2216458)</dc:creator>
  <cp:keywords/>
  <dc:description/>
  <cp:lastModifiedBy>Tahira Aziz (2216458)</cp:lastModifiedBy>
  <cp:revision>2</cp:revision>
  <dcterms:created xsi:type="dcterms:W3CDTF">2026-10-11T20:47:00Z</dcterms:created>
  <dcterms:modified xsi:type="dcterms:W3CDTF">2026-10-11T22:16:00Z</dcterms:modified>
</cp:coreProperties>
</file>