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4151" w14:textId="2C205878" w:rsidR="00871D12" w:rsidRDefault="00871D12" w:rsidP="00871D12">
      <w:pPr>
        <w:jc w:val="center"/>
        <w:rPr>
          <w:b/>
          <w:bCs/>
        </w:rPr>
      </w:pPr>
      <w:r>
        <w:rPr>
          <w:b/>
          <w:bCs/>
        </w:rPr>
        <w:t>BMHP 5022 - WEEK 6</w:t>
      </w:r>
    </w:p>
    <w:p w14:paraId="208F8B78" w14:textId="77777777" w:rsidR="00871D12" w:rsidRDefault="00871D12" w:rsidP="00871D12">
      <w:pPr>
        <w:jc w:val="both"/>
      </w:pPr>
      <w:r>
        <w:rPr>
          <w:b/>
          <w:bCs/>
        </w:rPr>
        <w:t xml:space="preserve">Health outcomes: </w:t>
      </w:r>
      <w:r>
        <w:t>health economics is a discipline that answers questions like:</w:t>
      </w:r>
    </w:p>
    <w:p w14:paraId="3DE636B0" w14:textId="77777777" w:rsidR="00871D12" w:rsidRDefault="00871D12" w:rsidP="00871D12">
      <w:pPr>
        <w:pStyle w:val="ListParagraph"/>
        <w:numPr>
          <w:ilvl w:val="0"/>
          <w:numId w:val="1"/>
        </w:numPr>
        <w:jc w:val="both"/>
      </w:pPr>
      <w:r w:rsidRPr="00D6581C">
        <w:t>How much of society’s scarce resources (i.e. inputs) should be devoted to the production of health?</w:t>
      </w:r>
    </w:p>
    <w:p w14:paraId="43CCCB57" w14:textId="77777777" w:rsidR="00871D12" w:rsidRDefault="00871D12" w:rsidP="00871D12">
      <w:pPr>
        <w:pStyle w:val="ListParagraph"/>
        <w:numPr>
          <w:ilvl w:val="0"/>
          <w:numId w:val="1"/>
        </w:numPr>
        <w:jc w:val="both"/>
      </w:pPr>
      <w:r w:rsidRPr="00D6581C">
        <w:t>How should health goods and services (i.e. outputs) be distributed?</w:t>
      </w:r>
    </w:p>
    <w:p w14:paraId="22A1946F" w14:textId="77777777" w:rsidR="00871D12" w:rsidRDefault="00871D12" w:rsidP="00871D12">
      <w:pPr>
        <w:pStyle w:val="ListParagraph"/>
        <w:numPr>
          <w:ilvl w:val="0"/>
          <w:numId w:val="1"/>
        </w:numPr>
        <w:jc w:val="both"/>
      </w:pPr>
      <w:r w:rsidRPr="00D6581C">
        <w:t>These questions incorporate recognised economic terms (scarce resources, inputs, production, goods, services, outputs)</w:t>
      </w:r>
    </w:p>
    <w:p w14:paraId="2BC83945" w14:textId="77777777" w:rsidR="00871D12" w:rsidRDefault="00871D12" w:rsidP="00871D12">
      <w:pPr>
        <w:jc w:val="both"/>
      </w:pPr>
      <w:r>
        <w:t xml:space="preserve">But it also answer questions like: </w:t>
      </w:r>
    </w:p>
    <w:p w14:paraId="3B49E8D4" w14:textId="77777777" w:rsidR="00871D12" w:rsidRPr="00E902C5" w:rsidRDefault="00871D12" w:rsidP="00871D12">
      <w:pPr>
        <w:pStyle w:val="ListParagraph"/>
        <w:numPr>
          <w:ilvl w:val="0"/>
          <w:numId w:val="2"/>
        </w:numPr>
        <w:jc w:val="both"/>
      </w:pPr>
      <w:r w:rsidRPr="00E902C5">
        <w:t>What is the best way of treating people with type 2 diabetes?</w:t>
      </w:r>
    </w:p>
    <w:p w14:paraId="1D75E1E9" w14:textId="77777777" w:rsidR="00871D12" w:rsidRDefault="00871D12" w:rsidP="00871D12">
      <w:pPr>
        <w:pStyle w:val="ListParagraph"/>
        <w:numPr>
          <w:ilvl w:val="0"/>
          <w:numId w:val="2"/>
        </w:numPr>
        <w:jc w:val="both"/>
      </w:pPr>
      <w:r w:rsidRPr="00E902C5">
        <w:t>Should we introduce a national programme to screen for prostate cancer?</w:t>
      </w:r>
    </w:p>
    <w:p w14:paraId="32ED187E" w14:textId="77777777" w:rsidR="00441B10" w:rsidRDefault="00871D12" w:rsidP="00871D12">
      <w:pPr>
        <w:jc w:val="both"/>
      </w:pPr>
      <w:r>
        <w:t xml:space="preserve">These questions appear to be more clinical/political questions, not economic ones. These decisions are regularly made without seeking the assistance of economists. However, these could also be considered economic questions. </w:t>
      </w:r>
    </w:p>
    <w:p w14:paraId="10CDE6DE" w14:textId="166A5E78" w:rsidR="007915CC" w:rsidRDefault="00871D12" w:rsidP="00256C97">
      <w:pPr>
        <w:jc w:val="both"/>
        <w:rPr>
          <w:b/>
          <w:bCs/>
        </w:rPr>
      </w:pPr>
      <w:r>
        <w:t xml:space="preserve">In fact, a health economist need to evaluate overall </w:t>
      </w:r>
      <w:r>
        <w:rPr>
          <w:b/>
          <w:bCs/>
        </w:rPr>
        <w:t xml:space="preserve">cost/benefits </w:t>
      </w:r>
      <w:r>
        <w:t>for example what is the most cost-effective way of treating people with type 2 diabetes? Do the benefits of introducing the screening programme outweigh the costs? For example, imagine that the new drug ‘</w:t>
      </w:r>
      <w:proofErr w:type="spellStart"/>
      <w:r>
        <w:t>Alzaroprate</w:t>
      </w:r>
      <w:proofErr w:type="spellEnd"/>
      <w:r>
        <w:t xml:space="preserve">’ has been launched for the treatment of depression. It is more expensive than existing treatments, like Prozac or Citalopram, but the available clinical data suggest that it works better. </w:t>
      </w:r>
      <w:r>
        <w:rPr>
          <w:b/>
          <w:bCs/>
        </w:rPr>
        <w:t xml:space="preserve">Should </w:t>
      </w:r>
      <w:proofErr w:type="spellStart"/>
      <w:r>
        <w:rPr>
          <w:b/>
          <w:bCs/>
        </w:rPr>
        <w:t>Alzaroprate</w:t>
      </w:r>
      <w:proofErr w:type="spellEnd"/>
      <w:r>
        <w:rPr>
          <w:b/>
          <w:bCs/>
        </w:rPr>
        <w:t xml:space="preserve"> be prescribed for all people living with depression instead of the alternatives? How do you think a health economist would approach this decision? What would they need to take into consideration? </w:t>
      </w:r>
    </w:p>
    <w:p w14:paraId="44D133F4" w14:textId="77777777" w:rsidR="00256C97" w:rsidRDefault="00256C97" w:rsidP="00256C97">
      <w:pPr>
        <w:jc w:val="both"/>
      </w:pPr>
    </w:p>
    <w:p w14:paraId="717163FE" w14:textId="20950EBB" w:rsidR="00FF76FC" w:rsidRPr="00FF76FC" w:rsidRDefault="00DC7E7C" w:rsidP="00FF76FC">
      <w:pPr>
        <w:jc w:val="both"/>
      </w:pPr>
      <w:r w:rsidRPr="00DC7E7C">
        <w:rPr>
          <w:b/>
          <w:bCs/>
        </w:rPr>
        <w:t xml:space="preserve">Health outcomes: </w:t>
      </w:r>
      <w:r w:rsidR="00FF76FC" w:rsidRPr="00FF76FC">
        <w:t>A key concept that would need to be taken into consideration is that of, ‘</w:t>
      </w:r>
      <w:r w:rsidR="00FF76FC" w:rsidRPr="00FF76FC">
        <w:rPr>
          <w:b/>
          <w:bCs/>
        </w:rPr>
        <w:t>health outcomes’</w:t>
      </w:r>
      <w:r w:rsidR="00FF76FC" w:rsidRPr="00FF76FC">
        <w:t xml:space="preserve">, </w:t>
      </w:r>
      <w:r w:rsidR="00256C97">
        <w:t>like</w:t>
      </w:r>
      <w:r w:rsidR="00FF76FC" w:rsidRPr="00FF76FC">
        <w:t xml:space="preserve"> the results of healthcare interventions (on a person’s health)</w:t>
      </w:r>
      <w:r w:rsidR="00FF76FC">
        <w:t xml:space="preserve">. </w:t>
      </w:r>
      <w:r w:rsidR="00FF76FC" w:rsidRPr="00FF76FC">
        <w:t xml:space="preserve">The evaluation of the relationship between healthcare interventions (such as </w:t>
      </w:r>
      <w:proofErr w:type="spellStart"/>
      <w:r w:rsidR="00FF76FC" w:rsidRPr="00FF76FC">
        <w:t>Alzaroprate</w:t>
      </w:r>
      <w:proofErr w:type="spellEnd"/>
      <w:r w:rsidR="00FF76FC" w:rsidRPr="00FF76FC">
        <w:t>) on health outcomes requires systems of measurement</w:t>
      </w:r>
      <w:r w:rsidR="00FF76FC">
        <w:t xml:space="preserve">. </w:t>
      </w:r>
      <w:r w:rsidR="00FF76FC" w:rsidRPr="00FF76FC">
        <w:t xml:space="preserve"> </w:t>
      </w:r>
    </w:p>
    <w:p w14:paraId="70BEF982" w14:textId="54AA8EA3" w:rsidR="00903627" w:rsidRDefault="00E21F74" w:rsidP="00E21F74">
      <w:pPr>
        <w:jc w:val="both"/>
      </w:pPr>
      <w:r w:rsidRPr="00E21F74">
        <w:t>Health outcomes refer to the changes in health that result from various factors, such as medical treatments, lifestyle choices, environmental conditions, or social determinants. These outcomes can be positive, such as improvements in physical or mental health, or negative, such as the development of diseases or complications.</w:t>
      </w:r>
    </w:p>
    <w:p w14:paraId="4971E8BE" w14:textId="77777777" w:rsidR="00DC7E7C" w:rsidRPr="00DC7E7C" w:rsidRDefault="00DC7E7C" w:rsidP="00DC7E7C">
      <w:pPr>
        <w:jc w:val="both"/>
      </w:pPr>
      <w:r w:rsidRPr="00DC7E7C">
        <w:t>Some common types of health outcomes include:</w:t>
      </w:r>
    </w:p>
    <w:p w14:paraId="31FAA7FA" w14:textId="77777777" w:rsidR="00DC7E7C" w:rsidRPr="00DC7E7C" w:rsidRDefault="00DC7E7C" w:rsidP="00DC7E7C">
      <w:pPr>
        <w:numPr>
          <w:ilvl w:val="0"/>
          <w:numId w:val="5"/>
        </w:numPr>
        <w:jc w:val="both"/>
      </w:pPr>
      <w:r w:rsidRPr="00DC7E7C">
        <w:rPr>
          <w:b/>
          <w:bCs/>
        </w:rPr>
        <w:t>Mortality rates</w:t>
      </w:r>
      <w:r w:rsidRPr="00DC7E7C">
        <w:t>: The number of deaths in a population or from specific causes.</w:t>
      </w:r>
    </w:p>
    <w:p w14:paraId="780AEB52" w14:textId="77777777" w:rsidR="00DC7E7C" w:rsidRPr="00DC7E7C" w:rsidRDefault="00DC7E7C" w:rsidP="00DC7E7C">
      <w:pPr>
        <w:numPr>
          <w:ilvl w:val="0"/>
          <w:numId w:val="5"/>
        </w:numPr>
        <w:jc w:val="both"/>
      </w:pPr>
      <w:r w:rsidRPr="00DC7E7C">
        <w:rPr>
          <w:b/>
          <w:bCs/>
        </w:rPr>
        <w:t>Morbidity rates</w:t>
      </w:r>
      <w:r w:rsidRPr="00DC7E7C">
        <w:t>: The prevalence of disease or illness within a population.</w:t>
      </w:r>
    </w:p>
    <w:p w14:paraId="55F2B042" w14:textId="77777777" w:rsidR="00DC7E7C" w:rsidRPr="00DC7E7C" w:rsidRDefault="00DC7E7C" w:rsidP="00DC7E7C">
      <w:pPr>
        <w:numPr>
          <w:ilvl w:val="0"/>
          <w:numId w:val="5"/>
        </w:numPr>
        <w:jc w:val="both"/>
      </w:pPr>
      <w:r w:rsidRPr="00DC7E7C">
        <w:rPr>
          <w:b/>
          <w:bCs/>
        </w:rPr>
        <w:t>Quality of life</w:t>
      </w:r>
      <w:r w:rsidRPr="00DC7E7C">
        <w:t>: How individuals perceive their well-being, which includes physical, emotional, and social factors.</w:t>
      </w:r>
    </w:p>
    <w:p w14:paraId="5A60BD66" w14:textId="77777777" w:rsidR="00DC7E7C" w:rsidRPr="00DC7E7C" w:rsidRDefault="00DC7E7C" w:rsidP="00DC7E7C">
      <w:pPr>
        <w:numPr>
          <w:ilvl w:val="0"/>
          <w:numId w:val="5"/>
        </w:numPr>
        <w:jc w:val="both"/>
      </w:pPr>
      <w:r w:rsidRPr="00DC7E7C">
        <w:rPr>
          <w:b/>
          <w:bCs/>
        </w:rPr>
        <w:t>Disability-adjusted life years (DALYs)</w:t>
      </w:r>
      <w:r w:rsidRPr="00DC7E7C">
        <w:t>: A measure that combines years of life lost due to premature death and years lived with disability.</w:t>
      </w:r>
    </w:p>
    <w:p w14:paraId="6AC680B1" w14:textId="3E6C8D93" w:rsidR="00151BF9" w:rsidRDefault="00DC7E7C" w:rsidP="005B15BC">
      <w:pPr>
        <w:numPr>
          <w:ilvl w:val="0"/>
          <w:numId w:val="5"/>
        </w:numPr>
        <w:jc w:val="both"/>
      </w:pPr>
      <w:r w:rsidRPr="00DC7E7C">
        <w:rPr>
          <w:b/>
          <w:bCs/>
        </w:rPr>
        <w:t>Life expectancy</w:t>
      </w:r>
      <w:r w:rsidRPr="00DC7E7C">
        <w:t>: The average number of years a person is expected to live, based on current mortality rates.</w:t>
      </w:r>
    </w:p>
    <w:p w14:paraId="7C3F87EE" w14:textId="77777777" w:rsidR="005B15BC" w:rsidRPr="005B15BC" w:rsidRDefault="005B15BC" w:rsidP="005B15BC">
      <w:pPr>
        <w:jc w:val="both"/>
      </w:pPr>
    </w:p>
    <w:p w14:paraId="2320B543" w14:textId="665A6D67" w:rsidR="00416E7C" w:rsidRPr="00416E7C" w:rsidRDefault="00151BF9" w:rsidP="00416E7C">
      <w:pPr>
        <w:jc w:val="both"/>
      </w:pPr>
      <w:r w:rsidRPr="00D34B7C">
        <w:rPr>
          <w:b/>
          <w:bCs/>
        </w:rPr>
        <w:t>Improved quality of life (Q</w:t>
      </w:r>
      <w:r w:rsidR="00D34B7C" w:rsidRPr="00D34B7C">
        <w:rPr>
          <w:b/>
          <w:bCs/>
        </w:rPr>
        <w:t>ALY</w:t>
      </w:r>
      <w:r w:rsidR="00D34B7C" w:rsidRPr="00416E7C">
        <w:t>):</w:t>
      </w:r>
      <w:r w:rsidR="00416E7C" w:rsidRPr="00416E7C">
        <w:t xml:space="preserve"> Various elements are taken into consideration, with health outcomes often expressed in terms of: </w:t>
      </w:r>
    </w:p>
    <w:p w14:paraId="7519F4DA" w14:textId="38D69F2F" w:rsidR="00416E7C" w:rsidRDefault="00416E7C" w:rsidP="001766DA">
      <w:pPr>
        <w:pStyle w:val="ListParagraph"/>
        <w:numPr>
          <w:ilvl w:val="0"/>
          <w:numId w:val="7"/>
        </w:numPr>
        <w:jc w:val="both"/>
      </w:pPr>
      <w:r w:rsidRPr="00416E7C">
        <w:t>people living longer, that is, ‘adding years to life’</w:t>
      </w:r>
    </w:p>
    <w:p w14:paraId="70275C7E" w14:textId="6498F70E" w:rsidR="001766DA" w:rsidRPr="00DC7E7C" w:rsidRDefault="001766DA" w:rsidP="001766DA">
      <w:pPr>
        <w:pStyle w:val="ListParagraph"/>
        <w:numPr>
          <w:ilvl w:val="0"/>
          <w:numId w:val="7"/>
        </w:numPr>
        <w:jc w:val="both"/>
      </w:pPr>
      <w:r w:rsidRPr="001766DA">
        <w:t>improved quality of life (QoL), that is, ‘adding life to years</w:t>
      </w:r>
    </w:p>
    <w:p w14:paraId="44E73BF0" w14:textId="582CF97C" w:rsidR="00367382" w:rsidRDefault="00367382" w:rsidP="00367382">
      <w:pPr>
        <w:jc w:val="both"/>
      </w:pPr>
      <w:r w:rsidRPr="00367382">
        <w:t>Because the new drug might help reduce the depression, but might also allow the person to resume normal activities sooner than with other treatments, so might lead to improved mobility and socialising, an earlier return to work, greater emotional wellbeing</w:t>
      </w:r>
      <w:r>
        <w:t>.</w:t>
      </w:r>
    </w:p>
    <w:p w14:paraId="77AD5583" w14:textId="1D2C3B2F" w:rsidR="00F84AF1" w:rsidRPr="00F84AF1" w:rsidRDefault="000E6E4E" w:rsidP="00F84AF1">
      <w:pPr>
        <w:jc w:val="both"/>
      </w:pPr>
      <w:r w:rsidRPr="000E6E4E">
        <w:t>Quality of life can be measures using instruments such as the</w:t>
      </w:r>
      <w:r w:rsidRPr="000E6E4E">
        <w:rPr>
          <w:i/>
          <w:iCs/>
        </w:rPr>
        <w:t xml:space="preserve"> </w:t>
      </w:r>
      <w:r w:rsidRPr="000E6E4E">
        <w:rPr>
          <w:b/>
          <w:bCs/>
          <w:i/>
          <w:iCs/>
        </w:rPr>
        <w:t>36-Item Short Form Survey Instrument (SF-36)</w:t>
      </w:r>
      <w:r>
        <w:rPr>
          <w:b/>
          <w:bCs/>
          <w:i/>
          <w:iCs/>
        </w:rPr>
        <w:t xml:space="preserve">. </w:t>
      </w:r>
      <w:r w:rsidR="00EC2AEB" w:rsidRPr="00EC2AEB">
        <w:t>Various related factors are combined by health economists into one measure: health-related quality of life (</w:t>
      </w:r>
      <w:proofErr w:type="spellStart"/>
      <w:r w:rsidR="00EC2AEB" w:rsidRPr="00EC2AEB">
        <w:t>HRQoL</w:t>
      </w:r>
      <w:proofErr w:type="spellEnd"/>
      <w:r w:rsidR="00EC2AEB" w:rsidRPr="00EC2AEB">
        <w:t>)</w:t>
      </w:r>
      <w:r w:rsidR="00EC2AEB">
        <w:t>.</w:t>
      </w:r>
      <w:r w:rsidR="00F84AF1">
        <w:t xml:space="preserve"> </w:t>
      </w:r>
      <w:r w:rsidR="00F84AF1" w:rsidRPr="00F84AF1">
        <w:t xml:space="preserve">A value for the </w:t>
      </w:r>
      <w:r w:rsidR="00F84AF1" w:rsidRPr="00F84AF1">
        <w:rPr>
          <w:i/>
          <w:iCs/>
        </w:rPr>
        <w:t xml:space="preserve">quality </w:t>
      </w:r>
      <w:r w:rsidR="00F84AF1" w:rsidRPr="00F84AF1">
        <w:t xml:space="preserve">of life can be combined with the </w:t>
      </w:r>
      <w:r w:rsidR="00F84AF1" w:rsidRPr="00F84AF1">
        <w:rPr>
          <w:i/>
          <w:iCs/>
        </w:rPr>
        <w:t>quantity</w:t>
      </w:r>
      <w:r w:rsidR="00F84AF1" w:rsidRPr="00F84AF1">
        <w:t xml:space="preserve"> of life generated by the treatment: this results in measures such as the </w:t>
      </w:r>
      <w:r w:rsidR="00F84AF1" w:rsidRPr="00F84AF1">
        <w:rPr>
          <w:b/>
          <w:bCs/>
        </w:rPr>
        <w:t xml:space="preserve">Quality-Adjusted Life Year (QALY) </w:t>
      </w:r>
      <w:r w:rsidR="00F84AF1" w:rsidRPr="00F84AF1">
        <w:t>(the preferred outcome measure of NICE): this involves applying weights to the clinical outcomes a treatment confers that reflect the preferences for the quality of life being experienced by the patient.</w:t>
      </w:r>
    </w:p>
    <w:p w14:paraId="25FD1042" w14:textId="77777777" w:rsidR="00F52C56" w:rsidRDefault="00EC2AEB" w:rsidP="00F52C56">
      <w:pPr>
        <w:jc w:val="both"/>
      </w:pPr>
      <w:r w:rsidRPr="00EC2AEB">
        <w:t xml:space="preserve"> </w:t>
      </w:r>
    </w:p>
    <w:p w14:paraId="5D1CF2B7" w14:textId="2BB60AF0" w:rsidR="00B138FD" w:rsidRPr="00B138FD" w:rsidRDefault="00FF1A74" w:rsidP="00B138FD">
      <w:pPr>
        <w:jc w:val="both"/>
      </w:pPr>
      <w:r w:rsidRPr="00FF1A74">
        <w:t>The QALY is commonly used in health economic evaluations as a means of quantifying the health effect of a medical intervention or a prevention program and ultimately to help payers allocate healthcare resources.</w:t>
      </w:r>
      <w:r>
        <w:t xml:space="preserve"> </w:t>
      </w:r>
      <w:r w:rsidRPr="00FF1A74">
        <w:t>The QALY can be calculated using the following formula which assumes a utility value (quality of life) between 1 = perfect health and 0 = dead:</w:t>
      </w:r>
      <w:r w:rsidR="00B138FD">
        <w:t xml:space="preserve"> </w:t>
      </w:r>
      <w:r w:rsidR="00B138FD" w:rsidRPr="00B138FD">
        <w:t>1 Year of Life × 1 Utility Value = 1 QALY</w:t>
      </w:r>
      <w:r w:rsidR="00B138FD">
        <w:t>.</w:t>
      </w:r>
    </w:p>
    <w:p w14:paraId="47C80FDC" w14:textId="77777777" w:rsidR="0013048B" w:rsidRPr="0013048B" w:rsidRDefault="00F52C56" w:rsidP="0013048B">
      <w:pPr>
        <w:jc w:val="both"/>
      </w:pPr>
      <w:r w:rsidRPr="00F52C56">
        <w:t>In cost-effectiveness studies (or: health economic evaluations) the QALY is used to quantify the effectiveness of, for instance, a new medicine versus the current one. In other words, the current standard of care is taken as the baseline, and the QALYs gained from the new (improved) intervention are counted in addition.</w:t>
      </w:r>
      <w:r w:rsidR="0013048B">
        <w:t xml:space="preserve"> </w:t>
      </w:r>
      <w:r w:rsidR="0013048B" w:rsidRPr="0013048B">
        <w:t>The beauty of the QALY therefore is that it allows you to compare the health effect of a new cancer therapy with the health effect of a new anti-depressant (or with any other medical intervention).</w:t>
      </w:r>
    </w:p>
    <w:p w14:paraId="0F1F983B" w14:textId="61153B51" w:rsidR="00F52C56" w:rsidRDefault="00F52C56" w:rsidP="00F52C56">
      <w:pPr>
        <w:jc w:val="both"/>
      </w:pPr>
    </w:p>
    <w:p w14:paraId="587CFA59" w14:textId="1A1F37C8" w:rsidR="00B170D5" w:rsidRPr="00B170D5" w:rsidRDefault="00F37874" w:rsidP="00B170D5">
      <w:pPr>
        <w:jc w:val="both"/>
      </w:pPr>
      <w:r w:rsidRPr="00B170D5">
        <w:rPr>
          <w:b/>
          <w:bCs/>
        </w:rPr>
        <w:t>Economic appraisal techniques:</w:t>
      </w:r>
      <w:r w:rsidR="00522160">
        <w:t xml:space="preserve"> </w:t>
      </w:r>
      <w:r w:rsidR="00522160" w:rsidRPr="00522160">
        <w:t xml:space="preserve">economic appraisal techniques are concerned with examining interventions by comparing the resources needed (costs) with the effects produced (benefits). </w:t>
      </w:r>
      <w:r w:rsidR="00B170D5" w:rsidRPr="00B170D5">
        <w:t>The broad umbrella of this cost-benefit approach includes (amongst others): cost-effectiveness analysis; cost-minimization analysis; cost-utility analysis</w:t>
      </w:r>
      <w:r w:rsidR="00B170D5">
        <w:t>.</w:t>
      </w:r>
      <w:r w:rsidR="00B170D5" w:rsidRPr="00B170D5">
        <w:t xml:space="preserve"> </w:t>
      </w:r>
    </w:p>
    <w:p w14:paraId="0B98D057" w14:textId="77777777" w:rsidR="0071525D" w:rsidRPr="0071525D" w:rsidRDefault="0071525D" w:rsidP="0071525D">
      <w:pPr>
        <w:numPr>
          <w:ilvl w:val="0"/>
          <w:numId w:val="11"/>
        </w:numPr>
        <w:jc w:val="both"/>
      </w:pPr>
      <w:r w:rsidRPr="0071525D">
        <w:rPr>
          <w:b/>
          <w:bCs/>
        </w:rPr>
        <w:t>Cost minimization analysis</w:t>
      </w:r>
      <w:r w:rsidRPr="0071525D">
        <w:t>: an economic evaluation in which the consequences associated with the competing interventions are the same and in which only the inputs (i.e. the costs) are taken into consideration.  The aim is to decide the least costly way of achieving the same outcome.</w:t>
      </w:r>
    </w:p>
    <w:p w14:paraId="007D5387" w14:textId="77777777" w:rsidR="0071525D" w:rsidRPr="0071525D" w:rsidRDefault="0071525D" w:rsidP="0071525D">
      <w:pPr>
        <w:numPr>
          <w:ilvl w:val="0"/>
          <w:numId w:val="11"/>
        </w:numPr>
        <w:jc w:val="both"/>
      </w:pPr>
      <w:r w:rsidRPr="0071525D">
        <w:rPr>
          <w:b/>
          <w:bCs/>
        </w:rPr>
        <w:t>Cost-effectiveness analysis</w:t>
      </w:r>
      <w:r w:rsidRPr="0071525D">
        <w:t>: an economic evaluation in which the costs and consequences of alternative interventions are expressed as cost per unit of health outcome.  Cost-effectiveness analysis is often used to determine technical efficiency, i.e. comparison of costs and consequences of competing interventions for a given patient group within a given budget</w:t>
      </w:r>
    </w:p>
    <w:p w14:paraId="62FA252D" w14:textId="77777777" w:rsidR="0071525D" w:rsidRPr="0071525D" w:rsidRDefault="0071525D" w:rsidP="0071525D">
      <w:pPr>
        <w:numPr>
          <w:ilvl w:val="0"/>
          <w:numId w:val="11"/>
        </w:numPr>
        <w:jc w:val="both"/>
      </w:pPr>
      <w:r w:rsidRPr="0071525D">
        <w:rPr>
          <w:b/>
          <w:bCs/>
        </w:rPr>
        <w:t>Cost utility analysis</w:t>
      </w:r>
      <w:r w:rsidRPr="0071525D">
        <w:t xml:space="preserve">: a form of economic study design in which interventions which produce different consequences, in terms of both quantity and quality of life, are expressed as ‘utilities’.  A </w:t>
      </w:r>
      <w:proofErr w:type="spellStart"/>
      <w:r w:rsidRPr="0071525D">
        <w:t>well known</w:t>
      </w:r>
      <w:proofErr w:type="spellEnd"/>
      <w:r w:rsidRPr="0071525D">
        <w:t xml:space="preserve"> utility is the ‘quality-adjusted life year’, or QALY.  In this case, competing interventions are compared in terms of cost per utility (cost per QALY). </w:t>
      </w:r>
    </w:p>
    <w:p w14:paraId="5B86C82C" w14:textId="4D9D03AB" w:rsidR="00F52C56" w:rsidRDefault="00F52C56" w:rsidP="00522160">
      <w:pPr>
        <w:jc w:val="both"/>
      </w:pPr>
    </w:p>
    <w:p w14:paraId="6FEF00D3" w14:textId="0CC5BF1B" w:rsidR="000E6E4E" w:rsidRPr="000E6E4E" w:rsidRDefault="00012157" w:rsidP="00B22597">
      <w:pPr>
        <w:jc w:val="both"/>
      </w:pPr>
      <w:r w:rsidRPr="00012157">
        <w:t xml:space="preserve">The </w:t>
      </w:r>
      <w:r w:rsidRPr="00012157">
        <w:rPr>
          <w:b/>
          <w:bCs/>
        </w:rPr>
        <w:t>Barnett formula</w:t>
      </w:r>
      <w:r w:rsidRPr="00012157">
        <w:t xml:space="preserve"> is a mechanism used by the Treasury in the United Kingdom to automatically adjust the amounts of public expenditure allocated to Northern Ireland, Scotland and Wales to reflect changes in spending levels allocated to public services in England, Scotland and Wales, as appropriate.</w:t>
      </w:r>
      <w:r w:rsidR="00B22597">
        <w:t xml:space="preserve"> </w:t>
      </w:r>
      <w:r w:rsidR="00B22597" w:rsidRPr="00B22597">
        <w:t>The Barnett formula primarily calculates the annual change in the "block grant" provided by the UK government to the devolved administrations. It aims to provide each devolved nation with a broadly equivalent per-person change in funding as that applied to comparable services in England.</w:t>
      </w:r>
    </w:p>
    <w:p w14:paraId="4120B5EC" w14:textId="77777777" w:rsidR="00EE26C4" w:rsidRPr="00EE26C4" w:rsidRDefault="00EE26C4" w:rsidP="00EE26C4">
      <w:pPr>
        <w:jc w:val="both"/>
      </w:pPr>
      <w:r w:rsidRPr="00EE26C4">
        <w:rPr>
          <w:b/>
          <w:bCs/>
        </w:rPr>
        <w:t>Key Features:</w:t>
      </w:r>
    </w:p>
    <w:p w14:paraId="78FFFB79" w14:textId="4B9A15E8" w:rsidR="00EE26C4" w:rsidRPr="00EE26C4" w:rsidRDefault="00EE26C4" w:rsidP="00EE26C4">
      <w:pPr>
        <w:numPr>
          <w:ilvl w:val="0"/>
          <w:numId w:val="14"/>
        </w:numPr>
        <w:jc w:val="both"/>
      </w:pPr>
      <w:r w:rsidRPr="00EE26C4">
        <w:rPr>
          <w:b/>
          <w:bCs/>
        </w:rPr>
        <w:t>Change-Based:</w:t>
      </w:r>
      <w:r w:rsidRPr="00EE26C4">
        <w:t xml:space="preserve"> The formula focuses on the </w:t>
      </w:r>
      <w:r w:rsidRPr="00EE26C4">
        <w:rPr>
          <w:i/>
          <w:iCs/>
        </w:rPr>
        <w:t>change</w:t>
      </w:r>
      <w:r w:rsidRPr="00EE26C4">
        <w:t xml:space="preserve"> in spending, not the overall level of spending. This means it adjusts existing allocations rather than creating them from scratch.</w:t>
      </w:r>
    </w:p>
    <w:p w14:paraId="57014055" w14:textId="2142CF4D" w:rsidR="00EE26C4" w:rsidRPr="00EE26C4" w:rsidRDefault="00EE26C4" w:rsidP="00EE26C4">
      <w:pPr>
        <w:numPr>
          <w:ilvl w:val="0"/>
          <w:numId w:val="14"/>
        </w:numPr>
        <w:jc w:val="both"/>
      </w:pPr>
      <w:r w:rsidRPr="00EE26C4">
        <w:rPr>
          <w:b/>
          <w:bCs/>
        </w:rPr>
        <w:t>Population Proportions:</w:t>
      </w:r>
      <w:r w:rsidRPr="00EE26C4">
        <w:t xml:space="preserve"> The formula uses population data to ensure that funding changes are distributed on a per-person basis.</w:t>
      </w:r>
    </w:p>
    <w:p w14:paraId="3DB0AE78" w14:textId="787C6901" w:rsidR="00EE26C4" w:rsidRPr="00EE26C4" w:rsidRDefault="00EE26C4" w:rsidP="00EE26C4">
      <w:pPr>
        <w:numPr>
          <w:ilvl w:val="0"/>
          <w:numId w:val="14"/>
        </w:numPr>
        <w:jc w:val="both"/>
      </w:pPr>
      <w:r w:rsidRPr="00EE26C4">
        <w:rPr>
          <w:b/>
          <w:bCs/>
        </w:rPr>
        <w:t>Comparability Percentages:</w:t>
      </w:r>
      <w:r w:rsidRPr="00EE26C4">
        <w:t xml:space="preserve"> The formula takes into account the extent to which a UK government department's services are devolved. This is represented by "comparability percentages."</w:t>
      </w:r>
    </w:p>
    <w:p w14:paraId="3E221865" w14:textId="65EBBD13" w:rsidR="00EE26C4" w:rsidRDefault="00B6718E" w:rsidP="00B6718E">
      <w:pPr>
        <w:jc w:val="both"/>
      </w:pPr>
      <w:r>
        <w:t>T</w:t>
      </w:r>
      <w:r w:rsidRPr="00B6718E">
        <w:t>he Barnett formula, while a long-standing mechanism, is rife with controversy.</w:t>
      </w:r>
    </w:p>
    <w:p w14:paraId="64D310A4" w14:textId="02B04345" w:rsidR="000F66E5" w:rsidRPr="000F66E5" w:rsidRDefault="000F66E5" w:rsidP="000F66E5">
      <w:pPr>
        <w:pStyle w:val="ListParagraph"/>
        <w:numPr>
          <w:ilvl w:val="0"/>
          <w:numId w:val="16"/>
        </w:numPr>
        <w:jc w:val="both"/>
      </w:pPr>
      <w:r w:rsidRPr="000F66E5">
        <w:rPr>
          <w:b/>
          <w:bCs/>
        </w:rPr>
        <w:t>Lack of Needs-Based Assessment:</w:t>
      </w:r>
      <w:r>
        <w:rPr>
          <w:b/>
          <w:bCs/>
        </w:rPr>
        <w:t xml:space="preserve"> </w:t>
      </w:r>
      <w:r w:rsidRPr="000F66E5">
        <w:t xml:space="preserve">This is the most prominent criticism. The formula primarily relies on population figures, neglecting the varying needs of each nation. Factors like: </w:t>
      </w:r>
    </w:p>
    <w:p w14:paraId="10325672" w14:textId="77777777" w:rsidR="000F66E5" w:rsidRPr="000F66E5" w:rsidRDefault="000F66E5" w:rsidP="000F66E5">
      <w:pPr>
        <w:numPr>
          <w:ilvl w:val="1"/>
          <w:numId w:val="15"/>
        </w:numPr>
        <w:jc w:val="both"/>
      </w:pPr>
      <w:r w:rsidRPr="000F66E5">
        <w:t>Socio-economic disparities</w:t>
      </w:r>
    </w:p>
    <w:p w14:paraId="762B1858" w14:textId="77777777" w:rsidR="000F66E5" w:rsidRPr="000F66E5" w:rsidRDefault="000F66E5" w:rsidP="000F66E5">
      <w:pPr>
        <w:numPr>
          <w:ilvl w:val="1"/>
          <w:numId w:val="15"/>
        </w:numPr>
        <w:jc w:val="both"/>
      </w:pPr>
      <w:r w:rsidRPr="000F66E5">
        <w:t>Geographical challenges (e.g., rurality, accessibility)</w:t>
      </w:r>
    </w:p>
    <w:p w14:paraId="6E51EC5D" w14:textId="77777777" w:rsidR="000F66E5" w:rsidRPr="000F66E5" w:rsidRDefault="000F66E5" w:rsidP="000F66E5">
      <w:pPr>
        <w:numPr>
          <w:ilvl w:val="1"/>
          <w:numId w:val="15"/>
        </w:numPr>
        <w:jc w:val="both"/>
      </w:pPr>
      <w:r w:rsidRPr="000F66E5">
        <w:t>Differing health needs</w:t>
      </w:r>
    </w:p>
    <w:p w14:paraId="57E5AA7D" w14:textId="77777777" w:rsidR="000F66E5" w:rsidRDefault="000F66E5" w:rsidP="000F66E5">
      <w:pPr>
        <w:numPr>
          <w:ilvl w:val="1"/>
          <w:numId w:val="15"/>
        </w:numPr>
        <w:jc w:val="both"/>
      </w:pPr>
      <w:r w:rsidRPr="000F66E5">
        <w:t>Varying costs of service delivery</w:t>
      </w:r>
    </w:p>
    <w:p w14:paraId="5AC378D8" w14:textId="6AA376D4" w:rsidR="00B6718E" w:rsidRDefault="00112CFD" w:rsidP="00112CFD">
      <w:pPr>
        <w:ind w:left="720"/>
        <w:jc w:val="both"/>
      </w:pPr>
      <w:r w:rsidRPr="00112CFD">
        <w:t>This can lead to situations where a nation with greater needs receives proportionally less funding.</w:t>
      </w:r>
    </w:p>
    <w:p w14:paraId="20AE9C1C" w14:textId="77777777" w:rsidR="00F577B6" w:rsidRPr="00F577B6" w:rsidRDefault="00687FB9" w:rsidP="00F577B6">
      <w:pPr>
        <w:pStyle w:val="ListParagraph"/>
        <w:numPr>
          <w:ilvl w:val="0"/>
          <w:numId w:val="16"/>
        </w:numPr>
        <w:jc w:val="both"/>
        <w:rPr>
          <w:b/>
          <w:bCs/>
        </w:rPr>
      </w:pPr>
      <w:r w:rsidRPr="00687FB9">
        <w:rPr>
          <w:b/>
          <w:bCs/>
        </w:rPr>
        <w:t>Historical Inequities:</w:t>
      </w:r>
      <w:r>
        <w:rPr>
          <w:b/>
          <w:bCs/>
        </w:rPr>
        <w:t xml:space="preserve"> </w:t>
      </w:r>
      <w:r w:rsidRPr="00687FB9">
        <w:t>The formula perpetuates historical spending patterns. Because it works on incremental changes, it preserves existing disparities in per-capita funding. This means that if one nation historically received more funding, that advantage tends to continue.</w:t>
      </w:r>
    </w:p>
    <w:p w14:paraId="75BA6D83" w14:textId="77777777" w:rsidR="001A38FD" w:rsidRPr="001A38FD" w:rsidRDefault="00F577B6" w:rsidP="001A38FD">
      <w:pPr>
        <w:pStyle w:val="ListParagraph"/>
        <w:numPr>
          <w:ilvl w:val="0"/>
          <w:numId w:val="16"/>
        </w:numPr>
        <w:jc w:val="both"/>
        <w:rPr>
          <w:b/>
          <w:bCs/>
        </w:rPr>
      </w:pPr>
      <w:r w:rsidRPr="00F577B6">
        <w:rPr>
          <w:rFonts w:eastAsia="Times New Roman" w:cs="Times New Roman"/>
          <w:b/>
          <w:bCs/>
          <w:kern w:val="0"/>
          <w14:ligatures w14:val="none"/>
        </w:rPr>
        <w:t>Transparency and Accountability:</w:t>
      </w:r>
      <w:r>
        <w:rPr>
          <w:rFonts w:ascii="Times New Roman" w:eastAsia="Times New Roman" w:hAnsi="Times New Roman" w:cs="Times New Roman"/>
          <w:b/>
          <w:bCs/>
          <w:kern w:val="0"/>
          <w14:ligatures w14:val="none"/>
        </w:rPr>
        <w:t xml:space="preserve"> </w:t>
      </w:r>
      <w:r w:rsidRPr="00F577B6">
        <w:rPr>
          <w:rFonts w:eastAsia="Times New Roman" w:cs="Times New Roman"/>
          <w:kern w:val="0"/>
          <w14:ligatures w14:val="none"/>
        </w:rPr>
        <w:t>Critics argue that the formula lacks transparency. The way comparability percentages are determined, and the UK Treasury's ability to bypass the formula for specific projects, can lead to perceptions of unfairness.   Also the fact that the formula is not statutory, means that it can be changed at the whim of the treasury</w:t>
      </w:r>
      <w:r w:rsidR="001A38FD">
        <w:rPr>
          <w:rFonts w:eastAsia="Times New Roman" w:cs="Times New Roman"/>
          <w:kern w:val="0"/>
          <w14:ligatures w14:val="none"/>
        </w:rPr>
        <w:t>.</w:t>
      </w:r>
    </w:p>
    <w:p w14:paraId="674949C4" w14:textId="77777777" w:rsidR="00D74C35" w:rsidRPr="00D74C35" w:rsidRDefault="001A38FD" w:rsidP="00D74C35">
      <w:pPr>
        <w:pStyle w:val="ListParagraph"/>
        <w:numPr>
          <w:ilvl w:val="0"/>
          <w:numId w:val="16"/>
        </w:numPr>
        <w:jc w:val="both"/>
        <w:rPr>
          <w:b/>
          <w:bCs/>
        </w:rPr>
      </w:pPr>
      <w:r w:rsidRPr="001A38FD">
        <w:rPr>
          <w:rFonts w:eastAsia="Times New Roman" w:cs="Times New Roman"/>
          <w:b/>
          <w:bCs/>
          <w:kern w:val="0"/>
          <w14:ligatures w14:val="none"/>
        </w:rPr>
        <w:t xml:space="preserve">Population Changes: </w:t>
      </w:r>
      <w:r w:rsidRPr="001A38FD">
        <w:rPr>
          <w:rFonts w:eastAsia="Times New Roman" w:cs="Times New Roman"/>
          <w:kern w:val="0"/>
          <w14:ligatures w14:val="none"/>
        </w:rPr>
        <w:t xml:space="preserve">The formula can be slow to respond to changes in relative population size, which can result in unfair funding distribution. </w:t>
      </w:r>
    </w:p>
    <w:p w14:paraId="068BC910" w14:textId="77777777" w:rsidR="00D74C35" w:rsidRPr="00D74C35" w:rsidRDefault="00D74C35" w:rsidP="00D74C35">
      <w:pPr>
        <w:pStyle w:val="ListParagraph"/>
        <w:numPr>
          <w:ilvl w:val="0"/>
          <w:numId w:val="16"/>
        </w:numPr>
        <w:jc w:val="both"/>
        <w:rPr>
          <w:b/>
          <w:bCs/>
        </w:rPr>
      </w:pPr>
      <w:r w:rsidRPr="00D74C35">
        <w:rPr>
          <w:rFonts w:eastAsia="Times New Roman" w:cs="Arial"/>
          <w:color w:val="202122"/>
          <w:kern w:val="0"/>
          <w14:ligatures w14:val="none"/>
        </w:rPr>
        <w:t>It takes no account of different needs or different costs in different areas.</w:t>
      </w:r>
    </w:p>
    <w:p w14:paraId="274424C3" w14:textId="77777777" w:rsidR="00D74C35" w:rsidRPr="00D74C35" w:rsidRDefault="00D74C35" w:rsidP="00D74C35">
      <w:pPr>
        <w:pStyle w:val="ListParagraph"/>
        <w:numPr>
          <w:ilvl w:val="0"/>
          <w:numId w:val="16"/>
        </w:numPr>
        <w:jc w:val="both"/>
        <w:rPr>
          <w:b/>
          <w:bCs/>
        </w:rPr>
      </w:pPr>
      <w:r w:rsidRPr="00D74C35">
        <w:rPr>
          <w:rFonts w:eastAsia="Times New Roman" w:cs="Arial"/>
          <w:color w:val="202122"/>
          <w:kern w:val="0"/>
          <w14:ligatures w14:val="none"/>
        </w:rPr>
        <w:t>It does not affect existing levels of public expenditure, even if relative population shares change.</w:t>
      </w:r>
    </w:p>
    <w:p w14:paraId="6CAE22D6" w14:textId="77777777" w:rsidR="00D74C35" w:rsidRPr="00D74C35" w:rsidRDefault="00D74C35" w:rsidP="00D74C35">
      <w:pPr>
        <w:pStyle w:val="ListParagraph"/>
        <w:numPr>
          <w:ilvl w:val="0"/>
          <w:numId w:val="16"/>
        </w:numPr>
        <w:jc w:val="both"/>
        <w:rPr>
          <w:b/>
          <w:bCs/>
        </w:rPr>
      </w:pPr>
      <w:r w:rsidRPr="00D74C35">
        <w:rPr>
          <w:rFonts w:eastAsia="Times New Roman" w:cs="Arial"/>
          <w:color w:val="202122"/>
          <w:kern w:val="0"/>
          <w14:ligatures w14:val="none"/>
        </w:rPr>
        <w:t>Since existing levels of public expenditure are not allocated in proportion to population, a particular expenditure decision will lead to different percentage changes in different areas.</w:t>
      </w:r>
    </w:p>
    <w:p w14:paraId="422E7EC2" w14:textId="77777777" w:rsidR="00202653" w:rsidRPr="00202653" w:rsidRDefault="00D74C35" w:rsidP="00202653">
      <w:pPr>
        <w:pStyle w:val="ListParagraph"/>
        <w:numPr>
          <w:ilvl w:val="0"/>
          <w:numId w:val="16"/>
        </w:numPr>
        <w:jc w:val="both"/>
        <w:rPr>
          <w:b/>
          <w:bCs/>
        </w:rPr>
      </w:pPr>
      <w:r w:rsidRPr="00D74C35">
        <w:rPr>
          <w:rFonts w:eastAsia="Times New Roman" w:cs="Arial"/>
          <w:color w:val="202122"/>
          <w:kern w:val="0"/>
          <w14:ligatures w14:val="none"/>
        </w:rPr>
        <w:t>It takes no account of different amounts of tax paid in respect of different areas or of changes in these amounts.</w:t>
      </w:r>
    </w:p>
    <w:p w14:paraId="09CB7A0D" w14:textId="3277EEC3" w:rsidR="00D74C35" w:rsidRPr="00202653" w:rsidRDefault="00D74C35" w:rsidP="00202653">
      <w:pPr>
        <w:pStyle w:val="ListParagraph"/>
        <w:numPr>
          <w:ilvl w:val="0"/>
          <w:numId w:val="16"/>
        </w:numPr>
        <w:jc w:val="both"/>
        <w:rPr>
          <w:b/>
          <w:bCs/>
        </w:rPr>
      </w:pPr>
      <w:r w:rsidRPr="00202653">
        <w:rPr>
          <w:rFonts w:eastAsia="Times New Roman" w:cs="Arial"/>
          <w:color w:val="202122"/>
          <w:kern w:val="0"/>
          <w14:ligatures w14:val="none"/>
        </w:rPr>
        <w:t>Neither the Barnett formula nor needs-based spending is incentive-compatible, so neither plan would give the territories any fiscal incentive to become more productive.</w:t>
      </w:r>
    </w:p>
    <w:p w14:paraId="37A7ABDE" w14:textId="521E906B" w:rsidR="00687FB9" w:rsidRDefault="00F36943" w:rsidP="00F36943">
      <w:pPr>
        <w:jc w:val="both"/>
      </w:pPr>
      <w:r w:rsidRPr="00F36943">
        <w:t>The Barnett formula is a complex and contentious issue. Its reliance on population figures, rather than needs, and its tendency to perpetuate historical inequities, are major sources of criticism. While it provides a degree of stability and predictability, many argue that a more equitable and transparent funding mechanism is needed.</w:t>
      </w:r>
    </w:p>
    <w:p w14:paraId="2D87D1D6" w14:textId="57B2DB5A" w:rsidR="008069E6" w:rsidRDefault="008069E6" w:rsidP="008069E6">
      <w:pPr>
        <w:jc w:val="both"/>
      </w:pPr>
      <w:r w:rsidRPr="008069E6">
        <w:t>To better illustrate the controversies surrounding the Barnett formula, here are some specific examples of how it plays out in Wales, Scotland, and Northern Ireland:</w:t>
      </w:r>
    </w:p>
    <w:p w14:paraId="357F3AF0" w14:textId="56F975B5" w:rsidR="006F1BF4" w:rsidRDefault="00D25135" w:rsidP="006F1BF4">
      <w:pPr>
        <w:numPr>
          <w:ilvl w:val="0"/>
          <w:numId w:val="20"/>
        </w:numPr>
        <w:jc w:val="both"/>
      </w:pPr>
      <w:r w:rsidRPr="00D25135">
        <w:rPr>
          <w:b/>
          <w:bCs/>
        </w:rPr>
        <w:t>WALES</w:t>
      </w:r>
      <w:r>
        <w:t xml:space="preserve">: </w:t>
      </w:r>
      <w:r w:rsidRPr="00D25135">
        <w:t xml:space="preserve"> A key concern in Wales is that the Barnett formula results in relative underfunding compared to Scotland, despite having comparable or, in some measures, greater socio-economic needs.</w:t>
      </w:r>
      <w:r>
        <w:t xml:space="preserve"> </w:t>
      </w:r>
      <w:r w:rsidRPr="00D25135">
        <w:t xml:space="preserve">The Holtham Commission, for example, highlighted that Wales would likely receive significantly more funding if a needs-based system were used. This has led to calls for a "funding floor" to address the perceived disparity. </w:t>
      </w:r>
      <w:r w:rsidR="00206936" w:rsidRPr="006F1BF4">
        <w:rPr>
          <w:b/>
          <w:bCs/>
        </w:rPr>
        <w:t>Socio-economic Needs:</w:t>
      </w:r>
      <w:r w:rsidR="00206936" w:rsidRPr="00206936">
        <w:t xml:space="preserve"> Wales has areas of significant deprivation, and critics argue that the Barnett formula doesn't adequately account for these needs. This impacts the ability of the Welsh government to deliver essential public services.   </w:t>
      </w:r>
    </w:p>
    <w:p w14:paraId="3881D64E" w14:textId="560B0F8B" w:rsidR="006F1BF4" w:rsidRPr="009307C2" w:rsidRDefault="006F1BF4" w:rsidP="006F1BF4">
      <w:pPr>
        <w:pStyle w:val="ListParagraph"/>
        <w:numPr>
          <w:ilvl w:val="0"/>
          <w:numId w:val="24"/>
        </w:numPr>
        <w:jc w:val="both"/>
      </w:pPr>
      <w:r w:rsidRPr="006F1BF4">
        <w:rPr>
          <w:rFonts w:eastAsia="Times New Roman" w:cs="Times New Roman"/>
          <w:b/>
          <w:bCs/>
          <w:kern w:val="0"/>
          <w14:ligatures w14:val="none"/>
        </w:rPr>
        <w:t>SCOTLAND:</w:t>
      </w:r>
      <w:r>
        <w:t xml:space="preserve"> </w:t>
      </w:r>
      <w:r w:rsidRPr="006F1BF4">
        <w:rPr>
          <w:rFonts w:eastAsia="Times New Roman" w:cs="Times New Roman"/>
          <w:b/>
          <w:bCs/>
          <w:kern w:val="0"/>
          <w14:ligatures w14:val="none"/>
        </w:rPr>
        <w:t>Higher Per-Capita Spending:</w:t>
      </w:r>
      <w:r w:rsidRPr="006F1BF4">
        <w:rPr>
          <w:rFonts w:eastAsia="Times New Roman" w:cs="Times New Roman"/>
          <w:kern w:val="0"/>
          <w14:ligatures w14:val="none"/>
        </w:rPr>
        <w:t xml:space="preserve"> Scotland generally receives higher per-capita public spending than other parts of the UK. This has led to accusations of Scotland being "overfunded" by some. However, supporters of the current system argue that this reflects Scotland's specific needs, such as its geographical challenges and dispersed population.</w:t>
      </w:r>
      <w:r>
        <w:rPr>
          <w:rFonts w:eastAsia="Times New Roman" w:cs="Times New Roman"/>
          <w:kern w:val="0"/>
          <w14:ligatures w14:val="none"/>
        </w:rPr>
        <w:t xml:space="preserve"> </w:t>
      </w:r>
      <w:r w:rsidRPr="006F1BF4">
        <w:rPr>
          <w:rFonts w:eastAsia="Times New Roman" w:cs="Times New Roman"/>
          <w:b/>
          <w:bCs/>
          <w:kern w:val="0"/>
          <w14:ligatures w14:val="none"/>
        </w:rPr>
        <w:t>Political Sensitivity:</w:t>
      </w:r>
      <w:r w:rsidRPr="006F1BF4">
        <w:rPr>
          <w:rFonts w:eastAsia="Times New Roman" w:cs="Times New Roman"/>
          <w:kern w:val="0"/>
          <w14:ligatures w14:val="none"/>
        </w:rPr>
        <w:t xml:space="preserve"> The Barnett formula is highly politically sensitive in Scotland, particularly in the context of the independence debate. Any attempt to reform the formula is likely to be met with strong opposition from those who believe it would disadvantage Scotland.   </w:t>
      </w:r>
    </w:p>
    <w:p w14:paraId="6534664D" w14:textId="0490C9C4" w:rsidR="00605281" w:rsidRPr="00605281" w:rsidRDefault="009307C2" w:rsidP="00605281">
      <w:pPr>
        <w:pStyle w:val="ListParagraph"/>
        <w:numPr>
          <w:ilvl w:val="0"/>
          <w:numId w:val="24"/>
        </w:numPr>
        <w:jc w:val="both"/>
      </w:pPr>
      <w:r>
        <w:rPr>
          <w:rFonts w:eastAsia="Times New Roman" w:cs="Times New Roman"/>
          <w:b/>
          <w:bCs/>
          <w:kern w:val="0"/>
          <w14:ligatures w14:val="none"/>
        </w:rPr>
        <w:t>NORTHERN IRELAND:</w:t>
      </w:r>
      <w:r w:rsidR="00605281">
        <w:t xml:space="preserve"> </w:t>
      </w:r>
      <w:r w:rsidR="00605281" w:rsidRPr="00605281">
        <w:rPr>
          <w:b/>
          <w:bCs/>
        </w:rPr>
        <w:t>Historical Needs:</w:t>
      </w:r>
      <w:r w:rsidR="00605281" w:rsidRPr="00605281">
        <w:t xml:space="preserve"> Northern Ireland has historically received higher levels of public spending due to its unique circumstances, including the legacy of the Troubles.</w:t>
      </w:r>
      <w:r w:rsidR="00605281">
        <w:t xml:space="preserve"> </w:t>
      </w:r>
      <w:r w:rsidR="00605281" w:rsidRPr="00605281">
        <w:t>While there is a recognition of these specific needs, there are also debates about whether the current funding allocation accurately reflects the present situation.</w:t>
      </w:r>
      <w:r w:rsidR="00605281">
        <w:t xml:space="preserve"> </w:t>
      </w:r>
      <w:r w:rsidR="00605281" w:rsidRPr="00605281">
        <w:rPr>
          <w:b/>
          <w:bCs/>
        </w:rPr>
        <w:t>Stability vs. Need:</w:t>
      </w:r>
      <w:r w:rsidR="00605281" w:rsidRPr="00605281">
        <w:t xml:space="preserve"> Northern Ireland has to balance the need for stable funding, against the need for funding that reflects current socio economic factors.</w:t>
      </w:r>
    </w:p>
    <w:p w14:paraId="3B7452EC" w14:textId="77777777" w:rsidR="006F1BF4" w:rsidRPr="00F36943" w:rsidRDefault="006F1BF4" w:rsidP="009178F0">
      <w:pPr>
        <w:jc w:val="both"/>
      </w:pPr>
    </w:p>
    <w:p w14:paraId="55654919" w14:textId="77777777" w:rsidR="00DC7E7C" w:rsidRPr="00F36943" w:rsidRDefault="00DC7E7C" w:rsidP="00E21F74">
      <w:pPr>
        <w:jc w:val="both"/>
      </w:pPr>
    </w:p>
    <w:sectPr w:rsidR="00DC7E7C" w:rsidRPr="00F369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2">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48F9"/>
    <w:multiLevelType w:val="hybridMultilevel"/>
    <w:tmpl w:val="59101FD8"/>
    <w:lvl w:ilvl="0" w:tplc="EAD0D6D0">
      <w:start w:val="1"/>
      <w:numFmt w:val="bullet"/>
      <w:lvlText w:val=""/>
      <w:lvlJc w:val="left"/>
      <w:pPr>
        <w:tabs>
          <w:tab w:val="num" w:pos="720"/>
        </w:tabs>
        <w:ind w:left="720" w:hanging="360"/>
      </w:pPr>
      <w:rPr>
        <w:rFonts w:ascii="Wingdings 2" w:hAnsi="Wingdings 2" w:hint="default"/>
      </w:rPr>
    </w:lvl>
    <w:lvl w:ilvl="1" w:tplc="8AC2AE6A" w:tentative="1">
      <w:start w:val="1"/>
      <w:numFmt w:val="bullet"/>
      <w:lvlText w:val=""/>
      <w:lvlJc w:val="left"/>
      <w:pPr>
        <w:tabs>
          <w:tab w:val="num" w:pos="1440"/>
        </w:tabs>
        <w:ind w:left="1440" w:hanging="360"/>
      </w:pPr>
      <w:rPr>
        <w:rFonts w:ascii="Wingdings 2" w:hAnsi="Wingdings 2" w:hint="default"/>
      </w:rPr>
    </w:lvl>
    <w:lvl w:ilvl="2" w:tplc="A650E69E" w:tentative="1">
      <w:start w:val="1"/>
      <w:numFmt w:val="bullet"/>
      <w:lvlText w:val=""/>
      <w:lvlJc w:val="left"/>
      <w:pPr>
        <w:tabs>
          <w:tab w:val="num" w:pos="2160"/>
        </w:tabs>
        <w:ind w:left="2160" w:hanging="360"/>
      </w:pPr>
      <w:rPr>
        <w:rFonts w:ascii="Wingdings 2" w:hAnsi="Wingdings 2" w:hint="default"/>
      </w:rPr>
    </w:lvl>
    <w:lvl w:ilvl="3" w:tplc="DF5C7E84" w:tentative="1">
      <w:start w:val="1"/>
      <w:numFmt w:val="bullet"/>
      <w:lvlText w:val=""/>
      <w:lvlJc w:val="left"/>
      <w:pPr>
        <w:tabs>
          <w:tab w:val="num" w:pos="2880"/>
        </w:tabs>
        <w:ind w:left="2880" w:hanging="360"/>
      </w:pPr>
      <w:rPr>
        <w:rFonts w:ascii="Wingdings 2" w:hAnsi="Wingdings 2" w:hint="default"/>
      </w:rPr>
    </w:lvl>
    <w:lvl w:ilvl="4" w:tplc="FDC61B0C" w:tentative="1">
      <w:start w:val="1"/>
      <w:numFmt w:val="bullet"/>
      <w:lvlText w:val=""/>
      <w:lvlJc w:val="left"/>
      <w:pPr>
        <w:tabs>
          <w:tab w:val="num" w:pos="3600"/>
        </w:tabs>
        <w:ind w:left="3600" w:hanging="360"/>
      </w:pPr>
      <w:rPr>
        <w:rFonts w:ascii="Wingdings 2" w:hAnsi="Wingdings 2" w:hint="default"/>
      </w:rPr>
    </w:lvl>
    <w:lvl w:ilvl="5" w:tplc="040CBFD4" w:tentative="1">
      <w:start w:val="1"/>
      <w:numFmt w:val="bullet"/>
      <w:lvlText w:val=""/>
      <w:lvlJc w:val="left"/>
      <w:pPr>
        <w:tabs>
          <w:tab w:val="num" w:pos="4320"/>
        </w:tabs>
        <w:ind w:left="4320" w:hanging="360"/>
      </w:pPr>
      <w:rPr>
        <w:rFonts w:ascii="Wingdings 2" w:hAnsi="Wingdings 2" w:hint="default"/>
      </w:rPr>
    </w:lvl>
    <w:lvl w:ilvl="6" w:tplc="B5C611CE" w:tentative="1">
      <w:start w:val="1"/>
      <w:numFmt w:val="bullet"/>
      <w:lvlText w:val=""/>
      <w:lvlJc w:val="left"/>
      <w:pPr>
        <w:tabs>
          <w:tab w:val="num" w:pos="5040"/>
        </w:tabs>
        <w:ind w:left="5040" w:hanging="360"/>
      </w:pPr>
      <w:rPr>
        <w:rFonts w:ascii="Wingdings 2" w:hAnsi="Wingdings 2" w:hint="default"/>
      </w:rPr>
    </w:lvl>
    <w:lvl w:ilvl="7" w:tplc="5870544E" w:tentative="1">
      <w:start w:val="1"/>
      <w:numFmt w:val="bullet"/>
      <w:lvlText w:val=""/>
      <w:lvlJc w:val="left"/>
      <w:pPr>
        <w:tabs>
          <w:tab w:val="num" w:pos="5760"/>
        </w:tabs>
        <w:ind w:left="5760" w:hanging="360"/>
      </w:pPr>
      <w:rPr>
        <w:rFonts w:ascii="Wingdings 2" w:hAnsi="Wingdings 2" w:hint="default"/>
      </w:rPr>
    </w:lvl>
    <w:lvl w:ilvl="8" w:tplc="CBAE55E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37B37F5"/>
    <w:multiLevelType w:val="multilevel"/>
    <w:tmpl w:val="CF069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60C01"/>
    <w:multiLevelType w:val="multilevel"/>
    <w:tmpl w:val="531A9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BB266E"/>
    <w:multiLevelType w:val="hybridMultilevel"/>
    <w:tmpl w:val="E98C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F62DF"/>
    <w:multiLevelType w:val="hybridMultilevel"/>
    <w:tmpl w:val="A644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1006B"/>
    <w:multiLevelType w:val="multilevel"/>
    <w:tmpl w:val="7B6ECB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AB64B8"/>
    <w:multiLevelType w:val="hybridMultilevel"/>
    <w:tmpl w:val="59CEB1A6"/>
    <w:lvl w:ilvl="0" w:tplc="E3389D92">
      <w:start w:val="1"/>
      <w:numFmt w:val="bullet"/>
      <w:lvlText w:val="•"/>
      <w:lvlJc w:val="left"/>
      <w:pPr>
        <w:tabs>
          <w:tab w:val="num" w:pos="720"/>
        </w:tabs>
        <w:ind w:left="720" w:hanging="360"/>
      </w:pPr>
      <w:rPr>
        <w:rFonts w:ascii="Arial" w:hAnsi="Arial" w:hint="default"/>
      </w:rPr>
    </w:lvl>
    <w:lvl w:ilvl="1" w:tplc="5DB08770" w:tentative="1">
      <w:start w:val="1"/>
      <w:numFmt w:val="bullet"/>
      <w:lvlText w:val="•"/>
      <w:lvlJc w:val="left"/>
      <w:pPr>
        <w:tabs>
          <w:tab w:val="num" w:pos="1440"/>
        </w:tabs>
        <w:ind w:left="1440" w:hanging="360"/>
      </w:pPr>
      <w:rPr>
        <w:rFonts w:ascii="Arial" w:hAnsi="Arial" w:hint="default"/>
      </w:rPr>
    </w:lvl>
    <w:lvl w:ilvl="2" w:tplc="34FAAF2E" w:tentative="1">
      <w:start w:val="1"/>
      <w:numFmt w:val="bullet"/>
      <w:lvlText w:val="•"/>
      <w:lvlJc w:val="left"/>
      <w:pPr>
        <w:tabs>
          <w:tab w:val="num" w:pos="2160"/>
        </w:tabs>
        <w:ind w:left="2160" w:hanging="360"/>
      </w:pPr>
      <w:rPr>
        <w:rFonts w:ascii="Arial" w:hAnsi="Arial" w:hint="default"/>
      </w:rPr>
    </w:lvl>
    <w:lvl w:ilvl="3" w:tplc="2ADCA180" w:tentative="1">
      <w:start w:val="1"/>
      <w:numFmt w:val="bullet"/>
      <w:lvlText w:val="•"/>
      <w:lvlJc w:val="left"/>
      <w:pPr>
        <w:tabs>
          <w:tab w:val="num" w:pos="2880"/>
        </w:tabs>
        <w:ind w:left="2880" w:hanging="360"/>
      </w:pPr>
      <w:rPr>
        <w:rFonts w:ascii="Arial" w:hAnsi="Arial" w:hint="default"/>
      </w:rPr>
    </w:lvl>
    <w:lvl w:ilvl="4" w:tplc="2BEC5FEA" w:tentative="1">
      <w:start w:val="1"/>
      <w:numFmt w:val="bullet"/>
      <w:lvlText w:val="•"/>
      <w:lvlJc w:val="left"/>
      <w:pPr>
        <w:tabs>
          <w:tab w:val="num" w:pos="3600"/>
        </w:tabs>
        <w:ind w:left="3600" w:hanging="360"/>
      </w:pPr>
      <w:rPr>
        <w:rFonts w:ascii="Arial" w:hAnsi="Arial" w:hint="default"/>
      </w:rPr>
    </w:lvl>
    <w:lvl w:ilvl="5" w:tplc="0038C2EA" w:tentative="1">
      <w:start w:val="1"/>
      <w:numFmt w:val="bullet"/>
      <w:lvlText w:val="•"/>
      <w:lvlJc w:val="left"/>
      <w:pPr>
        <w:tabs>
          <w:tab w:val="num" w:pos="4320"/>
        </w:tabs>
        <w:ind w:left="4320" w:hanging="360"/>
      </w:pPr>
      <w:rPr>
        <w:rFonts w:ascii="Arial" w:hAnsi="Arial" w:hint="default"/>
      </w:rPr>
    </w:lvl>
    <w:lvl w:ilvl="6" w:tplc="4434F8BA" w:tentative="1">
      <w:start w:val="1"/>
      <w:numFmt w:val="bullet"/>
      <w:lvlText w:val="•"/>
      <w:lvlJc w:val="left"/>
      <w:pPr>
        <w:tabs>
          <w:tab w:val="num" w:pos="5040"/>
        </w:tabs>
        <w:ind w:left="5040" w:hanging="360"/>
      </w:pPr>
      <w:rPr>
        <w:rFonts w:ascii="Arial" w:hAnsi="Arial" w:hint="default"/>
      </w:rPr>
    </w:lvl>
    <w:lvl w:ilvl="7" w:tplc="C2CA68DC" w:tentative="1">
      <w:start w:val="1"/>
      <w:numFmt w:val="bullet"/>
      <w:lvlText w:val="•"/>
      <w:lvlJc w:val="left"/>
      <w:pPr>
        <w:tabs>
          <w:tab w:val="num" w:pos="5760"/>
        </w:tabs>
        <w:ind w:left="5760" w:hanging="360"/>
      </w:pPr>
      <w:rPr>
        <w:rFonts w:ascii="Arial" w:hAnsi="Arial" w:hint="default"/>
      </w:rPr>
    </w:lvl>
    <w:lvl w:ilvl="8" w:tplc="2B585E6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4035D8"/>
    <w:multiLevelType w:val="multilevel"/>
    <w:tmpl w:val="E1CA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A44D9C"/>
    <w:multiLevelType w:val="hybridMultilevel"/>
    <w:tmpl w:val="93CEF0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5C0344"/>
    <w:multiLevelType w:val="multilevel"/>
    <w:tmpl w:val="F776F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C66405"/>
    <w:multiLevelType w:val="hybridMultilevel"/>
    <w:tmpl w:val="C68EB1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F34E3"/>
    <w:multiLevelType w:val="multilevel"/>
    <w:tmpl w:val="6284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164D28"/>
    <w:multiLevelType w:val="hybridMultilevel"/>
    <w:tmpl w:val="642A2CBE"/>
    <w:lvl w:ilvl="0" w:tplc="F59A9BF6">
      <w:start w:val="1"/>
      <w:numFmt w:val="bullet"/>
      <w:lvlText w:val=""/>
      <w:lvlJc w:val="left"/>
      <w:pPr>
        <w:tabs>
          <w:tab w:val="num" w:pos="720"/>
        </w:tabs>
        <w:ind w:left="720" w:hanging="360"/>
      </w:pPr>
      <w:rPr>
        <w:rFonts w:ascii="Wingdings 2" w:hAnsi="Wingdings 2" w:hint="default"/>
      </w:rPr>
    </w:lvl>
    <w:lvl w:ilvl="1" w:tplc="CC462D7E" w:tentative="1">
      <w:start w:val="1"/>
      <w:numFmt w:val="bullet"/>
      <w:lvlText w:val=""/>
      <w:lvlJc w:val="left"/>
      <w:pPr>
        <w:tabs>
          <w:tab w:val="num" w:pos="1440"/>
        </w:tabs>
        <w:ind w:left="1440" w:hanging="360"/>
      </w:pPr>
      <w:rPr>
        <w:rFonts w:ascii="Wingdings 2" w:hAnsi="Wingdings 2" w:hint="default"/>
      </w:rPr>
    </w:lvl>
    <w:lvl w:ilvl="2" w:tplc="8B4EB9A2" w:tentative="1">
      <w:start w:val="1"/>
      <w:numFmt w:val="bullet"/>
      <w:lvlText w:val=""/>
      <w:lvlJc w:val="left"/>
      <w:pPr>
        <w:tabs>
          <w:tab w:val="num" w:pos="2160"/>
        </w:tabs>
        <w:ind w:left="2160" w:hanging="360"/>
      </w:pPr>
      <w:rPr>
        <w:rFonts w:ascii="Wingdings 2" w:hAnsi="Wingdings 2" w:hint="default"/>
      </w:rPr>
    </w:lvl>
    <w:lvl w:ilvl="3" w:tplc="1F66E688" w:tentative="1">
      <w:start w:val="1"/>
      <w:numFmt w:val="bullet"/>
      <w:lvlText w:val=""/>
      <w:lvlJc w:val="left"/>
      <w:pPr>
        <w:tabs>
          <w:tab w:val="num" w:pos="2880"/>
        </w:tabs>
        <w:ind w:left="2880" w:hanging="360"/>
      </w:pPr>
      <w:rPr>
        <w:rFonts w:ascii="Wingdings 2" w:hAnsi="Wingdings 2" w:hint="default"/>
      </w:rPr>
    </w:lvl>
    <w:lvl w:ilvl="4" w:tplc="B198B210" w:tentative="1">
      <w:start w:val="1"/>
      <w:numFmt w:val="bullet"/>
      <w:lvlText w:val=""/>
      <w:lvlJc w:val="left"/>
      <w:pPr>
        <w:tabs>
          <w:tab w:val="num" w:pos="3600"/>
        </w:tabs>
        <w:ind w:left="3600" w:hanging="360"/>
      </w:pPr>
      <w:rPr>
        <w:rFonts w:ascii="Wingdings 2" w:hAnsi="Wingdings 2" w:hint="default"/>
      </w:rPr>
    </w:lvl>
    <w:lvl w:ilvl="5" w:tplc="7C2E58B2" w:tentative="1">
      <w:start w:val="1"/>
      <w:numFmt w:val="bullet"/>
      <w:lvlText w:val=""/>
      <w:lvlJc w:val="left"/>
      <w:pPr>
        <w:tabs>
          <w:tab w:val="num" w:pos="4320"/>
        </w:tabs>
        <w:ind w:left="4320" w:hanging="360"/>
      </w:pPr>
      <w:rPr>
        <w:rFonts w:ascii="Wingdings 2" w:hAnsi="Wingdings 2" w:hint="default"/>
      </w:rPr>
    </w:lvl>
    <w:lvl w:ilvl="6" w:tplc="2F52CAF0" w:tentative="1">
      <w:start w:val="1"/>
      <w:numFmt w:val="bullet"/>
      <w:lvlText w:val=""/>
      <w:lvlJc w:val="left"/>
      <w:pPr>
        <w:tabs>
          <w:tab w:val="num" w:pos="5040"/>
        </w:tabs>
        <w:ind w:left="5040" w:hanging="360"/>
      </w:pPr>
      <w:rPr>
        <w:rFonts w:ascii="Wingdings 2" w:hAnsi="Wingdings 2" w:hint="default"/>
      </w:rPr>
    </w:lvl>
    <w:lvl w:ilvl="7" w:tplc="DE46E346" w:tentative="1">
      <w:start w:val="1"/>
      <w:numFmt w:val="bullet"/>
      <w:lvlText w:val=""/>
      <w:lvlJc w:val="left"/>
      <w:pPr>
        <w:tabs>
          <w:tab w:val="num" w:pos="5760"/>
        </w:tabs>
        <w:ind w:left="5760" w:hanging="360"/>
      </w:pPr>
      <w:rPr>
        <w:rFonts w:ascii="Wingdings 2" w:hAnsi="Wingdings 2" w:hint="default"/>
      </w:rPr>
    </w:lvl>
    <w:lvl w:ilvl="8" w:tplc="A37AF814"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95E0294"/>
    <w:multiLevelType w:val="hybridMultilevel"/>
    <w:tmpl w:val="083C5B0E"/>
    <w:lvl w:ilvl="0" w:tplc="B9242374">
      <w:start w:val="1"/>
      <w:numFmt w:val="bullet"/>
      <w:lvlText w:val=""/>
      <w:lvlJc w:val="left"/>
      <w:pPr>
        <w:tabs>
          <w:tab w:val="num" w:pos="720"/>
        </w:tabs>
        <w:ind w:left="720" w:hanging="360"/>
      </w:pPr>
      <w:rPr>
        <w:rFonts w:ascii="Wingdings 2" w:hAnsi="Wingdings 2" w:hint="default"/>
      </w:rPr>
    </w:lvl>
    <w:lvl w:ilvl="1" w:tplc="7320F76E" w:tentative="1">
      <w:start w:val="1"/>
      <w:numFmt w:val="bullet"/>
      <w:lvlText w:val=""/>
      <w:lvlJc w:val="left"/>
      <w:pPr>
        <w:tabs>
          <w:tab w:val="num" w:pos="1440"/>
        </w:tabs>
        <w:ind w:left="1440" w:hanging="360"/>
      </w:pPr>
      <w:rPr>
        <w:rFonts w:ascii="Wingdings 2" w:hAnsi="Wingdings 2" w:hint="default"/>
      </w:rPr>
    </w:lvl>
    <w:lvl w:ilvl="2" w:tplc="EEC22D74" w:tentative="1">
      <w:start w:val="1"/>
      <w:numFmt w:val="bullet"/>
      <w:lvlText w:val=""/>
      <w:lvlJc w:val="left"/>
      <w:pPr>
        <w:tabs>
          <w:tab w:val="num" w:pos="2160"/>
        </w:tabs>
        <w:ind w:left="2160" w:hanging="360"/>
      </w:pPr>
      <w:rPr>
        <w:rFonts w:ascii="Wingdings 2" w:hAnsi="Wingdings 2" w:hint="default"/>
      </w:rPr>
    </w:lvl>
    <w:lvl w:ilvl="3" w:tplc="04127890" w:tentative="1">
      <w:start w:val="1"/>
      <w:numFmt w:val="bullet"/>
      <w:lvlText w:val=""/>
      <w:lvlJc w:val="left"/>
      <w:pPr>
        <w:tabs>
          <w:tab w:val="num" w:pos="2880"/>
        </w:tabs>
        <w:ind w:left="2880" w:hanging="360"/>
      </w:pPr>
      <w:rPr>
        <w:rFonts w:ascii="Wingdings 2" w:hAnsi="Wingdings 2" w:hint="default"/>
      </w:rPr>
    </w:lvl>
    <w:lvl w:ilvl="4" w:tplc="C8E6B3A4" w:tentative="1">
      <w:start w:val="1"/>
      <w:numFmt w:val="bullet"/>
      <w:lvlText w:val=""/>
      <w:lvlJc w:val="left"/>
      <w:pPr>
        <w:tabs>
          <w:tab w:val="num" w:pos="3600"/>
        </w:tabs>
        <w:ind w:left="3600" w:hanging="360"/>
      </w:pPr>
      <w:rPr>
        <w:rFonts w:ascii="Wingdings 2" w:hAnsi="Wingdings 2" w:hint="default"/>
      </w:rPr>
    </w:lvl>
    <w:lvl w:ilvl="5" w:tplc="08D41326" w:tentative="1">
      <w:start w:val="1"/>
      <w:numFmt w:val="bullet"/>
      <w:lvlText w:val=""/>
      <w:lvlJc w:val="left"/>
      <w:pPr>
        <w:tabs>
          <w:tab w:val="num" w:pos="4320"/>
        </w:tabs>
        <w:ind w:left="4320" w:hanging="360"/>
      </w:pPr>
      <w:rPr>
        <w:rFonts w:ascii="Wingdings 2" w:hAnsi="Wingdings 2" w:hint="default"/>
      </w:rPr>
    </w:lvl>
    <w:lvl w:ilvl="6" w:tplc="EFD090FA" w:tentative="1">
      <w:start w:val="1"/>
      <w:numFmt w:val="bullet"/>
      <w:lvlText w:val=""/>
      <w:lvlJc w:val="left"/>
      <w:pPr>
        <w:tabs>
          <w:tab w:val="num" w:pos="5040"/>
        </w:tabs>
        <w:ind w:left="5040" w:hanging="360"/>
      </w:pPr>
      <w:rPr>
        <w:rFonts w:ascii="Wingdings 2" w:hAnsi="Wingdings 2" w:hint="default"/>
      </w:rPr>
    </w:lvl>
    <w:lvl w:ilvl="7" w:tplc="4B160D5C" w:tentative="1">
      <w:start w:val="1"/>
      <w:numFmt w:val="bullet"/>
      <w:lvlText w:val=""/>
      <w:lvlJc w:val="left"/>
      <w:pPr>
        <w:tabs>
          <w:tab w:val="num" w:pos="5760"/>
        </w:tabs>
        <w:ind w:left="5760" w:hanging="360"/>
      </w:pPr>
      <w:rPr>
        <w:rFonts w:ascii="Wingdings 2" w:hAnsi="Wingdings 2" w:hint="default"/>
      </w:rPr>
    </w:lvl>
    <w:lvl w:ilvl="8" w:tplc="D09C9C1E"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3FFB38FF"/>
    <w:multiLevelType w:val="hybridMultilevel"/>
    <w:tmpl w:val="9CC4BC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3B2B5C"/>
    <w:multiLevelType w:val="hybridMultilevel"/>
    <w:tmpl w:val="26E20384"/>
    <w:lvl w:ilvl="0" w:tplc="1E3A1AD8">
      <w:start w:val="1"/>
      <w:numFmt w:val="bullet"/>
      <w:lvlText w:val=""/>
      <w:lvlJc w:val="left"/>
      <w:pPr>
        <w:tabs>
          <w:tab w:val="num" w:pos="720"/>
        </w:tabs>
        <w:ind w:left="720" w:hanging="360"/>
      </w:pPr>
      <w:rPr>
        <w:rFonts w:ascii="Wingdings 2" w:hAnsi="Wingdings 2" w:hint="default"/>
      </w:rPr>
    </w:lvl>
    <w:lvl w:ilvl="1" w:tplc="26F29E9E" w:tentative="1">
      <w:start w:val="1"/>
      <w:numFmt w:val="bullet"/>
      <w:lvlText w:val=""/>
      <w:lvlJc w:val="left"/>
      <w:pPr>
        <w:tabs>
          <w:tab w:val="num" w:pos="1440"/>
        </w:tabs>
        <w:ind w:left="1440" w:hanging="360"/>
      </w:pPr>
      <w:rPr>
        <w:rFonts w:ascii="Wingdings 2" w:hAnsi="Wingdings 2" w:hint="default"/>
      </w:rPr>
    </w:lvl>
    <w:lvl w:ilvl="2" w:tplc="B422203A" w:tentative="1">
      <w:start w:val="1"/>
      <w:numFmt w:val="bullet"/>
      <w:lvlText w:val=""/>
      <w:lvlJc w:val="left"/>
      <w:pPr>
        <w:tabs>
          <w:tab w:val="num" w:pos="2160"/>
        </w:tabs>
        <w:ind w:left="2160" w:hanging="360"/>
      </w:pPr>
      <w:rPr>
        <w:rFonts w:ascii="Wingdings 2" w:hAnsi="Wingdings 2" w:hint="default"/>
      </w:rPr>
    </w:lvl>
    <w:lvl w:ilvl="3" w:tplc="D6702F70" w:tentative="1">
      <w:start w:val="1"/>
      <w:numFmt w:val="bullet"/>
      <w:lvlText w:val=""/>
      <w:lvlJc w:val="left"/>
      <w:pPr>
        <w:tabs>
          <w:tab w:val="num" w:pos="2880"/>
        </w:tabs>
        <w:ind w:left="2880" w:hanging="360"/>
      </w:pPr>
      <w:rPr>
        <w:rFonts w:ascii="Wingdings 2" w:hAnsi="Wingdings 2" w:hint="default"/>
      </w:rPr>
    </w:lvl>
    <w:lvl w:ilvl="4" w:tplc="51DE131A" w:tentative="1">
      <w:start w:val="1"/>
      <w:numFmt w:val="bullet"/>
      <w:lvlText w:val=""/>
      <w:lvlJc w:val="left"/>
      <w:pPr>
        <w:tabs>
          <w:tab w:val="num" w:pos="3600"/>
        </w:tabs>
        <w:ind w:left="3600" w:hanging="360"/>
      </w:pPr>
      <w:rPr>
        <w:rFonts w:ascii="Wingdings 2" w:hAnsi="Wingdings 2" w:hint="default"/>
      </w:rPr>
    </w:lvl>
    <w:lvl w:ilvl="5" w:tplc="2AC053C0" w:tentative="1">
      <w:start w:val="1"/>
      <w:numFmt w:val="bullet"/>
      <w:lvlText w:val=""/>
      <w:lvlJc w:val="left"/>
      <w:pPr>
        <w:tabs>
          <w:tab w:val="num" w:pos="4320"/>
        </w:tabs>
        <w:ind w:left="4320" w:hanging="360"/>
      </w:pPr>
      <w:rPr>
        <w:rFonts w:ascii="Wingdings 2" w:hAnsi="Wingdings 2" w:hint="default"/>
      </w:rPr>
    </w:lvl>
    <w:lvl w:ilvl="6" w:tplc="4168A8FC" w:tentative="1">
      <w:start w:val="1"/>
      <w:numFmt w:val="bullet"/>
      <w:lvlText w:val=""/>
      <w:lvlJc w:val="left"/>
      <w:pPr>
        <w:tabs>
          <w:tab w:val="num" w:pos="5040"/>
        </w:tabs>
        <w:ind w:left="5040" w:hanging="360"/>
      </w:pPr>
      <w:rPr>
        <w:rFonts w:ascii="Wingdings 2" w:hAnsi="Wingdings 2" w:hint="default"/>
      </w:rPr>
    </w:lvl>
    <w:lvl w:ilvl="7" w:tplc="3F424E6C" w:tentative="1">
      <w:start w:val="1"/>
      <w:numFmt w:val="bullet"/>
      <w:lvlText w:val=""/>
      <w:lvlJc w:val="left"/>
      <w:pPr>
        <w:tabs>
          <w:tab w:val="num" w:pos="5760"/>
        </w:tabs>
        <w:ind w:left="5760" w:hanging="360"/>
      </w:pPr>
      <w:rPr>
        <w:rFonts w:ascii="Wingdings 2" w:hAnsi="Wingdings 2" w:hint="default"/>
      </w:rPr>
    </w:lvl>
    <w:lvl w:ilvl="8" w:tplc="D4F2E576"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84A0F6A"/>
    <w:multiLevelType w:val="multilevel"/>
    <w:tmpl w:val="12BAD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59716A"/>
    <w:multiLevelType w:val="hybridMultilevel"/>
    <w:tmpl w:val="97ECDF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9B6B8E"/>
    <w:multiLevelType w:val="multilevel"/>
    <w:tmpl w:val="F9224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6E42D1"/>
    <w:multiLevelType w:val="hybridMultilevel"/>
    <w:tmpl w:val="13BC9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025B4D"/>
    <w:multiLevelType w:val="hybridMultilevel"/>
    <w:tmpl w:val="C710238C"/>
    <w:lvl w:ilvl="0" w:tplc="26C6FCC0">
      <w:start w:val="1"/>
      <w:numFmt w:val="bullet"/>
      <w:lvlText w:val="•"/>
      <w:lvlJc w:val="left"/>
      <w:pPr>
        <w:tabs>
          <w:tab w:val="num" w:pos="720"/>
        </w:tabs>
        <w:ind w:left="720" w:hanging="360"/>
      </w:pPr>
      <w:rPr>
        <w:rFonts w:ascii="Arial" w:hAnsi="Arial" w:hint="default"/>
      </w:rPr>
    </w:lvl>
    <w:lvl w:ilvl="1" w:tplc="0ED8C1BE" w:tentative="1">
      <w:start w:val="1"/>
      <w:numFmt w:val="bullet"/>
      <w:lvlText w:val="•"/>
      <w:lvlJc w:val="left"/>
      <w:pPr>
        <w:tabs>
          <w:tab w:val="num" w:pos="1440"/>
        </w:tabs>
        <w:ind w:left="1440" w:hanging="360"/>
      </w:pPr>
      <w:rPr>
        <w:rFonts w:ascii="Arial" w:hAnsi="Arial" w:hint="default"/>
      </w:rPr>
    </w:lvl>
    <w:lvl w:ilvl="2" w:tplc="2B909C56" w:tentative="1">
      <w:start w:val="1"/>
      <w:numFmt w:val="bullet"/>
      <w:lvlText w:val="•"/>
      <w:lvlJc w:val="left"/>
      <w:pPr>
        <w:tabs>
          <w:tab w:val="num" w:pos="2160"/>
        </w:tabs>
        <w:ind w:left="2160" w:hanging="360"/>
      </w:pPr>
      <w:rPr>
        <w:rFonts w:ascii="Arial" w:hAnsi="Arial" w:hint="default"/>
      </w:rPr>
    </w:lvl>
    <w:lvl w:ilvl="3" w:tplc="054A3BAA" w:tentative="1">
      <w:start w:val="1"/>
      <w:numFmt w:val="bullet"/>
      <w:lvlText w:val="•"/>
      <w:lvlJc w:val="left"/>
      <w:pPr>
        <w:tabs>
          <w:tab w:val="num" w:pos="2880"/>
        </w:tabs>
        <w:ind w:left="2880" w:hanging="360"/>
      </w:pPr>
      <w:rPr>
        <w:rFonts w:ascii="Arial" w:hAnsi="Arial" w:hint="default"/>
      </w:rPr>
    </w:lvl>
    <w:lvl w:ilvl="4" w:tplc="48F08416" w:tentative="1">
      <w:start w:val="1"/>
      <w:numFmt w:val="bullet"/>
      <w:lvlText w:val="•"/>
      <w:lvlJc w:val="left"/>
      <w:pPr>
        <w:tabs>
          <w:tab w:val="num" w:pos="3600"/>
        </w:tabs>
        <w:ind w:left="3600" w:hanging="360"/>
      </w:pPr>
      <w:rPr>
        <w:rFonts w:ascii="Arial" w:hAnsi="Arial" w:hint="default"/>
      </w:rPr>
    </w:lvl>
    <w:lvl w:ilvl="5" w:tplc="C7BACF18" w:tentative="1">
      <w:start w:val="1"/>
      <w:numFmt w:val="bullet"/>
      <w:lvlText w:val="•"/>
      <w:lvlJc w:val="left"/>
      <w:pPr>
        <w:tabs>
          <w:tab w:val="num" w:pos="4320"/>
        </w:tabs>
        <w:ind w:left="4320" w:hanging="360"/>
      </w:pPr>
      <w:rPr>
        <w:rFonts w:ascii="Arial" w:hAnsi="Arial" w:hint="default"/>
      </w:rPr>
    </w:lvl>
    <w:lvl w:ilvl="6" w:tplc="84866B42" w:tentative="1">
      <w:start w:val="1"/>
      <w:numFmt w:val="bullet"/>
      <w:lvlText w:val="•"/>
      <w:lvlJc w:val="left"/>
      <w:pPr>
        <w:tabs>
          <w:tab w:val="num" w:pos="5040"/>
        </w:tabs>
        <w:ind w:left="5040" w:hanging="360"/>
      </w:pPr>
      <w:rPr>
        <w:rFonts w:ascii="Arial" w:hAnsi="Arial" w:hint="default"/>
      </w:rPr>
    </w:lvl>
    <w:lvl w:ilvl="7" w:tplc="42C614B2" w:tentative="1">
      <w:start w:val="1"/>
      <w:numFmt w:val="bullet"/>
      <w:lvlText w:val="•"/>
      <w:lvlJc w:val="left"/>
      <w:pPr>
        <w:tabs>
          <w:tab w:val="num" w:pos="5760"/>
        </w:tabs>
        <w:ind w:left="5760" w:hanging="360"/>
      </w:pPr>
      <w:rPr>
        <w:rFonts w:ascii="Arial" w:hAnsi="Arial" w:hint="default"/>
      </w:rPr>
    </w:lvl>
    <w:lvl w:ilvl="8" w:tplc="7558267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3297718"/>
    <w:multiLevelType w:val="multilevel"/>
    <w:tmpl w:val="341A258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6B0D2425"/>
    <w:multiLevelType w:val="multilevel"/>
    <w:tmpl w:val="9AB24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846862"/>
    <w:multiLevelType w:val="hybridMultilevel"/>
    <w:tmpl w:val="69B22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466BAE"/>
    <w:multiLevelType w:val="hybridMultilevel"/>
    <w:tmpl w:val="4B9E5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6957F7"/>
    <w:multiLevelType w:val="multilevel"/>
    <w:tmpl w:val="B0543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541726">
    <w:abstractNumId w:val="23"/>
  </w:num>
  <w:num w:numId="2" w16cid:durableId="2034723127">
    <w:abstractNumId w:val="10"/>
  </w:num>
  <w:num w:numId="3" w16cid:durableId="1238708230">
    <w:abstractNumId w:val="4"/>
  </w:num>
  <w:num w:numId="4" w16cid:durableId="1765834004">
    <w:abstractNumId w:val="13"/>
  </w:num>
  <w:num w:numId="5" w16cid:durableId="156238674">
    <w:abstractNumId w:val="16"/>
  </w:num>
  <w:num w:numId="6" w16cid:durableId="1601521610">
    <w:abstractNumId w:val="12"/>
  </w:num>
  <w:num w:numId="7" w16cid:durableId="1315794481">
    <w:abstractNumId w:val="3"/>
  </w:num>
  <w:num w:numId="8" w16cid:durableId="777917771">
    <w:abstractNumId w:val="20"/>
  </w:num>
  <w:num w:numId="9" w16cid:durableId="242034887">
    <w:abstractNumId w:val="6"/>
  </w:num>
  <w:num w:numId="10" w16cid:durableId="810487305">
    <w:abstractNumId w:val="15"/>
  </w:num>
  <w:num w:numId="11" w16cid:durableId="1697846134">
    <w:abstractNumId w:val="0"/>
  </w:num>
  <w:num w:numId="12" w16cid:durableId="573205818">
    <w:abstractNumId w:val="24"/>
  </w:num>
  <w:num w:numId="13" w16cid:durableId="70851400">
    <w:abstractNumId w:val="9"/>
  </w:num>
  <w:num w:numId="14" w16cid:durableId="1302690482">
    <w:abstractNumId w:val="1"/>
  </w:num>
  <w:num w:numId="15" w16cid:durableId="724060707">
    <w:abstractNumId w:val="18"/>
  </w:num>
  <w:num w:numId="16" w16cid:durableId="428618939">
    <w:abstractNumId w:val="8"/>
  </w:num>
  <w:num w:numId="17" w16cid:durableId="1089473096">
    <w:abstractNumId w:val="11"/>
  </w:num>
  <w:num w:numId="18" w16cid:durableId="61682078">
    <w:abstractNumId w:val="22"/>
  </w:num>
  <w:num w:numId="19" w16cid:durableId="177695031">
    <w:abstractNumId w:val="7"/>
  </w:num>
  <w:num w:numId="20" w16cid:durableId="485438181">
    <w:abstractNumId w:val="21"/>
  </w:num>
  <w:num w:numId="21" w16cid:durableId="1637644154">
    <w:abstractNumId w:val="19"/>
  </w:num>
  <w:num w:numId="22" w16cid:durableId="839546428">
    <w:abstractNumId w:val="25"/>
  </w:num>
  <w:num w:numId="23" w16cid:durableId="1554460823">
    <w:abstractNumId w:val="17"/>
  </w:num>
  <w:num w:numId="24" w16cid:durableId="1328905385">
    <w:abstractNumId w:val="14"/>
  </w:num>
  <w:num w:numId="25" w16cid:durableId="2115711185">
    <w:abstractNumId w:val="5"/>
  </w:num>
  <w:num w:numId="26" w16cid:durableId="1763261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12"/>
    <w:rsid w:val="00012157"/>
    <w:rsid w:val="000276A6"/>
    <w:rsid w:val="00092D52"/>
    <w:rsid w:val="000E6E4E"/>
    <w:rsid w:val="000F66E5"/>
    <w:rsid w:val="00112CFD"/>
    <w:rsid w:val="0013048B"/>
    <w:rsid w:val="00151BF9"/>
    <w:rsid w:val="001766DA"/>
    <w:rsid w:val="001A184D"/>
    <w:rsid w:val="001A38FD"/>
    <w:rsid w:val="00202653"/>
    <w:rsid w:val="00206936"/>
    <w:rsid w:val="0021687C"/>
    <w:rsid w:val="00256C97"/>
    <w:rsid w:val="00367382"/>
    <w:rsid w:val="003D310B"/>
    <w:rsid w:val="00416E7C"/>
    <w:rsid w:val="00441B10"/>
    <w:rsid w:val="004D11A4"/>
    <w:rsid w:val="004E4FCA"/>
    <w:rsid w:val="004F7A4A"/>
    <w:rsid w:val="00522160"/>
    <w:rsid w:val="00580F4C"/>
    <w:rsid w:val="005A4DF2"/>
    <w:rsid w:val="005B15BC"/>
    <w:rsid w:val="00605281"/>
    <w:rsid w:val="00664C8B"/>
    <w:rsid w:val="00687FB9"/>
    <w:rsid w:val="006F1BF4"/>
    <w:rsid w:val="0071525D"/>
    <w:rsid w:val="007915CC"/>
    <w:rsid w:val="007D7C8B"/>
    <w:rsid w:val="008069E6"/>
    <w:rsid w:val="0080777B"/>
    <w:rsid w:val="00822E73"/>
    <w:rsid w:val="00871D12"/>
    <w:rsid w:val="00893F92"/>
    <w:rsid w:val="008D4853"/>
    <w:rsid w:val="009032E0"/>
    <w:rsid w:val="00903627"/>
    <w:rsid w:val="009178F0"/>
    <w:rsid w:val="009307C2"/>
    <w:rsid w:val="009479B5"/>
    <w:rsid w:val="0097183E"/>
    <w:rsid w:val="00971975"/>
    <w:rsid w:val="00B138FD"/>
    <w:rsid w:val="00B170D5"/>
    <w:rsid w:val="00B22597"/>
    <w:rsid w:val="00B6718E"/>
    <w:rsid w:val="00CA3CEC"/>
    <w:rsid w:val="00CB1490"/>
    <w:rsid w:val="00CF5E31"/>
    <w:rsid w:val="00D25135"/>
    <w:rsid w:val="00D341A5"/>
    <w:rsid w:val="00D34B7C"/>
    <w:rsid w:val="00D74C35"/>
    <w:rsid w:val="00DC7E7C"/>
    <w:rsid w:val="00E02FCA"/>
    <w:rsid w:val="00E21F74"/>
    <w:rsid w:val="00EC2AEB"/>
    <w:rsid w:val="00EE26C4"/>
    <w:rsid w:val="00F36943"/>
    <w:rsid w:val="00F37874"/>
    <w:rsid w:val="00F52C56"/>
    <w:rsid w:val="00F56853"/>
    <w:rsid w:val="00F577B6"/>
    <w:rsid w:val="00F84AF1"/>
    <w:rsid w:val="00FE7331"/>
    <w:rsid w:val="00FF1A74"/>
    <w:rsid w:val="00FF76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B4E8E"/>
  <w15:chartTrackingRefBased/>
  <w15:docId w15:val="{6559DE4F-EDEE-4718-879D-332D6D4CF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D12"/>
  </w:style>
  <w:style w:type="paragraph" w:styleId="Heading1">
    <w:name w:val="heading 1"/>
    <w:basedOn w:val="Normal"/>
    <w:next w:val="Normal"/>
    <w:link w:val="Heading1Char"/>
    <w:uiPriority w:val="9"/>
    <w:qFormat/>
    <w:rsid w:val="00871D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D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D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D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D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D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D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D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D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D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D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D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D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D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D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D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D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D12"/>
    <w:rPr>
      <w:rFonts w:eastAsiaTheme="majorEastAsia" w:cstheme="majorBidi"/>
      <w:color w:val="272727" w:themeColor="text1" w:themeTint="D8"/>
    </w:rPr>
  </w:style>
  <w:style w:type="paragraph" w:styleId="Title">
    <w:name w:val="Title"/>
    <w:basedOn w:val="Normal"/>
    <w:next w:val="Normal"/>
    <w:link w:val="TitleChar"/>
    <w:uiPriority w:val="10"/>
    <w:qFormat/>
    <w:rsid w:val="00871D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D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D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D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D12"/>
    <w:pPr>
      <w:spacing w:before="160"/>
      <w:jc w:val="center"/>
    </w:pPr>
    <w:rPr>
      <w:i/>
      <w:iCs/>
      <w:color w:val="404040" w:themeColor="text1" w:themeTint="BF"/>
    </w:rPr>
  </w:style>
  <w:style w:type="character" w:customStyle="1" w:styleId="QuoteChar">
    <w:name w:val="Quote Char"/>
    <w:basedOn w:val="DefaultParagraphFont"/>
    <w:link w:val="Quote"/>
    <w:uiPriority w:val="29"/>
    <w:rsid w:val="00871D12"/>
    <w:rPr>
      <w:i/>
      <w:iCs/>
      <w:color w:val="404040" w:themeColor="text1" w:themeTint="BF"/>
    </w:rPr>
  </w:style>
  <w:style w:type="paragraph" w:styleId="ListParagraph">
    <w:name w:val="List Paragraph"/>
    <w:basedOn w:val="Normal"/>
    <w:uiPriority w:val="34"/>
    <w:qFormat/>
    <w:rsid w:val="00871D12"/>
    <w:pPr>
      <w:ind w:left="720"/>
      <w:contextualSpacing/>
    </w:pPr>
  </w:style>
  <w:style w:type="character" w:styleId="IntenseEmphasis">
    <w:name w:val="Intense Emphasis"/>
    <w:basedOn w:val="DefaultParagraphFont"/>
    <w:uiPriority w:val="21"/>
    <w:qFormat/>
    <w:rsid w:val="00871D12"/>
    <w:rPr>
      <w:i/>
      <w:iCs/>
      <w:color w:val="0F4761" w:themeColor="accent1" w:themeShade="BF"/>
    </w:rPr>
  </w:style>
  <w:style w:type="paragraph" w:styleId="IntenseQuote">
    <w:name w:val="Intense Quote"/>
    <w:basedOn w:val="Normal"/>
    <w:next w:val="Normal"/>
    <w:link w:val="IntenseQuoteChar"/>
    <w:uiPriority w:val="30"/>
    <w:qFormat/>
    <w:rsid w:val="00871D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D12"/>
    <w:rPr>
      <w:i/>
      <w:iCs/>
      <w:color w:val="0F4761" w:themeColor="accent1" w:themeShade="BF"/>
    </w:rPr>
  </w:style>
  <w:style w:type="character" w:styleId="IntenseReference">
    <w:name w:val="Intense Reference"/>
    <w:basedOn w:val="DefaultParagraphFont"/>
    <w:uiPriority w:val="32"/>
    <w:qFormat/>
    <w:rsid w:val="00871D12"/>
    <w:rPr>
      <w:b/>
      <w:bCs/>
      <w:smallCaps/>
      <w:color w:val="0F4761" w:themeColor="accent1" w:themeShade="BF"/>
      <w:spacing w:val="5"/>
    </w:rPr>
  </w:style>
  <w:style w:type="paragraph" w:styleId="NormalWeb">
    <w:name w:val="Normal (Web)"/>
    <w:basedOn w:val="Normal"/>
    <w:uiPriority w:val="99"/>
    <w:semiHidden/>
    <w:unhideWhenUsed/>
    <w:rsid w:val="00EC2AE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4F7A4A"/>
    <w:rPr>
      <w:b/>
      <w:bCs/>
    </w:rPr>
  </w:style>
  <w:style w:type="character" w:customStyle="1" w:styleId="citation-4">
    <w:name w:val="citation-4"/>
    <w:basedOn w:val="DefaultParagraphFont"/>
    <w:rsid w:val="00F577B6"/>
  </w:style>
  <w:style w:type="character" w:customStyle="1" w:styleId="button-container">
    <w:name w:val="button-container"/>
    <w:basedOn w:val="DefaultParagraphFont"/>
    <w:rsid w:val="00F577B6"/>
  </w:style>
  <w:style w:type="character" w:customStyle="1" w:styleId="citation-5">
    <w:name w:val="citation-5"/>
    <w:basedOn w:val="DefaultParagraphFont"/>
    <w:rsid w:val="00F577B6"/>
  </w:style>
  <w:style w:type="character" w:customStyle="1" w:styleId="citation-8">
    <w:name w:val="citation-8"/>
    <w:basedOn w:val="DefaultParagraphFont"/>
    <w:rsid w:val="001A38FD"/>
  </w:style>
  <w:style w:type="character" w:customStyle="1" w:styleId="citation-2">
    <w:name w:val="citation-2"/>
    <w:basedOn w:val="DefaultParagraphFont"/>
    <w:rsid w:val="006F1BF4"/>
  </w:style>
  <w:style w:type="character" w:customStyle="1" w:styleId="citation-3">
    <w:name w:val="citation-3"/>
    <w:basedOn w:val="DefaultParagraphFont"/>
    <w:rsid w:val="006F1BF4"/>
  </w:style>
  <w:style w:type="character" w:styleId="Hyperlink">
    <w:name w:val="Hyperlink"/>
    <w:basedOn w:val="DefaultParagraphFont"/>
    <w:uiPriority w:val="99"/>
    <w:semiHidden/>
    <w:unhideWhenUsed/>
    <w:rsid w:val="00D74C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564111">
      <w:bodyDiv w:val="1"/>
      <w:marLeft w:val="0"/>
      <w:marRight w:val="0"/>
      <w:marTop w:val="0"/>
      <w:marBottom w:val="0"/>
      <w:divBdr>
        <w:top w:val="none" w:sz="0" w:space="0" w:color="auto"/>
        <w:left w:val="none" w:sz="0" w:space="0" w:color="auto"/>
        <w:bottom w:val="none" w:sz="0" w:space="0" w:color="auto"/>
        <w:right w:val="none" w:sz="0" w:space="0" w:color="auto"/>
      </w:divBdr>
    </w:div>
    <w:div w:id="198513693">
      <w:bodyDiv w:val="1"/>
      <w:marLeft w:val="0"/>
      <w:marRight w:val="0"/>
      <w:marTop w:val="0"/>
      <w:marBottom w:val="0"/>
      <w:divBdr>
        <w:top w:val="none" w:sz="0" w:space="0" w:color="auto"/>
        <w:left w:val="none" w:sz="0" w:space="0" w:color="auto"/>
        <w:bottom w:val="none" w:sz="0" w:space="0" w:color="auto"/>
        <w:right w:val="none" w:sz="0" w:space="0" w:color="auto"/>
      </w:divBdr>
    </w:div>
    <w:div w:id="211773161">
      <w:bodyDiv w:val="1"/>
      <w:marLeft w:val="0"/>
      <w:marRight w:val="0"/>
      <w:marTop w:val="0"/>
      <w:marBottom w:val="0"/>
      <w:divBdr>
        <w:top w:val="none" w:sz="0" w:space="0" w:color="auto"/>
        <w:left w:val="none" w:sz="0" w:space="0" w:color="auto"/>
        <w:bottom w:val="none" w:sz="0" w:space="0" w:color="auto"/>
        <w:right w:val="none" w:sz="0" w:space="0" w:color="auto"/>
      </w:divBdr>
      <w:divsChild>
        <w:div w:id="1890453718">
          <w:marLeft w:val="432"/>
          <w:marRight w:val="0"/>
          <w:marTop w:val="116"/>
          <w:marBottom w:val="0"/>
          <w:divBdr>
            <w:top w:val="none" w:sz="0" w:space="0" w:color="auto"/>
            <w:left w:val="none" w:sz="0" w:space="0" w:color="auto"/>
            <w:bottom w:val="none" w:sz="0" w:space="0" w:color="auto"/>
            <w:right w:val="none" w:sz="0" w:space="0" w:color="auto"/>
          </w:divBdr>
        </w:div>
      </w:divsChild>
    </w:div>
    <w:div w:id="278412049">
      <w:bodyDiv w:val="1"/>
      <w:marLeft w:val="0"/>
      <w:marRight w:val="0"/>
      <w:marTop w:val="0"/>
      <w:marBottom w:val="0"/>
      <w:divBdr>
        <w:top w:val="none" w:sz="0" w:space="0" w:color="auto"/>
        <w:left w:val="none" w:sz="0" w:space="0" w:color="auto"/>
        <w:bottom w:val="none" w:sz="0" w:space="0" w:color="auto"/>
        <w:right w:val="none" w:sz="0" w:space="0" w:color="auto"/>
      </w:divBdr>
      <w:divsChild>
        <w:div w:id="1025210690">
          <w:marLeft w:val="360"/>
          <w:marRight w:val="0"/>
          <w:marTop w:val="200"/>
          <w:marBottom w:val="0"/>
          <w:divBdr>
            <w:top w:val="none" w:sz="0" w:space="0" w:color="auto"/>
            <w:left w:val="none" w:sz="0" w:space="0" w:color="auto"/>
            <w:bottom w:val="none" w:sz="0" w:space="0" w:color="auto"/>
            <w:right w:val="none" w:sz="0" w:space="0" w:color="auto"/>
          </w:divBdr>
        </w:div>
      </w:divsChild>
    </w:div>
    <w:div w:id="352269122">
      <w:bodyDiv w:val="1"/>
      <w:marLeft w:val="0"/>
      <w:marRight w:val="0"/>
      <w:marTop w:val="0"/>
      <w:marBottom w:val="0"/>
      <w:divBdr>
        <w:top w:val="none" w:sz="0" w:space="0" w:color="auto"/>
        <w:left w:val="none" w:sz="0" w:space="0" w:color="auto"/>
        <w:bottom w:val="none" w:sz="0" w:space="0" w:color="auto"/>
        <w:right w:val="none" w:sz="0" w:space="0" w:color="auto"/>
      </w:divBdr>
    </w:div>
    <w:div w:id="475682570">
      <w:bodyDiv w:val="1"/>
      <w:marLeft w:val="0"/>
      <w:marRight w:val="0"/>
      <w:marTop w:val="0"/>
      <w:marBottom w:val="0"/>
      <w:divBdr>
        <w:top w:val="none" w:sz="0" w:space="0" w:color="auto"/>
        <w:left w:val="none" w:sz="0" w:space="0" w:color="auto"/>
        <w:bottom w:val="none" w:sz="0" w:space="0" w:color="auto"/>
        <w:right w:val="none" w:sz="0" w:space="0" w:color="auto"/>
      </w:divBdr>
    </w:div>
    <w:div w:id="479153424">
      <w:bodyDiv w:val="1"/>
      <w:marLeft w:val="0"/>
      <w:marRight w:val="0"/>
      <w:marTop w:val="0"/>
      <w:marBottom w:val="0"/>
      <w:divBdr>
        <w:top w:val="none" w:sz="0" w:space="0" w:color="auto"/>
        <w:left w:val="none" w:sz="0" w:space="0" w:color="auto"/>
        <w:bottom w:val="none" w:sz="0" w:space="0" w:color="auto"/>
        <w:right w:val="none" w:sz="0" w:space="0" w:color="auto"/>
      </w:divBdr>
    </w:div>
    <w:div w:id="506402383">
      <w:bodyDiv w:val="1"/>
      <w:marLeft w:val="0"/>
      <w:marRight w:val="0"/>
      <w:marTop w:val="0"/>
      <w:marBottom w:val="0"/>
      <w:divBdr>
        <w:top w:val="none" w:sz="0" w:space="0" w:color="auto"/>
        <w:left w:val="none" w:sz="0" w:space="0" w:color="auto"/>
        <w:bottom w:val="none" w:sz="0" w:space="0" w:color="auto"/>
        <w:right w:val="none" w:sz="0" w:space="0" w:color="auto"/>
      </w:divBdr>
    </w:div>
    <w:div w:id="593392604">
      <w:bodyDiv w:val="1"/>
      <w:marLeft w:val="0"/>
      <w:marRight w:val="0"/>
      <w:marTop w:val="0"/>
      <w:marBottom w:val="0"/>
      <w:divBdr>
        <w:top w:val="none" w:sz="0" w:space="0" w:color="auto"/>
        <w:left w:val="none" w:sz="0" w:space="0" w:color="auto"/>
        <w:bottom w:val="none" w:sz="0" w:space="0" w:color="auto"/>
        <w:right w:val="none" w:sz="0" w:space="0" w:color="auto"/>
      </w:divBdr>
      <w:divsChild>
        <w:div w:id="238751305">
          <w:marLeft w:val="432"/>
          <w:marRight w:val="0"/>
          <w:marTop w:val="116"/>
          <w:marBottom w:val="0"/>
          <w:divBdr>
            <w:top w:val="none" w:sz="0" w:space="0" w:color="auto"/>
            <w:left w:val="none" w:sz="0" w:space="0" w:color="auto"/>
            <w:bottom w:val="none" w:sz="0" w:space="0" w:color="auto"/>
            <w:right w:val="none" w:sz="0" w:space="0" w:color="auto"/>
          </w:divBdr>
        </w:div>
        <w:div w:id="1421953649">
          <w:marLeft w:val="432"/>
          <w:marRight w:val="0"/>
          <w:marTop w:val="116"/>
          <w:marBottom w:val="0"/>
          <w:divBdr>
            <w:top w:val="none" w:sz="0" w:space="0" w:color="auto"/>
            <w:left w:val="none" w:sz="0" w:space="0" w:color="auto"/>
            <w:bottom w:val="none" w:sz="0" w:space="0" w:color="auto"/>
            <w:right w:val="none" w:sz="0" w:space="0" w:color="auto"/>
          </w:divBdr>
        </w:div>
      </w:divsChild>
    </w:div>
    <w:div w:id="682051811">
      <w:bodyDiv w:val="1"/>
      <w:marLeft w:val="0"/>
      <w:marRight w:val="0"/>
      <w:marTop w:val="0"/>
      <w:marBottom w:val="0"/>
      <w:divBdr>
        <w:top w:val="none" w:sz="0" w:space="0" w:color="auto"/>
        <w:left w:val="none" w:sz="0" w:space="0" w:color="auto"/>
        <w:bottom w:val="none" w:sz="0" w:space="0" w:color="auto"/>
        <w:right w:val="none" w:sz="0" w:space="0" w:color="auto"/>
      </w:divBdr>
    </w:div>
    <w:div w:id="706560658">
      <w:bodyDiv w:val="1"/>
      <w:marLeft w:val="0"/>
      <w:marRight w:val="0"/>
      <w:marTop w:val="0"/>
      <w:marBottom w:val="0"/>
      <w:divBdr>
        <w:top w:val="none" w:sz="0" w:space="0" w:color="auto"/>
        <w:left w:val="none" w:sz="0" w:space="0" w:color="auto"/>
        <w:bottom w:val="none" w:sz="0" w:space="0" w:color="auto"/>
        <w:right w:val="none" w:sz="0" w:space="0" w:color="auto"/>
      </w:divBdr>
    </w:div>
    <w:div w:id="707335526">
      <w:bodyDiv w:val="1"/>
      <w:marLeft w:val="0"/>
      <w:marRight w:val="0"/>
      <w:marTop w:val="0"/>
      <w:marBottom w:val="0"/>
      <w:divBdr>
        <w:top w:val="none" w:sz="0" w:space="0" w:color="auto"/>
        <w:left w:val="none" w:sz="0" w:space="0" w:color="auto"/>
        <w:bottom w:val="none" w:sz="0" w:space="0" w:color="auto"/>
        <w:right w:val="none" w:sz="0" w:space="0" w:color="auto"/>
      </w:divBdr>
    </w:div>
    <w:div w:id="722867495">
      <w:bodyDiv w:val="1"/>
      <w:marLeft w:val="0"/>
      <w:marRight w:val="0"/>
      <w:marTop w:val="0"/>
      <w:marBottom w:val="0"/>
      <w:divBdr>
        <w:top w:val="none" w:sz="0" w:space="0" w:color="auto"/>
        <w:left w:val="none" w:sz="0" w:space="0" w:color="auto"/>
        <w:bottom w:val="none" w:sz="0" w:space="0" w:color="auto"/>
        <w:right w:val="none" w:sz="0" w:space="0" w:color="auto"/>
      </w:divBdr>
    </w:div>
    <w:div w:id="826702135">
      <w:bodyDiv w:val="1"/>
      <w:marLeft w:val="0"/>
      <w:marRight w:val="0"/>
      <w:marTop w:val="0"/>
      <w:marBottom w:val="0"/>
      <w:divBdr>
        <w:top w:val="none" w:sz="0" w:space="0" w:color="auto"/>
        <w:left w:val="none" w:sz="0" w:space="0" w:color="auto"/>
        <w:bottom w:val="none" w:sz="0" w:space="0" w:color="auto"/>
        <w:right w:val="none" w:sz="0" w:space="0" w:color="auto"/>
      </w:divBdr>
    </w:div>
    <w:div w:id="890191985">
      <w:bodyDiv w:val="1"/>
      <w:marLeft w:val="0"/>
      <w:marRight w:val="0"/>
      <w:marTop w:val="0"/>
      <w:marBottom w:val="0"/>
      <w:divBdr>
        <w:top w:val="none" w:sz="0" w:space="0" w:color="auto"/>
        <w:left w:val="none" w:sz="0" w:space="0" w:color="auto"/>
        <w:bottom w:val="none" w:sz="0" w:space="0" w:color="auto"/>
        <w:right w:val="none" w:sz="0" w:space="0" w:color="auto"/>
      </w:divBdr>
      <w:divsChild>
        <w:div w:id="17582336">
          <w:marLeft w:val="432"/>
          <w:marRight w:val="0"/>
          <w:marTop w:val="116"/>
          <w:marBottom w:val="0"/>
          <w:divBdr>
            <w:top w:val="none" w:sz="0" w:space="0" w:color="auto"/>
            <w:left w:val="none" w:sz="0" w:space="0" w:color="auto"/>
            <w:bottom w:val="none" w:sz="0" w:space="0" w:color="auto"/>
            <w:right w:val="none" w:sz="0" w:space="0" w:color="auto"/>
          </w:divBdr>
        </w:div>
        <w:div w:id="772481555">
          <w:marLeft w:val="432"/>
          <w:marRight w:val="0"/>
          <w:marTop w:val="116"/>
          <w:marBottom w:val="0"/>
          <w:divBdr>
            <w:top w:val="none" w:sz="0" w:space="0" w:color="auto"/>
            <w:left w:val="none" w:sz="0" w:space="0" w:color="auto"/>
            <w:bottom w:val="none" w:sz="0" w:space="0" w:color="auto"/>
            <w:right w:val="none" w:sz="0" w:space="0" w:color="auto"/>
          </w:divBdr>
        </w:div>
        <w:div w:id="1399160656">
          <w:marLeft w:val="432"/>
          <w:marRight w:val="0"/>
          <w:marTop w:val="116"/>
          <w:marBottom w:val="0"/>
          <w:divBdr>
            <w:top w:val="none" w:sz="0" w:space="0" w:color="auto"/>
            <w:left w:val="none" w:sz="0" w:space="0" w:color="auto"/>
            <w:bottom w:val="none" w:sz="0" w:space="0" w:color="auto"/>
            <w:right w:val="none" w:sz="0" w:space="0" w:color="auto"/>
          </w:divBdr>
        </w:div>
      </w:divsChild>
    </w:div>
    <w:div w:id="972947932">
      <w:bodyDiv w:val="1"/>
      <w:marLeft w:val="0"/>
      <w:marRight w:val="0"/>
      <w:marTop w:val="0"/>
      <w:marBottom w:val="0"/>
      <w:divBdr>
        <w:top w:val="none" w:sz="0" w:space="0" w:color="auto"/>
        <w:left w:val="none" w:sz="0" w:space="0" w:color="auto"/>
        <w:bottom w:val="none" w:sz="0" w:space="0" w:color="auto"/>
        <w:right w:val="none" w:sz="0" w:space="0" w:color="auto"/>
      </w:divBdr>
    </w:div>
    <w:div w:id="982661324">
      <w:bodyDiv w:val="1"/>
      <w:marLeft w:val="0"/>
      <w:marRight w:val="0"/>
      <w:marTop w:val="0"/>
      <w:marBottom w:val="0"/>
      <w:divBdr>
        <w:top w:val="none" w:sz="0" w:space="0" w:color="auto"/>
        <w:left w:val="none" w:sz="0" w:space="0" w:color="auto"/>
        <w:bottom w:val="none" w:sz="0" w:space="0" w:color="auto"/>
        <w:right w:val="none" w:sz="0" w:space="0" w:color="auto"/>
      </w:divBdr>
    </w:div>
    <w:div w:id="1003822027">
      <w:bodyDiv w:val="1"/>
      <w:marLeft w:val="0"/>
      <w:marRight w:val="0"/>
      <w:marTop w:val="0"/>
      <w:marBottom w:val="0"/>
      <w:divBdr>
        <w:top w:val="none" w:sz="0" w:space="0" w:color="auto"/>
        <w:left w:val="none" w:sz="0" w:space="0" w:color="auto"/>
        <w:bottom w:val="none" w:sz="0" w:space="0" w:color="auto"/>
        <w:right w:val="none" w:sz="0" w:space="0" w:color="auto"/>
      </w:divBdr>
      <w:divsChild>
        <w:div w:id="2125492297">
          <w:marLeft w:val="432"/>
          <w:marRight w:val="0"/>
          <w:marTop w:val="116"/>
          <w:marBottom w:val="0"/>
          <w:divBdr>
            <w:top w:val="none" w:sz="0" w:space="0" w:color="auto"/>
            <w:left w:val="none" w:sz="0" w:space="0" w:color="auto"/>
            <w:bottom w:val="none" w:sz="0" w:space="0" w:color="auto"/>
            <w:right w:val="none" w:sz="0" w:space="0" w:color="auto"/>
          </w:divBdr>
        </w:div>
      </w:divsChild>
    </w:div>
    <w:div w:id="1082990493">
      <w:bodyDiv w:val="1"/>
      <w:marLeft w:val="0"/>
      <w:marRight w:val="0"/>
      <w:marTop w:val="0"/>
      <w:marBottom w:val="0"/>
      <w:divBdr>
        <w:top w:val="none" w:sz="0" w:space="0" w:color="auto"/>
        <w:left w:val="none" w:sz="0" w:space="0" w:color="auto"/>
        <w:bottom w:val="none" w:sz="0" w:space="0" w:color="auto"/>
        <w:right w:val="none" w:sz="0" w:space="0" w:color="auto"/>
      </w:divBdr>
    </w:div>
    <w:div w:id="1186600300">
      <w:bodyDiv w:val="1"/>
      <w:marLeft w:val="0"/>
      <w:marRight w:val="0"/>
      <w:marTop w:val="0"/>
      <w:marBottom w:val="0"/>
      <w:divBdr>
        <w:top w:val="none" w:sz="0" w:space="0" w:color="auto"/>
        <w:left w:val="none" w:sz="0" w:space="0" w:color="auto"/>
        <w:bottom w:val="none" w:sz="0" w:space="0" w:color="auto"/>
        <w:right w:val="none" w:sz="0" w:space="0" w:color="auto"/>
      </w:divBdr>
    </w:div>
    <w:div w:id="1241014890">
      <w:bodyDiv w:val="1"/>
      <w:marLeft w:val="0"/>
      <w:marRight w:val="0"/>
      <w:marTop w:val="0"/>
      <w:marBottom w:val="0"/>
      <w:divBdr>
        <w:top w:val="none" w:sz="0" w:space="0" w:color="auto"/>
        <w:left w:val="none" w:sz="0" w:space="0" w:color="auto"/>
        <w:bottom w:val="none" w:sz="0" w:space="0" w:color="auto"/>
        <w:right w:val="none" w:sz="0" w:space="0" w:color="auto"/>
      </w:divBdr>
    </w:div>
    <w:div w:id="1301686683">
      <w:bodyDiv w:val="1"/>
      <w:marLeft w:val="0"/>
      <w:marRight w:val="0"/>
      <w:marTop w:val="0"/>
      <w:marBottom w:val="0"/>
      <w:divBdr>
        <w:top w:val="none" w:sz="0" w:space="0" w:color="auto"/>
        <w:left w:val="none" w:sz="0" w:space="0" w:color="auto"/>
        <w:bottom w:val="none" w:sz="0" w:space="0" w:color="auto"/>
        <w:right w:val="none" w:sz="0" w:space="0" w:color="auto"/>
      </w:divBdr>
      <w:divsChild>
        <w:div w:id="36509056">
          <w:marLeft w:val="360"/>
          <w:marRight w:val="0"/>
          <w:marTop w:val="200"/>
          <w:marBottom w:val="0"/>
          <w:divBdr>
            <w:top w:val="none" w:sz="0" w:space="0" w:color="auto"/>
            <w:left w:val="none" w:sz="0" w:space="0" w:color="auto"/>
            <w:bottom w:val="none" w:sz="0" w:space="0" w:color="auto"/>
            <w:right w:val="none" w:sz="0" w:space="0" w:color="auto"/>
          </w:divBdr>
        </w:div>
      </w:divsChild>
    </w:div>
    <w:div w:id="1311446219">
      <w:bodyDiv w:val="1"/>
      <w:marLeft w:val="0"/>
      <w:marRight w:val="0"/>
      <w:marTop w:val="0"/>
      <w:marBottom w:val="0"/>
      <w:divBdr>
        <w:top w:val="none" w:sz="0" w:space="0" w:color="auto"/>
        <w:left w:val="none" w:sz="0" w:space="0" w:color="auto"/>
        <w:bottom w:val="none" w:sz="0" w:space="0" w:color="auto"/>
        <w:right w:val="none" w:sz="0" w:space="0" w:color="auto"/>
      </w:divBdr>
    </w:div>
    <w:div w:id="1356077094">
      <w:bodyDiv w:val="1"/>
      <w:marLeft w:val="0"/>
      <w:marRight w:val="0"/>
      <w:marTop w:val="0"/>
      <w:marBottom w:val="0"/>
      <w:divBdr>
        <w:top w:val="none" w:sz="0" w:space="0" w:color="auto"/>
        <w:left w:val="none" w:sz="0" w:space="0" w:color="auto"/>
        <w:bottom w:val="none" w:sz="0" w:space="0" w:color="auto"/>
        <w:right w:val="none" w:sz="0" w:space="0" w:color="auto"/>
      </w:divBdr>
    </w:div>
    <w:div w:id="1416131226">
      <w:bodyDiv w:val="1"/>
      <w:marLeft w:val="0"/>
      <w:marRight w:val="0"/>
      <w:marTop w:val="0"/>
      <w:marBottom w:val="0"/>
      <w:divBdr>
        <w:top w:val="none" w:sz="0" w:space="0" w:color="auto"/>
        <w:left w:val="none" w:sz="0" w:space="0" w:color="auto"/>
        <w:bottom w:val="none" w:sz="0" w:space="0" w:color="auto"/>
        <w:right w:val="none" w:sz="0" w:space="0" w:color="auto"/>
      </w:divBdr>
    </w:div>
    <w:div w:id="1426457866">
      <w:bodyDiv w:val="1"/>
      <w:marLeft w:val="0"/>
      <w:marRight w:val="0"/>
      <w:marTop w:val="0"/>
      <w:marBottom w:val="0"/>
      <w:divBdr>
        <w:top w:val="none" w:sz="0" w:space="0" w:color="auto"/>
        <w:left w:val="none" w:sz="0" w:space="0" w:color="auto"/>
        <w:bottom w:val="none" w:sz="0" w:space="0" w:color="auto"/>
        <w:right w:val="none" w:sz="0" w:space="0" w:color="auto"/>
      </w:divBdr>
    </w:div>
    <w:div w:id="1485316791">
      <w:bodyDiv w:val="1"/>
      <w:marLeft w:val="0"/>
      <w:marRight w:val="0"/>
      <w:marTop w:val="0"/>
      <w:marBottom w:val="0"/>
      <w:divBdr>
        <w:top w:val="none" w:sz="0" w:space="0" w:color="auto"/>
        <w:left w:val="none" w:sz="0" w:space="0" w:color="auto"/>
        <w:bottom w:val="none" w:sz="0" w:space="0" w:color="auto"/>
        <w:right w:val="none" w:sz="0" w:space="0" w:color="auto"/>
      </w:divBdr>
    </w:div>
    <w:div w:id="1648166566">
      <w:bodyDiv w:val="1"/>
      <w:marLeft w:val="0"/>
      <w:marRight w:val="0"/>
      <w:marTop w:val="0"/>
      <w:marBottom w:val="0"/>
      <w:divBdr>
        <w:top w:val="none" w:sz="0" w:space="0" w:color="auto"/>
        <w:left w:val="none" w:sz="0" w:space="0" w:color="auto"/>
        <w:bottom w:val="none" w:sz="0" w:space="0" w:color="auto"/>
        <w:right w:val="none" w:sz="0" w:space="0" w:color="auto"/>
      </w:divBdr>
    </w:div>
    <w:div w:id="1780250297">
      <w:bodyDiv w:val="1"/>
      <w:marLeft w:val="0"/>
      <w:marRight w:val="0"/>
      <w:marTop w:val="0"/>
      <w:marBottom w:val="0"/>
      <w:divBdr>
        <w:top w:val="none" w:sz="0" w:space="0" w:color="auto"/>
        <w:left w:val="none" w:sz="0" w:space="0" w:color="auto"/>
        <w:bottom w:val="none" w:sz="0" w:space="0" w:color="auto"/>
        <w:right w:val="none" w:sz="0" w:space="0" w:color="auto"/>
      </w:divBdr>
    </w:div>
    <w:div w:id="202323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1698</Words>
  <Characters>9679</Characters>
  <Application>Microsoft Office Word</Application>
  <DocSecurity>4</DocSecurity>
  <Lines>80</Lines>
  <Paragraphs>22</Paragraphs>
  <ScaleCrop>false</ScaleCrop>
  <Company>University of Wales Trinity Saint David</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58</cp:revision>
  <dcterms:created xsi:type="dcterms:W3CDTF">2025-02-15T00:48:00Z</dcterms:created>
  <dcterms:modified xsi:type="dcterms:W3CDTF">2025-03-03T10:47:00Z</dcterms:modified>
</cp:coreProperties>
</file>