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r>
        <w:rPr>
          <w:sz w:val="36"/>
          <w:szCs w:val="36"/>
        </w:rPr>
        <w:t>Heritage: Representation and Interpretation (AHAN7028)</w:t>
      </w:r>
    </w:p>
    <w:p w:rsidR="003A69CF" w:rsidRDefault="003A69CF" w:rsidP="003A69CF">
      <w:pPr>
        <w:jc w:val="center"/>
        <w:rPr>
          <w:sz w:val="36"/>
          <w:szCs w:val="36"/>
        </w:rPr>
      </w:pPr>
      <w:r>
        <w:rPr>
          <w:sz w:val="36"/>
          <w:szCs w:val="36"/>
        </w:rPr>
        <w:t>Assessment One: Critical Commentary</w:t>
      </w:r>
    </w:p>
    <w:p w:rsidR="003A69CF" w:rsidRDefault="003A69CF" w:rsidP="003A69CF">
      <w:pPr>
        <w:jc w:val="center"/>
        <w:rPr>
          <w:sz w:val="36"/>
          <w:szCs w:val="36"/>
        </w:rPr>
      </w:pPr>
      <w:r>
        <w:rPr>
          <w:sz w:val="36"/>
          <w:szCs w:val="36"/>
        </w:rPr>
        <w:t>Moody_1812255_AHAN7028_Ass1</w:t>
      </w:r>
    </w:p>
    <w:p w:rsidR="003A69CF" w:rsidRDefault="003A69CF" w:rsidP="003A69CF">
      <w:pPr>
        <w:jc w:val="center"/>
        <w:rPr>
          <w:sz w:val="36"/>
          <w:szCs w:val="36"/>
        </w:rPr>
      </w:pPr>
      <w:r>
        <w:rPr>
          <w:sz w:val="36"/>
          <w:szCs w:val="36"/>
        </w:rPr>
        <w:t>Alison Moody</w:t>
      </w: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36"/>
          <w:szCs w:val="36"/>
        </w:rPr>
      </w:pPr>
    </w:p>
    <w:p w:rsidR="003A69CF" w:rsidRDefault="003A69CF" w:rsidP="003A69CF">
      <w:pPr>
        <w:jc w:val="center"/>
        <w:rPr>
          <w:sz w:val="24"/>
          <w:szCs w:val="24"/>
        </w:rPr>
      </w:pPr>
      <w:r>
        <w:rPr>
          <w:sz w:val="24"/>
          <w:szCs w:val="24"/>
        </w:rPr>
        <w:lastRenderedPageBreak/>
        <w:t>National Botanic Garden of Wales Visitor Guide</w:t>
      </w:r>
    </w:p>
    <w:p w:rsidR="003A69CF" w:rsidRDefault="003A69CF" w:rsidP="003A69CF">
      <w:pPr>
        <w:jc w:val="center"/>
        <w:rPr>
          <w:sz w:val="24"/>
          <w:szCs w:val="24"/>
        </w:rPr>
      </w:pPr>
    </w:p>
    <w:p w:rsidR="006D58B8" w:rsidRDefault="006D58B8" w:rsidP="003A69CF">
      <w:pPr>
        <w:jc w:val="center"/>
        <w:rPr>
          <w:sz w:val="24"/>
          <w:szCs w:val="24"/>
        </w:rPr>
      </w:pPr>
    </w:p>
    <w:p w:rsidR="006D58B8" w:rsidRDefault="006D58B8" w:rsidP="006D58B8">
      <w:pPr>
        <w:rPr>
          <w:sz w:val="24"/>
          <w:szCs w:val="24"/>
        </w:rPr>
      </w:pPr>
      <w:r>
        <w:rPr>
          <w:sz w:val="24"/>
          <w:szCs w:val="24"/>
        </w:rPr>
        <w:t>I have chosen for my critical commentary the Visitor Guide for the National Botanic Garden of Wales. The guide is a 46-page booklet produced by the national botanic garden. Nowhere is a date given for the guide, I surmise it was produced somewhere between 2015 and 2017, the tropical butterfly house is included which was built in 2015 but the bird of prey centre is not and it has been a feature of the garden since at least 2018.</w:t>
      </w:r>
      <w:r w:rsidR="00BB5602">
        <w:rPr>
          <w:sz w:val="24"/>
          <w:szCs w:val="24"/>
        </w:rPr>
        <w:t xml:space="preserve"> There is no author listed for the guide, which is normal for literature of this kind.</w:t>
      </w:r>
    </w:p>
    <w:p w:rsidR="006D58B8" w:rsidRDefault="006D58B8" w:rsidP="006D58B8">
      <w:pPr>
        <w:rPr>
          <w:sz w:val="24"/>
          <w:szCs w:val="24"/>
        </w:rPr>
      </w:pPr>
      <w:r>
        <w:rPr>
          <w:sz w:val="24"/>
          <w:szCs w:val="24"/>
        </w:rPr>
        <w:t xml:space="preserve">The guide is divided into eight sections; welcome, introduction, why here, take the tour, history of the garden, rediscovering ruins, </w:t>
      </w:r>
      <w:r w:rsidR="001D7E2A">
        <w:rPr>
          <w:sz w:val="24"/>
          <w:szCs w:val="24"/>
        </w:rPr>
        <w:t>a new role for the 21</w:t>
      </w:r>
      <w:r w:rsidR="001D7E2A" w:rsidRPr="001D7E2A">
        <w:rPr>
          <w:sz w:val="24"/>
          <w:szCs w:val="24"/>
          <w:vertAlign w:val="superscript"/>
        </w:rPr>
        <w:t>st</w:t>
      </w:r>
      <w:r w:rsidR="001D7E2A">
        <w:rPr>
          <w:sz w:val="24"/>
          <w:szCs w:val="24"/>
        </w:rPr>
        <w:t xml:space="preserve"> century and plant collection.</w:t>
      </w:r>
    </w:p>
    <w:p w:rsidR="000D5ADF" w:rsidRDefault="001D7E2A" w:rsidP="006D58B8">
      <w:pPr>
        <w:rPr>
          <w:sz w:val="24"/>
          <w:szCs w:val="24"/>
        </w:rPr>
      </w:pPr>
      <w:r>
        <w:rPr>
          <w:sz w:val="24"/>
          <w:szCs w:val="24"/>
        </w:rPr>
        <w:t>By far the largest section in the book is the section ‘take the tour’</w:t>
      </w:r>
      <w:r w:rsidR="000F6C05">
        <w:rPr>
          <w:rStyle w:val="FootnoteReference"/>
          <w:sz w:val="24"/>
          <w:szCs w:val="24"/>
        </w:rPr>
        <w:footnoteReference w:id="1"/>
      </w:r>
      <w:r>
        <w:rPr>
          <w:sz w:val="24"/>
          <w:szCs w:val="24"/>
        </w:rPr>
        <w:t xml:space="preserve"> this takes up 28 pages of the guide. It contains a detailed description of all the major attractions in the garden, all 39 of them. These range from the big attraction</w:t>
      </w:r>
      <w:r w:rsidR="00BB5602">
        <w:rPr>
          <w:sz w:val="24"/>
          <w:szCs w:val="24"/>
        </w:rPr>
        <w:t>s</w:t>
      </w:r>
      <w:r>
        <w:rPr>
          <w:sz w:val="24"/>
          <w:szCs w:val="24"/>
        </w:rPr>
        <w:t xml:space="preserve"> of the garden; the great glasshouse and the 19</w:t>
      </w:r>
      <w:r w:rsidRPr="001D7E2A">
        <w:rPr>
          <w:sz w:val="24"/>
          <w:szCs w:val="24"/>
          <w:vertAlign w:val="superscript"/>
        </w:rPr>
        <w:t>th</w:t>
      </w:r>
      <w:r>
        <w:rPr>
          <w:sz w:val="24"/>
          <w:szCs w:val="24"/>
        </w:rPr>
        <w:t xml:space="preserve"> century double walled garden which each get two pages devoted to them</w:t>
      </w:r>
      <w:r w:rsidR="000D5ADF">
        <w:rPr>
          <w:sz w:val="24"/>
          <w:szCs w:val="24"/>
        </w:rPr>
        <w:t>,</w:t>
      </w:r>
      <w:r>
        <w:rPr>
          <w:sz w:val="24"/>
          <w:szCs w:val="24"/>
        </w:rPr>
        <w:t xml:space="preserve"> to the less </w:t>
      </w:r>
      <w:r w:rsidR="000D5ADF">
        <w:rPr>
          <w:sz w:val="24"/>
          <w:szCs w:val="24"/>
        </w:rPr>
        <w:t xml:space="preserve">ostentatious delights of the bog garden and the bee garden. The guide does not contain a map of the garden, which is 586-acres, but maps are plentifully available when entering the garden. All of the attractions in the garden are covered well in the ‘take the tour’ section of the visitor guide, it is clearly and concisely written as befits a guide book and the attractions are arranged broadly in the order you might come to them when entering the garden. This is simple for the attractions immediately inside the entrance to the garden but becomes more </w:t>
      </w:r>
      <w:r w:rsidR="00BB5602">
        <w:rPr>
          <w:sz w:val="24"/>
          <w:szCs w:val="24"/>
        </w:rPr>
        <w:t xml:space="preserve">a case of </w:t>
      </w:r>
      <w:r w:rsidR="000D5ADF">
        <w:rPr>
          <w:sz w:val="24"/>
          <w:szCs w:val="24"/>
        </w:rPr>
        <w:t>speculation further into the section as visitors have a degree of freedom to roam.</w:t>
      </w:r>
    </w:p>
    <w:p w:rsidR="001D7E2A" w:rsidRDefault="000D5ADF" w:rsidP="006D58B8">
      <w:pPr>
        <w:rPr>
          <w:sz w:val="24"/>
          <w:szCs w:val="24"/>
        </w:rPr>
      </w:pPr>
      <w:r>
        <w:rPr>
          <w:sz w:val="24"/>
          <w:szCs w:val="24"/>
        </w:rPr>
        <w:t>The second largest section of the guide is the ‘history of the garden’</w:t>
      </w:r>
      <w:r w:rsidR="002A1095">
        <w:rPr>
          <w:rStyle w:val="FootnoteReference"/>
          <w:sz w:val="24"/>
          <w:szCs w:val="24"/>
        </w:rPr>
        <w:footnoteReference w:id="2"/>
      </w:r>
      <w:r>
        <w:rPr>
          <w:sz w:val="24"/>
          <w:szCs w:val="24"/>
        </w:rPr>
        <w:t xml:space="preserve"> it contains six pages of information. It covers the 500-year history of the garden which until 2000 was the Middleton Estate. The estate was held by the Middleton family from </w:t>
      </w:r>
      <w:r w:rsidR="00A276C4">
        <w:rPr>
          <w:sz w:val="24"/>
          <w:szCs w:val="24"/>
        </w:rPr>
        <w:t>late 16</w:t>
      </w:r>
      <w:r w:rsidR="00A276C4" w:rsidRPr="00A276C4">
        <w:rPr>
          <w:sz w:val="24"/>
          <w:szCs w:val="24"/>
          <w:vertAlign w:val="superscript"/>
        </w:rPr>
        <w:t>th</w:t>
      </w:r>
      <w:r w:rsidR="00A276C4">
        <w:rPr>
          <w:sz w:val="24"/>
          <w:szCs w:val="24"/>
        </w:rPr>
        <w:t xml:space="preserve"> century until 1776, they built Middleton Hall on the site in the early 17</w:t>
      </w:r>
      <w:r w:rsidR="00A276C4" w:rsidRPr="00A276C4">
        <w:rPr>
          <w:sz w:val="24"/>
          <w:szCs w:val="24"/>
          <w:vertAlign w:val="superscript"/>
        </w:rPr>
        <w:t>th</w:t>
      </w:r>
      <w:r w:rsidR="00A276C4">
        <w:rPr>
          <w:sz w:val="24"/>
          <w:szCs w:val="24"/>
        </w:rPr>
        <w:t xml:space="preserve"> century complete with formal gardens. This was funded by money from various members of the family who were ‘merchant adventures’ with the East India Company, they amassed vast wealth but died in the process leaving the next generation to build. In 1789 the estate passed to Sir William Paxton; he too had made his fortune in the east. He completely remodelled the estate, building a new house on the hill and </w:t>
      </w:r>
      <w:proofErr w:type="gramStart"/>
      <w:r w:rsidR="00A276C4">
        <w:rPr>
          <w:sz w:val="24"/>
          <w:szCs w:val="24"/>
        </w:rPr>
        <w:t>all of</w:t>
      </w:r>
      <w:proofErr w:type="gramEnd"/>
      <w:r w:rsidR="00A276C4">
        <w:rPr>
          <w:sz w:val="24"/>
          <w:szCs w:val="24"/>
        </w:rPr>
        <w:t xml:space="preserve"> the 19</w:t>
      </w:r>
      <w:r w:rsidR="00A276C4" w:rsidRPr="00A276C4">
        <w:rPr>
          <w:sz w:val="24"/>
          <w:szCs w:val="24"/>
          <w:vertAlign w:val="superscript"/>
        </w:rPr>
        <w:t>th</w:t>
      </w:r>
      <w:r w:rsidR="00A276C4">
        <w:rPr>
          <w:sz w:val="24"/>
          <w:szCs w:val="24"/>
        </w:rPr>
        <w:t xml:space="preserve"> century structures visible in the garden today. The estate began a slow decline after his death which lead to the new Middleton Hall burning down in 1932 and the estate coming into the ownership of Carmarthenshire County Council in 1934.</w:t>
      </w:r>
      <w:r w:rsidR="00020B22">
        <w:rPr>
          <w:rStyle w:val="FootnoteReference"/>
          <w:sz w:val="24"/>
          <w:szCs w:val="24"/>
        </w:rPr>
        <w:footnoteReference w:id="3"/>
      </w:r>
    </w:p>
    <w:p w:rsidR="00A276C4" w:rsidRDefault="00A276C4" w:rsidP="006D58B8">
      <w:pPr>
        <w:rPr>
          <w:sz w:val="24"/>
          <w:szCs w:val="24"/>
        </w:rPr>
      </w:pPr>
      <w:r>
        <w:rPr>
          <w:sz w:val="24"/>
          <w:szCs w:val="24"/>
        </w:rPr>
        <w:lastRenderedPageBreak/>
        <w:t xml:space="preserve">The guide starts </w:t>
      </w:r>
      <w:r w:rsidR="006254CE">
        <w:rPr>
          <w:sz w:val="24"/>
          <w:szCs w:val="24"/>
        </w:rPr>
        <w:t>with the welcome and introduction,</w:t>
      </w:r>
      <w:r w:rsidR="002A1095">
        <w:rPr>
          <w:rStyle w:val="FootnoteReference"/>
          <w:sz w:val="24"/>
          <w:szCs w:val="24"/>
        </w:rPr>
        <w:footnoteReference w:id="4"/>
      </w:r>
      <w:r w:rsidR="006254CE">
        <w:rPr>
          <w:sz w:val="24"/>
          <w:szCs w:val="24"/>
        </w:rPr>
        <w:t xml:space="preserve"> it is exactly what you would expect from a visitor guide, it thanks you for visiting and explains that what you see today is only the first part of a programme of development that will take many years. We learn that the garden was the first national botanic garden created in the UK for 200 years and that botanic gardens of the 21</w:t>
      </w:r>
      <w:r w:rsidR="006254CE" w:rsidRPr="006254CE">
        <w:rPr>
          <w:sz w:val="24"/>
          <w:szCs w:val="24"/>
          <w:vertAlign w:val="superscript"/>
        </w:rPr>
        <w:t>st</w:t>
      </w:r>
      <w:r w:rsidR="006254CE">
        <w:rPr>
          <w:sz w:val="24"/>
          <w:szCs w:val="24"/>
        </w:rPr>
        <w:t xml:space="preserve"> century have a new range of challenges as people now have many more ways of accessing the natural world</w:t>
      </w:r>
      <w:r w:rsidR="00020B22">
        <w:rPr>
          <w:sz w:val="24"/>
          <w:szCs w:val="24"/>
        </w:rPr>
        <w:t xml:space="preserve"> and the challenges facing the planet have changed.</w:t>
      </w:r>
    </w:p>
    <w:p w:rsidR="008F00B9" w:rsidRDefault="006254CE" w:rsidP="006D58B8">
      <w:pPr>
        <w:rPr>
          <w:sz w:val="24"/>
          <w:szCs w:val="24"/>
        </w:rPr>
      </w:pPr>
      <w:r>
        <w:rPr>
          <w:sz w:val="24"/>
          <w:szCs w:val="24"/>
        </w:rPr>
        <w:t>The section ‘why here’</w:t>
      </w:r>
      <w:r w:rsidR="002A1095">
        <w:rPr>
          <w:rStyle w:val="FootnoteReference"/>
          <w:sz w:val="24"/>
          <w:szCs w:val="24"/>
        </w:rPr>
        <w:footnoteReference w:id="5"/>
      </w:r>
      <w:r>
        <w:rPr>
          <w:sz w:val="24"/>
          <w:szCs w:val="24"/>
        </w:rPr>
        <w:t xml:space="preserve"> informs us that location of the garden, on the site of the Middleton Estate is important because of the botanical history and rural nature of the site. The garden is dedicated to the protection of native species as well as endangered species around the world</w:t>
      </w:r>
    </w:p>
    <w:p w:rsidR="000F0D57" w:rsidRDefault="000F0D57" w:rsidP="006D58B8">
      <w:pPr>
        <w:rPr>
          <w:sz w:val="24"/>
          <w:szCs w:val="24"/>
        </w:rPr>
      </w:pPr>
      <w:r>
        <w:rPr>
          <w:sz w:val="24"/>
          <w:szCs w:val="24"/>
        </w:rPr>
        <w:t>‘Rediscovered Ruins’</w:t>
      </w:r>
      <w:r w:rsidR="002A1095">
        <w:rPr>
          <w:rStyle w:val="FootnoteReference"/>
          <w:sz w:val="24"/>
          <w:szCs w:val="24"/>
        </w:rPr>
        <w:footnoteReference w:id="6"/>
      </w:r>
      <w:r>
        <w:rPr>
          <w:sz w:val="24"/>
          <w:szCs w:val="24"/>
        </w:rPr>
        <w:t xml:space="preserve"> tells us that the idea for the garden came from artist William Wilkins, he visited the site, saw the ruins and was transfixed. It was a long journey from that moment to the opening of the garden in 2000, and much of what is available at the garden today was in place before the opening, however the regency parkland will be restored by the summer of 2020</w:t>
      </w:r>
      <w:r w:rsidR="00020B22">
        <w:rPr>
          <w:sz w:val="24"/>
          <w:szCs w:val="24"/>
        </w:rPr>
        <w:t xml:space="preserve"> the completion of a long term project.</w:t>
      </w:r>
    </w:p>
    <w:p w:rsidR="000F0D57" w:rsidRDefault="000F0D57" w:rsidP="006D58B8">
      <w:pPr>
        <w:rPr>
          <w:sz w:val="24"/>
          <w:szCs w:val="24"/>
        </w:rPr>
      </w:pPr>
      <w:r>
        <w:rPr>
          <w:sz w:val="24"/>
          <w:szCs w:val="24"/>
        </w:rPr>
        <w:t>‘A new role for the 12st century’</w:t>
      </w:r>
      <w:r w:rsidR="002A1095">
        <w:rPr>
          <w:rStyle w:val="FootnoteReference"/>
          <w:sz w:val="24"/>
          <w:szCs w:val="24"/>
        </w:rPr>
        <w:footnoteReference w:id="7"/>
      </w:r>
      <w:r>
        <w:rPr>
          <w:sz w:val="24"/>
          <w:szCs w:val="24"/>
        </w:rPr>
        <w:t xml:space="preserve"> talks about some of the modern pieces of work the reside in the garden and that the garden was constructed with an imagined lifespan of centuries</w:t>
      </w:r>
    </w:p>
    <w:p w:rsidR="000F0D57" w:rsidRDefault="000F0D57" w:rsidP="006D58B8">
      <w:pPr>
        <w:rPr>
          <w:sz w:val="24"/>
          <w:szCs w:val="24"/>
        </w:rPr>
      </w:pPr>
      <w:r>
        <w:rPr>
          <w:sz w:val="24"/>
          <w:szCs w:val="24"/>
        </w:rPr>
        <w:t>The final three pages of the guide are about the ‘plant collections’</w:t>
      </w:r>
      <w:r w:rsidR="002A1095">
        <w:rPr>
          <w:rStyle w:val="FootnoteReference"/>
          <w:sz w:val="24"/>
          <w:szCs w:val="24"/>
        </w:rPr>
        <w:footnoteReference w:id="8"/>
      </w:r>
      <w:r>
        <w:rPr>
          <w:sz w:val="24"/>
          <w:szCs w:val="24"/>
        </w:rPr>
        <w:t xml:space="preserve"> there is much information about the plants from around the world found in various parts of the garden. We learn that the database for the garden contains over 12,000 entries which include 8000 species of plants from 240 families.</w:t>
      </w:r>
    </w:p>
    <w:p w:rsidR="006254CE" w:rsidRDefault="000F0D57" w:rsidP="006D58B8">
      <w:pPr>
        <w:rPr>
          <w:sz w:val="24"/>
          <w:szCs w:val="24"/>
        </w:rPr>
      </w:pPr>
      <w:r>
        <w:rPr>
          <w:sz w:val="24"/>
          <w:szCs w:val="24"/>
        </w:rPr>
        <w:t xml:space="preserve">It’s a very well written visitor guide, it’s a good size, there is a lot of information in </w:t>
      </w:r>
      <w:r w:rsidR="000F6C05">
        <w:rPr>
          <w:sz w:val="24"/>
          <w:szCs w:val="24"/>
        </w:rPr>
        <w:t xml:space="preserve">it, but not too much, it’s laid out in an accessible format, the text is well formatted, and the pictures are clear and well placed. It complements the other literature at the gardens. A map would be useful but not necessary. It needs to be updated </w:t>
      </w:r>
      <w:proofErr w:type="gramStart"/>
      <w:r w:rsidR="000F6C05">
        <w:rPr>
          <w:sz w:val="24"/>
          <w:szCs w:val="24"/>
        </w:rPr>
        <w:t>in the near future</w:t>
      </w:r>
      <w:proofErr w:type="gramEnd"/>
      <w:r w:rsidR="000F6C05">
        <w:rPr>
          <w:sz w:val="24"/>
          <w:szCs w:val="24"/>
        </w:rPr>
        <w:t>, it is already out of date a will become more so this summer</w:t>
      </w:r>
      <w:r w:rsidR="002A1095">
        <w:rPr>
          <w:rStyle w:val="FootnoteReference"/>
          <w:sz w:val="24"/>
          <w:szCs w:val="24"/>
        </w:rPr>
        <w:footnoteReference w:id="9"/>
      </w:r>
      <w:r w:rsidR="000F6C05">
        <w:rPr>
          <w:sz w:val="24"/>
          <w:szCs w:val="24"/>
        </w:rPr>
        <w:t>, the website listed in the guide is incorrect</w:t>
      </w:r>
      <w:r w:rsidR="002A1095">
        <w:rPr>
          <w:rStyle w:val="FootnoteReference"/>
          <w:sz w:val="24"/>
          <w:szCs w:val="24"/>
        </w:rPr>
        <w:footnoteReference w:id="10"/>
      </w:r>
      <w:r w:rsidR="000F6C05">
        <w:rPr>
          <w:sz w:val="24"/>
          <w:szCs w:val="24"/>
        </w:rPr>
        <w:t xml:space="preserve"> but </w:t>
      </w:r>
      <w:r w:rsidR="00020B22">
        <w:rPr>
          <w:sz w:val="24"/>
          <w:szCs w:val="24"/>
        </w:rPr>
        <w:t xml:space="preserve">is </w:t>
      </w:r>
      <w:r w:rsidR="000F6C05">
        <w:rPr>
          <w:sz w:val="24"/>
          <w:szCs w:val="24"/>
        </w:rPr>
        <w:t>set to direct you to the correct national botanic garden site. This may be in hand though because although the guide is meant to be purchased by the visitor the incredibly helpful gentleman at the reception gave me one for free when I explained my purpose at the garden that day, leading me to believe they are using up old stock.</w:t>
      </w:r>
    </w:p>
    <w:p w:rsidR="000B4D29" w:rsidRDefault="000B4D29" w:rsidP="006D58B8">
      <w:pPr>
        <w:rPr>
          <w:sz w:val="24"/>
          <w:szCs w:val="24"/>
        </w:rPr>
      </w:pPr>
    </w:p>
    <w:p w:rsidR="000B4D29" w:rsidRDefault="000B4D29" w:rsidP="006D58B8">
      <w:pPr>
        <w:rPr>
          <w:sz w:val="24"/>
          <w:szCs w:val="24"/>
        </w:rPr>
      </w:pPr>
    </w:p>
    <w:p w:rsidR="000B4D29" w:rsidRDefault="000B4D29" w:rsidP="006D58B8">
      <w:pPr>
        <w:rPr>
          <w:sz w:val="24"/>
          <w:szCs w:val="24"/>
        </w:rPr>
      </w:pPr>
    </w:p>
    <w:p w:rsidR="000B4D29" w:rsidRDefault="000B4D29" w:rsidP="006D58B8">
      <w:pPr>
        <w:rPr>
          <w:sz w:val="24"/>
          <w:szCs w:val="24"/>
        </w:rPr>
      </w:pPr>
    </w:p>
    <w:p w:rsidR="000B4D29" w:rsidRDefault="000B4D29" w:rsidP="006D58B8">
      <w:pPr>
        <w:rPr>
          <w:sz w:val="24"/>
          <w:szCs w:val="24"/>
        </w:rPr>
      </w:pPr>
    </w:p>
    <w:p w:rsidR="000B4D29" w:rsidRDefault="000B4D29" w:rsidP="000B4D29">
      <w:pPr>
        <w:jc w:val="center"/>
        <w:rPr>
          <w:sz w:val="24"/>
          <w:szCs w:val="24"/>
        </w:rPr>
      </w:pPr>
      <w:r>
        <w:rPr>
          <w:sz w:val="24"/>
          <w:szCs w:val="24"/>
        </w:rPr>
        <w:t>Reference List</w:t>
      </w:r>
    </w:p>
    <w:p w:rsidR="00020B22" w:rsidRDefault="00020B22" w:rsidP="000B4D29">
      <w:pPr>
        <w:jc w:val="center"/>
        <w:rPr>
          <w:sz w:val="24"/>
          <w:szCs w:val="24"/>
        </w:rPr>
      </w:pPr>
    </w:p>
    <w:p w:rsidR="000B4D29" w:rsidRDefault="00020B22" w:rsidP="00020B22">
      <w:pPr>
        <w:rPr>
          <w:sz w:val="24"/>
          <w:szCs w:val="24"/>
        </w:rPr>
      </w:pPr>
      <w:bookmarkStart w:id="0" w:name="_GoBack"/>
      <w:r w:rsidRPr="00020B22">
        <w:rPr>
          <w:i/>
          <w:iCs/>
          <w:sz w:val="24"/>
          <w:szCs w:val="24"/>
        </w:rPr>
        <w:t>A History of the Garden</w:t>
      </w:r>
      <w:bookmarkEnd w:id="0"/>
      <w:r>
        <w:rPr>
          <w:sz w:val="24"/>
          <w:szCs w:val="24"/>
        </w:rPr>
        <w:t>, National Botanic Garden of Wales leaflet</w:t>
      </w:r>
    </w:p>
    <w:p w:rsidR="000B4D29" w:rsidRDefault="000B4D29" w:rsidP="000B4D29">
      <w:pPr>
        <w:rPr>
          <w:sz w:val="24"/>
          <w:szCs w:val="24"/>
        </w:rPr>
      </w:pPr>
      <w:r w:rsidRPr="000B4D29">
        <w:rPr>
          <w:i/>
          <w:iCs/>
          <w:sz w:val="24"/>
          <w:szCs w:val="24"/>
        </w:rPr>
        <w:t>National Botanic Garden of Wales visitor guide</w:t>
      </w:r>
      <w:r>
        <w:rPr>
          <w:sz w:val="24"/>
          <w:szCs w:val="24"/>
        </w:rPr>
        <w:t>, National Botanic Garden of Wales leaflet</w:t>
      </w:r>
    </w:p>
    <w:p w:rsidR="000B4D29" w:rsidRDefault="000B4D29" w:rsidP="000B4D29">
      <w:pPr>
        <w:rPr>
          <w:sz w:val="24"/>
          <w:szCs w:val="24"/>
        </w:rPr>
      </w:pPr>
      <w:r w:rsidRPr="000B4D29">
        <w:rPr>
          <w:i/>
          <w:iCs/>
          <w:sz w:val="24"/>
          <w:szCs w:val="24"/>
        </w:rPr>
        <w:t>Reclaiming a Regency Rarity, Middleton: Paradise Regained</w:t>
      </w:r>
      <w:r>
        <w:rPr>
          <w:sz w:val="24"/>
          <w:szCs w:val="24"/>
        </w:rPr>
        <w:t>, National Botanic Garden of Wales leaflet</w:t>
      </w:r>
    </w:p>
    <w:p w:rsidR="003A69CF" w:rsidRPr="003A69CF" w:rsidRDefault="003A69CF" w:rsidP="003A69CF">
      <w:pPr>
        <w:rPr>
          <w:sz w:val="24"/>
          <w:szCs w:val="24"/>
        </w:rPr>
      </w:pPr>
    </w:p>
    <w:sectPr w:rsidR="003A69CF" w:rsidRPr="003A69C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6B99" w:rsidRDefault="004E6B99" w:rsidP="003A69CF">
      <w:pPr>
        <w:spacing w:after="0" w:line="240" w:lineRule="auto"/>
      </w:pPr>
      <w:r>
        <w:separator/>
      </w:r>
    </w:p>
  </w:endnote>
  <w:endnote w:type="continuationSeparator" w:id="0">
    <w:p w:rsidR="004E6B99" w:rsidRDefault="004E6B99" w:rsidP="003A6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9012960"/>
      <w:docPartObj>
        <w:docPartGallery w:val="Page Numbers (Bottom of Page)"/>
        <w:docPartUnique/>
      </w:docPartObj>
    </w:sdtPr>
    <w:sdtEndPr>
      <w:rPr>
        <w:noProof/>
      </w:rPr>
    </w:sdtEndPr>
    <w:sdtContent>
      <w:p w:rsidR="003A69CF" w:rsidRDefault="003A69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A69CF" w:rsidRDefault="003A6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6B99" w:rsidRDefault="004E6B99" w:rsidP="003A69CF">
      <w:pPr>
        <w:spacing w:after="0" w:line="240" w:lineRule="auto"/>
      </w:pPr>
      <w:r>
        <w:separator/>
      </w:r>
    </w:p>
  </w:footnote>
  <w:footnote w:type="continuationSeparator" w:id="0">
    <w:p w:rsidR="004E6B99" w:rsidRDefault="004E6B99" w:rsidP="003A69CF">
      <w:pPr>
        <w:spacing w:after="0" w:line="240" w:lineRule="auto"/>
      </w:pPr>
      <w:r>
        <w:continuationSeparator/>
      </w:r>
    </w:p>
  </w:footnote>
  <w:footnote w:id="1">
    <w:p w:rsidR="000F6C05" w:rsidRDefault="000F6C05">
      <w:pPr>
        <w:pStyle w:val="FootnoteText"/>
      </w:pPr>
      <w:r>
        <w:rPr>
          <w:rStyle w:val="FootnoteReference"/>
        </w:rPr>
        <w:footnoteRef/>
      </w:r>
      <w:r>
        <w:t xml:space="preserve"> </w:t>
      </w:r>
      <w:r w:rsidRPr="002A1095">
        <w:rPr>
          <w:i/>
          <w:iCs/>
        </w:rPr>
        <w:t>National Botanic Garden of Wales visitor guide</w:t>
      </w:r>
      <w:r>
        <w:t>, National Botanic Garden of Wales leafle</w:t>
      </w:r>
      <w:r w:rsidR="002A1095">
        <w:t>t. pp.6-33</w:t>
      </w:r>
    </w:p>
  </w:footnote>
  <w:footnote w:id="2">
    <w:p w:rsidR="002A1095" w:rsidRDefault="002A1095">
      <w:pPr>
        <w:pStyle w:val="FootnoteText"/>
      </w:pPr>
      <w:r>
        <w:rPr>
          <w:rStyle w:val="FootnoteReference"/>
        </w:rPr>
        <w:footnoteRef/>
      </w:r>
      <w:r>
        <w:t xml:space="preserve"> </w:t>
      </w:r>
      <w:r w:rsidRPr="002A1095">
        <w:rPr>
          <w:i/>
          <w:iCs/>
        </w:rPr>
        <w:t>Ibid</w:t>
      </w:r>
      <w:r>
        <w:t>. pp.34-39</w:t>
      </w:r>
    </w:p>
  </w:footnote>
  <w:footnote w:id="3">
    <w:p w:rsidR="00020B22" w:rsidRDefault="00020B22">
      <w:pPr>
        <w:pStyle w:val="FootnoteText"/>
      </w:pPr>
      <w:r>
        <w:rPr>
          <w:rStyle w:val="FootnoteReference"/>
        </w:rPr>
        <w:footnoteRef/>
      </w:r>
      <w:r>
        <w:t xml:space="preserve"> </w:t>
      </w:r>
      <w:r w:rsidRPr="00020B22">
        <w:rPr>
          <w:i/>
          <w:iCs/>
        </w:rPr>
        <w:t>A history of the garden</w:t>
      </w:r>
      <w:r>
        <w:t>, National Botanic Garden of Wales leaflet. p.17</w:t>
      </w:r>
    </w:p>
  </w:footnote>
  <w:footnote w:id="4">
    <w:p w:rsidR="002A1095" w:rsidRDefault="002A1095">
      <w:pPr>
        <w:pStyle w:val="FootnoteText"/>
      </w:pPr>
      <w:r>
        <w:rPr>
          <w:rStyle w:val="FootnoteReference"/>
        </w:rPr>
        <w:footnoteRef/>
      </w:r>
      <w:r>
        <w:t xml:space="preserve"> </w:t>
      </w:r>
      <w:r w:rsidR="00020B22" w:rsidRPr="002A1095">
        <w:rPr>
          <w:i/>
          <w:iCs/>
        </w:rPr>
        <w:t>National Botanic Garden of Wales visitor guide</w:t>
      </w:r>
      <w:r w:rsidR="00020B22">
        <w:t>, National Botanic Garden of Wales leaflet</w:t>
      </w:r>
      <w:r>
        <w:t>. pp2-3</w:t>
      </w:r>
    </w:p>
  </w:footnote>
  <w:footnote w:id="5">
    <w:p w:rsidR="002A1095" w:rsidRDefault="002A1095">
      <w:pPr>
        <w:pStyle w:val="FootnoteText"/>
      </w:pPr>
      <w:r>
        <w:rPr>
          <w:rStyle w:val="FootnoteReference"/>
        </w:rPr>
        <w:footnoteRef/>
      </w:r>
      <w:r>
        <w:t xml:space="preserve"> </w:t>
      </w:r>
      <w:r w:rsidR="00020B22">
        <w:rPr>
          <w:i/>
          <w:iCs/>
        </w:rPr>
        <w:t>Ibid</w:t>
      </w:r>
      <w:r>
        <w:t>. pp.4-5</w:t>
      </w:r>
    </w:p>
  </w:footnote>
  <w:footnote w:id="6">
    <w:p w:rsidR="002A1095" w:rsidRDefault="002A1095">
      <w:pPr>
        <w:pStyle w:val="FootnoteText"/>
      </w:pPr>
      <w:r>
        <w:rPr>
          <w:rStyle w:val="FootnoteReference"/>
        </w:rPr>
        <w:footnoteRef/>
      </w:r>
      <w:r>
        <w:t xml:space="preserve"> </w:t>
      </w:r>
      <w:r w:rsidRPr="002A1095">
        <w:rPr>
          <w:i/>
          <w:iCs/>
        </w:rPr>
        <w:t>Ibid</w:t>
      </w:r>
      <w:r>
        <w:t>. p.41</w:t>
      </w:r>
    </w:p>
  </w:footnote>
  <w:footnote w:id="7">
    <w:p w:rsidR="002A1095" w:rsidRDefault="002A1095">
      <w:pPr>
        <w:pStyle w:val="FootnoteText"/>
      </w:pPr>
      <w:r>
        <w:rPr>
          <w:rStyle w:val="FootnoteReference"/>
        </w:rPr>
        <w:footnoteRef/>
      </w:r>
      <w:r>
        <w:t xml:space="preserve"> </w:t>
      </w:r>
      <w:r w:rsidRPr="002A1095">
        <w:rPr>
          <w:i/>
          <w:iCs/>
        </w:rPr>
        <w:t>Ibid</w:t>
      </w:r>
      <w:r>
        <w:t>. p.43</w:t>
      </w:r>
    </w:p>
  </w:footnote>
  <w:footnote w:id="8">
    <w:p w:rsidR="002A1095" w:rsidRDefault="002A1095">
      <w:pPr>
        <w:pStyle w:val="FootnoteText"/>
      </w:pPr>
      <w:r>
        <w:rPr>
          <w:rStyle w:val="FootnoteReference"/>
        </w:rPr>
        <w:footnoteRef/>
      </w:r>
      <w:r>
        <w:t xml:space="preserve"> </w:t>
      </w:r>
      <w:r w:rsidRPr="002A1095">
        <w:rPr>
          <w:i/>
          <w:iCs/>
        </w:rPr>
        <w:t>Ibid</w:t>
      </w:r>
      <w:r>
        <w:t>. pp.44-46</w:t>
      </w:r>
    </w:p>
  </w:footnote>
  <w:footnote w:id="9">
    <w:p w:rsidR="002A1095" w:rsidRDefault="002A1095">
      <w:pPr>
        <w:pStyle w:val="FootnoteText"/>
      </w:pPr>
      <w:r>
        <w:rPr>
          <w:rStyle w:val="FootnoteReference"/>
        </w:rPr>
        <w:footnoteRef/>
      </w:r>
      <w:r>
        <w:t xml:space="preserve"> </w:t>
      </w:r>
      <w:r w:rsidR="000B4D29" w:rsidRPr="000B4D29">
        <w:rPr>
          <w:i/>
          <w:iCs/>
        </w:rPr>
        <w:t>Reclaiming a Regency Rarity, Middleton Paradise Regained</w:t>
      </w:r>
      <w:r w:rsidR="000B4D29">
        <w:t>, National Botanic Garden of Wales leaflet.</w:t>
      </w:r>
    </w:p>
  </w:footnote>
  <w:footnote w:id="10">
    <w:p w:rsidR="002A1095" w:rsidRDefault="002A1095">
      <w:pPr>
        <w:pStyle w:val="FootnoteText"/>
      </w:pPr>
      <w:r>
        <w:rPr>
          <w:rStyle w:val="FootnoteReference"/>
        </w:rPr>
        <w:footnoteRef/>
      </w:r>
      <w:r>
        <w:t xml:space="preserve"> See back page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69CF" w:rsidRDefault="003A69CF" w:rsidP="003A69CF">
    <w:pPr>
      <w:pStyle w:val="Header"/>
      <w:jc w:val="right"/>
    </w:pPr>
    <w:r>
      <w:t>Student number 1812255</w:t>
    </w:r>
  </w:p>
  <w:p w:rsidR="003A69CF" w:rsidRDefault="003A69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9CF"/>
    <w:rsid w:val="00020B22"/>
    <w:rsid w:val="000B4D29"/>
    <w:rsid w:val="000D5ADF"/>
    <w:rsid w:val="000F0D57"/>
    <w:rsid w:val="000F6C05"/>
    <w:rsid w:val="001D7E2A"/>
    <w:rsid w:val="002A1095"/>
    <w:rsid w:val="003A69CF"/>
    <w:rsid w:val="004E6B99"/>
    <w:rsid w:val="006254CE"/>
    <w:rsid w:val="006D58B8"/>
    <w:rsid w:val="008F00B9"/>
    <w:rsid w:val="00A276C4"/>
    <w:rsid w:val="00BB5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46B75"/>
  <w15:chartTrackingRefBased/>
  <w15:docId w15:val="{F81C0A55-9DBA-4E46-996B-BD82CBEEB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6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9CF"/>
  </w:style>
  <w:style w:type="paragraph" w:styleId="Footer">
    <w:name w:val="footer"/>
    <w:basedOn w:val="Normal"/>
    <w:link w:val="FooterChar"/>
    <w:uiPriority w:val="99"/>
    <w:unhideWhenUsed/>
    <w:rsid w:val="003A6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9CF"/>
  </w:style>
  <w:style w:type="paragraph" w:styleId="FootnoteText">
    <w:name w:val="footnote text"/>
    <w:basedOn w:val="Normal"/>
    <w:link w:val="FootnoteTextChar"/>
    <w:uiPriority w:val="99"/>
    <w:semiHidden/>
    <w:unhideWhenUsed/>
    <w:rsid w:val="000F6C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6C05"/>
    <w:rPr>
      <w:sz w:val="20"/>
      <w:szCs w:val="20"/>
    </w:rPr>
  </w:style>
  <w:style w:type="character" w:styleId="FootnoteReference">
    <w:name w:val="footnote reference"/>
    <w:basedOn w:val="DefaultParagraphFont"/>
    <w:uiPriority w:val="99"/>
    <w:semiHidden/>
    <w:unhideWhenUsed/>
    <w:rsid w:val="000F6C0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DE3C7-9C2E-4740-9A4E-88FD5DD32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4</Pages>
  <Words>970</Words>
  <Characters>4758</Characters>
  <Application>Microsoft Office Word</Application>
  <DocSecurity>0</DocSecurity>
  <Lines>198</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Moody (1812255)</dc:creator>
  <cp:keywords/>
  <dc:description/>
  <cp:lastModifiedBy>Alison Moody (1812255)</cp:lastModifiedBy>
  <cp:revision>3</cp:revision>
  <dcterms:created xsi:type="dcterms:W3CDTF">2020-01-10T15:22:00Z</dcterms:created>
  <dcterms:modified xsi:type="dcterms:W3CDTF">2020-01-10T17:20:00Z</dcterms:modified>
</cp:coreProperties>
</file>