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5C721" w14:textId="63FFA508" w:rsidR="00286ACA" w:rsidRPr="00200FBC" w:rsidRDefault="00286ACA" w:rsidP="00286ACA">
      <w:pPr>
        <w:spacing w:line="360" w:lineRule="auto"/>
        <w:jc w:val="center"/>
        <w:rPr>
          <w:rFonts w:asciiTheme="minorBidi" w:hAnsiTheme="minorBidi"/>
          <w:b/>
          <w:bCs/>
        </w:rPr>
      </w:pPr>
      <w:r w:rsidRPr="32817B06">
        <w:rPr>
          <w:rFonts w:asciiTheme="minorBidi" w:hAnsiTheme="minorBidi"/>
          <w:b/>
          <w:bCs/>
        </w:rPr>
        <w:t xml:space="preserve">Component </w:t>
      </w:r>
      <w:r>
        <w:rPr>
          <w:rFonts w:asciiTheme="minorBidi" w:hAnsiTheme="minorBidi"/>
          <w:b/>
          <w:bCs/>
        </w:rPr>
        <w:t>1</w:t>
      </w:r>
      <w:r w:rsidRPr="32817B06">
        <w:rPr>
          <w:rFonts w:asciiTheme="minorBidi" w:hAnsiTheme="minorBidi"/>
          <w:b/>
          <w:bCs/>
        </w:rPr>
        <w:t xml:space="preserve"> </w:t>
      </w:r>
      <w:r>
        <w:rPr>
          <w:rFonts w:asciiTheme="minorBidi" w:hAnsiTheme="minorBidi"/>
          <w:b/>
          <w:bCs/>
        </w:rPr>
        <w:t>–</w:t>
      </w:r>
      <w:r w:rsidRPr="32817B06">
        <w:rPr>
          <w:rFonts w:asciiTheme="minorBidi" w:hAnsiTheme="minorBidi"/>
          <w:b/>
          <w:bCs/>
        </w:rPr>
        <w:t xml:space="preserve"> </w:t>
      </w:r>
      <w:r>
        <w:rPr>
          <w:rFonts w:asciiTheme="minorBidi" w:hAnsiTheme="minorBidi"/>
          <w:b/>
          <w:bCs/>
        </w:rPr>
        <w:t>Open Book Assessment</w:t>
      </w:r>
    </w:p>
    <w:p w14:paraId="18153999" w14:textId="77777777" w:rsidR="00286ACA" w:rsidRPr="00200FBC" w:rsidRDefault="00286ACA" w:rsidP="00286ACA">
      <w:pPr>
        <w:spacing w:line="360" w:lineRule="auto"/>
        <w:jc w:val="center"/>
        <w:rPr>
          <w:rFonts w:asciiTheme="minorBidi" w:hAnsiTheme="minorBidi"/>
          <w:b/>
          <w:bCs/>
        </w:rPr>
      </w:pPr>
    </w:p>
    <w:p w14:paraId="014F58AF" w14:textId="77777777" w:rsidR="00286ACA" w:rsidRDefault="00286ACA" w:rsidP="00286ACA">
      <w:pPr>
        <w:spacing w:line="360" w:lineRule="auto"/>
        <w:jc w:val="center"/>
        <w:rPr>
          <w:rFonts w:asciiTheme="minorBidi" w:hAnsiTheme="minorBidi"/>
          <w:b/>
          <w:bCs/>
        </w:rPr>
      </w:pPr>
    </w:p>
    <w:p w14:paraId="5C09EA98" w14:textId="77777777" w:rsidR="00286ACA" w:rsidRDefault="00286ACA" w:rsidP="00286ACA">
      <w:pPr>
        <w:spacing w:line="360" w:lineRule="auto"/>
        <w:jc w:val="center"/>
        <w:rPr>
          <w:rFonts w:asciiTheme="minorBidi" w:hAnsiTheme="minorBidi"/>
          <w:b/>
          <w:bCs/>
        </w:rPr>
      </w:pPr>
    </w:p>
    <w:p w14:paraId="0379ABD4" w14:textId="77777777" w:rsidR="00286ACA" w:rsidRPr="00200FBC" w:rsidRDefault="00286ACA" w:rsidP="00286ACA">
      <w:pPr>
        <w:spacing w:line="360" w:lineRule="auto"/>
        <w:jc w:val="center"/>
        <w:rPr>
          <w:rFonts w:asciiTheme="minorBidi" w:hAnsiTheme="minorBidi"/>
          <w:b/>
          <w:bCs/>
        </w:rPr>
      </w:pPr>
    </w:p>
    <w:p w14:paraId="38CED813" w14:textId="1AD21C19" w:rsidR="00286ACA" w:rsidRDefault="00A1346D" w:rsidP="00286ACA">
      <w:pPr>
        <w:spacing w:line="360" w:lineRule="auto"/>
        <w:jc w:val="center"/>
        <w:rPr>
          <w:rFonts w:asciiTheme="minorBidi" w:hAnsiTheme="minorBidi"/>
          <w:b/>
          <w:bCs/>
          <w:sz w:val="36"/>
          <w:szCs w:val="36"/>
          <w:lang w:val="en-US"/>
        </w:rPr>
      </w:pPr>
      <w:r>
        <w:rPr>
          <w:rFonts w:asciiTheme="minorBidi" w:hAnsiTheme="minorBidi"/>
          <w:b/>
          <w:bCs/>
          <w:sz w:val="36"/>
          <w:szCs w:val="36"/>
        </w:rPr>
        <w:t>T</w:t>
      </w:r>
      <w:r w:rsidRPr="00A1346D">
        <w:rPr>
          <w:rFonts w:asciiTheme="minorBidi" w:hAnsiTheme="minorBidi"/>
          <w:b/>
          <w:bCs/>
          <w:sz w:val="36"/>
          <w:szCs w:val="36"/>
          <w:lang w:val="en-US"/>
        </w:rPr>
        <w:t xml:space="preserve">he </w:t>
      </w:r>
      <w:r>
        <w:rPr>
          <w:rFonts w:asciiTheme="minorBidi" w:hAnsiTheme="minorBidi"/>
          <w:b/>
          <w:bCs/>
          <w:sz w:val="36"/>
          <w:szCs w:val="36"/>
          <w:lang w:val="en-US"/>
        </w:rPr>
        <w:t>E</w:t>
      </w:r>
      <w:r w:rsidRPr="00A1346D">
        <w:rPr>
          <w:rFonts w:asciiTheme="minorBidi" w:hAnsiTheme="minorBidi"/>
          <w:b/>
          <w:bCs/>
          <w:sz w:val="36"/>
          <w:szCs w:val="36"/>
          <w:lang w:val="en-US"/>
        </w:rPr>
        <w:t xml:space="preserve">ffect of Covid-19 on </w:t>
      </w:r>
      <w:r>
        <w:rPr>
          <w:rFonts w:asciiTheme="minorBidi" w:hAnsiTheme="minorBidi"/>
          <w:b/>
          <w:bCs/>
          <w:sz w:val="36"/>
          <w:szCs w:val="36"/>
          <w:lang w:val="en-US"/>
        </w:rPr>
        <w:t>F</w:t>
      </w:r>
      <w:r w:rsidRPr="00A1346D">
        <w:rPr>
          <w:rFonts w:asciiTheme="minorBidi" w:hAnsiTheme="minorBidi"/>
          <w:b/>
          <w:bCs/>
          <w:sz w:val="36"/>
          <w:szCs w:val="36"/>
          <w:lang w:val="en-US"/>
        </w:rPr>
        <w:t xml:space="preserve">lexible and </w:t>
      </w:r>
      <w:r>
        <w:rPr>
          <w:rFonts w:asciiTheme="minorBidi" w:hAnsiTheme="minorBidi"/>
          <w:b/>
          <w:bCs/>
          <w:sz w:val="36"/>
          <w:szCs w:val="36"/>
          <w:lang w:val="en-US"/>
        </w:rPr>
        <w:t>R</w:t>
      </w:r>
      <w:r w:rsidRPr="00A1346D">
        <w:rPr>
          <w:rFonts w:asciiTheme="minorBidi" w:hAnsiTheme="minorBidi"/>
          <w:b/>
          <w:bCs/>
          <w:sz w:val="36"/>
          <w:szCs w:val="36"/>
          <w:lang w:val="en-US"/>
        </w:rPr>
        <w:t xml:space="preserve">emote </w:t>
      </w:r>
      <w:r>
        <w:rPr>
          <w:rFonts w:asciiTheme="minorBidi" w:hAnsiTheme="minorBidi"/>
          <w:b/>
          <w:bCs/>
          <w:sz w:val="36"/>
          <w:szCs w:val="36"/>
          <w:lang w:val="en-US"/>
        </w:rPr>
        <w:t>W</w:t>
      </w:r>
      <w:r w:rsidRPr="00A1346D">
        <w:rPr>
          <w:rFonts w:asciiTheme="minorBidi" w:hAnsiTheme="minorBidi"/>
          <w:b/>
          <w:bCs/>
          <w:sz w:val="36"/>
          <w:szCs w:val="36"/>
          <w:lang w:val="en-US"/>
        </w:rPr>
        <w:t>orking</w:t>
      </w:r>
      <w:r w:rsidR="00286ACA">
        <w:rPr>
          <w:rFonts w:asciiTheme="minorBidi" w:hAnsiTheme="minorBidi"/>
          <w:b/>
          <w:bCs/>
          <w:sz w:val="36"/>
          <w:szCs w:val="36"/>
          <w:lang w:val="en-US"/>
        </w:rPr>
        <w:t xml:space="preserve">- </w:t>
      </w:r>
      <w:r w:rsidR="00286ACA" w:rsidRPr="00F92161">
        <w:rPr>
          <w:rFonts w:asciiTheme="minorBidi" w:hAnsiTheme="minorBidi"/>
          <w:b/>
          <w:bCs/>
          <w:sz w:val="36"/>
          <w:szCs w:val="36"/>
          <w:lang w:val="en-US"/>
        </w:rPr>
        <w:t>Case Study</w:t>
      </w:r>
    </w:p>
    <w:p w14:paraId="724413F6" w14:textId="77777777" w:rsidR="00286ACA" w:rsidRDefault="00286ACA" w:rsidP="00286ACA">
      <w:pPr>
        <w:spacing w:line="360" w:lineRule="auto"/>
        <w:jc w:val="center"/>
        <w:rPr>
          <w:rFonts w:asciiTheme="minorBidi" w:hAnsiTheme="minorBidi"/>
          <w:b/>
          <w:bCs/>
          <w:sz w:val="36"/>
          <w:szCs w:val="36"/>
          <w:lang w:val="en-US"/>
        </w:rPr>
      </w:pPr>
    </w:p>
    <w:p w14:paraId="38BEB403" w14:textId="77777777" w:rsidR="00286ACA" w:rsidRPr="00200FBC" w:rsidRDefault="00286ACA" w:rsidP="00286ACA">
      <w:pPr>
        <w:spacing w:line="360" w:lineRule="auto"/>
        <w:jc w:val="center"/>
        <w:rPr>
          <w:rFonts w:asciiTheme="minorBidi" w:hAnsiTheme="minorBidi"/>
          <w:b/>
          <w:bCs/>
        </w:rPr>
      </w:pPr>
    </w:p>
    <w:tbl>
      <w:tblPr>
        <w:tblStyle w:val="TableGrid"/>
        <w:tblpPr w:leftFromText="180" w:rightFromText="180" w:vertAnchor="text" w:horzAnchor="margin" w:tblpXSpec="center" w:tblpY="182"/>
        <w:tblW w:w="0" w:type="auto"/>
        <w:tblLook w:val="04A0" w:firstRow="1" w:lastRow="0" w:firstColumn="1" w:lastColumn="0" w:noHBand="0" w:noVBand="1"/>
      </w:tblPr>
      <w:tblGrid>
        <w:gridCol w:w="2881"/>
        <w:gridCol w:w="6122"/>
      </w:tblGrid>
      <w:tr w:rsidR="00286ACA" w14:paraId="0E283BC1" w14:textId="77777777" w:rsidTr="0041743D">
        <w:trPr>
          <w:trHeight w:val="972"/>
        </w:trPr>
        <w:tc>
          <w:tcPr>
            <w:tcW w:w="2881" w:type="dxa"/>
          </w:tcPr>
          <w:p w14:paraId="070CA372" w14:textId="22909C24" w:rsidR="00286ACA" w:rsidRPr="0041743D" w:rsidRDefault="00286ACA" w:rsidP="0041743D">
            <w:pPr>
              <w:spacing w:before="240" w:line="360" w:lineRule="auto"/>
              <w:jc w:val="center"/>
              <w:rPr>
                <w:rFonts w:asciiTheme="minorBidi" w:hAnsiTheme="minorBidi"/>
                <w:sz w:val="32"/>
                <w:szCs w:val="32"/>
              </w:rPr>
            </w:pPr>
            <w:r w:rsidRPr="0041743D">
              <w:rPr>
                <w:rFonts w:asciiTheme="minorBidi" w:hAnsiTheme="minorBidi"/>
                <w:sz w:val="32"/>
                <w:szCs w:val="32"/>
              </w:rPr>
              <w:t>Student name:</w:t>
            </w:r>
          </w:p>
        </w:tc>
        <w:tc>
          <w:tcPr>
            <w:tcW w:w="6122" w:type="dxa"/>
          </w:tcPr>
          <w:p w14:paraId="5B7AB96C" w14:textId="453F6CC2" w:rsidR="00286ACA" w:rsidRPr="0041743D" w:rsidRDefault="00286ACA" w:rsidP="0041743D">
            <w:pPr>
              <w:pStyle w:val="Heading1"/>
              <w:jc w:val="center"/>
              <w:outlineLvl w:val="0"/>
              <w:rPr>
                <w:rFonts w:asciiTheme="minorBidi" w:hAnsiTheme="minorBidi" w:cstheme="minorBidi"/>
                <w:color w:val="auto"/>
              </w:rPr>
            </w:pPr>
            <w:r w:rsidRPr="0041743D">
              <w:rPr>
                <w:rFonts w:asciiTheme="minorBidi" w:hAnsiTheme="minorBidi" w:cstheme="minorBidi"/>
                <w:color w:val="auto"/>
              </w:rPr>
              <w:t>Samir Mhanna</w:t>
            </w:r>
          </w:p>
        </w:tc>
      </w:tr>
      <w:tr w:rsidR="00286ACA" w14:paraId="268E8CD9" w14:textId="77777777" w:rsidTr="0041743D">
        <w:trPr>
          <w:trHeight w:val="951"/>
        </w:trPr>
        <w:tc>
          <w:tcPr>
            <w:tcW w:w="2881" w:type="dxa"/>
          </w:tcPr>
          <w:p w14:paraId="38891496" w14:textId="6EDDB0C7" w:rsidR="00286ACA" w:rsidRPr="0041743D" w:rsidRDefault="00286ACA" w:rsidP="0041743D">
            <w:pPr>
              <w:spacing w:before="240" w:line="360" w:lineRule="auto"/>
              <w:jc w:val="center"/>
              <w:rPr>
                <w:rFonts w:asciiTheme="minorBidi" w:hAnsiTheme="minorBidi"/>
                <w:sz w:val="32"/>
                <w:szCs w:val="32"/>
              </w:rPr>
            </w:pPr>
            <w:r w:rsidRPr="0041743D">
              <w:rPr>
                <w:rFonts w:asciiTheme="minorBidi" w:hAnsiTheme="minorBidi"/>
                <w:sz w:val="32"/>
                <w:szCs w:val="32"/>
              </w:rPr>
              <w:t>Student number:</w:t>
            </w:r>
          </w:p>
        </w:tc>
        <w:tc>
          <w:tcPr>
            <w:tcW w:w="6122" w:type="dxa"/>
          </w:tcPr>
          <w:p w14:paraId="34E093B0" w14:textId="58B4C2DC" w:rsidR="00286ACA" w:rsidRPr="0041743D" w:rsidRDefault="00286ACA" w:rsidP="0041743D">
            <w:pPr>
              <w:pStyle w:val="Heading1"/>
              <w:jc w:val="center"/>
              <w:outlineLvl w:val="0"/>
              <w:rPr>
                <w:rFonts w:asciiTheme="minorBidi" w:hAnsiTheme="minorBidi" w:cstheme="minorBidi"/>
                <w:color w:val="auto"/>
              </w:rPr>
            </w:pPr>
            <w:r w:rsidRPr="0041743D">
              <w:rPr>
                <w:rFonts w:asciiTheme="minorBidi" w:hAnsiTheme="minorBidi" w:cstheme="minorBidi"/>
                <w:color w:val="auto"/>
              </w:rPr>
              <w:t>2119514</w:t>
            </w:r>
          </w:p>
        </w:tc>
      </w:tr>
      <w:tr w:rsidR="00286ACA" w14:paraId="6F4B818C" w14:textId="77777777" w:rsidTr="0041743D">
        <w:trPr>
          <w:trHeight w:val="964"/>
        </w:trPr>
        <w:tc>
          <w:tcPr>
            <w:tcW w:w="2881" w:type="dxa"/>
          </w:tcPr>
          <w:p w14:paraId="45BE265E" w14:textId="49D3B994" w:rsidR="00286ACA" w:rsidRPr="0041743D" w:rsidRDefault="00286ACA" w:rsidP="0041743D">
            <w:pPr>
              <w:spacing w:before="240" w:line="360" w:lineRule="auto"/>
              <w:jc w:val="center"/>
              <w:rPr>
                <w:rFonts w:asciiTheme="minorBidi" w:hAnsiTheme="minorBidi"/>
                <w:sz w:val="32"/>
                <w:szCs w:val="32"/>
              </w:rPr>
            </w:pPr>
            <w:r w:rsidRPr="0041743D">
              <w:rPr>
                <w:rFonts w:asciiTheme="minorBidi" w:hAnsiTheme="minorBidi"/>
                <w:sz w:val="32"/>
                <w:szCs w:val="32"/>
              </w:rPr>
              <w:t>Programme:</w:t>
            </w:r>
          </w:p>
        </w:tc>
        <w:tc>
          <w:tcPr>
            <w:tcW w:w="6122" w:type="dxa"/>
          </w:tcPr>
          <w:p w14:paraId="2AD2AD35" w14:textId="5A834332" w:rsidR="00286ACA" w:rsidRPr="0041743D" w:rsidRDefault="0041743D" w:rsidP="0041743D">
            <w:pPr>
              <w:pStyle w:val="Heading1"/>
              <w:jc w:val="center"/>
              <w:outlineLvl w:val="0"/>
              <w:rPr>
                <w:rFonts w:asciiTheme="minorBidi" w:hAnsiTheme="minorBidi" w:cstheme="minorBidi"/>
                <w:color w:val="auto"/>
              </w:rPr>
            </w:pPr>
            <w:r w:rsidRPr="0041743D">
              <w:rPr>
                <w:rFonts w:asciiTheme="minorBidi" w:hAnsiTheme="minorBidi" w:cstheme="minorBidi"/>
                <w:color w:val="auto"/>
              </w:rPr>
              <w:t>Certificate in Higher Education Skills for the Workplace</w:t>
            </w:r>
          </w:p>
        </w:tc>
      </w:tr>
      <w:tr w:rsidR="00286ACA" w14:paraId="39BD8313" w14:textId="77777777" w:rsidTr="0041743D">
        <w:trPr>
          <w:trHeight w:val="1106"/>
        </w:trPr>
        <w:tc>
          <w:tcPr>
            <w:tcW w:w="2881" w:type="dxa"/>
          </w:tcPr>
          <w:p w14:paraId="3EB5DA03" w14:textId="5CF87483" w:rsidR="00286ACA" w:rsidRPr="0041743D" w:rsidRDefault="00286ACA" w:rsidP="0041743D">
            <w:pPr>
              <w:spacing w:before="240" w:line="360" w:lineRule="auto"/>
              <w:jc w:val="center"/>
              <w:rPr>
                <w:rFonts w:asciiTheme="minorBidi" w:hAnsiTheme="minorBidi"/>
                <w:sz w:val="32"/>
                <w:szCs w:val="32"/>
              </w:rPr>
            </w:pPr>
            <w:r w:rsidRPr="0041743D">
              <w:rPr>
                <w:rFonts w:asciiTheme="minorBidi" w:hAnsiTheme="minorBidi"/>
                <w:sz w:val="32"/>
                <w:szCs w:val="32"/>
              </w:rPr>
              <w:t>Module:</w:t>
            </w:r>
          </w:p>
        </w:tc>
        <w:tc>
          <w:tcPr>
            <w:tcW w:w="6122" w:type="dxa"/>
          </w:tcPr>
          <w:p w14:paraId="0A38A278" w14:textId="78B5CC99" w:rsidR="00286ACA" w:rsidRPr="0041743D" w:rsidRDefault="0041743D" w:rsidP="0041743D">
            <w:pPr>
              <w:pStyle w:val="Heading1"/>
              <w:spacing w:line="360" w:lineRule="auto"/>
              <w:jc w:val="center"/>
              <w:outlineLvl w:val="0"/>
              <w:rPr>
                <w:rFonts w:asciiTheme="minorBidi" w:hAnsiTheme="minorBidi" w:cstheme="minorBidi"/>
                <w:color w:val="auto"/>
              </w:rPr>
            </w:pPr>
            <w:r w:rsidRPr="0041743D">
              <w:rPr>
                <w:rFonts w:asciiTheme="minorBidi" w:hAnsiTheme="minorBidi" w:cstheme="minorBidi"/>
                <w:color w:val="auto"/>
              </w:rPr>
              <w:t>Professional &amp; Career Development</w:t>
            </w:r>
          </w:p>
        </w:tc>
      </w:tr>
      <w:tr w:rsidR="00286ACA" w14:paraId="4F3426DF" w14:textId="77777777" w:rsidTr="0041743D">
        <w:trPr>
          <w:trHeight w:val="1188"/>
        </w:trPr>
        <w:tc>
          <w:tcPr>
            <w:tcW w:w="2881" w:type="dxa"/>
          </w:tcPr>
          <w:p w14:paraId="365A538F" w14:textId="0B19BF4A" w:rsidR="00286ACA" w:rsidRPr="0041743D" w:rsidRDefault="00286ACA" w:rsidP="0041743D">
            <w:pPr>
              <w:spacing w:before="240" w:line="360" w:lineRule="auto"/>
              <w:jc w:val="center"/>
              <w:rPr>
                <w:rFonts w:asciiTheme="minorBidi" w:hAnsiTheme="minorBidi"/>
                <w:sz w:val="32"/>
                <w:szCs w:val="32"/>
              </w:rPr>
            </w:pPr>
            <w:r w:rsidRPr="0041743D">
              <w:rPr>
                <w:rFonts w:asciiTheme="minorBidi" w:hAnsiTheme="minorBidi"/>
                <w:sz w:val="32"/>
                <w:szCs w:val="32"/>
              </w:rPr>
              <w:t>Module code:</w:t>
            </w:r>
          </w:p>
        </w:tc>
        <w:tc>
          <w:tcPr>
            <w:tcW w:w="6122" w:type="dxa"/>
          </w:tcPr>
          <w:p w14:paraId="53F3E8BB" w14:textId="7E1A9333" w:rsidR="00286ACA" w:rsidRPr="0041743D" w:rsidRDefault="0041743D" w:rsidP="0041743D">
            <w:pPr>
              <w:spacing w:before="240" w:line="360" w:lineRule="auto"/>
              <w:jc w:val="center"/>
              <w:rPr>
                <w:rFonts w:asciiTheme="minorBidi" w:hAnsiTheme="minorBidi"/>
                <w:sz w:val="32"/>
                <w:szCs w:val="32"/>
              </w:rPr>
            </w:pPr>
            <w:r w:rsidRPr="0041743D">
              <w:rPr>
                <w:rFonts w:asciiTheme="minorBidi" w:hAnsiTheme="minorBidi"/>
                <w:sz w:val="32"/>
                <w:szCs w:val="32"/>
              </w:rPr>
              <w:t>BMSW 4005</w:t>
            </w:r>
          </w:p>
        </w:tc>
      </w:tr>
      <w:tr w:rsidR="00286ACA" w14:paraId="7433ABCA" w14:textId="77777777" w:rsidTr="0041743D">
        <w:trPr>
          <w:trHeight w:val="1188"/>
        </w:trPr>
        <w:tc>
          <w:tcPr>
            <w:tcW w:w="2881" w:type="dxa"/>
          </w:tcPr>
          <w:p w14:paraId="005477D3" w14:textId="0EC17666" w:rsidR="00286ACA" w:rsidRPr="0041743D" w:rsidRDefault="00286ACA" w:rsidP="0041743D">
            <w:pPr>
              <w:spacing w:before="240" w:line="360" w:lineRule="auto"/>
              <w:jc w:val="center"/>
              <w:rPr>
                <w:rFonts w:asciiTheme="minorBidi" w:hAnsiTheme="minorBidi"/>
                <w:sz w:val="32"/>
                <w:szCs w:val="32"/>
              </w:rPr>
            </w:pPr>
            <w:r w:rsidRPr="0041743D">
              <w:rPr>
                <w:rFonts w:asciiTheme="minorBidi" w:hAnsiTheme="minorBidi"/>
                <w:sz w:val="32"/>
                <w:szCs w:val="32"/>
              </w:rPr>
              <w:t>Module Lecturer:</w:t>
            </w:r>
          </w:p>
        </w:tc>
        <w:tc>
          <w:tcPr>
            <w:tcW w:w="6122" w:type="dxa"/>
          </w:tcPr>
          <w:p w14:paraId="4385845D" w14:textId="28A363C2" w:rsidR="00286ACA" w:rsidRPr="0041743D" w:rsidRDefault="0041743D" w:rsidP="0041743D">
            <w:pPr>
              <w:pStyle w:val="Heading1"/>
              <w:jc w:val="center"/>
              <w:outlineLvl w:val="0"/>
              <w:rPr>
                <w:rFonts w:asciiTheme="minorBidi" w:hAnsiTheme="minorBidi" w:cstheme="minorBidi"/>
                <w:color w:val="auto"/>
              </w:rPr>
            </w:pPr>
            <w:r w:rsidRPr="0041743D">
              <w:rPr>
                <w:rStyle w:val="Emphasis"/>
                <w:rFonts w:asciiTheme="minorBidi" w:hAnsiTheme="minorBidi" w:cstheme="minorBidi"/>
                <w:color w:val="auto"/>
                <w:shd w:val="clear" w:color="auto" w:fill="FFFFFF"/>
              </w:rPr>
              <w:t>Md Nazmul Hassan</w:t>
            </w:r>
          </w:p>
        </w:tc>
      </w:tr>
    </w:tbl>
    <w:p w14:paraId="1EC42A28" w14:textId="77777777" w:rsidR="00286ACA" w:rsidRDefault="00286ACA" w:rsidP="00286ACA">
      <w:pPr>
        <w:spacing w:line="360" w:lineRule="auto"/>
        <w:rPr>
          <w:rFonts w:asciiTheme="minorBidi" w:hAnsiTheme="minorBidi"/>
          <w:b/>
          <w:bCs/>
        </w:rPr>
      </w:pPr>
    </w:p>
    <w:p w14:paraId="6691FEA5" w14:textId="45D33507" w:rsidR="00286ACA" w:rsidRDefault="00286ACA" w:rsidP="00286ACA">
      <w:pPr>
        <w:spacing w:line="360" w:lineRule="auto"/>
        <w:rPr>
          <w:rFonts w:asciiTheme="minorBidi" w:hAnsiTheme="minorBidi"/>
          <w:b/>
          <w:bCs/>
        </w:rPr>
      </w:pPr>
    </w:p>
    <w:p w14:paraId="52A624FC" w14:textId="77777777" w:rsidR="0041743D" w:rsidRPr="00200FBC" w:rsidRDefault="0041743D" w:rsidP="00286ACA">
      <w:pPr>
        <w:spacing w:line="360" w:lineRule="auto"/>
        <w:rPr>
          <w:rFonts w:asciiTheme="minorBidi" w:hAnsiTheme="minorBidi"/>
          <w:b/>
          <w:bCs/>
        </w:rPr>
      </w:pPr>
    </w:p>
    <w:p w14:paraId="09E2F00A" w14:textId="77777777" w:rsidR="00286ACA" w:rsidRDefault="00286ACA" w:rsidP="00286ACA">
      <w:pPr>
        <w:tabs>
          <w:tab w:val="left" w:pos="3429"/>
          <w:tab w:val="center" w:pos="4513"/>
        </w:tabs>
        <w:spacing w:line="360" w:lineRule="auto"/>
        <w:jc w:val="center"/>
        <w:rPr>
          <w:rFonts w:asciiTheme="minorBidi" w:hAnsiTheme="minorBidi"/>
          <w:b/>
          <w:bCs/>
        </w:rPr>
      </w:pPr>
      <w:r w:rsidRPr="00200FBC">
        <w:rPr>
          <w:rFonts w:asciiTheme="minorBidi" w:hAnsiTheme="minorBidi"/>
          <w:b/>
          <w:bCs/>
        </w:rPr>
        <w:t>2022</w:t>
      </w:r>
    </w:p>
    <w:p w14:paraId="39F5599F" w14:textId="4AE5B069" w:rsidR="00286ACA" w:rsidRDefault="00286ACA" w:rsidP="00286ACA"/>
    <w:p w14:paraId="68AD9651" w14:textId="2F11877D" w:rsidR="0041743D" w:rsidRPr="007427E5" w:rsidRDefault="0041743D" w:rsidP="007427E5">
      <w:pPr>
        <w:pStyle w:val="Heading1"/>
        <w:spacing w:line="360" w:lineRule="auto"/>
      </w:pPr>
      <w:r w:rsidRPr="007427E5">
        <w:t>Introduction</w:t>
      </w:r>
    </w:p>
    <w:p w14:paraId="3FD03A55" w14:textId="091295B4" w:rsidR="00A1346D" w:rsidRPr="007427E5" w:rsidRDefault="000A4F34" w:rsidP="007427E5">
      <w:pPr>
        <w:spacing w:line="360" w:lineRule="auto"/>
        <w:rPr>
          <w:rFonts w:ascii="Arial" w:hAnsi="Arial" w:cs="Arial"/>
          <w:color w:val="435059"/>
        </w:rPr>
      </w:pPr>
      <w:r w:rsidRPr="007427E5">
        <w:rPr>
          <w:rFonts w:ascii="Arial" w:hAnsi="Arial" w:cs="Arial"/>
          <w:color w:val="435059"/>
        </w:rPr>
        <w:t xml:space="preserve">This case study introduced us to the knowledge of </w:t>
      </w:r>
      <w:r w:rsidR="00A1346D" w:rsidRPr="007427E5">
        <w:rPr>
          <w:rFonts w:ascii="Arial" w:hAnsi="Arial" w:cs="Arial"/>
          <w:color w:val="435059"/>
        </w:rPr>
        <w:t>f</w:t>
      </w:r>
      <w:r w:rsidR="00A1346D" w:rsidRPr="007427E5">
        <w:rPr>
          <w:rFonts w:ascii="Arial" w:hAnsi="Arial" w:cs="Arial"/>
          <w:color w:val="435059"/>
        </w:rPr>
        <w:t xml:space="preserve">lexible </w:t>
      </w:r>
      <w:r w:rsidR="00A1346D" w:rsidRPr="007427E5">
        <w:rPr>
          <w:rFonts w:ascii="Arial" w:hAnsi="Arial" w:cs="Arial"/>
          <w:color w:val="435059"/>
        </w:rPr>
        <w:t>working</w:t>
      </w:r>
      <w:r w:rsidRPr="007427E5">
        <w:rPr>
          <w:rFonts w:ascii="Arial" w:hAnsi="Arial" w:cs="Arial"/>
          <w:color w:val="435059"/>
        </w:rPr>
        <w:br/>
      </w:r>
      <w:r w:rsidR="00A1346D" w:rsidRPr="007427E5">
        <w:rPr>
          <w:rFonts w:ascii="Arial" w:hAnsi="Arial" w:cs="Arial"/>
          <w:color w:val="435059"/>
        </w:rPr>
        <w:t>which is a form of working arrangement that allows employees some flexibility in terms of how long, where, when, and when they work.</w:t>
      </w:r>
      <w:r w:rsidR="00A1346D" w:rsidRPr="007427E5">
        <w:rPr>
          <w:rFonts w:ascii="Arial" w:hAnsi="Arial" w:cs="Arial"/>
          <w:color w:val="435059"/>
        </w:rPr>
        <w:t xml:space="preserve"> This paper will focus on </w:t>
      </w:r>
      <w:r w:rsidR="00A1346D" w:rsidRPr="007427E5">
        <w:rPr>
          <w:rFonts w:ascii="Arial" w:hAnsi="Arial" w:cs="Arial"/>
          <w:color w:val="435059"/>
        </w:rPr>
        <w:t>Covid-19's Impact on Flexible and Remote Work</w:t>
      </w:r>
      <w:r w:rsidR="00A1346D" w:rsidRPr="007427E5">
        <w:rPr>
          <w:rFonts w:ascii="Arial" w:hAnsi="Arial" w:cs="Arial"/>
          <w:color w:val="435059"/>
        </w:rPr>
        <w:t>.</w:t>
      </w:r>
    </w:p>
    <w:p w14:paraId="5A5AF446" w14:textId="286B2A31" w:rsidR="00A1346D" w:rsidRPr="007427E5" w:rsidRDefault="00A1346D" w:rsidP="007427E5">
      <w:pPr>
        <w:pStyle w:val="Heading1"/>
        <w:spacing w:line="360" w:lineRule="auto"/>
      </w:pPr>
      <w:r w:rsidRPr="007427E5">
        <w:t xml:space="preserve">The Impact of Covid-19 </w:t>
      </w:r>
    </w:p>
    <w:p w14:paraId="430B477C" w14:textId="6B37F67D" w:rsidR="00A1346D" w:rsidRPr="007427E5" w:rsidRDefault="00A1346D" w:rsidP="007427E5">
      <w:pPr>
        <w:spacing w:line="360" w:lineRule="auto"/>
        <w:rPr>
          <w:rFonts w:ascii="Arial" w:hAnsi="Arial" w:cs="Arial"/>
          <w:color w:val="435059"/>
        </w:rPr>
      </w:pPr>
      <w:r w:rsidRPr="007427E5">
        <w:rPr>
          <w:rFonts w:ascii="Arial" w:hAnsi="Arial" w:cs="Arial"/>
          <w:color w:val="435059"/>
        </w:rPr>
        <w:t xml:space="preserve">In the United Kingdom, as soon as Boris Johnson confirmed the shutdown in his broadcast address on March 23, 2020, several firms stated that all employees will be required to begin working flexibly with immediate effect. Companies </w:t>
      </w:r>
      <w:r w:rsidRPr="007427E5">
        <w:rPr>
          <w:rFonts w:ascii="Arial" w:hAnsi="Arial" w:cs="Arial"/>
          <w:color w:val="435059"/>
        </w:rPr>
        <w:t>that</w:t>
      </w:r>
      <w:r w:rsidRPr="007427E5">
        <w:rPr>
          <w:rFonts w:ascii="Arial" w:hAnsi="Arial" w:cs="Arial"/>
          <w:color w:val="435059"/>
        </w:rPr>
        <w:t xml:space="preserve"> did not even have a flexible working policy examined their rules and began allowing workers to work from home.</w:t>
      </w:r>
      <w:r w:rsidRPr="007427E5">
        <w:rPr>
          <w:rFonts w:ascii="Arial" w:hAnsi="Arial" w:cs="Arial"/>
          <w:color w:val="435059"/>
        </w:rPr>
        <w:t xml:space="preserve"> “</w:t>
      </w:r>
      <w:r w:rsidRPr="007427E5">
        <w:rPr>
          <w:rFonts w:ascii="Arial" w:hAnsi="Arial" w:cs="Arial"/>
          <w:color w:val="435059"/>
        </w:rPr>
        <w:t>Not only does this protect the workforce and provide business continuity, they support broader, official measures to curb the outbreak</w:t>
      </w:r>
      <w:r w:rsidRPr="007427E5">
        <w:rPr>
          <w:rFonts w:ascii="Arial" w:hAnsi="Arial" w:cs="Arial"/>
          <w:color w:val="435059"/>
        </w:rPr>
        <w:t xml:space="preserve">” (Cipd, </w:t>
      </w:r>
      <w:proofErr w:type="spellStart"/>
      <w:r w:rsidR="00635CD5" w:rsidRPr="007427E5">
        <w:rPr>
          <w:rFonts w:ascii="Arial" w:hAnsi="Arial" w:cs="Arial"/>
          <w:color w:val="435059"/>
        </w:rPr>
        <w:t>nd</w:t>
      </w:r>
      <w:proofErr w:type="spellEnd"/>
      <w:r w:rsidRPr="007427E5">
        <w:rPr>
          <w:rFonts w:ascii="Arial" w:hAnsi="Arial" w:cs="Arial"/>
          <w:color w:val="435059"/>
        </w:rPr>
        <w:t xml:space="preserve">). </w:t>
      </w:r>
      <w:r w:rsidR="00F16DDF" w:rsidRPr="007427E5">
        <w:rPr>
          <w:rFonts w:ascii="Arial" w:hAnsi="Arial" w:cs="Arial"/>
          <w:color w:val="435059"/>
        </w:rPr>
        <w:t>COVID-19, on the other hand, has challenged this position. Employees are likely to reject any attempt to compel a return to previous working methods, given that COVID-19 required all companies to quickly adopt a flexible approach to working, whether from home or elsewhere, and everyone has acclimated to these new flexible ways.</w:t>
      </w:r>
      <w:r w:rsidR="007427E5" w:rsidRPr="007427E5">
        <w:rPr>
          <w:rFonts w:ascii="Arial" w:hAnsi="Arial" w:cs="Arial"/>
          <w:color w:val="435059"/>
        </w:rPr>
        <w:t xml:space="preserve"> The next will discuss the benefits and challenges of flexible working. </w:t>
      </w:r>
    </w:p>
    <w:p w14:paraId="0F3F3622" w14:textId="167A1EAC" w:rsidR="00A1346D" w:rsidRPr="007427E5" w:rsidRDefault="00A1346D" w:rsidP="007427E5">
      <w:pPr>
        <w:pStyle w:val="Heading1"/>
        <w:spacing w:line="360" w:lineRule="auto"/>
      </w:pPr>
      <w:r w:rsidRPr="007427E5">
        <w:t xml:space="preserve">Benefits of flexible working </w:t>
      </w:r>
    </w:p>
    <w:p w14:paraId="5301B30F" w14:textId="3E194209" w:rsidR="00A1346D" w:rsidRPr="007427E5" w:rsidRDefault="00A1346D" w:rsidP="007427E5">
      <w:pPr>
        <w:spacing w:line="360" w:lineRule="auto"/>
        <w:rPr>
          <w:rStyle w:val="Strong"/>
          <w:rFonts w:ascii="Arial" w:hAnsi="Arial" w:cs="Arial"/>
          <w:b w:val="0"/>
          <w:bCs w:val="0"/>
          <w:color w:val="373737"/>
          <w:bdr w:val="none" w:sz="0" w:space="0" w:color="auto" w:frame="1"/>
          <w:shd w:val="clear" w:color="auto" w:fill="FFFFFF"/>
        </w:rPr>
      </w:pPr>
      <w:r w:rsidRPr="007427E5">
        <w:rPr>
          <w:rFonts w:ascii="Arial" w:hAnsi="Arial" w:cs="Arial"/>
          <w:color w:val="435059"/>
        </w:rPr>
        <w:t>While research has consistently demonstrated the commercial advantages of flexible working on employee productivity and well-being, there was insufficient employer buy-in, and there were several misunderstandings and stigmas associated with flexible working. With the COVID-19 outbreak, organisations have embraced technology that allows employees to work remotely under lockdown. Job sectors that were previously resistant to flexible working, such as insurance and finance, permitted employees to work freely during the lockdown. As a result of the pandemic's flexible working experiment, many employment sectors now recognise that firms can continue to operate normally even when employees work flexibly from home</w:t>
      </w:r>
      <w:r w:rsidRPr="007427E5">
        <w:rPr>
          <w:rFonts w:ascii="Arial" w:hAnsi="Arial" w:cs="Arial"/>
          <w:color w:val="435059"/>
        </w:rPr>
        <w:t xml:space="preserve"> (</w:t>
      </w:r>
      <w:r w:rsidRPr="007427E5">
        <w:rPr>
          <w:rStyle w:val="Strong"/>
          <w:rFonts w:ascii="Arial" w:hAnsi="Arial" w:cs="Arial"/>
          <w:b w:val="0"/>
          <w:bCs w:val="0"/>
          <w:color w:val="373737"/>
          <w:bdr w:val="none" w:sz="0" w:space="0" w:color="auto" w:frame="1"/>
          <w:shd w:val="clear" w:color="auto" w:fill="FFFFFF"/>
        </w:rPr>
        <w:t>Tabassum</w:t>
      </w:r>
      <w:r w:rsidRPr="007427E5">
        <w:rPr>
          <w:rStyle w:val="Strong"/>
          <w:rFonts w:ascii="Arial" w:hAnsi="Arial" w:cs="Arial"/>
          <w:b w:val="0"/>
          <w:bCs w:val="0"/>
          <w:color w:val="373737"/>
          <w:bdr w:val="none" w:sz="0" w:space="0" w:color="auto" w:frame="1"/>
          <w:shd w:val="clear" w:color="auto" w:fill="FFFFFF"/>
        </w:rPr>
        <w:t xml:space="preserve">, 2020). </w:t>
      </w:r>
      <w:r w:rsidRPr="007427E5">
        <w:rPr>
          <w:rStyle w:val="Strong"/>
          <w:rFonts w:ascii="Arial" w:hAnsi="Arial" w:cs="Arial"/>
          <w:b w:val="0"/>
          <w:bCs w:val="0"/>
          <w:color w:val="373737"/>
          <w:bdr w:val="none" w:sz="0" w:space="0" w:color="auto" w:frame="1"/>
          <w:shd w:val="clear" w:color="auto" w:fill="FFFFFF"/>
        </w:rPr>
        <w:t xml:space="preserve">According to prior research, flexible working results in employee loyalty and engagement, improved organisational commitment, and higher job satisfaction; also, flexible working packages assist organisations </w:t>
      </w:r>
      <w:r w:rsidRPr="007427E5">
        <w:rPr>
          <w:rStyle w:val="Strong"/>
          <w:rFonts w:ascii="Arial" w:hAnsi="Arial" w:cs="Arial"/>
          <w:b w:val="0"/>
          <w:bCs w:val="0"/>
          <w:color w:val="373737"/>
          <w:bdr w:val="none" w:sz="0" w:space="0" w:color="auto" w:frame="1"/>
          <w:shd w:val="clear" w:color="auto" w:fill="FFFFFF"/>
        </w:rPr>
        <w:t xml:space="preserve">to </w:t>
      </w:r>
      <w:r w:rsidRPr="007427E5">
        <w:rPr>
          <w:rStyle w:val="Strong"/>
          <w:rFonts w:ascii="Arial" w:hAnsi="Arial" w:cs="Arial"/>
          <w:b w:val="0"/>
          <w:bCs w:val="0"/>
          <w:color w:val="373737"/>
          <w:bdr w:val="none" w:sz="0" w:space="0" w:color="auto" w:frame="1"/>
          <w:shd w:val="clear" w:color="auto" w:fill="FFFFFF"/>
        </w:rPr>
        <w:t xml:space="preserve">recruit and retain skilled individuals. Furthermore, organisations have cited greater productivity, reduced employee turnover, and absenteeism as benefits of flexible working. Hence, flexible working methods are advantageous to companies; thus, flexibility was incorporated into the job in order to </w:t>
      </w:r>
      <w:r w:rsidRPr="007427E5">
        <w:rPr>
          <w:rStyle w:val="Strong"/>
          <w:rFonts w:ascii="Arial" w:hAnsi="Arial" w:cs="Arial"/>
          <w:b w:val="0"/>
          <w:bCs w:val="0"/>
          <w:color w:val="373737"/>
          <w:bdr w:val="none" w:sz="0" w:space="0" w:color="auto" w:frame="1"/>
          <w:shd w:val="clear" w:color="auto" w:fill="FFFFFF"/>
        </w:rPr>
        <w:lastRenderedPageBreak/>
        <w:t>allow employees the choice of choosing when, how much time, and where to work.</w:t>
      </w:r>
      <w:r w:rsidRPr="007427E5">
        <w:rPr>
          <w:rStyle w:val="Strong"/>
          <w:rFonts w:ascii="Arial" w:hAnsi="Arial" w:cs="Arial"/>
          <w:b w:val="0"/>
          <w:bCs w:val="0"/>
          <w:color w:val="373737"/>
          <w:bdr w:val="none" w:sz="0" w:space="0" w:color="auto" w:frame="1"/>
          <w:shd w:val="clear" w:color="auto" w:fill="FFFFFF"/>
        </w:rPr>
        <w:t xml:space="preserve"> (</w:t>
      </w:r>
      <w:proofErr w:type="spellStart"/>
      <w:r w:rsidRPr="007427E5">
        <w:rPr>
          <w:rFonts w:ascii="Arial" w:hAnsi="Arial" w:cs="Arial"/>
          <w:color w:val="222222"/>
          <w:shd w:val="clear" w:color="auto" w:fill="FFFFFF"/>
        </w:rPr>
        <w:t>Shagvaliyeva</w:t>
      </w:r>
      <w:proofErr w:type="spellEnd"/>
      <w:r w:rsidRPr="007427E5">
        <w:rPr>
          <w:rFonts w:ascii="Arial" w:hAnsi="Arial" w:cs="Arial"/>
          <w:color w:val="222222"/>
          <w:shd w:val="clear" w:color="auto" w:fill="FFFFFF"/>
        </w:rPr>
        <w:t xml:space="preserve"> and </w:t>
      </w:r>
      <w:proofErr w:type="spellStart"/>
      <w:r w:rsidRPr="007427E5">
        <w:rPr>
          <w:rFonts w:ascii="Arial" w:hAnsi="Arial" w:cs="Arial"/>
          <w:color w:val="222222"/>
          <w:shd w:val="clear" w:color="auto" w:fill="FFFFFF"/>
        </w:rPr>
        <w:t>Yazdanifard</w:t>
      </w:r>
      <w:proofErr w:type="spellEnd"/>
      <w:r w:rsidRPr="007427E5">
        <w:rPr>
          <w:rFonts w:ascii="Arial" w:hAnsi="Arial" w:cs="Arial"/>
          <w:color w:val="222222"/>
          <w:shd w:val="clear" w:color="auto" w:fill="FFFFFF"/>
        </w:rPr>
        <w:t>, 2014)</w:t>
      </w:r>
    </w:p>
    <w:p w14:paraId="26341AAA" w14:textId="70D288CA" w:rsidR="00A1346D" w:rsidRPr="007427E5" w:rsidRDefault="00A1346D" w:rsidP="007427E5">
      <w:pPr>
        <w:pStyle w:val="Heading1"/>
        <w:spacing w:line="360" w:lineRule="auto"/>
        <w:rPr>
          <w:rStyle w:val="Strong"/>
          <w:b w:val="0"/>
          <w:bCs w:val="0"/>
        </w:rPr>
      </w:pPr>
      <w:r w:rsidRPr="007427E5">
        <w:rPr>
          <w:rStyle w:val="Strong"/>
          <w:b w:val="0"/>
          <w:bCs w:val="0"/>
        </w:rPr>
        <w:t xml:space="preserve">The challenges </w:t>
      </w:r>
    </w:p>
    <w:p w14:paraId="7BCA7634" w14:textId="53B925AC" w:rsidR="00A1346D" w:rsidRPr="007427E5" w:rsidRDefault="00267F93" w:rsidP="007427E5">
      <w:pPr>
        <w:spacing w:line="360" w:lineRule="auto"/>
        <w:rPr>
          <w:rFonts w:ascii="Arial" w:hAnsi="Arial" w:cs="Arial"/>
          <w:color w:val="373737"/>
          <w:bdr w:val="none" w:sz="0" w:space="0" w:color="auto" w:frame="1"/>
          <w:shd w:val="clear" w:color="auto" w:fill="FFFFFF"/>
        </w:rPr>
      </w:pPr>
      <w:r w:rsidRPr="007427E5">
        <w:rPr>
          <w:rStyle w:val="Strong"/>
          <w:rFonts w:ascii="Arial" w:hAnsi="Arial" w:cs="Arial"/>
          <w:b w:val="0"/>
          <w:bCs w:val="0"/>
          <w:color w:val="373737"/>
          <w:bdr w:val="none" w:sz="0" w:space="0" w:color="auto" w:frame="1"/>
          <w:shd w:val="clear" w:color="auto" w:fill="FFFFFF"/>
        </w:rPr>
        <w:t>As flexible working brings advantages such as safeguarding workers' well-being, it also poses obstacles for employees, supervisors, and organisations that should not be disregarded.</w:t>
      </w:r>
      <w:r w:rsidRPr="007427E5">
        <w:rPr>
          <w:rStyle w:val="Strong"/>
          <w:rFonts w:ascii="Arial" w:hAnsi="Arial" w:cs="Arial"/>
          <w:b w:val="0"/>
          <w:bCs w:val="0"/>
          <w:color w:val="373737"/>
          <w:bdr w:val="none" w:sz="0" w:space="0" w:color="auto" w:frame="1"/>
          <w:shd w:val="clear" w:color="auto" w:fill="FFFFFF"/>
        </w:rPr>
        <w:t xml:space="preserve"> </w:t>
      </w:r>
      <w:r w:rsidR="00A1346D" w:rsidRPr="007427E5">
        <w:rPr>
          <w:rFonts w:ascii="Arial" w:hAnsi="Arial" w:cs="Arial"/>
        </w:rPr>
        <w:t>A considerable amount of research on the business case for flexible working is now available. Only a tiny proportion of UK managers claim negative repercussions of flexible working on performance and productivity (Working Families/Cranfield University, 2008; Hayward et al, 2007; British Chambers of Commerce, 2007)</w:t>
      </w:r>
      <w:r w:rsidR="00A1346D" w:rsidRPr="007427E5">
        <w:rPr>
          <w:rFonts w:ascii="Arial" w:hAnsi="Arial" w:cs="Arial"/>
        </w:rPr>
        <w:t xml:space="preserve"> (</w:t>
      </w:r>
      <w:r w:rsidR="00A1346D" w:rsidRPr="007427E5">
        <w:rPr>
          <w:rFonts w:ascii="Arial" w:hAnsi="Arial" w:cs="Arial"/>
          <w:color w:val="222222"/>
          <w:shd w:val="clear" w:color="auto" w:fill="FFFFFF"/>
        </w:rPr>
        <w:t>Hegewisch,</w:t>
      </w:r>
      <w:r w:rsidR="00A1346D" w:rsidRPr="007427E5">
        <w:rPr>
          <w:rFonts w:ascii="Arial" w:hAnsi="Arial" w:cs="Arial"/>
          <w:color w:val="222222"/>
          <w:shd w:val="clear" w:color="auto" w:fill="FFFFFF"/>
        </w:rPr>
        <w:t xml:space="preserve"> 2009).</w:t>
      </w:r>
    </w:p>
    <w:p w14:paraId="0C91C948" w14:textId="2447EDF3" w:rsidR="00A1346D" w:rsidRPr="007427E5" w:rsidRDefault="00A1346D" w:rsidP="007427E5">
      <w:pPr>
        <w:spacing w:line="360" w:lineRule="auto"/>
        <w:jc w:val="both"/>
        <w:rPr>
          <w:rFonts w:ascii="Arial" w:hAnsi="Arial" w:cs="Arial"/>
        </w:rPr>
      </w:pPr>
    </w:p>
    <w:p w14:paraId="2842044B" w14:textId="07AB8039" w:rsidR="00A1346D" w:rsidRPr="007427E5" w:rsidRDefault="00A1346D" w:rsidP="007427E5">
      <w:pPr>
        <w:spacing w:line="360" w:lineRule="auto"/>
        <w:rPr>
          <w:rFonts w:ascii="Arial" w:hAnsi="Arial" w:cs="Arial"/>
        </w:rPr>
      </w:pPr>
    </w:p>
    <w:p w14:paraId="5962CF6A" w14:textId="6BA6D846" w:rsidR="00A1346D" w:rsidRPr="007427E5" w:rsidRDefault="007427E5" w:rsidP="007427E5">
      <w:pPr>
        <w:pStyle w:val="Heading1"/>
        <w:spacing w:line="360" w:lineRule="auto"/>
        <w:rPr>
          <w:sz w:val="22"/>
          <w:szCs w:val="22"/>
        </w:rPr>
      </w:pPr>
      <w:r>
        <w:t xml:space="preserve">References </w:t>
      </w:r>
    </w:p>
    <w:p w14:paraId="4E18B5A1" w14:textId="6E0F12B1" w:rsidR="00A1346D" w:rsidRPr="007427E5" w:rsidRDefault="00A1346D" w:rsidP="007427E5">
      <w:pPr>
        <w:spacing w:line="360" w:lineRule="auto"/>
        <w:rPr>
          <w:rFonts w:ascii="Arial" w:hAnsi="Arial" w:cs="Arial"/>
          <w:color w:val="222222"/>
          <w:shd w:val="clear" w:color="auto" w:fill="FFFFFF"/>
        </w:rPr>
      </w:pPr>
      <w:r w:rsidRPr="007427E5">
        <w:rPr>
          <w:rFonts w:ascii="Arial" w:hAnsi="Arial" w:cs="Arial"/>
          <w:color w:val="222222"/>
          <w:shd w:val="clear" w:color="auto" w:fill="FFFFFF"/>
        </w:rPr>
        <w:t xml:space="preserve">Hegewisch, A. </w:t>
      </w:r>
      <w:r w:rsidRPr="007427E5">
        <w:rPr>
          <w:rFonts w:ascii="Arial" w:hAnsi="Arial" w:cs="Arial"/>
          <w:color w:val="222222"/>
          <w:shd w:val="clear" w:color="auto" w:fill="FFFFFF"/>
        </w:rPr>
        <w:t>(</w:t>
      </w:r>
      <w:r w:rsidRPr="007427E5">
        <w:rPr>
          <w:rFonts w:ascii="Arial" w:hAnsi="Arial" w:cs="Arial"/>
          <w:color w:val="222222"/>
          <w:shd w:val="clear" w:color="auto" w:fill="FFFFFF"/>
        </w:rPr>
        <w:t>2009</w:t>
      </w:r>
      <w:r w:rsidRPr="007427E5">
        <w:rPr>
          <w:rFonts w:ascii="Arial" w:hAnsi="Arial" w:cs="Arial"/>
          <w:color w:val="222222"/>
          <w:shd w:val="clear" w:color="auto" w:fill="FFFFFF"/>
        </w:rPr>
        <w:t>)</w:t>
      </w:r>
      <w:r w:rsidRPr="007427E5">
        <w:rPr>
          <w:rFonts w:ascii="Arial" w:hAnsi="Arial" w:cs="Arial"/>
          <w:color w:val="222222"/>
          <w:shd w:val="clear" w:color="auto" w:fill="FFFFFF"/>
        </w:rPr>
        <w:t> </w:t>
      </w:r>
      <w:r w:rsidRPr="007427E5">
        <w:rPr>
          <w:rFonts w:ascii="Arial" w:hAnsi="Arial" w:cs="Arial"/>
          <w:i/>
          <w:iCs/>
          <w:color w:val="222222"/>
          <w:shd w:val="clear" w:color="auto" w:fill="FFFFFF"/>
        </w:rPr>
        <w:t>Flexible working policies: a comparative review</w:t>
      </w:r>
      <w:r w:rsidRPr="007427E5">
        <w:rPr>
          <w:rFonts w:ascii="Arial" w:hAnsi="Arial" w:cs="Arial"/>
          <w:color w:val="222222"/>
          <w:shd w:val="clear" w:color="auto" w:fill="FFFFFF"/>
        </w:rPr>
        <w:t>. Manchester</w:t>
      </w:r>
      <w:r w:rsidRPr="007427E5">
        <w:rPr>
          <w:rFonts w:ascii="Arial" w:hAnsi="Arial" w:cs="Arial"/>
          <w:color w:val="222222"/>
          <w:shd w:val="clear" w:color="auto" w:fill="FFFFFF"/>
        </w:rPr>
        <w:t>.</w:t>
      </w:r>
      <w:r w:rsidRPr="007427E5">
        <w:rPr>
          <w:rFonts w:ascii="Arial" w:hAnsi="Arial" w:cs="Arial"/>
          <w:color w:val="222222"/>
          <w:shd w:val="clear" w:color="auto" w:fill="FFFFFF"/>
        </w:rPr>
        <w:t xml:space="preserve"> Equality and Human Rights Commission.</w:t>
      </w:r>
      <w:r w:rsidRPr="007427E5">
        <w:rPr>
          <w:rFonts w:ascii="Arial" w:hAnsi="Arial" w:cs="Arial"/>
          <w:color w:val="222222"/>
          <w:shd w:val="clear" w:color="auto" w:fill="FFFFFF"/>
        </w:rPr>
        <w:t xml:space="preserve"> </w:t>
      </w:r>
    </w:p>
    <w:p w14:paraId="2A7307F5" w14:textId="1FCF8522" w:rsidR="00A1346D" w:rsidRPr="007427E5" w:rsidRDefault="00A1346D" w:rsidP="007427E5">
      <w:pPr>
        <w:spacing w:line="360" w:lineRule="auto"/>
        <w:rPr>
          <w:rFonts w:ascii="Arial" w:hAnsi="Arial" w:cs="Arial"/>
          <w:color w:val="222222"/>
          <w:shd w:val="clear" w:color="auto" w:fill="FFFFFF"/>
        </w:rPr>
      </w:pPr>
      <w:proofErr w:type="spellStart"/>
      <w:r w:rsidRPr="007427E5">
        <w:rPr>
          <w:rFonts w:ascii="Arial" w:hAnsi="Arial" w:cs="Arial"/>
          <w:color w:val="222222"/>
          <w:shd w:val="clear" w:color="auto" w:fill="FFFFFF"/>
        </w:rPr>
        <w:t>Shagvaliyeva</w:t>
      </w:r>
      <w:proofErr w:type="spellEnd"/>
      <w:r w:rsidRPr="007427E5">
        <w:rPr>
          <w:rFonts w:ascii="Arial" w:hAnsi="Arial" w:cs="Arial"/>
          <w:color w:val="222222"/>
          <w:shd w:val="clear" w:color="auto" w:fill="FFFFFF"/>
        </w:rPr>
        <w:t xml:space="preserve">, S. and </w:t>
      </w:r>
      <w:proofErr w:type="spellStart"/>
      <w:r w:rsidRPr="007427E5">
        <w:rPr>
          <w:rFonts w:ascii="Arial" w:hAnsi="Arial" w:cs="Arial"/>
          <w:color w:val="222222"/>
          <w:shd w:val="clear" w:color="auto" w:fill="FFFFFF"/>
        </w:rPr>
        <w:t>Yazdanifard</w:t>
      </w:r>
      <w:proofErr w:type="spellEnd"/>
      <w:r w:rsidRPr="007427E5">
        <w:rPr>
          <w:rFonts w:ascii="Arial" w:hAnsi="Arial" w:cs="Arial"/>
          <w:color w:val="222222"/>
          <w:shd w:val="clear" w:color="auto" w:fill="FFFFFF"/>
        </w:rPr>
        <w:t xml:space="preserve">, R. </w:t>
      </w:r>
      <w:r w:rsidRPr="007427E5">
        <w:rPr>
          <w:rFonts w:ascii="Arial" w:hAnsi="Arial" w:cs="Arial"/>
          <w:color w:val="222222"/>
          <w:shd w:val="clear" w:color="auto" w:fill="FFFFFF"/>
        </w:rPr>
        <w:t>(</w:t>
      </w:r>
      <w:r w:rsidRPr="007427E5">
        <w:rPr>
          <w:rFonts w:ascii="Arial" w:hAnsi="Arial" w:cs="Arial"/>
          <w:color w:val="222222"/>
          <w:shd w:val="clear" w:color="auto" w:fill="FFFFFF"/>
        </w:rPr>
        <w:t>2014</w:t>
      </w:r>
      <w:r w:rsidRPr="007427E5">
        <w:rPr>
          <w:rFonts w:ascii="Arial" w:hAnsi="Arial" w:cs="Arial"/>
          <w:color w:val="222222"/>
          <w:shd w:val="clear" w:color="auto" w:fill="FFFFFF"/>
        </w:rPr>
        <w:t>)</w:t>
      </w:r>
      <w:r w:rsidRPr="007427E5">
        <w:rPr>
          <w:rFonts w:ascii="Arial" w:hAnsi="Arial" w:cs="Arial"/>
          <w:color w:val="222222"/>
          <w:shd w:val="clear" w:color="auto" w:fill="FFFFFF"/>
        </w:rPr>
        <w:t xml:space="preserve"> Impact of flexible working hours on work-life balance. </w:t>
      </w:r>
      <w:r w:rsidRPr="007427E5">
        <w:rPr>
          <w:rFonts w:ascii="Arial" w:hAnsi="Arial" w:cs="Arial"/>
          <w:i/>
          <w:iCs/>
          <w:color w:val="222222"/>
          <w:shd w:val="clear" w:color="auto" w:fill="FFFFFF"/>
        </w:rPr>
        <w:t>American Journal of Industrial and Business Management</w:t>
      </w:r>
      <w:r w:rsidRPr="007427E5">
        <w:rPr>
          <w:rFonts w:ascii="Arial" w:hAnsi="Arial" w:cs="Arial"/>
          <w:color w:val="222222"/>
          <w:shd w:val="clear" w:color="auto" w:fill="FFFFFF"/>
        </w:rPr>
        <w:t>, </w:t>
      </w:r>
      <w:r w:rsidRPr="007427E5">
        <w:rPr>
          <w:rFonts w:ascii="Arial" w:hAnsi="Arial" w:cs="Arial"/>
          <w:i/>
          <w:iCs/>
          <w:color w:val="222222"/>
          <w:shd w:val="clear" w:color="auto" w:fill="FFFFFF"/>
        </w:rPr>
        <w:t>2014</w:t>
      </w:r>
      <w:r w:rsidRPr="007427E5">
        <w:rPr>
          <w:rFonts w:ascii="Arial" w:hAnsi="Arial" w:cs="Arial"/>
          <w:color w:val="222222"/>
          <w:shd w:val="clear" w:color="auto" w:fill="FFFFFF"/>
        </w:rPr>
        <w:t>.</w:t>
      </w:r>
      <w:r w:rsidR="00BD7545" w:rsidRPr="007427E5">
        <w:rPr>
          <w:rFonts w:ascii="Arial" w:hAnsi="Arial" w:cs="Arial"/>
          <w:color w:val="222222"/>
          <w:shd w:val="clear" w:color="auto" w:fill="FFFFFF"/>
        </w:rPr>
        <w:t xml:space="preserve"> </w:t>
      </w:r>
    </w:p>
    <w:p w14:paraId="7FB1D980" w14:textId="4A0FB894" w:rsidR="00BD7545" w:rsidRPr="007427E5" w:rsidRDefault="00BD7545" w:rsidP="007427E5">
      <w:pPr>
        <w:spacing w:line="360" w:lineRule="auto"/>
        <w:jc w:val="both"/>
        <w:rPr>
          <w:rFonts w:ascii="Arial" w:hAnsi="Arial" w:cs="Arial"/>
        </w:rPr>
      </w:pPr>
      <w:r w:rsidRPr="007427E5">
        <w:rPr>
          <w:rStyle w:val="Strong"/>
          <w:rFonts w:ascii="Arial" w:hAnsi="Arial" w:cs="Arial"/>
          <w:color w:val="373737"/>
          <w:bdr w:val="none" w:sz="0" w:space="0" w:color="auto" w:frame="1"/>
          <w:shd w:val="clear" w:color="auto" w:fill="FFFFFF"/>
        </w:rPr>
        <w:t>Tabassum</w:t>
      </w:r>
      <w:r w:rsidRPr="007427E5">
        <w:rPr>
          <w:rFonts w:ascii="Arial" w:hAnsi="Arial" w:cs="Arial"/>
        </w:rPr>
        <w:t xml:space="preserve">, N. (2020) The COVID-19 Effect On Flexible Working: The Good, The Bad, The Ugly. Available at </w:t>
      </w:r>
      <w:hyperlink r:id="rId4" w:history="1">
        <w:r w:rsidRPr="007427E5">
          <w:rPr>
            <w:rStyle w:val="Hyperlink"/>
            <w:rFonts w:ascii="Arial" w:hAnsi="Arial" w:cs="Arial"/>
          </w:rPr>
          <w:t>The COVID-19 Effect On Flexible Working: The Good, The Bad, The Ugly | Health &amp; Social Care Workforce: (kcl.ac.uk)</w:t>
        </w:r>
      </w:hyperlink>
      <w:r w:rsidRPr="007427E5">
        <w:rPr>
          <w:rFonts w:ascii="Arial" w:hAnsi="Arial" w:cs="Arial"/>
        </w:rPr>
        <w:t xml:space="preserve"> (Accessed: 08 October 2022).</w:t>
      </w:r>
    </w:p>
    <w:p w14:paraId="5828D7D0" w14:textId="4068A3FF" w:rsidR="005900D8" w:rsidRPr="007427E5" w:rsidRDefault="005900D8" w:rsidP="007427E5">
      <w:pPr>
        <w:spacing w:line="360" w:lineRule="auto"/>
        <w:jc w:val="both"/>
        <w:rPr>
          <w:rFonts w:ascii="Arial" w:hAnsi="Arial" w:cs="Arial"/>
        </w:rPr>
      </w:pPr>
      <w:r w:rsidRPr="007427E5">
        <w:rPr>
          <w:rFonts w:ascii="Arial" w:hAnsi="Arial" w:cs="Arial"/>
        </w:rPr>
        <w:t>Cipd. (Nd) Flexible working arrangements and the impact of the COVID-19 pandemic. Available at Flexible working arrangements and the impact of the COVID-19 pandemic | CIPD (Accessed: 08 October 2022).</w:t>
      </w:r>
    </w:p>
    <w:p w14:paraId="77332225" w14:textId="77777777" w:rsidR="00BD7545" w:rsidRPr="007427E5" w:rsidRDefault="00BD7545" w:rsidP="00286ACA">
      <w:pPr>
        <w:rPr>
          <w:rStyle w:val="Strong"/>
          <w:rFonts w:ascii="Arial" w:hAnsi="Arial" w:cs="Arial"/>
          <w:color w:val="373737"/>
          <w:bdr w:val="none" w:sz="0" w:space="0" w:color="auto" w:frame="1"/>
          <w:shd w:val="clear" w:color="auto" w:fill="FFFFFF"/>
        </w:rPr>
      </w:pPr>
    </w:p>
    <w:p w14:paraId="2F2EC140" w14:textId="2FB86F85" w:rsidR="00A1346D" w:rsidRDefault="00A1346D" w:rsidP="00286ACA">
      <w:pPr>
        <w:rPr>
          <w:rStyle w:val="Strong"/>
          <w:rFonts w:ascii="Helvetica" w:hAnsi="Helvetica"/>
          <w:color w:val="373737"/>
          <w:sz w:val="23"/>
          <w:szCs w:val="23"/>
          <w:bdr w:val="none" w:sz="0" w:space="0" w:color="auto" w:frame="1"/>
          <w:shd w:val="clear" w:color="auto" w:fill="FFFFFF"/>
        </w:rPr>
      </w:pPr>
    </w:p>
    <w:p w14:paraId="519B0ECB" w14:textId="34887BF1" w:rsidR="00A1346D" w:rsidRDefault="00A1346D" w:rsidP="00286ACA">
      <w:pPr>
        <w:rPr>
          <w:rFonts w:ascii="Roboto" w:hAnsi="Roboto"/>
          <w:color w:val="435059"/>
          <w:sz w:val="30"/>
          <w:szCs w:val="30"/>
        </w:rPr>
      </w:pPr>
    </w:p>
    <w:p w14:paraId="48507D7C" w14:textId="77777777" w:rsidR="000A4F34" w:rsidRPr="0041743D" w:rsidRDefault="000A4F34" w:rsidP="00286ACA">
      <w:pPr>
        <w:rPr>
          <w:rFonts w:ascii="Arial" w:hAnsi="Arial" w:cs="Arial"/>
          <w:sz w:val="32"/>
          <w:szCs w:val="32"/>
        </w:rPr>
      </w:pPr>
    </w:p>
    <w:sectPr w:rsidR="000A4F34" w:rsidRPr="004174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Roboto">
    <w:altName w:val="Roboto"/>
    <w:charset w:val="00"/>
    <w:family w:val="auto"/>
    <w:pitch w:val="variable"/>
    <w:sig w:usb0="E00002FF" w:usb1="5000205B" w:usb2="0000002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C73BF"/>
    <w:rsid w:val="000A4F34"/>
    <w:rsid w:val="000B6CCA"/>
    <w:rsid w:val="000C32E0"/>
    <w:rsid w:val="00244FE9"/>
    <w:rsid w:val="00267F93"/>
    <w:rsid w:val="00286ACA"/>
    <w:rsid w:val="003C73BF"/>
    <w:rsid w:val="0041743D"/>
    <w:rsid w:val="004B0750"/>
    <w:rsid w:val="005900D8"/>
    <w:rsid w:val="00635CD5"/>
    <w:rsid w:val="007427E5"/>
    <w:rsid w:val="008F50E7"/>
    <w:rsid w:val="00A1346D"/>
    <w:rsid w:val="00BD7545"/>
    <w:rsid w:val="00E57907"/>
    <w:rsid w:val="00F16DDF"/>
    <w:rsid w:val="00FE58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EB94A"/>
  <w15:docId w15:val="{81215874-E89D-4EF3-A020-6CCFE7731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ACA"/>
  </w:style>
  <w:style w:type="paragraph" w:styleId="Heading1">
    <w:name w:val="heading 1"/>
    <w:basedOn w:val="Normal"/>
    <w:next w:val="Normal"/>
    <w:link w:val="Heading1Char"/>
    <w:uiPriority w:val="9"/>
    <w:qFormat/>
    <w:rsid w:val="00286A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ACA"/>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286A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1743D"/>
    <w:rPr>
      <w:i/>
      <w:iCs/>
    </w:rPr>
  </w:style>
  <w:style w:type="character" w:styleId="Strong">
    <w:name w:val="Strong"/>
    <w:basedOn w:val="DefaultParagraphFont"/>
    <w:uiPriority w:val="22"/>
    <w:qFormat/>
    <w:rsid w:val="00A1346D"/>
    <w:rPr>
      <w:b/>
      <w:bCs/>
    </w:rPr>
  </w:style>
  <w:style w:type="character" w:styleId="Hyperlink">
    <w:name w:val="Hyperlink"/>
    <w:basedOn w:val="DefaultParagraphFont"/>
    <w:uiPriority w:val="99"/>
    <w:unhideWhenUsed/>
    <w:rsid w:val="00A134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909647">
      <w:bodyDiv w:val="1"/>
      <w:marLeft w:val="0"/>
      <w:marRight w:val="0"/>
      <w:marTop w:val="0"/>
      <w:marBottom w:val="0"/>
      <w:divBdr>
        <w:top w:val="none" w:sz="0" w:space="0" w:color="auto"/>
        <w:left w:val="none" w:sz="0" w:space="0" w:color="auto"/>
        <w:bottom w:val="none" w:sz="0" w:space="0" w:color="auto"/>
        <w:right w:val="none" w:sz="0" w:space="0" w:color="auto"/>
      </w:divBdr>
    </w:div>
    <w:div w:id="2043243179">
      <w:bodyDiv w:val="1"/>
      <w:marLeft w:val="0"/>
      <w:marRight w:val="0"/>
      <w:marTop w:val="0"/>
      <w:marBottom w:val="0"/>
      <w:divBdr>
        <w:top w:val="none" w:sz="0" w:space="0" w:color="auto"/>
        <w:left w:val="none" w:sz="0" w:space="0" w:color="auto"/>
        <w:bottom w:val="none" w:sz="0" w:space="0" w:color="auto"/>
        <w:right w:val="none" w:sz="0" w:space="0" w:color="auto"/>
      </w:divBdr>
    </w:div>
    <w:div w:id="21029482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blogs.kcl.ac.uk/socialcareworkforce/2020/05/27/the-covid-19-effect-on-flexible-working-the-good-the-bad-the-ug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650</Words>
  <Characters>3708</Characters>
  <Application>Microsoft Office Word</Application>
  <DocSecurity>0</DocSecurity>
  <Lines>30</Lines>
  <Paragraphs>8</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Samir Mhanna (2119514)</cp:lastModifiedBy>
  <cp:revision>13</cp:revision>
  <dcterms:created xsi:type="dcterms:W3CDTF">2022-10-08T14:45:00Z</dcterms:created>
  <dcterms:modified xsi:type="dcterms:W3CDTF">2022-10-08T15:12:00Z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da203cfc479a45bb6a261504a361ce70127ca0692486aadb19bba3621e7a1cfb</vt:lpwstr>
  </property>
</Properties>
</file>