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792F9" w14:textId="0D9F25C0" w:rsidR="00372F96" w:rsidRPr="00372F96" w:rsidRDefault="00372F96" w:rsidP="00372F96">
      <w:pPr>
        <w:spacing w:after="0" w:line="276" w:lineRule="auto"/>
        <w:ind w:left="567" w:right="531"/>
        <w:rPr>
          <w:rFonts w:ascii="Arial" w:eastAsia="Times New Roman" w:hAnsi="Arial" w:cs="Arial"/>
          <w:b/>
          <w:bCs/>
          <w:i/>
          <w:iCs/>
          <w:sz w:val="24"/>
          <w:szCs w:val="24"/>
          <w:u w:val="single"/>
          <w:lang w:eastAsia="en-GB"/>
        </w:rPr>
      </w:pPr>
      <w:r w:rsidRPr="00372F96">
        <w:rPr>
          <w:rFonts w:ascii="Arial" w:eastAsia="Times New Roman" w:hAnsi="Arial" w:cs="Arial"/>
          <w:b/>
          <w:bCs/>
          <w:i/>
          <w:iCs/>
          <w:sz w:val="24"/>
          <w:szCs w:val="24"/>
          <w:u w:val="single"/>
          <w:lang w:eastAsia="en-GB"/>
        </w:rPr>
        <w:t>‘</w:t>
      </w:r>
      <w:r w:rsidRPr="00372F96">
        <w:rPr>
          <w:rFonts w:ascii="Arial" w:eastAsia="Times New Roman" w:hAnsi="Arial" w:cs="Arial"/>
          <w:b/>
          <w:bCs/>
          <w:i/>
          <w:iCs/>
          <w:sz w:val="24"/>
          <w:szCs w:val="24"/>
          <w:u w:val="single"/>
          <w:lang w:eastAsia="en-GB"/>
        </w:rPr>
        <w:t>How have the different values and cultural norms within diverse communities impacted upon policing? You should evaluate how multi-culturalism has affected professional policies and standards (</w:t>
      </w:r>
      <w:proofErr w:type="gramStart"/>
      <w:r w:rsidRPr="00372F96">
        <w:rPr>
          <w:rFonts w:ascii="Arial" w:eastAsia="Times New Roman" w:hAnsi="Arial" w:cs="Arial"/>
          <w:b/>
          <w:bCs/>
          <w:i/>
          <w:iCs/>
          <w:sz w:val="24"/>
          <w:szCs w:val="24"/>
          <w:u w:val="single"/>
          <w:lang w:eastAsia="en-GB"/>
        </w:rPr>
        <w:t>e.g.</w:t>
      </w:r>
      <w:proofErr w:type="gramEnd"/>
      <w:r w:rsidRPr="00372F96">
        <w:rPr>
          <w:rFonts w:ascii="Arial" w:eastAsia="Times New Roman" w:hAnsi="Arial" w:cs="Arial"/>
          <w:b/>
          <w:bCs/>
          <w:i/>
          <w:iCs/>
          <w:sz w:val="24"/>
          <w:szCs w:val="24"/>
          <w:u w:val="single"/>
          <w:lang w:eastAsia="en-GB"/>
        </w:rPr>
        <w:t xml:space="preserve"> PACE, Code of Ethics) as well as policing practice (e.g. neighbourhood policing).</w:t>
      </w:r>
      <w:r w:rsidRPr="00372F96">
        <w:rPr>
          <w:rFonts w:ascii="Arial" w:eastAsia="Times New Roman" w:hAnsi="Arial" w:cs="Arial"/>
          <w:b/>
          <w:bCs/>
          <w:i/>
          <w:iCs/>
          <w:sz w:val="24"/>
          <w:szCs w:val="24"/>
          <w:u w:val="single"/>
          <w:lang w:eastAsia="en-GB"/>
        </w:rPr>
        <w:t>’</w:t>
      </w:r>
    </w:p>
    <w:p w14:paraId="6F049BB9" w14:textId="77777777" w:rsidR="00372F96" w:rsidRDefault="00372F96" w:rsidP="00372F96">
      <w:pPr>
        <w:spacing w:after="0" w:line="276" w:lineRule="auto"/>
        <w:ind w:left="567" w:right="531"/>
        <w:rPr>
          <w:rFonts w:ascii="Arial" w:eastAsia="Times New Roman" w:hAnsi="Arial" w:cs="Arial"/>
          <w:sz w:val="24"/>
          <w:szCs w:val="24"/>
          <w:lang w:eastAsia="en-GB"/>
        </w:rPr>
      </w:pPr>
    </w:p>
    <w:p w14:paraId="0A2E739A" w14:textId="0654671E" w:rsidR="00372F96" w:rsidRPr="00372F96" w:rsidRDefault="00372F96" w:rsidP="00372F96">
      <w:pPr>
        <w:spacing w:after="0" w:line="360" w:lineRule="auto"/>
        <w:ind w:left="567" w:right="531"/>
        <w:rPr>
          <w:rFonts w:ascii="Arial" w:eastAsia="Times New Roman" w:hAnsi="Arial" w:cs="Arial"/>
          <w:sz w:val="24"/>
          <w:szCs w:val="24"/>
          <w:lang w:eastAsia="en-GB"/>
        </w:rPr>
      </w:pPr>
      <w:r w:rsidRPr="00372F96">
        <w:rPr>
          <w:rFonts w:ascii="Arial" w:eastAsia="Times New Roman" w:hAnsi="Arial" w:cs="Arial"/>
          <w:sz w:val="24"/>
          <w:szCs w:val="24"/>
          <w:lang w:eastAsia="en-GB"/>
        </w:rPr>
        <w:t xml:space="preserve">Understanding the impact of different values and cultural norms within diverse communities is key within policing in order to build trust with the public. This essay will explore the impact of different values and cultural norms on policing. Within this, the impact of multi-culturalism on professional policing policies will be explored, with a key focus on the impact on policing practice. </w:t>
      </w:r>
    </w:p>
    <w:p w14:paraId="3315959E"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p>
    <w:p w14:paraId="5E198A7D"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r w:rsidRPr="00372F96">
        <w:rPr>
          <w:rFonts w:ascii="Arial" w:eastAsia="Times New Roman" w:hAnsi="Arial" w:cs="Arial"/>
          <w:sz w:val="24"/>
          <w:szCs w:val="24"/>
          <w:lang w:eastAsia="en-GB"/>
        </w:rPr>
        <w:t xml:space="preserve">A community is a term which can describe a group of people who reside with each other or who share similar values and cultural norms (Nagle 2017 p6). Cultural norms </w:t>
      </w:r>
      <w:proofErr w:type="gramStart"/>
      <w:r w:rsidRPr="00372F96">
        <w:rPr>
          <w:rFonts w:ascii="Arial" w:eastAsia="Times New Roman" w:hAnsi="Arial" w:cs="Arial"/>
          <w:sz w:val="24"/>
          <w:szCs w:val="24"/>
          <w:lang w:eastAsia="en-GB"/>
        </w:rPr>
        <w:t>refers</w:t>
      </w:r>
      <w:proofErr w:type="gramEnd"/>
      <w:r w:rsidRPr="00372F96">
        <w:rPr>
          <w:rFonts w:ascii="Arial" w:eastAsia="Times New Roman" w:hAnsi="Arial" w:cs="Arial"/>
          <w:sz w:val="24"/>
          <w:szCs w:val="24"/>
          <w:lang w:eastAsia="en-GB"/>
        </w:rPr>
        <w:t xml:space="preserve"> to a theory where a common interest/value connects members of a community together (Nagle 2017). Examples of common cultural norms </w:t>
      </w:r>
      <w:proofErr w:type="gramStart"/>
      <w:r w:rsidRPr="00372F96">
        <w:rPr>
          <w:rFonts w:ascii="Arial" w:eastAsia="Times New Roman" w:hAnsi="Arial" w:cs="Arial"/>
          <w:sz w:val="24"/>
          <w:szCs w:val="24"/>
          <w:lang w:eastAsia="en-GB"/>
        </w:rPr>
        <w:t>include:</w:t>
      </w:r>
      <w:proofErr w:type="gramEnd"/>
      <w:r w:rsidRPr="00372F96">
        <w:rPr>
          <w:rFonts w:ascii="Arial" w:eastAsia="Times New Roman" w:hAnsi="Arial" w:cs="Arial"/>
          <w:sz w:val="24"/>
          <w:szCs w:val="24"/>
          <w:lang w:eastAsia="en-GB"/>
        </w:rPr>
        <w:t xml:space="preserve"> ethnicity, race and religion. </w:t>
      </w:r>
      <w:proofErr w:type="spellStart"/>
      <w:r w:rsidRPr="00372F96">
        <w:rPr>
          <w:rFonts w:ascii="Arial" w:eastAsia="Times New Roman" w:hAnsi="Arial" w:cs="Arial"/>
          <w:sz w:val="24"/>
          <w:szCs w:val="24"/>
          <w:lang w:eastAsia="en-GB"/>
        </w:rPr>
        <w:t>Bevir</w:t>
      </w:r>
      <w:proofErr w:type="spellEnd"/>
      <w:r w:rsidRPr="00372F96">
        <w:rPr>
          <w:rFonts w:ascii="Arial" w:eastAsia="Times New Roman" w:hAnsi="Arial" w:cs="Arial"/>
          <w:sz w:val="24"/>
          <w:szCs w:val="24"/>
          <w:lang w:eastAsia="en-GB"/>
        </w:rPr>
        <w:t xml:space="preserve"> and Ashcroft (2019 p2) build upon Nagle’s (2017) definition of a community and explain that a multi-cultural society is formed when individuals from different cultures reside within the same community. Das (2021 p71) further develops on this and suggests that individuals within the same community will share the same behaviours. </w:t>
      </w:r>
      <w:proofErr w:type="gramStart"/>
      <w:r w:rsidRPr="00372F96">
        <w:rPr>
          <w:rFonts w:ascii="Arial" w:eastAsia="Times New Roman" w:hAnsi="Arial" w:cs="Arial"/>
          <w:sz w:val="24"/>
          <w:szCs w:val="24"/>
          <w:lang w:eastAsia="en-GB"/>
        </w:rPr>
        <w:t>Therefore</w:t>
      </w:r>
      <w:proofErr w:type="gramEnd"/>
      <w:r w:rsidRPr="00372F96">
        <w:rPr>
          <w:rFonts w:ascii="Arial" w:eastAsia="Times New Roman" w:hAnsi="Arial" w:cs="Arial"/>
          <w:sz w:val="24"/>
          <w:szCs w:val="24"/>
          <w:lang w:eastAsia="en-GB"/>
        </w:rPr>
        <w:t xml:space="preserve"> it is imperative for Police officers to understand the diversity within a community in order to effectively work alongside the public.</w:t>
      </w:r>
    </w:p>
    <w:p w14:paraId="14E2D12D"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p>
    <w:p w14:paraId="5C7F772C" w14:textId="707F4E2C" w:rsidR="00372F96" w:rsidRPr="00372F96" w:rsidRDefault="00372F96" w:rsidP="00372F96">
      <w:pPr>
        <w:spacing w:after="0" w:line="360" w:lineRule="auto"/>
        <w:ind w:left="567" w:right="531"/>
        <w:rPr>
          <w:rFonts w:ascii="Arial" w:eastAsia="Times New Roman" w:hAnsi="Arial" w:cs="Arial"/>
          <w:sz w:val="24"/>
          <w:szCs w:val="24"/>
          <w:lang w:eastAsia="en-GB"/>
        </w:rPr>
      </w:pPr>
      <w:r w:rsidRPr="00372F96">
        <w:rPr>
          <w:rFonts w:ascii="Arial" w:eastAsia="Times New Roman" w:hAnsi="Arial" w:cs="Arial"/>
          <w:sz w:val="24"/>
          <w:szCs w:val="24"/>
          <w:lang w:eastAsia="en-GB"/>
        </w:rPr>
        <w:t xml:space="preserve">In previous years, there have been failings within the Police force, where a lack of understanding of the multi-cultural society has led to individuals being wrongfully targeted, causing a breakdown in relationship between the public and the Police. A key example of this is the actions of Police Officers following the Brixton Riots 1981. Officers wrongfully targeted males from black ethnic communities with Stop and Searches and unlawful arrests. The Scarman Report (1981 p80) found that Police Officers had racist intentions and were prejudiced towards black males. A further failing within Policing that affected multi-cultural communities was </w:t>
      </w:r>
      <w:r w:rsidRPr="00372F96">
        <w:rPr>
          <w:rFonts w:ascii="Arial" w:eastAsia="Times New Roman" w:hAnsi="Arial" w:cs="Arial"/>
          <w:sz w:val="24"/>
          <w:szCs w:val="24"/>
          <w:lang w:eastAsia="en-GB"/>
        </w:rPr>
        <w:lastRenderedPageBreak/>
        <w:t xml:space="preserve">the Stephen Lawrence Case. </w:t>
      </w:r>
      <w:proofErr w:type="spellStart"/>
      <w:r w:rsidRPr="00372F96">
        <w:rPr>
          <w:rFonts w:ascii="Arial" w:eastAsia="Times New Roman" w:hAnsi="Arial" w:cs="Arial"/>
          <w:sz w:val="24"/>
          <w:szCs w:val="24"/>
          <w:lang w:eastAsia="en-GB"/>
        </w:rPr>
        <w:t>Holohan</w:t>
      </w:r>
      <w:proofErr w:type="spellEnd"/>
      <w:r w:rsidRPr="00372F96">
        <w:rPr>
          <w:rFonts w:ascii="Arial" w:eastAsia="Times New Roman" w:hAnsi="Arial" w:cs="Arial"/>
          <w:sz w:val="24"/>
          <w:szCs w:val="24"/>
          <w:lang w:eastAsia="en-GB"/>
        </w:rPr>
        <w:t xml:space="preserve"> (20</w:t>
      </w:r>
      <w:r w:rsidR="00D65207">
        <w:rPr>
          <w:rFonts w:ascii="Arial" w:eastAsia="Times New Roman" w:hAnsi="Arial" w:cs="Arial"/>
          <w:sz w:val="24"/>
          <w:szCs w:val="24"/>
          <w:lang w:eastAsia="en-GB"/>
        </w:rPr>
        <w:t>22</w:t>
      </w:r>
      <w:r w:rsidRPr="00372F96">
        <w:rPr>
          <w:rFonts w:ascii="Arial" w:eastAsia="Times New Roman" w:hAnsi="Arial" w:cs="Arial"/>
          <w:sz w:val="24"/>
          <w:szCs w:val="24"/>
          <w:lang w:eastAsia="en-GB"/>
        </w:rPr>
        <w:t xml:space="preserve"> p34) explains that Lawrence was a black male who was murdered by a group of white males in London. Lawrence’s parents complained that the Police did not thoroughly investigate the murder and it was suggested that the Police were uninterested in Lawrence’s murder due to his race. Henry and Ryder (2022 p43) support </w:t>
      </w:r>
      <w:proofErr w:type="spellStart"/>
      <w:r w:rsidRPr="00372F96">
        <w:rPr>
          <w:rFonts w:ascii="Arial" w:eastAsia="Times New Roman" w:hAnsi="Arial" w:cs="Arial"/>
          <w:sz w:val="24"/>
          <w:szCs w:val="24"/>
          <w:lang w:eastAsia="en-GB"/>
        </w:rPr>
        <w:t>Holohan</w:t>
      </w:r>
      <w:proofErr w:type="spellEnd"/>
      <w:r w:rsidRPr="00372F96">
        <w:rPr>
          <w:rFonts w:ascii="Arial" w:eastAsia="Times New Roman" w:hAnsi="Arial" w:cs="Arial"/>
          <w:sz w:val="24"/>
          <w:szCs w:val="24"/>
          <w:lang w:eastAsia="en-GB"/>
        </w:rPr>
        <w:t xml:space="preserve"> (20</w:t>
      </w:r>
      <w:r w:rsidR="00D65207">
        <w:rPr>
          <w:rFonts w:ascii="Arial" w:eastAsia="Times New Roman" w:hAnsi="Arial" w:cs="Arial"/>
          <w:sz w:val="24"/>
          <w:szCs w:val="24"/>
          <w:lang w:eastAsia="en-GB"/>
        </w:rPr>
        <w:t>22</w:t>
      </w:r>
      <w:r w:rsidRPr="00372F96">
        <w:rPr>
          <w:rFonts w:ascii="Arial" w:eastAsia="Times New Roman" w:hAnsi="Arial" w:cs="Arial"/>
          <w:sz w:val="24"/>
          <w:szCs w:val="24"/>
          <w:lang w:eastAsia="en-GB"/>
        </w:rPr>
        <w:t xml:space="preserve">) by further highlighting the racist attitudes shown by Police Officers throughout the murder investigation. This was also highlighted within the MacPherson report. These failings illustrate how Police actions have had negative impacts within multi-cultural communities which has ultimately affected trust with the public. </w:t>
      </w:r>
    </w:p>
    <w:p w14:paraId="210BCC4C"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p>
    <w:p w14:paraId="5CA93602"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r w:rsidRPr="00372F96">
        <w:rPr>
          <w:rFonts w:ascii="Arial" w:eastAsia="Times New Roman" w:hAnsi="Arial" w:cs="Arial"/>
          <w:sz w:val="24"/>
          <w:szCs w:val="24"/>
          <w:lang w:eastAsia="en-GB"/>
        </w:rPr>
        <w:t xml:space="preserve">In order to prevent unfair and racist Police actions, there have been some major changes to Police Policies, to promote equality in favour of multi-cultural societies. A key policy change was the implementation of Section 1 of The Police and Criminal Evidence Act 1994 (PACE). This was introduced after the findings in the Scarman Report (1981) were released following the Brixton Riots 1981. This section of PACE clearly outlines the powers granted to a Police Constable to conduct a lawful stop and search. Burton et al. (2021 p65) explains that a stop and search is now only justified when there is accurate intelligence linked to an individual. Burton et al. (2021 p66) furthers illustrates that an individual’s personal characteristics do not provide reasonable grounds to conduct a stop and search, highlighting the importance of preventing racist behaviours. </w:t>
      </w:r>
      <w:proofErr w:type="spellStart"/>
      <w:r w:rsidRPr="00372F96">
        <w:rPr>
          <w:rFonts w:ascii="Arial" w:eastAsia="Times New Roman" w:hAnsi="Arial" w:cs="Arial"/>
          <w:sz w:val="24"/>
          <w:szCs w:val="24"/>
          <w:lang w:eastAsia="en-GB"/>
        </w:rPr>
        <w:t>Delsol</w:t>
      </w:r>
      <w:proofErr w:type="spellEnd"/>
      <w:r w:rsidRPr="00372F96">
        <w:rPr>
          <w:rFonts w:ascii="Arial" w:eastAsia="Times New Roman" w:hAnsi="Arial" w:cs="Arial"/>
          <w:sz w:val="24"/>
          <w:szCs w:val="24"/>
          <w:lang w:eastAsia="en-GB"/>
        </w:rPr>
        <w:t xml:space="preserve"> (2015 p54) further explains that within PACE 1994, Police Officers should complete Stop and Search documentation to explain their justification for the search. This ensures that the stop and search was lawful, preserving the human rights of those from multi-cultural backgrounds and preventing targeting based on cultural backgrounds. This change in Policing policy was a direct impact of </w:t>
      </w:r>
      <w:proofErr w:type="gramStart"/>
      <w:r w:rsidRPr="00372F96">
        <w:rPr>
          <w:rFonts w:ascii="Arial" w:eastAsia="Times New Roman" w:hAnsi="Arial" w:cs="Arial"/>
          <w:sz w:val="24"/>
          <w:szCs w:val="24"/>
          <w:lang w:eastAsia="en-GB"/>
        </w:rPr>
        <w:t>multiculturism, and</w:t>
      </w:r>
      <w:proofErr w:type="gramEnd"/>
      <w:r w:rsidRPr="00372F96">
        <w:rPr>
          <w:rFonts w:ascii="Arial" w:eastAsia="Times New Roman" w:hAnsi="Arial" w:cs="Arial"/>
          <w:sz w:val="24"/>
          <w:szCs w:val="24"/>
          <w:lang w:eastAsia="en-GB"/>
        </w:rPr>
        <w:t xml:space="preserve"> ensures that Police Officers are respectful towards diverse communities, therefore promoting trust between Police and Public. </w:t>
      </w:r>
    </w:p>
    <w:p w14:paraId="6289BF9E"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p>
    <w:p w14:paraId="598908E2"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r w:rsidRPr="00372F96">
        <w:rPr>
          <w:rFonts w:ascii="Arial" w:eastAsia="Times New Roman" w:hAnsi="Arial" w:cs="Arial"/>
          <w:sz w:val="24"/>
          <w:szCs w:val="24"/>
          <w:lang w:eastAsia="en-GB"/>
        </w:rPr>
        <w:t xml:space="preserve">A further change to Police Policy driven by multiculturism is adaptations within the Police code of </w:t>
      </w:r>
      <w:proofErr w:type="gramStart"/>
      <w:r w:rsidRPr="00372F96">
        <w:rPr>
          <w:rFonts w:ascii="Arial" w:eastAsia="Times New Roman" w:hAnsi="Arial" w:cs="Arial"/>
          <w:sz w:val="24"/>
          <w:szCs w:val="24"/>
          <w:lang w:eastAsia="en-GB"/>
        </w:rPr>
        <w:t>Ethics</w:t>
      </w:r>
      <w:proofErr w:type="gramEnd"/>
      <w:r w:rsidRPr="00372F96">
        <w:rPr>
          <w:rFonts w:ascii="Arial" w:eastAsia="Times New Roman" w:hAnsi="Arial" w:cs="Arial"/>
          <w:sz w:val="24"/>
          <w:szCs w:val="24"/>
          <w:lang w:eastAsia="en-GB"/>
        </w:rPr>
        <w:t xml:space="preserve">. Prior to the Code of Ethics, Police officers </w:t>
      </w:r>
      <w:r w:rsidRPr="00372F96">
        <w:rPr>
          <w:rFonts w:ascii="Arial" w:eastAsia="Times New Roman" w:hAnsi="Arial" w:cs="Arial"/>
          <w:sz w:val="24"/>
          <w:szCs w:val="24"/>
          <w:lang w:eastAsia="en-GB"/>
        </w:rPr>
        <w:lastRenderedPageBreak/>
        <w:t xml:space="preserve">followed the Police Conduct Regulations (PCR 1999). Following the Scarman Report (1981) and the Macpherson Report (1999), which both highlighted the institutional racism within policing, the PCR highlighted that officers should display fair behaviour and promote impartiality and politeness when working with the public. However, within these regulations, it was emphasised that officers must not favour </w:t>
      </w:r>
      <w:proofErr w:type="gramStart"/>
      <w:r w:rsidRPr="00372F96">
        <w:rPr>
          <w:rFonts w:ascii="Arial" w:eastAsia="Times New Roman" w:hAnsi="Arial" w:cs="Arial"/>
          <w:sz w:val="24"/>
          <w:szCs w:val="24"/>
          <w:lang w:eastAsia="en-GB"/>
        </w:rPr>
        <w:t>particular groups</w:t>
      </w:r>
      <w:proofErr w:type="gramEnd"/>
      <w:r w:rsidRPr="00372F96">
        <w:rPr>
          <w:rFonts w:ascii="Arial" w:eastAsia="Times New Roman" w:hAnsi="Arial" w:cs="Arial"/>
          <w:sz w:val="24"/>
          <w:szCs w:val="24"/>
          <w:lang w:eastAsia="en-GB"/>
        </w:rPr>
        <w:t xml:space="preserve"> or individuals. It can be argued that this </w:t>
      </w:r>
      <w:proofErr w:type="gramStart"/>
      <w:r w:rsidRPr="00372F96">
        <w:rPr>
          <w:rFonts w:ascii="Arial" w:eastAsia="Times New Roman" w:hAnsi="Arial" w:cs="Arial"/>
          <w:sz w:val="24"/>
          <w:szCs w:val="24"/>
          <w:lang w:eastAsia="en-GB"/>
        </w:rPr>
        <w:t>particular way</w:t>
      </w:r>
      <w:proofErr w:type="gramEnd"/>
      <w:r w:rsidRPr="00372F96">
        <w:rPr>
          <w:rFonts w:ascii="Arial" w:eastAsia="Times New Roman" w:hAnsi="Arial" w:cs="Arial"/>
          <w:sz w:val="24"/>
          <w:szCs w:val="24"/>
          <w:lang w:eastAsia="en-GB"/>
        </w:rPr>
        <w:t xml:space="preserve"> of thinking could be considered as racist as officers are ignoring important cultural backgrounds. </w:t>
      </w:r>
      <w:proofErr w:type="gramStart"/>
      <w:r w:rsidRPr="00372F96">
        <w:rPr>
          <w:rFonts w:ascii="Arial" w:eastAsia="Times New Roman" w:hAnsi="Arial" w:cs="Arial"/>
          <w:sz w:val="24"/>
          <w:szCs w:val="24"/>
          <w:lang w:eastAsia="en-GB"/>
        </w:rPr>
        <w:t>In order for</w:t>
      </w:r>
      <w:proofErr w:type="gramEnd"/>
      <w:r w:rsidRPr="00372F96">
        <w:rPr>
          <w:rFonts w:ascii="Arial" w:eastAsia="Times New Roman" w:hAnsi="Arial" w:cs="Arial"/>
          <w:sz w:val="24"/>
          <w:szCs w:val="24"/>
          <w:lang w:eastAsia="en-GB"/>
        </w:rPr>
        <w:t xml:space="preserve"> Police Officers to work effectively alongside the diverse communities, it is essential that they understand and respect the varying cultural norms. Massey (2015 p69) argues that Police attitudes should adapt to social change. Social change can be described as a change in society norms, for example: immigrants travelling from one country to reside in another. Massey (2015 p69) argues that social change is a key factor within the development of multi-cultural communities and therefore it is imperative that Police behaviours change in accordance with the social change in the communities. </w:t>
      </w:r>
    </w:p>
    <w:p w14:paraId="7926A2EF"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p>
    <w:p w14:paraId="5A45AD0C"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r w:rsidRPr="00372F96">
        <w:rPr>
          <w:rFonts w:ascii="Arial" w:eastAsia="Times New Roman" w:hAnsi="Arial" w:cs="Arial"/>
          <w:sz w:val="24"/>
          <w:szCs w:val="24"/>
          <w:lang w:eastAsia="en-GB"/>
        </w:rPr>
        <w:t xml:space="preserve">At present, the Police Code of Ethics (Home office 2014) reflects social change. The code of </w:t>
      </w:r>
      <w:proofErr w:type="gramStart"/>
      <w:r w:rsidRPr="00372F96">
        <w:rPr>
          <w:rFonts w:ascii="Arial" w:eastAsia="Times New Roman" w:hAnsi="Arial" w:cs="Arial"/>
          <w:sz w:val="24"/>
          <w:szCs w:val="24"/>
          <w:lang w:eastAsia="en-GB"/>
        </w:rPr>
        <w:t>Ethics</w:t>
      </w:r>
      <w:proofErr w:type="gramEnd"/>
      <w:r w:rsidRPr="00372F96">
        <w:rPr>
          <w:rFonts w:ascii="Arial" w:eastAsia="Times New Roman" w:hAnsi="Arial" w:cs="Arial"/>
          <w:sz w:val="24"/>
          <w:szCs w:val="24"/>
          <w:lang w:eastAsia="en-GB"/>
        </w:rPr>
        <w:t xml:space="preserve"> places far more emphasis on diversity compared with the PCR (1999). Contrastingly to the PCR (1999), the Code of Ethics (2014) emphasises the need for Officers to understand cultural differences. Within this, the Code of Ethics ensures that Officers consider the needs of those with protected characteristics, for example: race and religion. The Police Code of Ethics has been directly impacted by the changes in multi-cultural communities and accurately reflects the values and cultural norms within diverse societies. This allows Police Officers to build trusting relationships whilst being respectful towards the diversity within the community. </w:t>
      </w:r>
    </w:p>
    <w:p w14:paraId="3E0C99E0"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p>
    <w:p w14:paraId="0477EB2A"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r w:rsidRPr="00372F96">
        <w:rPr>
          <w:rFonts w:ascii="Arial" w:eastAsia="Times New Roman" w:hAnsi="Arial" w:cs="Arial"/>
          <w:sz w:val="24"/>
          <w:szCs w:val="24"/>
          <w:lang w:eastAsia="en-GB"/>
        </w:rPr>
        <w:t xml:space="preserve">Alongside changes to police policies, policing practice has also developed as a direct impact </w:t>
      </w:r>
      <w:proofErr w:type="gramStart"/>
      <w:r w:rsidRPr="00372F96">
        <w:rPr>
          <w:rFonts w:ascii="Arial" w:eastAsia="Times New Roman" w:hAnsi="Arial" w:cs="Arial"/>
          <w:sz w:val="24"/>
          <w:szCs w:val="24"/>
          <w:lang w:eastAsia="en-GB"/>
        </w:rPr>
        <w:t>of  multi</w:t>
      </w:r>
      <w:proofErr w:type="gramEnd"/>
      <w:r w:rsidRPr="00372F96">
        <w:rPr>
          <w:rFonts w:ascii="Arial" w:eastAsia="Times New Roman" w:hAnsi="Arial" w:cs="Arial"/>
          <w:sz w:val="24"/>
          <w:szCs w:val="24"/>
          <w:lang w:eastAsia="en-GB"/>
        </w:rPr>
        <w:t xml:space="preserve">-culturalism. The role of a Police Community Support Officer (PCSO) has been developed </w:t>
      </w:r>
      <w:proofErr w:type="gramStart"/>
      <w:r w:rsidRPr="00372F96">
        <w:rPr>
          <w:rFonts w:ascii="Arial" w:eastAsia="Times New Roman" w:hAnsi="Arial" w:cs="Arial"/>
          <w:sz w:val="24"/>
          <w:szCs w:val="24"/>
          <w:lang w:eastAsia="en-GB"/>
        </w:rPr>
        <w:t>in an attempt to</w:t>
      </w:r>
      <w:proofErr w:type="gramEnd"/>
      <w:r w:rsidRPr="00372F96">
        <w:rPr>
          <w:rFonts w:ascii="Arial" w:eastAsia="Times New Roman" w:hAnsi="Arial" w:cs="Arial"/>
          <w:sz w:val="24"/>
          <w:szCs w:val="24"/>
          <w:lang w:eastAsia="en-GB"/>
        </w:rPr>
        <w:t xml:space="preserve"> build relationships with local, diverse communities. Innes Et Al (2020) </w:t>
      </w:r>
      <w:r w:rsidRPr="00372F96">
        <w:rPr>
          <w:rFonts w:ascii="Arial" w:eastAsia="Times New Roman" w:hAnsi="Arial" w:cs="Arial"/>
          <w:sz w:val="24"/>
          <w:szCs w:val="24"/>
          <w:lang w:eastAsia="en-GB"/>
        </w:rPr>
        <w:lastRenderedPageBreak/>
        <w:t xml:space="preserve">demonstrates that neighbourhood policing is crucial within the Police to develop relationships with local communities, and to develop public confidence. </w:t>
      </w:r>
      <w:proofErr w:type="gramStart"/>
      <w:r w:rsidRPr="00372F96">
        <w:rPr>
          <w:rFonts w:ascii="Arial" w:eastAsia="Times New Roman" w:hAnsi="Arial" w:cs="Arial"/>
          <w:sz w:val="24"/>
          <w:szCs w:val="24"/>
          <w:lang w:eastAsia="en-GB"/>
        </w:rPr>
        <w:t>In order for</w:t>
      </w:r>
      <w:proofErr w:type="gramEnd"/>
      <w:r w:rsidRPr="00372F96">
        <w:rPr>
          <w:rFonts w:ascii="Arial" w:eastAsia="Times New Roman" w:hAnsi="Arial" w:cs="Arial"/>
          <w:sz w:val="24"/>
          <w:szCs w:val="24"/>
          <w:lang w:eastAsia="en-GB"/>
        </w:rPr>
        <w:t xml:space="preserve"> the role of a PCSO to be effective, the officer must have a good understanding of the cultural norms within the local diverse community, which can be promoted through the Police Code of Ethics (2014). PCSO’s also have more time to dedicate to spending with the communities to learn more information and promote public trust (Innes at al 2020). </w:t>
      </w:r>
    </w:p>
    <w:p w14:paraId="078553FF"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p>
    <w:p w14:paraId="20F417C9"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r w:rsidRPr="00372F96">
        <w:rPr>
          <w:rFonts w:ascii="Arial" w:eastAsia="Times New Roman" w:hAnsi="Arial" w:cs="Arial"/>
          <w:sz w:val="24"/>
          <w:szCs w:val="24"/>
          <w:lang w:eastAsia="en-GB"/>
        </w:rPr>
        <w:t xml:space="preserve">In conclusion, this essay has explored the impact of cultural norms within diverse communities on Policing through illustrating key changes to policies and standards following key police failings. Ultimately, multi-culturalism has impacted upon policing in a positive way as policies and police behaviour reflect social change, ensuring that officers are respectful towards ethnic and cultural backgrounds. </w:t>
      </w:r>
    </w:p>
    <w:p w14:paraId="4F412BB2"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p>
    <w:p w14:paraId="123635EA"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r w:rsidRPr="00372F96">
        <w:rPr>
          <w:rFonts w:ascii="Arial" w:eastAsia="Times New Roman" w:hAnsi="Arial" w:cs="Arial"/>
          <w:sz w:val="24"/>
          <w:szCs w:val="24"/>
          <w:lang w:eastAsia="en-GB"/>
        </w:rPr>
        <w:t xml:space="preserve">(1099 words) </w:t>
      </w:r>
    </w:p>
    <w:p w14:paraId="44BF1B36" w14:textId="77777777" w:rsidR="00372F96" w:rsidRPr="00372F96" w:rsidRDefault="00372F96" w:rsidP="00372F96">
      <w:pPr>
        <w:spacing w:after="0" w:line="276" w:lineRule="auto"/>
        <w:ind w:left="567" w:right="531"/>
        <w:rPr>
          <w:rFonts w:ascii="Arial" w:eastAsia="Times New Roman" w:hAnsi="Arial" w:cs="Arial"/>
          <w:sz w:val="24"/>
          <w:szCs w:val="24"/>
          <w:lang w:eastAsia="en-GB"/>
        </w:rPr>
      </w:pPr>
    </w:p>
    <w:p w14:paraId="7283D236" w14:textId="77777777" w:rsidR="00372F96" w:rsidRPr="00372F96" w:rsidRDefault="00372F96" w:rsidP="00372F96">
      <w:pPr>
        <w:spacing w:after="0" w:line="276" w:lineRule="auto"/>
        <w:ind w:left="567" w:right="531"/>
        <w:rPr>
          <w:rFonts w:ascii="Arial" w:eastAsia="Times New Roman" w:hAnsi="Arial" w:cs="Arial"/>
          <w:sz w:val="24"/>
          <w:szCs w:val="24"/>
          <w:lang w:eastAsia="en-GB"/>
        </w:rPr>
      </w:pPr>
      <w:r w:rsidRPr="00372F96">
        <w:rPr>
          <w:rFonts w:ascii="Arial" w:eastAsia="Times New Roman" w:hAnsi="Arial" w:cs="Arial"/>
          <w:sz w:val="24"/>
          <w:szCs w:val="24"/>
          <w:lang w:eastAsia="en-GB"/>
        </w:rPr>
        <w:t xml:space="preserve"> </w:t>
      </w:r>
    </w:p>
    <w:p w14:paraId="46245B87" w14:textId="77777777" w:rsidR="00372F96" w:rsidRPr="00372F96" w:rsidRDefault="00372F96" w:rsidP="00372F96">
      <w:pPr>
        <w:spacing w:after="0" w:line="276" w:lineRule="auto"/>
        <w:ind w:left="567" w:right="531"/>
        <w:rPr>
          <w:rFonts w:ascii="Arial" w:eastAsia="Times New Roman" w:hAnsi="Arial" w:cs="Arial"/>
          <w:sz w:val="24"/>
          <w:szCs w:val="24"/>
          <w:lang w:eastAsia="en-GB"/>
        </w:rPr>
      </w:pPr>
    </w:p>
    <w:p w14:paraId="7BD811E5" w14:textId="77777777" w:rsidR="00372F96" w:rsidRPr="00372F96" w:rsidRDefault="00372F96" w:rsidP="00372F96">
      <w:pPr>
        <w:spacing w:after="0" w:line="276" w:lineRule="auto"/>
        <w:ind w:left="567" w:right="531"/>
        <w:rPr>
          <w:rFonts w:ascii="Arial" w:eastAsia="Times New Roman" w:hAnsi="Arial" w:cs="Arial"/>
          <w:sz w:val="24"/>
          <w:szCs w:val="24"/>
          <w:lang w:eastAsia="en-GB"/>
        </w:rPr>
      </w:pPr>
    </w:p>
    <w:p w14:paraId="2B3385D0" w14:textId="77777777" w:rsidR="00372F96" w:rsidRPr="00372F96" w:rsidRDefault="00372F96" w:rsidP="00372F96">
      <w:pPr>
        <w:spacing w:after="0" w:line="276" w:lineRule="auto"/>
        <w:ind w:right="531"/>
        <w:rPr>
          <w:rFonts w:ascii="Arial" w:eastAsia="Times New Roman" w:hAnsi="Arial" w:cs="Arial"/>
          <w:sz w:val="24"/>
          <w:szCs w:val="24"/>
          <w:lang w:eastAsia="en-GB"/>
        </w:rPr>
      </w:pPr>
    </w:p>
    <w:p w14:paraId="0FB298E9" w14:textId="69E38C9F" w:rsidR="00372F96" w:rsidRPr="00372F96" w:rsidRDefault="00372F96" w:rsidP="00372F96">
      <w:pPr>
        <w:spacing w:after="0" w:line="276" w:lineRule="auto"/>
        <w:ind w:right="531"/>
        <w:rPr>
          <w:rFonts w:ascii="Arial" w:eastAsia="Times New Roman" w:hAnsi="Arial" w:cs="Arial"/>
          <w:sz w:val="24"/>
          <w:szCs w:val="24"/>
          <w:lang w:eastAsia="en-GB"/>
        </w:rPr>
      </w:pPr>
      <w:r w:rsidRPr="00372F96">
        <w:rPr>
          <w:rFonts w:ascii="Arial" w:eastAsia="Times New Roman" w:hAnsi="Arial" w:cs="Arial"/>
          <w:sz w:val="24"/>
          <w:szCs w:val="24"/>
          <w:lang w:eastAsia="en-GB"/>
        </w:rPr>
        <w:br/>
      </w:r>
    </w:p>
    <w:p w14:paraId="2B7DBA6F"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i/>
          <w:iCs/>
          <w:sz w:val="24"/>
          <w:szCs w:val="24"/>
          <w:u w:val="single"/>
          <w:lang w:eastAsia="en-GB"/>
        </w:rPr>
      </w:pPr>
    </w:p>
    <w:p w14:paraId="126B3C3F"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i/>
          <w:iCs/>
          <w:sz w:val="24"/>
          <w:szCs w:val="24"/>
          <w:u w:val="single"/>
          <w:lang w:eastAsia="en-GB"/>
        </w:rPr>
      </w:pPr>
    </w:p>
    <w:p w14:paraId="1F63C3D3"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i/>
          <w:iCs/>
          <w:sz w:val="24"/>
          <w:szCs w:val="24"/>
          <w:u w:val="single"/>
          <w:lang w:eastAsia="en-GB"/>
        </w:rPr>
      </w:pPr>
    </w:p>
    <w:p w14:paraId="5907189F"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i/>
          <w:iCs/>
          <w:sz w:val="24"/>
          <w:szCs w:val="24"/>
          <w:u w:val="single"/>
          <w:lang w:eastAsia="en-GB"/>
        </w:rPr>
      </w:pPr>
    </w:p>
    <w:p w14:paraId="7845AA62"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i/>
          <w:iCs/>
          <w:sz w:val="24"/>
          <w:szCs w:val="24"/>
          <w:u w:val="single"/>
          <w:lang w:eastAsia="en-GB"/>
        </w:rPr>
      </w:pPr>
    </w:p>
    <w:p w14:paraId="44D8BB6A"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i/>
          <w:iCs/>
          <w:sz w:val="24"/>
          <w:szCs w:val="24"/>
          <w:u w:val="single"/>
          <w:lang w:eastAsia="en-GB"/>
        </w:rPr>
      </w:pPr>
    </w:p>
    <w:p w14:paraId="4F5E537A"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i/>
          <w:iCs/>
          <w:sz w:val="24"/>
          <w:szCs w:val="24"/>
          <w:u w:val="single"/>
          <w:lang w:eastAsia="en-GB"/>
        </w:rPr>
      </w:pPr>
    </w:p>
    <w:p w14:paraId="746E6AF4"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i/>
          <w:iCs/>
          <w:sz w:val="24"/>
          <w:szCs w:val="24"/>
          <w:u w:val="single"/>
          <w:lang w:eastAsia="en-GB"/>
        </w:rPr>
      </w:pPr>
    </w:p>
    <w:p w14:paraId="5B344937"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i/>
          <w:iCs/>
          <w:sz w:val="24"/>
          <w:szCs w:val="24"/>
          <w:u w:val="single"/>
          <w:lang w:eastAsia="en-GB"/>
        </w:rPr>
      </w:pPr>
    </w:p>
    <w:p w14:paraId="43D26C30"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i/>
          <w:iCs/>
          <w:sz w:val="24"/>
          <w:szCs w:val="24"/>
          <w:u w:val="single"/>
          <w:lang w:eastAsia="en-GB"/>
        </w:rPr>
      </w:pPr>
    </w:p>
    <w:p w14:paraId="1AA36D12"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i/>
          <w:iCs/>
          <w:sz w:val="24"/>
          <w:szCs w:val="24"/>
          <w:u w:val="single"/>
          <w:lang w:eastAsia="en-GB"/>
        </w:rPr>
      </w:pPr>
    </w:p>
    <w:p w14:paraId="1CDB1667"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i/>
          <w:iCs/>
          <w:sz w:val="24"/>
          <w:szCs w:val="24"/>
          <w:u w:val="single"/>
          <w:lang w:eastAsia="en-GB"/>
        </w:rPr>
      </w:pPr>
    </w:p>
    <w:p w14:paraId="77AC49B3"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i/>
          <w:iCs/>
          <w:sz w:val="24"/>
          <w:szCs w:val="24"/>
          <w:u w:val="single"/>
          <w:lang w:eastAsia="en-GB"/>
        </w:rPr>
      </w:pPr>
    </w:p>
    <w:p w14:paraId="228B11B4" w14:textId="1BF74204" w:rsidR="00372F96" w:rsidRP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i/>
          <w:iCs/>
          <w:sz w:val="24"/>
          <w:szCs w:val="24"/>
          <w:u w:val="single"/>
          <w:lang w:eastAsia="en-GB"/>
        </w:rPr>
      </w:pPr>
      <w:r>
        <w:rPr>
          <w:rFonts w:ascii="Arial" w:eastAsia="Times New Roman" w:hAnsi="Arial" w:cs="Arial"/>
          <w:b/>
          <w:bCs/>
          <w:i/>
          <w:iCs/>
          <w:sz w:val="24"/>
          <w:szCs w:val="24"/>
          <w:u w:val="single"/>
          <w:lang w:eastAsia="en-GB"/>
        </w:rPr>
        <w:lastRenderedPageBreak/>
        <w:t>‘</w:t>
      </w:r>
      <w:r w:rsidRPr="00372F96">
        <w:rPr>
          <w:rFonts w:ascii="Arial" w:eastAsia="Times New Roman" w:hAnsi="Arial" w:cs="Arial"/>
          <w:b/>
          <w:bCs/>
          <w:i/>
          <w:iCs/>
          <w:sz w:val="24"/>
          <w:szCs w:val="24"/>
          <w:u w:val="single"/>
          <w:lang w:eastAsia="en-GB"/>
        </w:rPr>
        <w:t>What makes vulnerable young people and adults more at risk of exploitation by criminal gangs? Examine both the psychological and socio-economic characteristics of victims of exploitation.</w:t>
      </w:r>
      <w:r>
        <w:rPr>
          <w:rFonts w:ascii="Arial" w:eastAsia="Times New Roman" w:hAnsi="Arial" w:cs="Arial"/>
          <w:b/>
          <w:bCs/>
          <w:i/>
          <w:iCs/>
          <w:sz w:val="24"/>
          <w:szCs w:val="24"/>
          <w:u w:val="single"/>
          <w:lang w:eastAsia="en-GB"/>
        </w:rPr>
        <w:t>’</w:t>
      </w:r>
    </w:p>
    <w:p w14:paraId="5BDE9F3B" w14:textId="77777777" w:rsidR="00372F96" w:rsidRP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sz w:val="24"/>
          <w:szCs w:val="24"/>
          <w:lang w:eastAsia="en-GB"/>
        </w:rPr>
      </w:pPr>
    </w:p>
    <w:p w14:paraId="068F7C5E" w14:textId="77777777" w:rsidR="00372F96" w:rsidRP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sz w:val="24"/>
          <w:szCs w:val="24"/>
          <w:lang w:eastAsia="en-GB"/>
        </w:rPr>
      </w:pPr>
    </w:p>
    <w:p w14:paraId="49A2E522" w14:textId="77777777" w:rsidR="00372F96" w:rsidRPr="00372F96" w:rsidRDefault="00372F96" w:rsidP="00372F96">
      <w:pPr>
        <w:overflowPunct w:val="0"/>
        <w:autoSpaceDE w:val="0"/>
        <w:autoSpaceDN w:val="0"/>
        <w:adjustRightInd w:val="0"/>
        <w:spacing w:after="0" w:line="360" w:lineRule="auto"/>
        <w:ind w:left="567" w:right="531"/>
        <w:textAlignment w:val="baseline"/>
        <w:rPr>
          <w:rFonts w:ascii="Arial" w:eastAsia="Times New Roman" w:hAnsi="Arial" w:cs="Arial"/>
          <w:sz w:val="24"/>
          <w:szCs w:val="24"/>
          <w:lang w:eastAsia="en-GB"/>
        </w:rPr>
      </w:pPr>
      <w:r w:rsidRPr="00372F96">
        <w:rPr>
          <w:rFonts w:ascii="Arial" w:eastAsia="Times New Roman" w:hAnsi="Arial" w:cs="Arial"/>
          <w:sz w:val="24"/>
          <w:szCs w:val="24"/>
          <w:lang w:eastAsia="en-GB"/>
        </w:rPr>
        <w:t xml:space="preserve">Vulnerable young people and adults are more at risk of being targeted and exploited by criminal gangs to assist in the achievement of criminal goals. Criminal gangs often use intimidation tactics and grooming in order to recruit young people and adults. The aim of this essay is to explore the reasons that vulnerable young people and adults are more at risk of exploitation through examining the socio-economic and psychological characteristics of victims.   </w:t>
      </w:r>
    </w:p>
    <w:p w14:paraId="093D3208" w14:textId="77777777" w:rsidR="00372F96" w:rsidRPr="00372F96" w:rsidRDefault="00372F96" w:rsidP="00372F96">
      <w:pPr>
        <w:overflowPunct w:val="0"/>
        <w:autoSpaceDE w:val="0"/>
        <w:autoSpaceDN w:val="0"/>
        <w:adjustRightInd w:val="0"/>
        <w:spacing w:after="0" w:line="360" w:lineRule="auto"/>
        <w:ind w:left="567" w:right="531"/>
        <w:textAlignment w:val="baseline"/>
        <w:rPr>
          <w:rFonts w:ascii="Arial" w:eastAsia="Times New Roman" w:hAnsi="Arial" w:cs="Arial"/>
          <w:sz w:val="24"/>
          <w:szCs w:val="24"/>
          <w:lang w:eastAsia="en-GB"/>
        </w:rPr>
      </w:pPr>
    </w:p>
    <w:p w14:paraId="0BB506DF" w14:textId="77777777" w:rsidR="00372F96" w:rsidRPr="00372F96" w:rsidRDefault="00372F96" w:rsidP="00372F96">
      <w:pPr>
        <w:overflowPunct w:val="0"/>
        <w:autoSpaceDE w:val="0"/>
        <w:autoSpaceDN w:val="0"/>
        <w:adjustRightInd w:val="0"/>
        <w:spacing w:after="0" w:line="360" w:lineRule="auto"/>
        <w:ind w:left="567" w:right="531"/>
        <w:textAlignment w:val="baseline"/>
        <w:rPr>
          <w:rFonts w:ascii="Arial" w:eastAsia="Times New Roman" w:hAnsi="Arial" w:cs="Arial"/>
          <w:sz w:val="24"/>
          <w:szCs w:val="24"/>
          <w:lang w:eastAsia="en-GB"/>
        </w:rPr>
      </w:pPr>
      <w:r w:rsidRPr="00372F96">
        <w:rPr>
          <w:rFonts w:ascii="Arial" w:eastAsia="Times New Roman" w:hAnsi="Arial" w:cs="Arial"/>
          <w:sz w:val="24"/>
          <w:szCs w:val="24"/>
          <w:lang w:eastAsia="en-GB"/>
        </w:rPr>
        <w:t xml:space="preserve">Socio-Economic Status (SES) can have a significant impact within the early stages of a child’s life. Bornstein and Bradley (2014 p1) </w:t>
      </w:r>
      <w:proofErr w:type="gramStart"/>
      <w:r w:rsidRPr="00372F96">
        <w:rPr>
          <w:rFonts w:ascii="Arial" w:eastAsia="Times New Roman" w:hAnsi="Arial" w:cs="Arial"/>
          <w:sz w:val="24"/>
          <w:szCs w:val="24"/>
          <w:lang w:eastAsia="en-GB"/>
        </w:rPr>
        <w:t>make the observation</w:t>
      </w:r>
      <w:proofErr w:type="gramEnd"/>
      <w:r w:rsidRPr="00372F96">
        <w:rPr>
          <w:rFonts w:ascii="Arial" w:eastAsia="Times New Roman" w:hAnsi="Arial" w:cs="Arial"/>
          <w:sz w:val="24"/>
          <w:szCs w:val="24"/>
          <w:lang w:eastAsia="en-GB"/>
        </w:rPr>
        <w:t xml:space="preserve"> that a child with a higher SES may have more supportive parents, increased wealth and better health outcomes (Bornstein and Bradley 2014, p1). Bornstein and Bradley (2014 p1) evidence that children with a lower SES have less supportive parents, experience financial difficulty and have a lack of confidence. Asmundson (2019, p333) develops the idea presented by Bornstein and Bradley (2014) and explains that children with a lower SES are more likely to experience Adverse Childhood Experiences (ACE’s). ACE’s can </w:t>
      </w:r>
      <w:proofErr w:type="gramStart"/>
      <w:r w:rsidRPr="00372F96">
        <w:rPr>
          <w:rFonts w:ascii="Arial" w:eastAsia="Times New Roman" w:hAnsi="Arial" w:cs="Arial"/>
          <w:sz w:val="24"/>
          <w:szCs w:val="24"/>
          <w:lang w:eastAsia="en-GB"/>
        </w:rPr>
        <w:t>include:</w:t>
      </w:r>
      <w:proofErr w:type="gramEnd"/>
      <w:r w:rsidRPr="00372F96">
        <w:rPr>
          <w:rFonts w:ascii="Arial" w:eastAsia="Times New Roman" w:hAnsi="Arial" w:cs="Arial"/>
          <w:sz w:val="24"/>
          <w:szCs w:val="24"/>
          <w:lang w:eastAsia="en-GB"/>
        </w:rPr>
        <w:t xml:space="preserve"> witnessing domestic abuse, an incarcerated parent, exposure to drug/alcohol abuse or a parent with a mental health illness. ACE’s have been proven to have detrimental effects on child development and Asmundson (2019 p333) goes further to say that a child who experiences ACE’s is more likely to have health problems in the </w:t>
      </w:r>
      <w:proofErr w:type="gramStart"/>
      <w:r w:rsidRPr="00372F96">
        <w:rPr>
          <w:rFonts w:ascii="Arial" w:eastAsia="Times New Roman" w:hAnsi="Arial" w:cs="Arial"/>
          <w:sz w:val="24"/>
          <w:szCs w:val="24"/>
          <w:lang w:eastAsia="en-GB"/>
        </w:rPr>
        <w:t>future, and</w:t>
      </w:r>
      <w:proofErr w:type="gramEnd"/>
      <w:r w:rsidRPr="00372F96">
        <w:rPr>
          <w:rFonts w:ascii="Arial" w:eastAsia="Times New Roman" w:hAnsi="Arial" w:cs="Arial"/>
          <w:sz w:val="24"/>
          <w:szCs w:val="24"/>
          <w:lang w:eastAsia="en-GB"/>
        </w:rPr>
        <w:t xml:space="preserve"> be more at risk of exploitation. The Centre for Disease Control and Prevention (2022) strongly agree with Asmundson (2019) and explain that children who live in areas with lower SES are more likely to experience difficulties in maintaining stable social relationships when they are older, making them more vulnerable to being exploited by criminal gangs. </w:t>
      </w:r>
    </w:p>
    <w:p w14:paraId="3AD541B3" w14:textId="77777777" w:rsidR="00372F96" w:rsidRPr="00372F96" w:rsidRDefault="00372F96" w:rsidP="00372F96">
      <w:pPr>
        <w:overflowPunct w:val="0"/>
        <w:autoSpaceDE w:val="0"/>
        <w:autoSpaceDN w:val="0"/>
        <w:adjustRightInd w:val="0"/>
        <w:spacing w:after="0" w:line="360" w:lineRule="auto"/>
        <w:ind w:left="567" w:right="531"/>
        <w:textAlignment w:val="baseline"/>
        <w:rPr>
          <w:rFonts w:ascii="Arial" w:eastAsia="Times New Roman" w:hAnsi="Arial" w:cs="Arial"/>
          <w:sz w:val="24"/>
          <w:szCs w:val="24"/>
          <w:lang w:eastAsia="en-GB"/>
        </w:rPr>
      </w:pPr>
    </w:p>
    <w:p w14:paraId="22463BB5" w14:textId="77777777" w:rsidR="00372F96" w:rsidRPr="00372F96" w:rsidRDefault="00372F96" w:rsidP="00372F96">
      <w:pPr>
        <w:overflowPunct w:val="0"/>
        <w:autoSpaceDE w:val="0"/>
        <w:autoSpaceDN w:val="0"/>
        <w:adjustRightInd w:val="0"/>
        <w:spacing w:after="0" w:line="360" w:lineRule="auto"/>
        <w:ind w:left="567" w:right="531"/>
        <w:textAlignment w:val="baseline"/>
        <w:rPr>
          <w:rFonts w:ascii="Arial" w:eastAsia="Times New Roman" w:hAnsi="Arial" w:cs="Arial"/>
          <w:sz w:val="24"/>
          <w:szCs w:val="24"/>
          <w:lang w:eastAsia="en-GB"/>
        </w:rPr>
      </w:pPr>
      <w:r w:rsidRPr="00372F96">
        <w:rPr>
          <w:rFonts w:ascii="Arial" w:eastAsia="Times New Roman" w:hAnsi="Arial" w:cs="Arial"/>
          <w:sz w:val="24"/>
          <w:szCs w:val="24"/>
          <w:lang w:eastAsia="en-GB"/>
        </w:rPr>
        <w:lastRenderedPageBreak/>
        <w:t xml:space="preserve">Although a low SES can increase the risk of criminal exploitation, the influence of peer groups cannot be understated. Children who share similar characteristics, for example: similar SES, will develop a friendship in which cultural norms will develop (Asmundson 2019 p138). These norms can influence the more vulnerable children to commit crimes and become exposed to violence. Asmundson (2019) refers to this as peer victimisation and states that this can increase a child’s risk of being exploited by criminal gangs. However, Asmundson (2019) does not explore the idea that a low SES can be a key characteristic linking children together to form a peer group. </w:t>
      </w:r>
      <w:proofErr w:type="spellStart"/>
      <w:r w:rsidRPr="00372F96">
        <w:rPr>
          <w:rFonts w:ascii="Arial" w:eastAsia="Times New Roman" w:hAnsi="Arial" w:cs="Arial"/>
          <w:sz w:val="24"/>
          <w:szCs w:val="24"/>
          <w:lang w:eastAsia="en-GB"/>
        </w:rPr>
        <w:t>Admunson</w:t>
      </w:r>
      <w:proofErr w:type="spellEnd"/>
      <w:r w:rsidRPr="00372F96">
        <w:rPr>
          <w:rFonts w:ascii="Arial" w:eastAsia="Times New Roman" w:hAnsi="Arial" w:cs="Arial"/>
          <w:sz w:val="24"/>
          <w:szCs w:val="24"/>
          <w:lang w:eastAsia="en-GB"/>
        </w:rPr>
        <w:t xml:space="preserve"> (2019) highlights the idea that a child who doesn’t conform to social norms, may be isolated from the peer group, therefore highlighting the need for children to conform to social ideas. In comparison to Asmundson (2019), Harris (2009 p155) focuses on the involvement of children within a peer group and the actions of those who have been accepted, rather than the children who can be isolated. Harris (2009 p155) states that children will usually gain respect and acceptance within a peer group by demonstrating social norms. However, Asmundson (2019) agrees with Harris (2009) when highlighting that a child will shape their behaviour in order conform to the social norms within a peer group. Ultimately, children will develop certain behaviours and actions in order to remain respected within a peer group which causes the potential for increased vulnerability to exploitation. </w:t>
      </w:r>
    </w:p>
    <w:p w14:paraId="7B6D53C2" w14:textId="77777777" w:rsidR="00372F96" w:rsidRPr="00372F96" w:rsidRDefault="00372F96" w:rsidP="00372F96">
      <w:pPr>
        <w:overflowPunct w:val="0"/>
        <w:autoSpaceDE w:val="0"/>
        <w:autoSpaceDN w:val="0"/>
        <w:adjustRightInd w:val="0"/>
        <w:spacing w:after="0" w:line="360" w:lineRule="auto"/>
        <w:ind w:left="567" w:right="531"/>
        <w:textAlignment w:val="baseline"/>
        <w:rPr>
          <w:rFonts w:ascii="Arial" w:eastAsia="Times New Roman" w:hAnsi="Arial" w:cs="Arial"/>
          <w:sz w:val="24"/>
          <w:szCs w:val="24"/>
          <w:lang w:eastAsia="en-GB"/>
        </w:rPr>
      </w:pPr>
    </w:p>
    <w:p w14:paraId="2C3344D8" w14:textId="77777777" w:rsidR="00372F96" w:rsidRPr="00372F96" w:rsidRDefault="00372F96" w:rsidP="00372F96">
      <w:pPr>
        <w:overflowPunct w:val="0"/>
        <w:autoSpaceDE w:val="0"/>
        <w:autoSpaceDN w:val="0"/>
        <w:adjustRightInd w:val="0"/>
        <w:spacing w:after="0" w:line="360" w:lineRule="auto"/>
        <w:ind w:left="567" w:right="531"/>
        <w:textAlignment w:val="baseline"/>
        <w:rPr>
          <w:rFonts w:ascii="Arial" w:eastAsia="Times New Roman" w:hAnsi="Arial" w:cs="Arial"/>
          <w:sz w:val="24"/>
          <w:szCs w:val="24"/>
          <w:lang w:eastAsia="en-GB"/>
        </w:rPr>
      </w:pPr>
      <w:r w:rsidRPr="00372F96">
        <w:rPr>
          <w:rFonts w:ascii="Arial" w:eastAsia="Times New Roman" w:hAnsi="Arial" w:cs="Arial"/>
          <w:sz w:val="24"/>
          <w:szCs w:val="24"/>
          <w:lang w:eastAsia="en-GB"/>
        </w:rPr>
        <w:t xml:space="preserve">As highlighted by Asmundson (2019), children who grow up in areas of low SES are more likely to experience ACE’s. A common ACE is growing up with a parent with a mental health illness, and Asmundson (2019) has explained that a child exposed to poor parental mental health, is more likely to experience mental health issues in the future. Malloch and Rigby (2016) propose the idea that children exposed to parental mental health illness can develop low self-esteem, depression, anxiety and can feel neglected. Bryson Clark and </w:t>
      </w:r>
      <w:proofErr w:type="spellStart"/>
      <w:r w:rsidRPr="00372F96">
        <w:rPr>
          <w:rFonts w:ascii="Arial" w:eastAsia="Times New Roman" w:hAnsi="Arial" w:cs="Arial"/>
          <w:sz w:val="24"/>
          <w:szCs w:val="24"/>
          <w:lang w:eastAsia="en-GB"/>
        </w:rPr>
        <w:t>Poucki</w:t>
      </w:r>
      <w:proofErr w:type="spellEnd"/>
      <w:r w:rsidRPr="00372F96">
        <w:rPr>
          <w:rFonts w:ascii="Arial" w:eastAsia="Times New Roman" w:hAnsi="Arial" w:cs="Arial"/>
          <w:sz w:val="24"/>
          <w:szCs w:val="24"/>
          <w:lang w:eastAsia="en-GB"/>
        </w:rPr>
        <w:t xml:space="preserve"> (2018) argue that criminal gangs often target children with low-</w:t>
      </w:r>
      <w:proofErr w:type="spellStart"/>
      <w:r w:rsidRPr="00372F96">
        <w:rPr>
          <w:rFonts w:ascii="Arial" w:eastAsia="Times New Roman" w:hAnsi="Arial" w:cs="Arial"/>
          <w:sz w:val="24"/>
          <w:szCs w:val="24"/>
          <w:lang w:eastAsia="en-GB"/>
        </w:rPr>
        <w:t>self esteem</w:t>
      </w:r>
      <w:proofErr w:type="spellEnd"/>
      <w:r w:rsidRPr="00372F96">
        <w:rPr>
          <w:rFonts w:ascii="Arial" w:eastAsia="Times New Roman" w:hAnsi="Arial" w:cs="Arial"/>
          <w:sz w:val="24"/>
          <w:szCs w:val="24"/>
          <w:lang w:eastAsia="en-GB"/>
        </w:rPr>
        <w:t xml:space="preserve"> and who are neglected, because they are more trusting, making it easier to form exploitative relationships. However, Bryson Clark and </w:t>
      </w:r>
      <w:proofErr w:type="spellStart"/>
      <w:r w:rsidRPr="00372F96">
        <w:rPr>
          <w:rFonts w:ascii="Arial" w:eastAsia="Times New Roman" w:hAnsi="Arial" w:cs="Arial"/>
          <w:sz w:val="24"/>
          <w:szCs w:val="24"/>
          <w:lang w:eastAsia="en-GB"/>
        </w:rPr>
        <w:t>Poucki</w:t>
      </w:r>
      <w:proofErr w:type="spellEnd"/>
      <w:r w:rsidRPr="00372F96">
        <w:rPr>
          <w:rFonts w:ascii="Arial" w:eastAsia="Times New Roman" w:hAnsi="Arial" w:cs="Arial"/>
          <w:sz w:val="24"/>
          <w:szCs w:val="24"/>
          <w:lang w:eastAsia="en-GB"/>
        </w:rPr>
        <w:t xml:space="preserve"> (2018) do not provide examples of </w:t>
      </w:r>
      <w:r w:rsidRPr="00372F96">
        <w:rPr>
          <w:rFonts w:ascii="Arial" w:eastAsia="Times New Roman" w:hAnsi="Arial" w:cs="Arial"/>
          <w:sz w:val="24"/>
          <w:szCs w:val="24"/>
          <w:lang w:eastAsia="en-GB"/>
        </w:rPr>
        <w:lastRenderedPageBreak/>
        <w:t xml:space="preserve">children who may exhibit these characteristics. On the other hand, Cyr (2022) provides more detail on the children who may exhibit these psychological characteristics that make them more vulnerable to being exploited. Cyr (2022) explains that children who live in care homes, or who are in the foster care system, are a lot more likely to become victims of exploitation. This is because they lack nurtured, trusting relationships (Cyr 2022). This links to Bryson Clark and </w:t>
      </w:r>
      <w:proofErr w:type="spellStart"/>
      <w:r w:rsidRPr="00372F96">
        <w:rPr>
          <w:rFonts w:ascii="Arial" w:eastAsia="Times New Roman" w:hAnsi="Arial" w:cs="Arial"/>
          <w:sz w:val="24"/>
          <w:szCs w:val="24"/>
          <w:lang w:eastAsia="en-GB"/>
        </w:rPr>
        <w:t>Poucki</w:t>
      </w:r>
      <w:proofErr w:type="spellEnd"/>
      <w:r w:rsidRPr="00372F96">
        <w:rPr>
          <w:rFonts w:ascii="Arial" w:eastAsia="Times New Roman" w:hAnsi="Arial" w:cs="Arial"/>
          <w:sz w:val="24"/>
          <w:szCs w:val="24"/>
          <w:lang w:eastAsia="en-GB"/>
        </w:rPr>
        <w:t xml:space="preserve"> (2018), as Cyr (2022) suggests that children in care often have low self-esteem and feel neglected. Ultimately, it appears that socio-economic status can have a detrimental impact upon the psychological characteristics exhibited by a young person in the future.</w:t>
      </w:r>
    </w:p>
    <w:p w14:paraId="45E4E69D" w14:textId="77777777" w:rsidR="00372F96" w:rsidRPr="00372F96" w:rsidRDefault="00372F96" w:rsidP="00372F96">
      <w:pPr>
        <w:overflowPunct w:val="0"/>
        <w:autoSpaceDE w:val="0"/>
        <w:autoSpaceDN w:val="0"/>
        <w:adjustRightInd w:val="0"/>
        <w:spacing w:after="0" w:line="360" w:lineRule="auto"/>
        <w:ind w:left="567" w:right="531"/>
        <w:textAlignment w:val="baseline"/>
        <w:rPr>
          <w:rFonts w:ascii="Arial" w:eastAsia="Times New Roman" w:hAnsi="Arial" w:cs="Arial"/>
          <w:sz w:val="24"/>
          <w:szCs w:val="24"/>
          <w:lang w:eastAsia="en-GB"/>
        </w:rPr>
      </w:pPr>
    </w:p>
    <w:p w14:paraId="796FEE32" w14:textId="77777777" w:rsidR="00372F96" w:rsidRPr="00372F96" w:rsidRDefault="00372F96" w:rsidP="00372F96">
      <w:pPr>
        <w:overflowPunct w:val="0"/>
        <w:autoSpaceDE w:val="0"/>
        <w:autoSpaceDN w:val="0"/>
        <w:adjustRightInd w:val="0"/>
        <w:spacing w:after="0" w:line="360" w:lineRule="auto"/>
        <w:ind w:left="567" w:right="531"/>
        <w:textAlignment w:val="baseline"/>
        <w:rPr>
          <w:rFonts w:ascii="Arial" w:eastAsia="Times New Roman" w:hAnsi="Arial" w:cs="Arial"/>
          <w:sz w:val="24"/>
          <w:szCs w:val="24"/>
          <w:lang w:eastAsia="en-GB"/>
        </w:rPr>
      </w:pPr>
      <w:r w:rsidRPr="00372F96">
        <w:rPr>
          <w:rFonts w:ascii="Arial" w:eastAsia="Times New Roman" w:hAnsi="Arial" w:cs="Arial"/>
          <w:sz w:val="24"/>
          <w:szCs w:val="24"/>
          <w:lang w:eastAsia="en-GB"/>
        </w:rPr>
        <w:t>Harding (2020 p148) presents the idea that Organised Crime Groups (OCG’s) will target children who live within care settings, in which Cyr (2022) has agreed with and developed. Harding (2020) has stated that children in care settings are more vulnerable, easily influenced and isolated. Harding (2020) presents a similar idea to Asmundson (2019</w:t>
      </w:r>
      <w:proofErr w:type="gramStart"/>
      <w:r w:rsidRPr="00372F96">
        <w:rPr>
          <w:rFonts w:ascii="Arial" w:eastAsia="Times New Roman" w:hAnsi="Arial" w:cs="Arial"/>
          <w:sz w:val="24"/>
          <w:szCs w:val="24"/>
          <w:lang w:eastAsia="en-GB"/>
        </w:rPr>
        <w:t>), and</w:t>
      </w:r>
      <w:proofErr w:type="gramEnd"/>
      <w:r w:rsidRPr="00372F96">
        <w:rPr>
          <w:rFonts w:ascii="Arial" w:eastAsia="Times New Roman" w:hAnsi="Arial" w:cs="Arial"/>
          <w:sz w:val="24"/>
          <w:szCs w:val="24"/>
          <w:lang w:eastAsia="en-GB"/>
        </w:rPr>
        <w:t xml:space="preserve"> agrees that children who become isolated from peer groups or families are more likely to be a victim of exploitation. Harding (2020) also agrees with Bornstein and Bradley (2014) when discussing the idea that children living in areas of low SES, are more likely to become a victim of exploitation. This is because there can be financial struggles within families and criminals will use this to their advantage and provide financial offers to groom younger and more vulnerable children (Harding 2020). This is especially evident when looking at County Lines. Farrell (2020 p56) explains that vulnerable young people and adults are recruited to run controlled drugs around the country. Farrell (2020) explains that young people from areas of low SES are more likely to be targeted as OCG’s will use financial tactics in order to recruit. Farrell (2020) agrees with Harding (2020) when presenting the idea that living with a low SES, increases the risk of exploitation by criminal gangs. </w:t>
      </w:r>
    </w:p>
    <w:p w14:paraId="5611FA36" w14:textId="77777777" w:rsidR="00372F96" w:rsidRPr="00372F96" w:rsidRDefault="00372F96" w:rsidP="00372F96">
      <w:pPr>
        <w:overflowPunct w:val="0"/>
        <w:autoSpaceDE w:val="0"/>
        <w:autoSpaceDN w:val="0"/>
        <w:adjustRightInd w:val="0"/>
        <w:spacing w:after="0" w:line="360" w:lineRule="auto"/>
        <w:ind w:left="567" w:right="531"/>
        <w:textAlignment w:val="baseline"/>
        <w:rPr>
          <w:rFonts w:ascii="Arial" w:eastAsia="Times New Roman" w:hAnsi="Arial" w:cs="Arial"/>
          <w:sz w:val="24"/>
          <w:szCs w:val="24"/>
          <w:lang w:eastAsia="en-GB"/>
        </w:rPr>
      </w:pPr>
    </w:p>
    <w:p w14:paraId="0AB8C1D0" w14:textId="77777777" w:rsidR="00372F96" w:rsidRPr="00372F96" w:rsidRDefault="00372F96" w:rsidP="00372F96">
      <w:pPr>
        <w:overflowPunct w:val="0"/>
        <w:autoSpaceDE w:val="0"/>
        <w:autoSpaceDN w:val="0"/>
        <w:adjustRightInd w:val="0"/>
        <w:spacing w:after="0" w:line="360" w:lineRule="auto"/>
        <w:ind w:left="567" w:right="531"/>
        <w:textAlignment w:val="baseline"/>
        <w:rPr>
          <w:rFonts w:ascii="Arial" w:eastAsia="Times New Roman" w:hAnsi="Arial" w:cs="Arial"/>
          <w:sz w:val="24"/>
          <w:szCs w:val="24"/>
          <w:lang w:eastAsia="en-GB"/>
        </w:rPr>
      </w:pPr>
      <w:r w:rsidRPr="00372F96">
        <w:rPr>
          <w:rFonts w:ascii="Arial" w:eastAsia="Times New Roman" w:hAnsi="Arial" w:cs="Arial"/>
          <w:sz w:val="24"/>
          <w:szCs w:val="24"/>
          <w:lang w:eastAsia="en-GB"/>
        </w:rPr>
        <w:t xml:space="preserve">In conclusion, growing up with a low SES can massively increase vulnerability when becoming a victim of exploitation. Living with a low SES </w:t>
      </w:r>
      <w:r w:rsidRPr="00372F96">
        <w:rPr>
          <w:rFonts w:ascii="Arial" w:eastAsia="Times New Roman" w:hAnsi="Arial" w:cs="Arial"/>
          <w:sz w:val="24"/>
          <w:szCs w:val="24"/>
          <w:lang w:eastAsia="en-GB"/>
        </w:rPr>
        <w:lastRenderedPageBreak/>
        <w:t xml:space="preserve">increases the risk of being exposed to ACE’s which can impact upon future physical and mental health, which can ultimately lead to increased vulnerability. The importance of the impact of peer groups cannot be understated and vulnerable children often want to feel accepted, increasing the risk of them falling into criminal groups. Living with a low SES can impact upon a person’s psychological status, leading to a young person having low self-esteem and feeling isolated. These are characteristics that can increase the risk of exploitation by criminal gangs. </w:t>
      </w:r>
      <w:r w:rsidRPr="00372F96">
        <w:rPr>
          <w:rFonts w:ascii="Arial" w:eastAsia="Times New Roman" w:hAnsi="Arial" w:cs="Arial"/>
          <w:sz w:val="24"/>
          <w:szCs w:val="24"/>
          <w:lang w:eastAsia="en-GB"/>
        </w:rPr>
        <w:br/>
      </w:r>
      <w:r w:rsidRPr="00372F96">
        <w:rPr>
          <w:rFonts w:ascii="Arial" w:eastAsia="Times New Roman" w:hAnsi="Arial" w:cs="Arial"/>
          <w:sz w:val="24"/>
          <w:szCs w:val="24"/>
          <w:lang w:eastAsia="en-GB"/>
        </w:rPr>
        <w:br/>
      </w:r>
      <w:r w:rsidRPr="00372F96">
        <w:rPr>
          <w:rFonts w:ascii="Arial" w:eastAsia="Times New Roman" w:hAnsi="Arial" w:cs="Arial"/>
          <w:sz w:val="24"/>
          <w:szCs w:val="24"/>
          <w:lang w:eastAsia="en-GB"/>
        </w:rPr>
        <w:br/>
        <w:t xml:space="preserve">(1097 words) </w:t>
      </w:r>
    </w:p>
    <w:p w14:paraId="6CEFF405" w14:textId="77777777" w:rsidR="00372F96" w:rsidRP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sz w:val="24"/>
          <w:szCs w:val="24"/>
          <w:lang w:eastAsia="en-GB"/>
        </w:rPr>
      </w:pPr>
    </w:p>
    <w:p w14:paraId="315C9080" w14:textId="77777777" w:rsidR="00372F96" w:rsidRP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sz w:val="24"/>
          <w:szCs w:val="24"/>
          <w:lang w:eastAsia="en-GB"/>
        </w:rPr>
      </w:pPr>
    </w:p>
    <w:p w14:paraId="215F3AC0" w14:textId="77777777" w:rsidR="00372F96" w:rsidRP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sz w:val="24"/>
          <w:szCs w:val="24"/>
          <w:lang w:eastAsia="en-GB"/>
        </w:rPr>
      </w:pPr>
    </w:p>
    <w:p w14:paraId="5D5D8DFF" w14:textId="77777777" w:rsidR="00372F96" w:rsidRPr="00372F96" w:rsidRDefault="00372F96" w:rsidP="00372F96">
      <w:pPr>
        <w:spacing w:after="0" w:line="276" w:lineRule="auto"/>
        <w:ind w:left="567" w:right="531"/>
        <w:rPr>
          <w:rFonts w:ascii="Arial" w:eastAsia="Times New Roman" w:hAnsi="Arial" w:cs="Arial"/>
          <w:b/>
          <w:bCs/>
          <w:sz w:val="24"/>
          <w:szCs w:val="24"/>
          <w:lang w:eastAsia="en-GB"/>
        </w:rPr>
      </w:pPr>
    </w:p>
    <w:p w14:paraId="34E4F899" w14:textId="77777777" w:rsidR="00372F96" w:rsidRDefault="00372F96" w:rsidP="00372F96">
      <w:pPr>
        <w:spacing w:after="0" w:line="276" w:lineRule="auto"/>
        <w:ind w:left="567" w:right="531"/>
        <w:rPr>
          <w:rFonts w:ascii="Arial" w:eastAsia="Times New Roman" w:hAnsi="Arial" w:cs="Arial"/>
          <w:b/>
          <w:bCs/>
          <w:sz w:val="24"/>
          <w:szCs w:val="24"/>
          <w:lang w:eastAsia="en-GB"/>
        </w:rPr>
      </w:pPr>
    </w:p>
    <w:p w14:paraId="6276790B" w14:textId="77777777" w:rsidR="00372F96" w:rsidRDefault="00372F96" w:rsidP="00372F96">
      <w:pPr>
        <w:spacing w:after="0" w:line="276" w:lineRule="auto"/>
        <w:ind w:left="567" w:right="531"/>
        <w:rPr>
          <w:rFonts w:ascii="Arial" w:eastAsia="Times New Roman" w:hAnsi="Arial" w:cs="Arial"/>
          <w:b/>
          <w:bCs/>
          <w:sz w:val="24"/>
          <w:szCs w:val="24"/>
          <w:lang w:eastAsia="en-GB"/>
        </w:rPr>
      </w:pPr>
    </w:p>
    <w:p w14:paraId="237149BE" w14:textId="77777777" w:rsidR="00372F96" w:rsidRDefault="00372F96" w:rsidP="00372F96">
      <w:pPr>
        <w:spacing w:after="0" w:line="276" w:lineRule="auto"/>
        <w:ind w:left="567" w:right="531"/>
        <w:rPr>
          <w:rFonts w:ascii="Arial" w:eastAsia="Times New Roman" w:hAnsi="Arial" w:cs="Arial"/>
          <w:b/>
          <w:bCs/>
          <w:sz w:val="24"/>
          <w:szCs w:val="24"/>
          <w:lang w:eastAsia="en-GB"/>
        </w:rPr>
      </w:pPr>
    </w:p>
    <w:p w14:paraId="08C11022" w14:textId="77777777" w:rsidR="00372F96" w:rsidRDefault="00372F96" w:rsidP="00372F96">
      <w:pPr>
        <w:spacing w:after="0" w:line="276" w:lineRule="auto"/>
        <w:ind w:left="567" w:right="531"/>
        <w:rPr>
          <w:rFonts w:ascii="Arial" w:eastAsia="Times New Roman" w:hAnsi="Arial" w:cs="Arial"/>
          <w:b/>
          <w:bCs/>
          <w:sz w:val="24"/>
          <w:szCs w:val="24"/>
          <w:lang w:eastAsia="en-GB"/>
        </w:rPr>
      </w:pPr>
    </w:p>
    <w:p w14:paraId="6ECE92CE" w14:textId="77777777" w:rsidR="00372F96" w:rsidRDefault="00372F96" w:rsidP="00372F96">
      <w:pPr>
        <w:spacing w:after="0" w:line="276" w:lineRule="auto"/>
        <w:ind w:left="567" w:right="531"/>
        <w:rPr>
          <w:rFonts w:ascii="Arial" w:eastAsia="Times New Roman" w:hAnsi="Arial" w:cs="Arial"/>
          <w:b/>
          <w:bCs/>
          <w:sz w:val="24"/>
          <w:szCs w:val="24"/>
          <w:lang w:eastAsia="en-GB"/>
        </w:rPr>
      </w:pPr>
    </w:p>
    <w:p w14:paraId="6913A46B" w14:textId="77777777" w:rsidR="00372F96" w:rsidRDefault="00372F96" w:rsidP="00372F96">
      <w:pPr>
        <w:spacing w:after="0" w:line="276" w:lineRule="auto"/>
        <w:ind w:left="567" w:right="531"/>
        <w:rPr>
          <w:rFonts w:ascii="Arial" w:eastAsia="Times New Roman" w:hAnsi="Arial" w:cs="Arial"/>
          <w:b/>
          <w:bCs/>
          <w:sz w:val="24"/>
          <w:szCs w:val="24"/>
          <w:lang w:eastAsia="en-GB"/>
        </w:rPr>
      </w:pPr>
    </w:p>
    <w:p w14:paraId="1D107A81" w14:textId="77777777" w:rsidR="00372F96" w:rsidRDefault="00372F96" w:rsidP="00372F96">
      <w:pPr>
        <w:spacing w:after="0" w:line="276" w:lineRule="auto"/>
        <w:ind w:left="567" w:right="531"/>
        <w:rPr>
          <w:rFonts w:ascii="Arial" w:eastAsia="Times New Roman" w:hAnsi="Arial" w:cs="Arial"/>
          <w:b/>
          <w:bCs/>
          <w:sz w:val="24"/>
          <w:szCs w:val="24"/>
          <w:lang w:eastAsia="en-GB"/>
        </w:rPr>
      </w:pPr>
    </w:p>
    <w:p w14:paraId="3AC8D7F0" w14:textId="77777777" w:rsidR="00372F96" w:rsidRDefault="00372F96" w:rsidP="00372F96">
      <w:pPr>
        <w:spacing w:after="0" w:line="276" w:lineRule="auto"/>
        <w:ind w:left="567" w:right="531"/>
        <w:rPr>
          <w:rFonts w:ascii="Arial" w:eastAsia="Times New Roman" w:hAnsi="Arial" w:cs="Arial"/>
          <w:b/>
          <w:bCs/>
          <w:sz w:val="24"/>
          <w:szCs w:val="24"/>
          <w:lang w:eastAsia="en-GB"/>
        </w:rPr>
      </w:pPr>
    </w:p>
    <w:p w14:paraId="13BFA8C2" w14:textId="77777777" w:rsidR="00372F96" w:rsidRDefault="00372F96" w:rsidP="00372F96">
      <w:pPr>
        <w:spacing w:after="0" w:line="276" w:lineRule="auto"/>
        <w:ind w:left="567" w:right="531"/>
        <w:rPr>
          <w:rFonts w:ascii="Arial" w:eastAsia="Times New Roman" w:hAnsi="Arial" w:cs="Arial"/>
          <w:b/>
          <w:bCs/>
          <w:sz w:val="24"/>
          <w:szCs w:val="24"/>
          <w:lang w:eastAsia="en-GB"/>
        </w:rPr>
      </w:pPr>
    </w:p>
    <w:p w14:paraId="07EA9B1D" w14:textId="77777777" w:rsidR="00372F96" w:rsidRDefault="00372F96" w:rsidP="00372F96">
      <w:pPr>
        <w:spacing w:after="0" w:line="276" w:lineRule="auto"/>
        <w:ind w:left="567" w:right="531"/>
        <w:rPr>
          <w:rFonts w:ascii="Arial" w:eastAsia="Times New Roman" w:hAnsi="Arial" w:cs="Arial"/>
          <w:b/>
          <w:bCs/>
          <w:sz w:val="24"/>
          <w:szCs w:val="24"/>
          <w:lang w:eastAsia="en-GB"/>
        </w:rPr>
      </w:pPr>
    </w:p>
    <w:p w14:paraId="0A0AE3DC" w14:textId="77777777" w:rsidR="00372F96" w:rsidRDefault="00372F96" w:rsidP="00372F96">
      <w:pPr>
        <w:spacing w:after="0" w:line="276" w:lineRule="auto"/>
        <w:ind w:left="567" w:right="531"/>
        <w:rPr>
          <w:rFonts w:ascii="Arial" w:eastAsia="Times New Roman" w:hAnsi="Arial" w:cs="Arial"/>
          <w:b/>
          <w:bCs/>
          <w:sz w:val="24"/>
          <w:szCs w:val="24"/>
          <w:lang w:eastAsia="en-GB"/>
        </w:rPr>
      </w:pPr>
    </w:p>
    <w:p w14:paraId="09EDE39A" w14:textId="77777777" w:rsidR="00372F96" w:rsidRDefault="00372F96" w:rsidP="00372F96">
      <w:pPr>
        <w:spacing w:after="0" w:line="276" w:lineRule="auto"/>
        <w:ind w:left="567" w:right="531"/>
        <w:rPr>
          <w:rFonts w:ascii="Arial" w:eastAsia="Times New Roman" w:hAnsi="Arial" w:cs="Arial"/>
          <w:b/>
          <w:bCs/>
          <w:sz w:val="24"/>
          <w:szCs w:val="24"/>
          <w:lang w:eastAsia="en-GB"/>
        </w:rPr>
      </w:pPr>
    </w:p>
    <w:p w14:paraId="11FB9047" w14:textId="77777777" w:rsidR="00372F96" w:rsidRDefault="00372F96" w:rsidP="00372F96">
      <w:pPr>
        <w:spacing w:after="0" w:line="276" w:lineRule="auto"/>
        <w:ind w:left="567" w:right="531"/>
        <w:rPr>
          <w:rFonts w:ascii="Arial" w:eastAsia="Times New Roman" w:hAnsi="Arial" w:cs="Arial"/>
          <w:b/>
          <w:bCs/>
          <w:sz w:val="24"/>
          <w:szCs w:val="24"/>
          <w:lang w:eastAsia="en-GB"/>
        </w:rPr>
      </w:pPr>
    </w:p>
    <w:p w14:paraId="3266A732" w14:textId="77777777" w:rsidR="00372F96" w:rsidRDefault="00372F96" w:rsidP="00372F96">
      <w:pPr>
        <w:spacing w:after="0" w:line="276" w:lineRule="auto"/>
        <w:ind w:left="567" w:right="531"/>
        <w:rPr>
          <w:rFonts w:ascii="Arial" w:eastAsia="Times New Roman" w:hAnsi="Arial" w:cs="Arial"/>
          <w:b/>
          <w:bCs/>
          <w:sz w:val="24"/>
          <w:szCs w:val="24"/>
          <w:lang w:eastAsia="en-GB"/>
        </w:rPr>
      </w:pPr>
    </w:p>
    <w:p w14:paraId="68ECAB7C" w14:textId="77777777" w:rsidR="00372F96" w:rsidRDefault="00372F96" w:rsidP="00372F96">
      <w:pPr>
        <w:spacing w:after="0" w:line="276" w:lineRule="auto"/>
        <w:ind w:left="567" w:right="531"/>
        <w:rPr>
          <w:rFonts w:ascii="Arial" w:eastAsia="Times New Roman" w:hAnsi="Arial" w:cs="Arial"/>
          <w:b/>
          <w:bCs/>
          <w:sz w:val="24"/>
          <w:szCs w:val="24"/>
          <w:lang w:eastAsia="en-GB"/>
        </w:rPr>
      </w:pPr>
    </w:p>
    <w:p w14:paraId="54912603" w14:textId="77777777" w:rsidR="00372F96" w:rsidRDefault="00372F96" w:rsidP="00372F96">
      <w:pPr>
        <w:spacing w:after="0" w:line="276" w:lineRule="auto"/>
        <w:ind w:left="567" w:right="531"/>
        <w:rPr>
          <w:rFonts w:ascii="Arial" w:eastAsia="Times New Roman" w:hAnsi="Arial" w:cs="Arial"/>
          <w:b/>
          <w:bCs/>
          <w:sz w:val="24"/>
          <w:szCs w:val="24"/>
          <w:lang w:eastAsia="en-GB"/>
        </w:rPr>
      </w:pPr>
    </w:p>
    <w:p w14:paraId="5054F983" w14:textId="77777777" w:rsidR="00372F96" w:rsidRDefault="00372F96" w:rsidP="00372F96">
      <w:pPr>
        <w:spacing w:after="0" w:line="276" w:lineRule="auto"/>
        <w:ind w:left="567" w:right="531"/>
        <w:rPr>
          <w:rFonts w:ascii="Arial" w:eastAsia="Times New Roman" w:hAnsi="Arial" w:cs="Arial"/>
          <w:b/>
          <w:bCs/>
          <w:sz w:val="24"/>
          <w:szCs w:val="24"/>
          <w:lang w:eastAsia="en-GB"/>
        </w:rPr>
      </w:pPr>
    </w:p>
    <w:p w14:paraId="60422067" w14:textId="77777777" w:rsidR="00372F96" w:rsidRDefault="00372F96" w:rsidP="00372F96">
      <w:pPr>
        <w:spacing w:after="0" w:line="276" w:lineRule="auto"/>
        <w:ind w:left="567" w:right="531"/>
        <w:rPr>
          <w:rFonts w:ascii="Arial" w:eastAsia="Times New Roman" w:hAnsi="Arial" w:cs="Arial"/>
          <w:b/>
          <w:bCs/>
          <w:sz w:val="24"/>
          <w:szCs w:val="24"/>
          <w:lang w:eastAsia="en-GB"/>
        </w:rPr>
      </w:pPr>
    </w:p>
    <w:p w14:paraId="70D4AB92" w14:textId="77777777" w:rsidR="00372F96" w:rsidRDefault="00372F96" w:rsidP="00372F96">
      <w:pPr>
        <w:spacing w:after="0" w:line="276" w:lineRule="auto"/>
        <w:ind w:left="567" w:right="531"/>
        <w:rPr>
          <w:rFonts w:ascii="Arial" w:eastAsia="Times New Roman" w:hAnsi="Arial" w:cs="Arial"/>
          <w:b/>
          <w:bCs/>
          <w:sz w:val="24"/>
          <w:szCs w:val="24"/>
          <w:lang w:eastAsia="en-GB"/>
        </w:rPr>
      </w:pPr>
    </w:p>
    <w:p w14:paraId="51BA63C5" w14:textId="77777777" w:rsidR="00372F96" w:rsidRDefault="00372F96" w:rsidP="00372F96">
      <w:pPr>
        <w:spacing w:after="0" w:line="276" w:lineRule="auto"/>
        <w:ind w:left="567" w:right="531"/>
        <w:rPr>
          <w:rFonts w:ascii="Arial" w:eastAsia="Times New Roman" w:hAnsi="Arial" w:cs="Arial"/>
          <w:b/>
          <w:bCs/>
          <w:sz w:val="24"/>
          <w:szCs w:val="24"/>
          <w:lang w:eastAsia="en-GB"/>
        </w:rPr>
      </w:pPr>
    </w:p>
    <w:p w14:paraId="6956EAF0" w14:textId="77777777" w:rsidR="00372F96" w:rsidRDefault="00372F96" w:rsidP="00372F96">
      <w:pPr>
        <w:spacing w:after="0" w:line="276" w:lineRule="auto"/>
        <w:ind w:left="567" w:right="531"/>
        <w:rPr>
          <w:rFonts w:ascii="Arial" w:eastAsia="Times New Roman" w:hAnsi="Arial" w:cs="Arial"/>
          <w:b/>
          <w:bCs/>
          <w:sz w:val="24"/>
          <w:szCs w:val="24"/>
          <w:lang w:eastAsia="en-GB"/>
        </w:rPr>
      </w:pPr>
    </w:p>
    <w:p w14:paraId="36614512" w14:textId="77777777" w:rsidR="00372F96" w:rsidRDefault="00372F96" w:rsidP="00372F96">
      <w:pPr>
        <w:spacing w:after="0" w:line="276" w:lineRule="auto"/>
        <w:ind w:left="567" w:right="531"/>
        <w:rPr>
          <w:rFonts w:ascii="Arial" w:eastAsia="Times New Roman" w:hAnsi="Arial" w:cs="Arial"/>
          <w:b/>
          <w:bCs/>
          <w:sz w:val="24"/>
          <w:szCs w:val="24"/>
          <w:lang w:eastAsia="en-GB"/>
        </w:rPr>
      </w:pPr>
    </w:p>
    <w:p w14:paraId="3A2A374F" w14:textId="77777777" w:rsidR="00372F96" w:rsidRDefault="00372F96" w:rsidP="00372F96">
      <w:pPr>
        <w:spacing w:after="0" w:line="276" w:lineRule="auto"/>
        <w:ind w:left="567" w:right="531"/>
        <w:rPr>
          <w:rFonts w:ascii="Arial" w:eastAsia="Times New Roman" w:hAnsi="Arial" w:cs="Arial"/>
          <w:b/>
          <w:bCs/>
          <w:sz w:val="24"/>
          <w:szCs w:val="24"/>
          <w:lang w:eastAsia="en-GB"/>
        </w:rPr>
      </w:pPr>
    </w:p>
    <w:p w14:paraId="7C8F1814" w14:textId="77777777" w:rsidR="00372F96" w:rsidRDefault="00372F96" w:rsidP="00372F96">
      <w:pPr>
        <w:spacing w:after="0" w:line="276" w:lineRule="auto"/>
        <w:ind w:left="567" w:right="531"/>
        <w:rPr>
          <w:rFonts w:ascii="Arial" w:eastAsia="Times New Roman" w:hAnsi="Arial" w:cs="Arial"/>
          <w:b/>
          <w:bCs/>
          <w:sz w:val="24"/>
          <w:szCs w:val="24"/>
          <w:lang w:eastAsia="en-GB"/>
        </w:rPr>
      </w:pPr>
    </w:p>
    <w:p w14:paraId="2D27E7B9" w14:textId="77777777" w:rsidR="00372F96" w:rsidRDefault="00372F96" w:rsidP="00372F96">
      <w:pPr>
        <w:spacing w:after="0" w:line="276" w:lineRule="auto"/>
        <w:ind w:right="531"/>
        <w:rPr>
          <w:rFonts w:ascii="Arial" w:eastAsia="Times New Roman" w:hAnsi="Arial" w:cs="Arial"/>
          <w:b/>
          <w:bCs/>
          <w:sz w:val="24"/>
          <w:szCs w:val="24"/>
          <w:lang w:eastAsia="en-GB"/>
        </w:rPr>
      </w:pPr>
    </w:p>
    <w:p w14:paraId="2683FD5F" w14:textId="6DE14420" w:rsidR="00372F96" w:rsidRPr="00372F96" w:rsidRDefault="00372F96" w:rsidP="00372F96">
      <w:pPr>
        <w:spacing w:after="0" w:line="276" w:lineRule="auto"/>
        <w:ind w:left="567" w:right="531"/>
        <w:rPr>
          <w:rFonts w:ascii="Arial" w:eastAsia="Times New Roman" w:hAnsi="Arial" w:cs="Arial"/>
          <w:b/>
          <w:bCs/>
          <w:i/>
          <w:iCs/>
          <w:sz w:val="24"/>
          <w:szCs w:val="24"/>
          <w:u w:val="single"/>
          <w:lang w:eastAsia="en-GB"/>
        </w:rPr>
      </w:pPr>
      <w:r w:rsidRPr="00372F96">
        <w:rPr>
          <w:rFonts w:ascii="Arial" w:eastAsia="Times New Roman" w:hAnsi="Arial" w:cs="Arial"/>
          <w:b/>
          <w:bCs/>
          <w:i/>
          <w:iCs/>
          <w:sz w:val="24"/>
          <w:szCs w:val="24"/>
          <w:u w:val="single"/>
          <w:lang w:eastAsia="en-GB"/>
        </w:rPr>
        <w:lastRenderedPageBreak/>
        <w:t>‘</w:t>
      </w:r>
      <w:r w:rsidRPr="00372F96">
        <w:rPr>
          <w:rFonts w:ascii="Arial" w:eastAsia="Times New Roman" w:hAnsi="Arial" w:cs="Arial"/>
          <w:b/>
          <w:bCs/>
          <w:i/>
          <w:iCs/>
          <w:sz w:val="24"/>
          <w:szCs w:val="24"/>
          <w:u w:val="single"/>
          <w:lang w:eastAsia="en-GB"/>
        </w:rPr>
        <w:t>How effective is MAPPA as a means of managing offenders?</w:t>
      </w:r>
      <w:r w:rsidRPr="00372F96">
        <w:rPr>
          <w:rFonts w:ascii="Arial" w:eastAsia="Times New Roman" w:hAnsi="Arial" w:cs="Arial"/>
          <w:b/>
          <w:bCs/>
          <w:i/>
          <w:iCs/>
          <w:sz w:val="24"/>
          <w:szCs w:val="24"/>
          <w:u w:val="single"/>
          <w:lang w:eastAsia="en-GB"/>
        </w:rPr>
        <w:t>’</w:t>
      </w:r>
    </w:p>
    <w:p w14:paraId="51681D3D" w14:textId="77777777" w:rsidR="00372F96" w:rsidRPr="00372F96" w:rsidRDefault="00372F96" w:rsidP="00372F96">
      <w:pPr>
        <w:spacing w:after="0" w:line="276" w:lineRule="auto"/>
        <w:ind w:left="567" w:right="531"/>
        <w:rPr>
          <w:rFonts w:ascii="Arial" w:eastAsia="Times New Roman" w:hAnsi="Arial" w:cs="Arial"/>
          <w:sz w:val="24"/>
          <w:szCs w:val="24"/>
          <w:lang w:eastAsia="en-GB"/>
        </w:rPr>
      </w:pPr>
    </w:p>
    <w:p w14:paraId="223686A0"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r w:rsidRPr="00372F96">
        <w:rPr>
          <w:rFonts w:ascii="Arial" w:eastAsia="Times New Roman" w:hAnsi="Arial" w:cs="Arial"/>
          <w:sz w:val="24"/>
          <w:szCs w:val="24"/>
          <w:lang w:eastAsia="en-GB"/>
        </w:rPr>
        <w:t xml:space="preserve">The Multi Agency Public Protection Arrangements (MAPPA) is a meeting where a variety of professionals assess violent offenders living in a community and evaluate the risk they pose to the public. The aim of the meeting is to discuss conditions that can help to effectively manage offenders in the community to prevent them from re-offending and to protect the public. The aim of this essay is to evaluate the effectiveness of MAPPA in managing offenders in the local community. </w:t>
      </w:r>
    </w:p>
    <w:p w14:paraId="20D77D52"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p>
    <w:p w14:paraId="05EF7A6D"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proofErr w:type="gramStart"/>
      <w:r w:rsidRPr="00372F96">
        <w:rPr>
          <w:rFonts w:ascii="Arial" w:eastAsia="Times New Roman" w:hAnsi="Arial" w:cs="Arial"/>
          <w:sz w:val="24"/>
          <w:szCs w:val="24"/>
          <w:lang w:eastAsia="en-GB"/>
        </w:rPr>
        <w:t>MAPPA’s</w:t>
      </w:r>
      <w:proofErr w:type="gramEnd"/>
      <w:r w:rsidRPr="00372F96">
        <w:rPr>
          <w:rFonts w:ascii="Arial" w:eastAsia="Times New Roman" w:hAnsi="Arial" w:cs="Arial"/>
          <w:sz w:val="24"/>
          <w:szCs w:val="24"/>
          <w:lang w:eastAsia="en-GB"/>
        </w:rPr>
        <w:t xml:space="preserve"> were introduced as part of the Criminal Justice Act 2003 as a way of safeguarding the public when a violent offender was re-entering the community. The Criminal Justice Act 2003 recognised the risk of an offender re-offending on release from prison and highlighted the need of a multi-agency approach in order to safeguard the public (Gibson 2005). A MAPPA meeting is used to discuss the release of violent offenders who have the potential to pose a threat to the public. </w:t>
      </w:r>
      <w:proofErr w:type="spellStart"/>
      <w:r w:rsidRPr="00372F96">
        <w:rPr>
          <w:rFonts w:ascii="Arial" w:eastAsia="Times New Roman" w:hAnsi="Arial" w:cs="Arial"/>
          <w:sz w:val="24"/>
          <w:szCs w:val="24"/>
          <w:lang w:eastAsia="en-GB"/>
        </w:rPr>
        <w:t>Carr</w:t>
      </w:r>
      <w:proofErr w:type="spellEnd"/>
      <w:r w:rsidRPr="00372F96">
        <w:rPr>
          <w:rFonts w:ascii="Arial" w:eastAsia="Times New Roman" w:hAnsi="Arial" w:cs="Arial"/>
          <w:sz w:val="24"/>
          <w:szCs w:val="24"/>
          <w:lang w:eastAsia="en-GB"/>
        </w:rPr>
        <w:t xml:space="preserve"> and </w:t>
      </w:r>
      <w:proofErr w:type="spellStart"/>
      <w:r w:rsidRPr="00372F96">
        <w:rPr>
          <w:rFonts w:ascii="Arial" w:eastAsia="Times New Roman" w:hAnsi="Arial" w:cs="Arial"/>
          <w:sz w:val="24"/>
          <w:szCs w:val="24"/>
          <w:lang w:eastAsia="en-GB"/>
        </w:rPr>
        <w:t>Goosey</w:t>
      </w:r>
      <w:proofErr w:type="spellEnd"/>
      <w:r w:rsidRPr="00372F96">
        <w:rPr>
          <w:rFonts w:ascii="Arial" w:eastAsia="Times New Roman" w:hAnsi="Arial" w:cs="Arial"/>
          <w:sz w:val="24"/>
          <w:szCs w:val="24"/>
          <w:lang w:eastAsia="en-GB"/>
        </w:rPr>
        <w:t xml:space="preserve"> (2021 p205) explore the core concepts of MAPPA meetings and explain that representatives from both the Police and Probation Services should be present. </w:t>
      </w:r>
    </w:p>
    <w:p w14:paraId="4F384D96"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r w:rsidRPr="00372F96">
        <w:rPr>
          <w:rFonts w:ascii="Arial" w:eastAsia="Times New Roman" w:hAnsi="Arial" w:cs="Arial"/>
          <w:sz w:val="24"/>
          <w:szCs w:val="24"/>
          <w:lang w:eastAsia="en-GB"/>
        </w:rPr>
        <w:t>During the meeting, a discussion should be had regarding the potential threat level of an individual and the likelihood of them re-offending (</w:t>
      </w:r>
      <w:proofErr w:type="spellStart"/>
      <w:r w:rsidRPr="00372F96">
        <w:rPr>
          <w:rFonts w:ascii="Arial" w:eastAsia="Times New Roman" w:hAnsi="Arial" w:cs="Arial"/>
          <w:sz w:val="24"/>
          <w:szCs w:val="24"/>
          <w:lang w:eastAsia="en-GB"/>
        </w:rPr>
        <w:t>Carr</w:t>
      </w:r>
      <w:proofErr w:type="spellEnd"/>
      <w:r w:rsidRPr="00372F96">
        <w:rPr>
          <w:rFonts w:ascii="Arial" w:eastAsia="Times New Roman" w:hAnsi="Arial" w:cs="Arial"/>
          <w:sz w:val="24"/>
          <w:szCs w:val="24"/>
          <w:lang w:eastAsia="en-GB"/>
        </w:rPr>
        <w:t xml:space="preserve"> and </w:t>
      </w:r>
      <w:proofErr w:type="spellStart"/>
      <w:r w:rsidRPr="00372F96">
        <w:rPr>
          <w:rFonts w:ascii="Arial" w:eastAsia="Times New Roman" w:hAnsi="Arial" w:cs="Arial"/>
          <w:sz w:val="24"/>
          <w:szCs w:val="24"/>
          <w:lang w:eastAsia="en-GB"/>
        </w:rPr>
        <w:t>Goosey</w:t>
      </w:r>
      <w:proofErr w:type="spellEnd"/>
      <w:r w:rsidRPr="00372F96">
        <w:rPr>
          <w:rFonts w:ascii="Arial" w:eastAsia="Times New Roman" w:hAnsi="Arial" w:cs="Arial"/>
          <w:sz w:val="24"/>
          <w:szCs w:val="24"/>
          <w:lang w:eastAsia="en-GB"/>
        </w:rPr>
        <w:t xml:space="preserve"> 2021). Within this, risk assessments will be carried out to ensure that each potential risk has been highlighted and an action plan is in place to ensure public safety. Kent Safeguarding Children Multi-Agency Partnership (2018) present a similar idea to </w:t>
      </w:r>
      <w:proofErr w:type="spellStart"/>
      <w:r w:rsidRPr="00372F96">
        <w:rPr>
          <w:rFonts w:ascii="Arial" w:eastAsia="Times New Roman" w:hAnsi="Arial" w:cs="Arial"/>
          <w:sz w:val="24"/>
          <w:szCs w:val="24"/>
          <w:lang w:eastAsia="en-GB"/>
        </w:rPr>
        <w:t>Carr</w:t>
      </w:r>
      <w:proofErr w:type="spellEnd"/>
      <w:r w:rsidRPr="00372F96">
        <w:rPr>
          <w:rFonts w:ascii="Arial" w:eastAsia="Times New Roman" w:hAnsi="Arial" w:cs="Arial"/>
          <w:sz w:val="24"/>
          <w:szCs w:val="24"/>
          <w:lang w:eastAsia="en-GB"/>
        </w:rPr>
        <w:t xml:space="preserve"> and </w:t>
      </w:r>
      <w:proofErr w:type="spellStart"/>
      <w:r w:rsidRPr="00372F96">
        <w:rPr>
          <w:rFonts w:ascii="Arial" w:eastAsia="Times New Roman" w:hAnsi="Arial" w:cs="Arial"/>
          <w:sz w:val="24"/>
          <w:szCs w:val="24"/>
          <w:lang w:eastAsia="en-GB"/>
        </w:rPr>
        <w:t>Goosey</w:t>
      </w:r>
      <w:proofErr w:type="spellEnd"/>
      <w:r w:rsidRPr="00372F96">
        <w:rPr>
          <w:rFonts w:ascii="Arial" w:eastAsia="Times New Roman" w:hAnsi="Arial" w:cs="Arial"/>
          <w:sz w:val="24"/>
          <w:szCs w:val="24"/>
          <w:lang w:eastAsia="en-GB"/>
        </w:rPr>
        <w:t xml:space="preserve"> 2021 and reiterate that MAPPA meetings should involve both the Police and Probation service. Kent Safeguarding Children Multi Agency Partnership (KSCMAP) (2018) go further than </w:t>
      </w:r>
      <w:proofErr w:type="spellStart"/>
      <w:r w:rsidRPr="00372F96">
        <w:rPr>
          <w:rFonts w:ascii="Arial" w:eastAsia="Times New Roman" w:hAnsi="Arial" w:cs="Arial"/>
          <w:sz w:val="24"/>
          <w:szCs w:val="24"/>
          <w:lang w:eastAsia="en-GB"/>
        </w:rPr>
        <w:t>Carr</w:t>
      </w:r>
      <w:proofErr w:type="spellEnd"/>
      <w:r w:rsidRPr="00372F96">
        <w:rPr>
          <w:rFonts w:ascii="Arial" w:eastAsia="Times New Roman" w:hAnsi="Arial" w:cs="Arial"/>
          <w:sz w:val="24"/>
          <w:szCs w:val="24"/>
          <w:lang w:eastAsia="en-GB"/>
        </w:rPr>
        <w:t xml:space="preserve"> and </w:t>
      </w:r>
      <w:proofErr w:type="spellStart"/>
      <w:r w:rsidRPr="00372F96">
        <w:rPr>
          <w:rFonts w:ascii="Arial" w:eastAsia="Times New Roman" w:hAnsi="Arial" w:cs="Arial"/>
          <w:sz w:val="24"/>
          <w:szCs w:val="24"/>
          <w:lang w:eastAsia="en-GB"/>
        </w:rPr>
        <w:t>Goosey</w:t>
      </w:r>
      <w:proofErr w:type="spellEnd"/>
      <w:r w:rsidRPr="00372F96">
        <w:rPr>
          <w:rFonts w:ascii="Arial" w:eastAsia="Times New Roman" w:hAnsi="Arial" w:cs="Arial"/>
          <w:sz w:val="24"/>
          <w:szCs w:val="24"/>
          <w:lang w:eastAsia="en-GB"/>
        </w:rPr>
        <w:t xml:space="preserve"> (2021) and explain that following a MAPPA meeting, relevant information should be shared with multi agencies to ensure that everyone is aware of the risk assessments and action plan. </w:t>
      </w:r>
    </w:p>
    <w:p w14:paraId="3E0550DA"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p>
    <w:p w14:paraId="6CFBA178"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r w:rsidRPr="00372F96">
        <w:rPr>
          <w:rFonts w:ascii="Arial" w:eastAsia="Times New Roman" w:hAnsi="Arial" w:cs="Arial"/>
          <w:sz w:val="24"/>
          <w:szCs w:val="24"/>
          <w:lang w:eastAsia="en-GB"/>
        </w:rPr>
        <w:lastRenderedPageBreak/>
        <w:t xml:space="preserve">Within a MAPPA meeting, there will be a discussion regarding the management level of an offender when looking at the risk of re-offending (KSCMAP 2018). There are 3 levels in which an offender can be titled with when released from prison. A level 1 offender requires the sharing of information with relevant agencies in order to raise awareness, and to implement the risk assessment after discussing the potential risks with the offender (KSCMAP 2018). A level 2 offender requires active management following release. This involves a discussion with a variety of relevant agencies to develop a working strategy to mitigate the risks of re-offending and to highlight the roles of each agency in safeguarding the public (KSCMAP 2018). A level 3 offender requires senior managers to be made aware of the release and the seriousness of the crimes to be highlighted clearly and communicated to the relevant agencies (KSCMAP 2018). </w:t>
      </w:r>
    </w:p>
    <w:p w14:paraId="0C6E767A"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p>
    <w:p w14:paraId="04C3DFCB"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r w:rsidRPr="00372F96">
        <w:rPr>
          <w:rFonts w:ascii="Arial" w:eastAsia="Times New Roman" w:hAnsi="Arial" w:cs="Arial"/>
          <w:sz w:val="24"/>
          <w:szCs w:val="24"/>
          <w:lang w:eastAsia="en-GB"/>
        </w:rPr>
        <w:t xml:space="preserve">The aim of a MAPPA meeting is to reduce the risk of re-offending and to safeguard the public through active management of the offender in the community. Craig Et Al (2020) argues that MAPPA has been effective in reducing the rates of re-offending. Craig Et Al (2020 p488) evidences a report called ‘The First Five Years,’ which clearly illustrates that there were a small amount of level 2 and 3 offenders, who had received a MAPPA meeting prior to release, who went onto to re-offend. Craig Et Al (2020) </w:t>
      </w:r>
      <w:proofErr w:type="gramStart"/>
      <w:r w:rsidRPr="00372F96">
        <w:rPr>
          <w:rFonts w:ascii="Arial" w:eastAsia="Times New Roman" w:hAnsi="Arial" w:cs="Arial"/>
          <w:sz w:val="24"/>
          <w:szCs w:val="24"/>
          <w:lang w:eastAsia="en-GB"/>
        </w:rPr>
        <w:t>evidences</w:t>
      </w:r>
      <w:proofErr w:type="gramEnd"/>
      <w:r w:rsidRPr="00372F96">
        <w:rPr>
          <w:rFonts w:ascii="Arial" w:eastAsia="Times New Roman" w:hAnsi="Arial" w:cs="Arial"/>
          <w:sz w:val="24"/>
          <w:szCs w:val="24"/>
          <w:lang w:eastAsia="en-GB"/>
        </w:rPr>
        <w:t xml:space="preserve"> that Level 3 offenders were the least likely to go on to re-offend in the community. This supports the effectiveness of MAPPA and suggests that the more intensive intervention from the Police and Probation team following release from prison, the least likely of re-offending and better protection for the public. However, Craig Et Al (2020) did not provide any statistics on Level 1 offenders. From this, it may be implied that Level 1 offenders are more likely to re-offend due to the lack of intensive management following release from prison, therefore suggesting that MAPPA is not effective. Due to the lack of evidence provided from Craig Et Al (2020) regarding Level 1 offenders, the reliability of his findings and the true effectiveness of MAPPA </w:t>
      </w:r>
      <w:proofErr w:type="gramStart"/>
      <w:r w:rsidRPr="00372F96">
        <w:rPr>
          <w:rFonts w:ascii="Arial" w:eastAsia="Times New Roman" w:hAnsi="Arial" w:cs="Arial"/>
          <w:sz w:val="24"/>
          <w:szCs w:val="24"/>
          <w:lang w:eastAsia="en-GB"/>
        </w:rPr>
        <w:t>have to</w:t>
      </w:r>
      <w:proofErr w:type="gramEnd"/>
      <w:r w:rsidRPr="00372F96">
        <w:rPr>
          <w:rFonts w:ascii="Arial" w:eastAsia="Times New Roman" w:hAnsi="Arial" w:cs="Arial"/>
          <w:sz w:val="24"/>
          <w:szCs w:val="24"/>
          <w:lang w:eastAsia="en-GB"/>
        </w:rPr>
        <w:t xml:space="preserve"> be questioned. Furthermore, Craig Et Al (2020) fails to provide any qualitative or quantitative data to reinforce his argument, further bringing the reliability of his case into </w:t>
      </w:r>
      <w:r w:rsidRPr="00372F96">
        <w:rPr>
          <w:rFonts w:ascii="Arial" w:eastAsia="Times New Roman" w:hAnsi="Arial" w:cs="Arial"/>
          <w:sz w:val="24"/>
          <w:szCs w:val="24"/>
          <w:lang w:eastAsia="en-GB"/>
        </w:rPr>
        <w:lastRenderedPageBreak/>
        <w:t xml:space="preserve">question. Harrison (2012 p91) directly contrasts the view posed by Craig et Al (2020), supporting the idea that Level 1 offenders are more likely to re-offend. Harrison (2012) explains that 84 UK probation and police services were asked to disclose the levels of re-offending of level 1 offenders. Within this research it was found that in 2009, a confirmed total of 47 level 1 offenders had re-offended following release from prison (Harrison 2012). This suggests that MAPPA is not effective. However, Harrison (2012) fails to mention that only 61% of prison and probation services contributed to the research, therefore bringing into question the reliability of his research as there is a large amount of data that could not be submitted and analysed. Therefore, the true nature of the effectiveness of MAPPA cannot be determined based on his findings alone. Although Harrison (2012) contradicts Craig et Al (2020), they both agree on the idea that level 2 and 3 offenders who have received a MAPPA are a lot less likely to re-offend. This support the idea that MAPPA is an effective method of reducing re-offending but only in level 2 and 3 offenders. </w:t>
      </w:r>
    </w:p>
    <w:p w14:paraId="696D2E6F"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p>
    <w:p w14:paraId="1C9B414D"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r w:rsidRPr="00372F96">
        <w:rPr>
          <w:rFonts w:ascii="Arial" w:eastAsia="Times New Roman" w:hAnsi="Arial" w:cs="Arial"/>
          <w:sz w:val="24"/>
          <w:szCs w:val="24"/>
          <w:lang w:eastAsia="en-GB"/>
        </w:rPr>
        <w:t xml:space="preserve">It can be argued that the effectiveness of MAPPA depends on the effectiveness of the communication between the multitude of professionals involved. It is essential that the relevant agencies are made aware of the offenders re-entering the communities in order to effectively carry out their role (Baker et Al 2009). It is also key that the risk assessment and action plans are communicated to all relevant people so that agencies are aware of the expectations placed upon them on release (Baker et Al 2009). There is potential for MAPPA to be ineffective if </w:t>
      </w:r>
      <w:proofErr w:type="gramStart"/>
      <w:r w:rsidRPr="00372F96">
        <w:rPr>
          <w:rFonts w:ascii="Arial" w:eastAsia="Times New Roman" w:hAnsi="Arial" w:cs="Arial"/>
          <w:sz w:val="24"/>
          <w:szCs w:val="24"/>
          <w:lang w:eastAsia="en-GB"/>
        </w:rPr>
        <w:t>all of</w:t>
      </w:r>
      <w:proofErr w:type="gramEnd"/>
      <w:r w:rsidRPr="00372F96">
        <w:rPr>
          <w:rFonts w:ascii="Arial" w:eastAsia="Times New Roman" w:hAnsi="Arial" w:cs="Arial"/>
          <w:sz w:val="24"/>
          <w:szCs w:val="24"/>
          <w:lang w:eastAsia="en-GB"/>
        </w:rPr>
        <w:t xml:space="preserve"> the correct information is not communicated, as agencies will not have all of the information to carry out their role, therefore increasing the risk of re-offending and putting the public in danger. </w:t>
      </w:r>
    </w:p>
    <w:p w14:paraId="0B24ECCF"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p>
    <w:p w14:paraId="229D7FC4"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r w:rsidRPr="00372F96">
        <w:rPr>
          <w:rFonts w:ascii="Arial" w:eastAsia="Times New Roman" w:hAnsi="Arial" w:cs="Arial"/>
          <w:sz w:val="24"/>
          <w:szCs w:val="24"/>
          <w:lang w:eastAsia="en-GB"/>
        </w:rPr>
        <w:t xml:space="preserve">In conclusion, MAPPA is an effective method in highlighting the violent offenders re-entering the community to the multi agencies. However, the true effectiveness of MAPPA on reducing the risk of re-offending in level 1,2 and 3 offenders cannot be determined due to the lack of reliable evidence. The effectiveness of MAPPA is also determined by the </w:t>
      </w:r>
      <w:r w:rsidRPr="00372F96">
        <w:rPr>
          <w:rFonts w:ascii="Arial" w:eastAsia="Times New Roman" w:hAnsi="Arial" w:cs="Arial"/>
          <w:sz w:val="24"/>
          <w:szCs w:val="24"/>
          <w:lang w:eastAsia="en-GB"/>
        </w:rPr>
        <w:lastRenderedPageBreak/>
        <w:t xml:space="preserve">effectiveness of the communication between professionals, and this can differ in every meeting with </w:t>
      </w:r>
      <w:proofErr w:type="gramStart"/>
      <w:r w:rsidRPr="00372F96">
        <w:rPr>
          <w:rFonts w:ascii="Arial" w:eastAsia="Times New Roman" w:hAnsi="Arial" w:cs="Arial"/>
          <w:sz w:val="24"/>
          <w:szCs w:val="24"/>
          <w:lang w:eastAsia="en-GB"/>
        </w:rPr>
        <w:t>each individual</w:t>
      </w:r>
      <w:proofErr w:type="gramEnd"/>
      <w:r w:rsidRPr="00372F96">
        <w:rPr>
          <w:rFonts w:ascii="Arial" w:eastAsia="Times New Roman" w:hAnsi="Arial" w:cs="Arial"/>
          <w:sz w:val="24"/>
          <w:szCs w:val="24"/>
          <w:lang w:eastAsia="en-GB"/>
        </w:rPr>
        <w:t xml:space="preserve">.    </w:t>
      </w:r>
    </w:p>
    <w:p w14:paraId="0F3B4F62" w14:textId="77777777" w:rsidR="00372F96" w:rsidRPr="00372F96" w:rsidRDefault="00372F96" w:rsidP="00372F96">
      <w:pPr>
        <w:spacing w:after="0" w:line="276" w:lineRule="auto"/>
        <w:ind w:left="567" w:right="531"/>
        <w:rPr>
          <w:rFonts w:ascii="Arial" w:eastAsia="Times New Roman" w:hAnsi="Arial" w:cs="Arial"/>
          <w:sz w:val="24"/>
          <w:szCs w:val="24"/>
          <w:lang w:eastAsia="en-GB"/>
        </w:rPr>
      </w:pPr>
    </w:p>
    <w:p w14:paraId="71611985" w14:textId="77777777" w:rsidR="00372F96" w:rsidRPr="00372F96" w:rsidRDefault="00372F96" w:rsidP="00372F96">
      <w:pPr>
        <w:spacing w:after="0" w:line="276" w:lineRule="auto"/>
        <w:ind w:left="567" w:right="531"/>
        <w:rPr>
          <w:rFonts w:ascii="Arial" w:eastAsia="Times New Roman" w:hAnsi="Arial" w:cs="Arial"/>
          <w:sz w:val="24"/>
          <w:szCs w:val="24"/>
          <w:lang w:eastAsia="en-GB"/>
        </w:rPr>
      </w:pPr>
      <w:r w:rsidRPr="00372F96">
        <w:rPr>
          <w:rFonts w:ascii="Arial" w:eastAsia="Times New Roman" w:hAnsi="Arial" w:cs="Arial"/>
          <w:sz w:val="24"/>
          <w:szCs w:val="24"/>
          <w:lang w:eastAsia="en-GB"/>
        </w:rPr>
        <w:t xml:space="preserve">(1095 words) </w:t>
      </w:r>
    </w:p>
    <w:p w14:paraId="351D08FD" w14:textId="77777777" w:rsidR="00372F96" w:rsidRPr="00372F96" w:rsidRDefault="00372F96" w:rsidP="00372F96">
      <w:pPr>
        <w:spacing w:after="0" w:line="276" w:lineRule="auto"/>
        <w:ind w:left="567" w:right="531"/>
        <w:rPr>
          <w:rFonts w:ascii="Arial" w:eastAsia="Times New Roman" w:hAnsi="Arial" w:cs="Arial"/>
          <w:sz w:val="24"/>
          <w:szCs w:val="24"/>
          <w:lang w:eastAsia="en-GB"/>
        </w:rPr>
      </w:pPr>
    </w:p>
    <w:p w14:paraId="35EEAD8C" w14:textId="77777777" w:rsidR="00372F96" w:rsidRPr="00372F96" w:rsidRDefault="00372F96" w:rsidP="00372F96">
      <w:pPr>
        <w:spacing w:after="0" w:line="276" w:lineRule="auto"/>
        <w:ind w:left="567" w:right="531"/>
        <w:rPr>
          <w:rFonts w:ascii="Arial" w:eastAsia="Times New Roman" w:hAnsi="Arial" w:cs="Arial"/>
          <w:sz w:val="24"/>
          <w:szCs w:val="24"/>
          <w:lang w:eastAsia="en-GB"/>
        </w:rPr>
      </w:pPr>
    </w:p>
    <w:p w14:paraId="205FD1B4" w14:textId="16DAED2D" w:rsidR="00372F96" w:rsidRPr="00372F96" w:rsidRDefault="00372F96" w:rsidP="00372F96">
      <w:pPr>
        <w:spacing w:after="0" w:line="276" w:lineRule="auto"/>
        <w:ind w:left="567" w:right="531"/>
        <w:rPr>
          <w:rFonts w:ascii="Arial" w:eastAsia="Times New Roman" w:hAnsi="Arial" w:cs="Arial"/>
          <w:b/>
          <w:bCs/>
          <w:sz w:val="24"/>
          <w:szCs w:val="24"/>
          <w:u w:val="single"/>
          <w:lang w:eastAsia="en-GB"/>
        </w:rPr>
      </w:pPr>
      <w:r w:rsidRPr="00372F96">
        <w:rPr>
          <w:rFonts w:ascii="Arial" w:eastAsia="Times New Roman" w:hAnsi="Arial" w:cs="Arial"/>
          <w:sz w:val="24"/>
          <w:szCs w:val="24"/>
          <w:lang w:eastAsia="en-GB"/>
        </w:rPr>
        <w:br/>
      </w:r>
    </w:p>
    <w:p w14:paraId="16FCBA50" w14:textId="77777777" w:rsidR="00372F96" w:rsidRPr="00372F96" w:rsidRDefault="00372F96" w:rsidP="00372F96">
      <w:pPr>
        <w:spacing w:after="0" w:line="276" w:lineRule="auto"/>
        <w:ind w:left="567" w:right="531"/>
        <w:rPr>
          <w:rFonts w:ascii="Arial" w:eastAsia="Times New Roman" w:hAnsi="Arial" w:cs="Arial"/>
          <w:b/>
          <w:bCs/>
          <w:sz w:val="24"/>
          <w:szCs w:val="24"/>
          <w:u w:val="single"/>
          <w:lang w:eastAsia="en-GB"/>
        </w:rPr>
      </w:pPr>
    </w:p>
    <w:p w14:paraId="78845352" w14:textId="77777777" w:rsidR="00372F96" w:rsidRPr="00372F96" w:rsidRDefault="00372F96" w:rsidP="00372F96">
      <w:pPr>
        <w:spacing w:after="0" w:line="276" w:lineRule="auto"/>
        <w:ind w:left="567" w:right="531"/>
        <w:rPr>
          <w:rFonts w:ascii="Arial" w:eastAsia="Times New Roman" w:hAnsi="Arial" w:cs="Arial"/>
          <w:sz w:val="24"/>
          <w:szCs w:val="24"/>
          <w:lang w:eastAsia="en-GB"/>
        </w:rPr>
      </w:pPr>
    </w:p>
    <w:p w14:paraId="39DF9253"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217AC9B9"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634E6E58"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43D56D75"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1CDE061C"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05BEE2AA"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2F9DE301"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2DCED264"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6A9AB7B9"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79B8F466"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525805AB"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0FABC5FA"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091B35EE"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716D0A97"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42B50CED"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25BB9312"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0511FC0A"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4F2A7B89"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35D6B6B5"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77A9A0E5"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0D036B16"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6114E32C"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5727CB01"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207DC47B"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2D48AFE9"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5B8839B3"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550C3D98"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13353701"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3FA77FCF"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639CF170"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40FCBE59"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3900758D" w14:textId="77777777" w:rsid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646963F1" w14:textId="77777777" w:rsidR="00372F96" w:rsidRDefault="00372F96" w:rsidP="00372F96">
      <w:pPr>
        <w:overflowPunct w:val="0"/>
        <w:autoSpaceDE w:val="0"/>
        <w:autoSpaceDN w:val="0"/>
        <w:adjustRightInd w:val="0"/>
        <w:spacing w:after="0" w:line="276" w:lineRule="auto"/>
        <w:ind w:right="531"/>
        <w:textAlignment w:val="baseline"/>
        <w:rPr>
          <w:rFonts w:ascii="Arial" w:eastAsia="Times New Roman" w:hAnsi="Arial" w:cs="Arial"/>
          <w:b/>
          <w:bCs/>
          <w:sz w:val="24"/>
          <w:szCs w:val="24"/>
          <w:lang w:eastAsia="en-GB"/>
        </w:rPr>
      </w:pPr>
    </w:p>
    <w:p w14:paraId="6F5F54E2" w14:textId="61B08DFD" w:rsidR="00372F96" w:rsidRPr="00372F96" w:rsidRDefault="00372F96" w:rsidP="00372F96">
      <w:pPr>
        <w:overflowPunct w:val="0"/>
        <w:autoSpaceDE w:val="0"/>
        <w:autoSpaceDN w:val="0"/>
        <w:adjustRightInd w:val="0"/>
        <w:spacing w:after="0" w:line="276" w:lineRule="auto"/>
        <w:ind w:left="567" w:right="531"/>
        <w:textAlignment w:val="baseline"/>
        <w:rPr>
          <w:rFonts w:ascii="Arial" w:eastAsia="Times New Roman" w:hAnsi="Arial" w:cs="Arial"/>
          <w:b/>
          <w:bCs/>
          <w:i/>
          <w:iCs/>
          <w:sz w:val="24"/>
          <w:szCs w:val="24"/>
          <w:u w:val="single"/>
          <w:lang w:eastAsia="en-GB"/>
        </w:rPr>
      </w:pPr>
      <w:r w:rsidRPr="00372F96">
        <w:rPr>
          <w:rFonts w:ascii="Arial" w:eastAsia="Times New Roman" w:hAnsi="Arial" w:cs="Arial"/>
          <w:b/>
          <w:bCs/>
          <w:i/>
          <w:iCs/>
          <w:sz w:val="24"/>
          <w:szCs w:val="24"/>
          <w:u w:val="single"/>
          <w:lang w:eastAsia="en-GB"/>
        </w:rPr>
        <w:lastRenderedPageBreak/>
        <w:t>‘</w:t>
      </w:r>
      <w:r w:rsidRPr="00372F96">
        <w:rPr>
          <w:rFonts w:ascii="Arial" w:eastAsia="Times New Roman" w:hAnsi="Arial" w:cs="Arial"/>
          <w:b/>
          <w:bCs/>
          <w:i/>
          <w:iCs/>
          <w:sz w:val="24"/>
          <w:szCs w:val="24"/>
          <w:u w:val="single"/>
          <w:lang w:eastAsia="en-GB"/>
        </w:rPr>
        <w:t>Why is it necessary for independent bodies (</w:t>
      </w:r>
      <w:proofErr w:type="gramStart"/>
      <w:r w:rsidRPr="00372F96">
        <w:rPr>
          <w:rFonts w:ascii="Arial" w:eastAsia="Times New Roman" w:hAnsi="Arial" w:cs="Arial"/>
          <w:b/>
          <w:bCs/>
          <w:i/>
          <w:iCs/>
          <w:sz w:val="24"/>
          <w:szCs w:val="24"/>
          <w:u w:val="single"/>
          <w:lang w:eastAsia="en-GB"/>
        </w:rPr>
        <w:t>i.e.</w:t>
      </w:r>
      <w:proofErr w:type="gramEnd"/>
      <w:r w:rsidRPr="00372F96">
        <w:rPr>
          <w:rFonts w:ascii="Arial" w:eastAsia="Times New Roman" w:hAnsi="Arial" w:cs="Arial"/>
          <w:b/>
          <w:bCs/>
          <w:i/>
          <w:iCs/>
          <w:sz w:val="24"/>
          <w:szCs w:val="24"/>
          <w:u w:val="single"/>
          <w:lang w:eastAsia="en-GB"/>
        </w:rPr>
        <w:t xml:space="preserve"> IOPC) to hold police officers accountable?</w:t>
      </w:r>
      <w:r w:rsidRPr="00372F96">
        <w:rPr>
          <w:rFonts w:ascii="Arial" w:eastAsia="Times New Roman" w:hAnsi="Arial" w:cs="Arial"/>
          <w:b/>
          <w:bCs/>
          <w:i/>
          <w:iCs/>
          <w:sz w:val="24"/>
          <w:szCs w:val="24"/>
          <w:u w:val="single"/>
          <w:lang w:eastAsia="en-GB"/>
        </w:rPr>
        <w:t>’</w:t>
      </w:r>
    </w:p>
    <w:p w14:paraId="348FD1F4" w14:textId="77777777" w:rsidR="00372F96" w:rsidRPr="00372F96" w:rsidRDefault="00372F96" w:rsidP="00372F96">
      <w:pPr>
        <w:spacing w:after="0" w:line="276" w:lineRule="auto"/>
        <w:ind w:left="567" w:right="531"/>
        <w:rPr>
          <w:rFonts w:ascii="Arial" w:eastAsia="Times New Roman" w:hAnsi="Arial" w:cs="Arial"/>
          <w:sz w:val="24"/>
          <w:szCs w:val="24"/>
          <w:lang w:eastAsia="en-GB"/>
        </w:rPr>
      </w:pPr>
    </w:p>
    <w:p w14:paraId="0C764CD8"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r w:rsidRPr="00372F96">
        <w:rPr>
          <w:rFonts w:ascii="Arial" w:eastAsia="Times New Roman" w:hAnsi="Arial" w:cs="Arial"/>
          <w:sz w:val="24"/>
          <w:szCs w:val="24"/>
          <w:lang w:eastAsia="en-GB"/>
        </w:rPr>
        <w:t>Due to the nature of the role of a Police Officer in working closely with the public to deal with crime in a fair and equal way, it is essential that independent bodies can evaluate work carried out by Officers. This essay will focus on the need for independent police bodies to hold police officers accountable, through examining the Independent Office for Police Conduct (IOPC</w:t>
      </w:r>
      <w:proofErr w:type="gramStart"/>
      <w:r w:rsidRPr="00372F96">
        <w:rPr>
          <w:rFonts w:ascii="Arial" w:eastAsia="Times New Roman" w:hAnsi="Arial" w:cs="Arial"/>
          <w:sz w:val="24"/>
          <w:szCs w:val="24"/>
          <w:lang w:eastAsia="en-GB"/>
        </w:rPr>
        <w:t>), and</w:t>
      </w:r>
      <w:proofErr w:type="gramEnd"/>
      <w:r w:rsidRPr="00372F96">
        <w:rPr>
          <w:rFonts w:ascii="Arial" w:eastAsia="Times New Roman" w:hAnsi="Arial" w:cs="Arial"/>
          <w:sz w:val="24"/>
          <w:szCs w:val="24"/>
          <w:lang w:eastAsia="en-GB"/>
        </w:rPr>
        <w:t xml:space="preserve"> exploring their role when ensuring the complaints procedure is non-biased. </w:t>
      </w:r>
    </w:p>
    <w:p w14:paraId="316EADB9"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p>
    <w:p w14:paraId="7E0B4EF8"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r w:rsidRPr="00372F96">
        <w:rPr>
          <w:rFonts w:ascii="Arial" w:eastAsia="Times New Roman" w:hAnsi="Arial" w:cs="Arial"/>
          <w:sz w:val="24"/>
          <w:szCs w:val="24"/>
          <w:lang w:eastAsia="en-GB"/>
        </w:rPr>
        <w:t xml:space="preserve">The role of Police Officers is to serve the public through focusing on public protection and minimising crime. </w:t>
      </w:r>
      <w:proofErr w:type="gramStart"/>
      <w:r w:rsidRPr="00372F96">
        <w:rPr>
          <w:rFonts w:ascii="Arial" w:eastAsia="Times New Roman" w:hAnsi="Arial" w:cs="Arial"/>
          <w:sz w:val="24"/>
          <w:szCs w:val="24"/>
          <w:lang w:eastAsia="en-GB"/>
        </w:rPr>
        <w:t>In order for</w:t>
      </w:r>
      <w:proofErr w:type="gramEnd"/>
      <w:r w:rsidRPr="00372F96">
        <w:rPr>
          <w:rFonts w:ascii="Arial" w:eastAsia="Times New Roman" w:hAnsi="Arial" w:cs="Arial"/>
          <w:sz w:val="24"/>
          <w:szCs w:val="24"/>
          <w:lang w:eastAsia="en-GB"/>
        </w:rPr>
        <w:t xml:space="preserve"> Officers to serve the public in a fair manner, each officer must uphold the behaviours set out in the Police Code of Ethics. Information Resource Management Association (IRMA) (2019 p461) highlights that the Code of Ethics is based upon the original ‘</w:t>
      </w:r>
      <w:proofErr w:type="spellStart"/>
      <w:r w:rsidRPr="00372F96">
        <w:rPr>
          <w:rFonts w:ascii="Arial" w:eastAsia="Times New Roman" w:hAnsi="Arial" w:cs="Arial"/>
          <w:sz w:val="24"/>
          <w:szCs w:val="24"/>
          <w:lang w:eastAsia="en-GB"/>
        </w:rPr>
        <w:t>Peelian</w:t>
      </w:r>
      <w:proofErr w:type="spellEnd"/>
      <w:r w:rsidRPr="00372F96">
        <w:rPr>
          <w:rFonts w:ascii="Arial" w:eastAsia="Times New Roman" w:hAnsi="Arial" w:cs="Arial"/>
          <w:sz w:val="24"/>
          <w:szCs w:val="24"/>
          <w:lang w:eastAsia="en-GB"/>
        </w:rPr>
        <w:t xml:space="preserve"> Principles.’ The IRMA (2019) state that these principles ensure that Officers can remain accountable for their actions and underpin the values held by independent bodies. </w:t>
      </w:r>
      <w:proofErr w:type="spellStart"/>
      <w:r w:rsidRPr="00372F96">
        <w:rPr>
          <w:rFonts w:ascii="Arial" w:eastAsia="Times New Roman" w:hAnsi="Arial" w:cs="Arial"/>
          <w:sz w:val="24"/>
          <w:szCs w:val="24"/>
          <w:lang w:eastAsia="en-GB"/>
        </w:rPr>
        <w:t>Prenzler</w:t>
      </w:r>
      <w:proofErr w:type="spellEnd"/>
      <w:r w:rsidRPr="00372F96">
        <w:rPr>
          <w:rFonts w:ascii="Arial" w:eastAsia="Times New Roman" w:hAnsi="Arial" w:cs="Arial"/>
          <w:sz w:val="24"/>
          <w:szCs w:val="24"/>
          <w:lang w:eastAsia="en-GB"/>
        </w:rPr>
        <w:t xml:space="preserve"> (2009 p1) agrees with the ideas set out by the IRMA to an extent. </w:t>
      </w:r>
      <w:proofErr w:type="spellStart"/>
      <w:r w:rsidRPr="00372F96">
        <w:rPr>
          <w:rFonts w:ascii="Arial" w:eastAsia="Times New Roman" w:hAnsi="Arial" w:cs="Arial"/>
          <w:sz w:val="24"/>
          <w:szCs w:val="24"/>
          <w:lang w:eastAsia="en-GB"/>
        </w:rPr>
        <w:t>Prenzler</w:t>
      </w:r>
      <w:proofErr w:type="spellEnd"/>
      <w:r w:rsidRPr="00372F96">
        <w:rPr>
          <w:rFonts w:ascii="Arial" w:eastAsia="Times New Roman" w:hAnsi="Arial" w:cs="Arial"/>
          <w:sz w:val="24"/>
          <w:szCs w:val="24"/>
          <w:lang w:eastAsia="en-GB"/>
        </w:rPr>
        <w:t xml:space="preserve"> (2009) recognises that clear behavioural standards need to be in place in order to ensure Officers remain accountable and continue to serve the public which is also supported by the IRMA (2019). However, </w:t>
      </w:r>
      <w:proofErr w:type="spellStart"/>
      <w:r w:rsidRPr="00372F96">
        <w:rPr>
          <w:rFonts w:ascii="Arial" w:eastAsia="Times New Roman" w:hAnsi="Arial" w:cs="Arial"/>
          <w:sz w:val="24"/>
          <w:szCs w:val="24"/>
          <w:lang w:eastAsia="en-GB"/>
        </w:rPr>
        <w:t>Prenzler</w:t>
      </w:r>
      <w:proofErr w:type="spellEnd"/>
      <w:r w:rsidRPr="00372F96">
        <w:rPr>
          <w:rFonts w:ascii="Arial" w:eastAsia="Times New Roman" w:hAnsi="Arial" w:cs="Arial"/>
          <w:sz w:val="24"/>
          <w:szCs w:val="24"/>
          <w:lang w:eastAsia="en-GB"/>
        </w:rPr>
        <w:t xml:space="preserve"> (2009) goes further and explores the reasons behind the introduction of the ‘</w:t>
      </w:r>
      <w:proofErr w:type="spellStart"/>
      <w:r w:rsidRPr="00372F96">
        <w:rPr>
          <w:rFonts w:ascii="Arial" w:eastAsia="Times New Roman" w:hAnsi="Arial" w:cs="Arial"/>
          <w:sz w:val="24"/>
          <w:szCs w:val="24"/>
          <w:lang w:eastAsia="en-GB"/>
        </w:rPr>
        <w:t>Peelian</w:t>
      </w:r>
      <w:proofErr w:type="spellEnd"/>
      <w:r w:rsidRPr="00372F96">
        <w:rPr>
          <w:rFonts w:ascii="Arial" w:eastAsia="Times New Roman" w:hAnsi="Arial" w:cs="Arial"/>
          <w:sz w:val="24"/>
          <w:szCs w:val="24"/>
          <w:lang w:eastAsia="en-GB"/>
        </w:rPr>
        <w:t xml:space="preserve"> Principles.’ </w:t>
      </w:r>
      <w:proofErr w:type="spellStart"/>
      <w:r w:rsidRPr="00372F96">
        <w:rPr>
          <w:rFonts w:ascii="Arial" w:eastAsia="Times New Roman" w:hAnsi="Arial" w:cs="Arial"/>
          <w:sz w:val="24"/>
          <w:szCs w:val="24"/>
          <w:lang w:eastAsia="en-GB"/>
        </w:rPr>
        <w:t>Prenzler</w:t>
      </w:r>
      <w:proofErr w:type="spellEnd"/>
      <w:r w:rsidRPr="00372F96">
        <w:rPr>
          <w:rFonts w:ascii="Arial" w:eastAsia="Times New Roman" w:hAnsi="Arial" w:cs="Arial"/>
          <w:sz w:val="24"/>
          <w:szCs w:val="24"/>
          <w:lang w:eastAsia="en-GB"/>
        </w:rPr>
        <w:t xml:space="preserve"> (2009) states that prior to these principles there was a high incidence of Police corruption. The introduction of these principles saw a reduction in Police corruption. Both </w:t>
      </w:r>
      <w:proofErr w:type="spellStart"/>
      <w:r w:rsidRPr="00372F96">
        <w:rPr>
          <w:rFonts w:ascii="Arial" w:eastAsia="Times New Roman" w:hAnsi="Arial" w:cs="Arial"/>
          <w:sz w:val="24"/>
          <w:szCs w:val="24"/>
          <w:lang w:eastAsia="en-GB"/>
        </w:rPr>
        <w:t>Prenzler</w:t>
      </w:r>
      <w:proofErr w:type="spellEnd"/>
      <w:r w:rsidRPr="00372F96">
        <w:rPr>
          <w:rFonts w:ascii="Arial" w:eastAsia="Times New Roman" w:hAnsi="Arial" w:cs="Arial"/>
          <w:sz w:val="24"/>
          <w:szCs w:val="24"/>
          <w:lang w:eastAsia="en-GB"/>
        </w:rPr>
        <w:t xml:space="preserve"> (2009) and the IRMA (2019) agree that these principles underpin the Police Code of Ethics and are values that are held within the independent bodies. </w:t>
      </w:r>
    </w:p>
    <w:p w14:paraId="12E18C36"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p>
    <w:p w14:paraId="71CCC0DE"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r w:rsidRPr="00372F96">
        <w:rPr>
          <w:rFonts w:ascii="Arial" w:eastAsia="Times New Roman" w:hAnsi="Arial" w:cs="Arial"/>
          <w:sz w:val="24"/>
          <w:szCs w:val="24"/>
          <w:lang w:eastAsia="en-GB"/>
        </w:rPr>
        <w:t>Recent failings within the Police have highlighted areas in which Officer behaviours have fallen below the standards first presented within the ‘</w:t>
      </w:r>
      <w:proofErr w:type="spellStart"/>
      <w:r w:rsidRPr="00372F96">
        <w:rPr>
          <w:rFonts w:ascii="Arial" w:eastAsia="Times New Roman" w:hAnsi="Arial" w:cs="Arial"/>
          <w:sz w:val="24"/>
          <w:szCs w:val="24"/>
          <w:lang w:eastAsia="en-GB"/>
        </w:rPr>
        <w:t>Peelian</w:t>
      </w:r>
      <w:proofErr w:type="spellEnd"/>
      <w:r w:rsidRPr="00372F96">
        <w:rPr>
          <w:rFonts w:ascii="Arial" w:eastAsia="Times New Roman" w:hAnsi="Arial" w:cs="Arial"/>
          <w:sz w:val="24"/>
          <w:szCs w:val="24"/>
          <w:lang w:eastAsia="en-GB"/>
        </w:rPr>
        <w:t xml:space="preserve"> Principles.’ Rowe (2012 p45) explores the Brixton Riots (1981) and examines the way in which Police behaviour fell below the standards </w:t>
      </w:r>
      <w:r w:rsidRPr="00372F96">
        <w:rPr>
          <w:rFonts w:ascii="Arial" w:eastAsia="Times New Roman" w:hAnsi="Arial" w:cs="Arial"/>
          <w:sz w:val="24"/>
          <w:szCs w:val="24"/>
          <w:lang w:eastAsia="en-GB"/>
        </w:rPr>
        <w:lastRenderedPageBreak/>
        <w:t xml:space="preserve">expected by the public. During the riots, Officers targeted Black Males to perform stop and searches with no reasonable grounds to carry out the searches. This caused mass distrust between the public and the Police with the public accusing the Police of being racist.  Rowe (2012) states that the Scarman Report highlighted the need for change of Police Behaviour and stated that racist behaviour should be an offence, thus allowing Police Officers to be held accountable. Taylor (2022 p150) develops upon the arguments provided by Rowe (2012) and explores the Police failing within the Pilkington case. Taylor (2022) argues that Fiona Pilkington was a regular victim of Anti-Social behaviour, which she had reported to the Police on multiple occasions. However, in this case, the Police failed to act, leading to Pilkington committing suicide. Rowe (2012) highlighted how Police behaviour fell under the standard expected by the Public due to racism. However, Taylor (2022) argues that in the case of Pilkington, Police officers failed to protect Pilkington and her family, demonstrating behaviour that falls below the expected standard. Although Rowe (2012) and Taylor (2022) have opposing arguments and demonstrate different Police failings, both agree that there are ongoing instances where Police Officer behaviour does not follow the Police Code of Ethics. This further reinforces the importance of having an independent body who can regulate and monitor Officer behaviour to ensure that cases like this do not reoccur. </w:t>
      </w:r>
    </w:p>
    <w:p w14:paraId="570FE8E7"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p>
    <w:p w14:paraId="1866C142"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p>
    <w:p w14:paraId="3910C490"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r w:rsidRPr="00372F96">
        <w:rPr>
          <w:rFonts w:ascii="Arial" w:eastAsia="Times New Roman" w:hAnsi="Arial" w:cs="Arial"/>
          <w:sz w:val="24"/>
          <w:szCs w:val="24"/>
          <w:lang w:eastAsia="en-GB"/>
        </w:rPr>
        <w:t xml:space="preserve">The Independent for Police Officer Conduct (IOPC) was first introduced as part of the Police and Reform Act 2002. </w:t>
      </w:r>
      <w:proofErr w:type="spellStart"/>
      <w:r w:rsidRPr="00372F96">
        <w:rPr>
          <w:rFonts w:ascii="Arial" w:eastAsia="Times New Roman" w:hAnsi="Arial" w:cs="Arial"/>
          <w:sz w:val="24"/>
          <w:szCs w:val="24"/>
          <w:lang w:eastAsia="en-GB"/>
        </w:rPr>
        <w:t>Beggs</w:t>
      </w:r>
      <w:proofErr w:type="spellEnd"/>
      <w:r w:rsidRPr="00372F96">
        <w:rPr>
          <w:rFonts w:ascii="Arial" w:eastAsia="Times New Roman" w:hAnsi="Arial" w:cs="Arial"/>
          <w:sz w:val="24"/>
          <w:szCs w:val="24"/>
          <w:lang w:eastAsia="en-GB"/>
        </w:rPr>
        <w:t xml:space="preserve"> and Davies (2009 p50) explain that the IOPC was developed after Police failings were identified following the Brixton Riots (1981). </w:t>
      </w:r>
      <w:proofErr w:type="spellStart"/>
      <w:r w:rsidRPr="00372F96">
        <w:rPr>
          <w:rFonts w:ascii="Arial" w:eastAsia="Times New Roman" w:hAnsi="Arial" w:cs="Arial"/>
          <w:sz w:val="24"/>
          <w:szCs w:val="24"/>
          <w:lang w:eastAsia="en-GB"/>
        </w:rPr>
        <w:t>Beggs</w:t>
      </w:r>
      <w:proofErr w:type="spellEnd"/>
      <w:r w:rsidRPr="00372F96">
        <w:rPr>
          <w:rFonts w:ascii="Arial" w:eastAsia="Times New Roman" w:hAnsi="Arial" w:cs="Arial"/>
          <w:sz w:val="24"/>
          <w:szCs w:val="24"/>
          <w:lang w:eastAsia="en-GB"/>
        </w:rPr>
        <w:t xml:space="preserve"> and Davies (2009) provide a deeper explanation of the recommendations within the Scarman Report (1989), compared with Rowe (2012). </w:t>
      </w:r>
      <w:proofErr w:type="spellStart"/>
      <w:r w:rsidRPr="00372F96">
        <w:rPr>
          <w:rFonts w:ascii="Arial" w:eastAsia="Times New Roman" w:hAnsi="Arial" w:cs="Arial"/>
          <w:sz w:val="24"/>
          <w:szCs w:val="24"/>
          <w:lang w:eastAsia="en-GB"/>
        </w:rPr>
        <w:t>Beggs</w:t>
      </w:r>
      <w:proofErr w:type="spellEnd"/>
      <w:r w:rsidRPr="00372F96">
        <w:rPr>
          <w:rFonts w:ascii="Arial" w:eastAsia="Times New Roman" w:hAnsi="Arial" w:cs="Arial"/>
          <w:sz w:val="24"/>
          <w:szCs w:val="24"/>
          <w:lang w:eastAsia="en-GB"/>
        </w:rPr>
        <w:t xml:space="preserve"> and Davies (2009) state that a key recommendation within the Scarman Report (1989) was the formation of an independent Police body to investigate the complaints regarding Police behaviour and actions. The argument for this was to promote a fair and transparent approach to the public and to promote trusting </w:t>
      </w:r>
      <w:r w:rsidRPr="00372F96">
        <w:rPr>
          <w:rFonts w:ascii="Arial" w:eastAsia="Times New Roman" w:hAnsi="Arial" w:cs="Arial"/>
          <w:sz w:val="24"/>
          <w:szCs w:val="24"/>
          <w:lang w:eastAsia="en-GB"/>
        </w:rPr>
        <w:lastRenderedPageBreak/>
        <w:t>relationships. Therefore, the IOPC was formed with the intention to bring change to the Police service, to provide a focus on justice, to ensure that Human Rights are upheld for the public, and to minimise Police corruption (</w:t>
      </w:r>
      <w:proofErr w:type="spellStart"/>
      <w:r w:rsidRPr="00372F96">
        <w:rPr>
          <w:rFonts w:ascii="Arial" w:eastAsia="Times New Roman" w:hAnsi="Arial" w:cs="Arial"/>
          <w:sz w:val="24"/>
          <w:szCs w:val="24"/>
          <w:lang w:eastAsia="en-GB"/>
        </w:rPr>
        <w:t>Beggs</w:t>
      </w:r>
      <w:proofErr w:type="spellEnd"/>
      <w:r w:rsidRPr="00372F96">
        <w:rPr>
          <w:rFonts w:ascii="Arial" w:eastAsia="Times New Roman" w:hAnsi="Arial" w:cs="Arial"/>
          <w:sz w:val="24"/>
          <w:szCs w:val="24"/>
          <w:lang w:eastAsia="en-GB"/>
        </w:rPr>
        <w:t xml:space="preserve"> and Davies 2009). It can be argued that the formation of the IOPC provides the opportunity to hold Police officers accountable for their actions by independently investigating complaints raised by the public in a non-biased way (</w:t>
      </w:r>
      <w:proofErr w:type="spellStart"/>
      <w:r w:rsidRPr="00372F96">
        <w:rPr>
          <w:rFonts w:ascii="Arial" w:eastAsia="Times New Roman" w:hAnsi="Arial" w:cs="Arial"/>
          <w:sz w:val="24"/>
          <w:szCs w:val="24"/>
          <w:lang w:eastAsia="en-GB"/>
        </w:rPr>
        <w:t>Beggs</w:t>
      </w:r>
      <w:proofErr w:type="spellEnd"/>
      <w:r w:rsidRPr="00372F96">
        <w:rPr>
          <w:rFonts w:ascii="Arial" w:eastAsia="Times New Roman" w:hAnsi="Arial" w:cs="Arial"/>
          <w:sz w:val="24"/>
          <w:szCs w:val="24"/>
          <w:lang w:eastAsia="en-GB"/>
        </w:rPr>
        <w:t xml:space="preserve"> and Davies 2009). This allows trust to be built between the Police and public. However, it may be argued that the IOPC can question an Officers discretion when dealing with a case, even though they were not present at the scene. This could create a barrier between the independent body and an Officer and may lead to experienced officers being fearful of utilising knowledge and discretion when serving the public (Elliot and Thomas 2020, p908). Ultimately, the IOPC has been very effective in promoting trust between Police and Public, however, it can make experienced Officers fearful to use their knowledge in fear of being held accountable by people </w:t>
      </w:r>
      <w:proofErr w:type="gramStart"/>
      <w:r w:rsidRPr="00372F96">
        <w:rPr>
          <w:rFonts w:ascii="Arial" w:eastAsia="Times New Roman" w:hAnsi="Arial" w:cs="Arial"/>
          <w:sz w:val="24"/>
          <w:szCs w:val="24"/>
          <w:lang w:eastAsia="en-GB"/>
        </w:rPr>
        <w:t>not present</w:t>
      </w:r>
      <w:proofErr w:type="gramEnd"/>
      <w:r w:rsidRPr="00372F96">
        <w:rPr>
          <w:rFonts w:ascii="Arial" w:eastAsia="Times New Roman" w:hAnsi="Arial" w:cs="Arial"/>
          <w:sz w:val="24"/>
          <w:szCs w:val="24"/>
          <w:lang w:eastAsia="en-GB"/>
        </w:rPr>
        <w:t xml:space="preserve"> at the scene, for a decision they felt knowledgeable to make. </w:t>
      </w:r>
    </w:p>
    <w:p w14:paraId="53519C02"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p>
    <w:p w14:paraId="7CDACE71"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r w:rsidRPr="00372F96">
        <w:rPr>
          <w:rFonts w:ascii="Arial" w:eastAsia="Times New Roman" w:hAnsi="Arial" w:cs="Arial"/>
          <w:sz w:val="24"/>
          <w:szCs w:val="24"/>
          <w:lang w:eastAsia="en-GB"/>
        </w:rPr>
        <w:t xml:space="preserve">Although the IOPC are a strong and independent body, it is essential that some, less serious complaints are dealt with locally. Within each local Police Force, there is a Professional Standards Department (PSD). The importance of PSD is strongly emphasised by the College of Policing (2014), who identify that PSD are responsible for reviewing the less serious allegations made towards Officers and dealing with these at a local level. PSD ensure that the standard of Officer behaviour does not fall under the expected level and that Officer actions are scrutinised in line with the Code of Ethics (College of Policing 2014). PSD are key in holding Officers accountable when mistakes have been made. Unlike the IOPC, PSD are based within local Police Forces and may have more knowledge and experience of the surrounding areas, therefore PSD may have more understanding when Officers have used their discretion. It may be argued that PSD are a more effective independent body as they have an understanding from a Police perspective as well as serving the Public. </w:t>
      </w:r>
    </w:p>
    <w:p w14:paraId="712EBD75"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p>
    <w:p w14:paraId="29272DD0"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r w:rsidRPr="00372F96">
        <w:rPr>
          <w:rFonts w:ascii="Arial" w:eastAsia="Times New Roman" w:hAnsi="Arial" w:cs="Arial"/>
          <w:sz w:val="24"/>
          <w:szCs w:val="24"/>
          <w:lang w:eastAsia="en-GB"/>
        </w:rPr>
        <w:lastRenderedPageBreak/>
        <w:t xml:space="preserve">In conclusion, independent bodies are crucial in ensuring officers are held accountable for their actions. Previous Police failings have highlighted a lack of accountability and have shown massive breakdowns in Police-Public relations. It is essential that Police Independent Bodies regulate and monitor Police actions to promote trust with the Public and ensure they are served in a fair manner. </w:t>
      </w:r>
    </w:p>
    <w:p w14:paraId="5F154539" w14:textId="77777777" w:rsidR="00372F96" w:rsidRPr="00372F96" w:rsidRDefault="00372F96" w:rsidP="00372F96">
      <w:pPr>
        <w:spacing w:after="0" w:line="360" w:lineRule="auto"/>
        <w:ind w:left="567" w:right="531"/>
        <w:rPr>
          <w:rFonts w:ascii="Arial" w:eastAsia="Times New Roman" w:hAnsi="Arial" w:cs="Arial"/>
          <w:sz w:val="24"/>
          <w:szCs w:val="24"/>
          <w:lang w:eastAsia="en-GB"/>
        </w:rPr>
      </w:pPr>
    </w:p>
    <w:p w14:paraId="4E0D928B" w14:textId="77777777" w:rsidR="00372F96" w:rsidRPr="00372F96" w:rsidRDefault="00372F96" w:rsidP="00372F96">
      <w:pPr>
        <w:spacing w:after="0" w:line="276" w:lineRule="auto"/>
        <w:ind w:left="567" w:right="531"/>
        <w:rPr>
          <w:rFonts w:ascii="Arial" w:eastAsia="Times New Roman" w:hAnsi="Arial" w:cs="Arial"/>
          <w:sz w:val="24"/>
          <w:szCs w:val="24"/>
          <w:lang w:eastAsia="en-GB"/>
        </w:rPr>
      </w:pPr>
      <w:r w:rsidRPr="00372F96">
        <w:rPr>
          <w:rFonts w:ascii="Arial" w:eastAsia="Times New Roman" w:hAnsi="Arial" w:cs="Arial"/>
          <w:sz w:val="24"/>
          <w:szCs w:val="24"/>
          <w:lang w:eastAsia="en-GB"/>
        </w:rPr>
        <w:t xml:space="preserve">(1099 words) </w:t>
      </w:r>
    </w:p>
    <w:p w14:paraId="79BBBB7B" w14:textId="77777777" w:rsidR="00372F96" w:rsidRPr="00372F96" w:rsidRDefault="00372F96" w:rsidP="00372F96">
      <w:pPr>
        <w:spacing w:after="0" w:line="276" w:lineRule="auto"/>
        <w:ind w:left="567" w:right="531"/>
        <w:rPr>
          <w:rFonts w:ascii="Arial" w:eastAsia="Times New Roman" w:hAnsi="Arial" w:cs="Arial"/>
          <w:sz w:val="24"/>
          <w:szCs w:val="24"/>
          <w:lang w:eastAsia="en-GB"/>
        </w:rPr>
      </w:pPr>
    </w:p>
    <w:p w14:paraId="3214477C" w14:textId="77777777" w:rsidR="00372F96" w:rsidRPr="00372F96" w:rsidRDefault="00372F96" w:rsidP="00372F96">
      <w:pPr>
        <w:spacing w:after="0" w:line="276" w:lineRule="auto"/>
        <w:ind w:left="567" w:right="531"/>
        <w:rPr>
          <w:rFonts w:ascii="Arial" w:eastAsia="Times New Roman" w:hAnsi="Arial" w:cs="Arial"/>
          <w:sz w:val="24"/>
          <w:szCs w:val="24"/>
          <w:lang w:eastAsia="en-GB"/>
        </w:rPr>
      </w:pPr>
    </w:p>
    <w:p w14:paraId="60422DCB" w14:textId="4E84EC7B" w:rsidR="00372F96" w:rsidRPr="00372F96" w:rsidRDefault="00372F96" w:rsidP="00372F96">
      <w:pPr>
        <w:spacing w:after="0" w:line="276" w:lineRule="auto"/>
        <w:ind w:left="567" w:right="531"/>
        <w:rPr>
          <w:rFonts w:ascii="Arial" w:hAnsi="Arial" w:cs="Arial"/>
          <w:sz w:val="24"/>
          <w:szCs w:val="24"/>
        </w:rPr>
      </w:pPr>
      <w:r w:rsidRPr="00372F96">
        <w:rPr>
          <w:rFonts w:ascii="Arial" w:eastAsia="Times New Roman" w:hAnsi="Arial" w:cs="Arial"/>
          <w:b/>
          <w:bCs/>
          <w:sz w:val="24"/>
          <w:szCs w:val="24"/>
          <w:lang w:eastAsia="en-GB"/>
        </w:rPr>
        <w:br/>
      </w:r>
    </w:p>
    <w:p w14:paraId="42EB470F" w14:textId="59969F54" w:rsidR="00372F96" w:rsidRDefault="00372F96" w:rsidP="00372F96">
      <w:pPr>
        <w:spacing w:after="0" w:line="276" w:lineRule="auto"/>
        <w:ind w:left="567" w:right="531"/>
        <w:rPr>
          <w:rFonts w:ascii="Arial" w:eastAsia="Times New Roman" w:hAnsi="Arial" w:cs="Arial"/>
          <w:sz w:val="24"/>
          <w:szCs w:val="24"/>
          <w:lang w:eastAsia="en-GB"/>
        </w:rPr>
      </w:pPr>
    </w:p>
    <w:p w14:paraId="026B451E" w14:textId="68473D14" w:rsidR="00372F96" w:rsidRDefault="00372F96" w:rsidP="00372F96">
      <w:pPr>
        <w:spacing w:after="0" w:line="276" w:lineRule="auto"/>
        <w:ind w:left="567" w:right="531"/>
        <w:rPr>
          <w:rFonts w:ascii="Arial" w:eastAsia="Times New Roman" w:hAnsi="Arial" w:cs="Arial"/>
          <w:sz w:val="24"/>
          <w:szCs w:val="24"/>
          <w:lang w:eastAsia="en-GB"/>
        </w:rPr>
      </w:pPr>
    </w:p>
    <w:p w14:paraId="5BA9B63A" w14:textId="77777777" w:rsidR="00372F96" w:rsidRDefault="00372F96" w:rsidP="00372F96">
      <w:pPr>
        <w:spacing w:after="0" w:line="276" w:lineRule="auto"/>
        <w:ind w:left="567" w:right="531"/>
        <w:rPr>
          <w:rFonts w:ascii="Arial" w:eastAsia="Times New Roman" w:hAnsi="Arial" w:cs="Arial"/>
          <w:b/>
          <w:bCs/>
          <w:sz w:val="24"/>
          <w:szCs w:val="24"/>
          <w:u w:val="single"/>
          <w:lang w:eastAsia="en-GB"/>
        </w:rPr>
      </w:pPr>
    </w:p>
    <w:p w14:paraId="35475FD9" w14:textId="77777777" w:rsidR="00372F96" w:rsidRDefault="00372F96" w:rsidP="00372F96">
      <w:pPr>
        <w:spacing w:after="0" w:line="276" w:lineRule="auto"/>
        <w:ind w:left="567" w:right="531"/>
        <w:rPr>
          <w:rFonts w:ascii="Arial" w:eastAsia="Times New Roman" w:hAnsi="Arial" w:cs="Arial"/>
          <w:b/>
          <w:bCs/>
          <w:sz w:val="24"/>
          <w:szCs w:val="24"/>
          <w:u w:val="single"/>
          <w:lang w:eastAsia="en-GB"/>
        </w:rPr>
      </w:pPr>
    </w:p>
    <w:p w14:paraId="1C01E955" w14:textId="77777777" w:rsidR="00372F96" w:rsidRDefault="00372F96" w:rsidP="00372F96">
      <w:pPr>
        <w:spacing w:after="0" w:line="276" w:lineRule="auto"/>
        <w:ind w:left="567" w:right="531"/>
        <w:rPr>
          <w:rFonts w:ascii="Arial" w:eastAsia="Times New Roman" w:hAnsi="Arial" w:cs="Arial"/>
          <w:b/>
          <w:bCs/>
          <w:sz w:val="24"/>
          <w:szCs w:val="24"/>
          <w:u w:val="single"/>
          <w:lang w:eastAsia="en-GB"/>
        </w:rPr>
      </w:pPr>
    </w:p>
    <w:p w14:paraId="7BC72453" w14:textId="77777777" w:rsidR="00372F96" w:rsidRDefault="00372F96" w:rsidP="00372F96">
      <w:pPr>
        <w:spacing w:after="0" w:line="276" w:lineRule="auto"/>
        <w:ind w:left="567" w:right="531"/>
        <w:rPr>
          <w:rFonts w:ascii="Arial" w:eastAsia="Times New Roman" w:hAnsi="Arial" w:cs="Arial"/>
          <w:b/>
          <w:bCs/>
          <w:sz w:val="24"/>
          <w:szCs w:val="24"/>
          <w:u w:val="single"/>
          <w:lang w:eastAsia="en-GB"/>
        </w:rPr>
      </w:pPr>
    </w:p>
    <w:p w14:paraId="4AA26BE9" w14:textId="77777777" w:rsidR="00372F96" w:rsidRDefault="00372F96" w:rsidP="00372F96">
      <w:pPr>
        <w:spacing w:after="0" w:line="276" w:lineRule="auto"/>
        <w:ind w:left="567" w:right="531"/>
        <w:rPr>
          <w:rFonts w:ascii="Arial" w:eastAsia="Times New Roman" w:hAnsi="Arial" w:cs="Arial"/>
          <w:b/>
          <w:bCs/>
          <w:sz w:val="24"/>
          <w:szCs w:val="24"/>
          <w:u w:val="single"/>
          <w:lang w:eastAsia="en-GB"/>
        </w:rPr>
      </w:pPr>
    </w:p>
    <w:p w14:paraId="68A3CE66" w14:textId="77777777" w:rsidR="00372F96" w:rsidRDefault="00372F96" w:rsidP="00372F96">
      <w:pPr>
        <w:spacing w:after="0" w:line="276" w:lineRule="auto"/>
        <w:ind w:left="567" w:right="531"/>
        <w:rPr>
          <w:rFonts w:ascii="Arial" w:eastAsia="Times New Roman" w:hAnsi="Arial" w:cs="Arial"/>
          <w:b/>
          <w:bCs/>
          <w:sz w:val="24"/>
          <w:szCs w:val="24"/>
          <w:u w:val="single"/>
          <w:lang w:eastAsia="en-GB"/>
        </w:rPr>
      </w:pPr>
    </w:p>
    <w:p w14:paraId="7002E2DD" w14:textId="77777777" w:rsidR="00372F96" w:rsidRDefault="00372F96" w:rsidP="00372F96">
      <w:pPr>
        <w:spacing w:after="0" w:line="276" w:lineRule="auto"/>
        <w:ind w:left="567" w:right="531"/>
        <w:rPr>
          <w:rFonts w:ascii="Arial" w:eastAsia="Times New Roman" w:hAnsi="Arial" w:cs="Arial"/>
          <w:b/>
          <w:bCs/>
          <w:sz w:val="24"/>
          <w:szCs w:val="24"/>
          <w:u w:val="single"/>
          <w:lang w:eastAsia="en-GB"/>
        </w:rPr>
      </w:pPr>
    </w:p>
    <w:p w14:paraId="016F87D2" w14:textId="77777777" w:rsidR="00372F96" w:rsidRDefault="00372F96" w:rsidP="00372F96">
      <w:pPr>
        <w:spacing w:after="0" w:line="276" w:lineRule="auto"/>
        <w:ind w:left="567" w:right="531"/>
        <w:rPr>
          <w:rFonts w:ascii="Arial" w:eastAsia="Times New Roman" w:hAnsi="Arial" w:cs="Arial"/>
          <w:b/>
          <w:bCs/>
          <w:sz w:val="24"/>
          <w:szCs w:val="24"/>
          <w:u w:val="single"/>
          <w:lang w:eastAsia="en-GB"/>
        </w:rPr>
      </w:pPr>
    </w:p>
    <w:p w14:paraId="38977198" w14:textId="77777777" w:rsidR="00372F96" w:rsidRDefault="00372F96" w:rsidP="00372F96">
      <w:pPr>
        <w:spacing w:after="0" w:line="276" w:lineRule="auto"/>
        <w:ind w:left="567" w:right="531"/>
        <w:rPr>
          <w:rFonts w:ascii="Arial" w:eastAsia="Times New Roman" w:hAnsi="Arial" w:cs="Arial"/>
          <w:b/>
          <w:bCs/>
          <w:sz w:val="24"/>
          <w:szCs w:val="24"/>
          <w:u w:val="single"/>
          <w:lang w:eastAsia="en-GB"/>
        </w:rPr>
      </w:pPr>
    </w:p>
    <w:p w14:paraId="4A9C1548" w14:textId="77777777" w:rsidR="00372F96" w:rsidRDefault="00372F96" w:rsidP="00372F96">
      <w:pPr>
        <w:spacing w:after="0" w:line="276" w:lineRule="auto"/>
        <w:ind w:left="567" w:right="531"/>
        <w:rPr>
          <w:rFonts w:ascii="Arial" w:eastAsia="Times New Roman" w:hAnsi="Arial" w:cs="Arial"/>
          <w:b/>
          <w:bCs/>
          <w:sz w:val="24"/>
          <w:szCs w:val="24"/>
          <w:u w:val="single"/>
          <w:lang w:eastAsia="en-GB"/>
        </w:rPr>
      </w:pPr>
    </w:p>
    <w:p w14:paraId="6FEBFD99" w14:textId="77777777" w:rsidR="00372F96" w:rsidRDefault="00372F96" w:rsidP="00372F96">
      <w:pPr>
        <w:spacing w:after="0" w:line="276" w:lineRule="auto"/>
        <w:ind w:left="567" w:right="531"/>
        <w:rPr>
          <w:rFonts w:ascii="Arial" w:eastAsia="Times New Roman" w:hAnsi="Arial" w:cs="Arial"/>
          <w:b/>
          <w:bCs/>
          <w:sz w:val="24"/>
          <w:szCs w:val="24"/>
          <w:u w:val="single"/>
          <w:lang w:eastAsia="en-GB"/>
        </w:rPr>
      </w:pPr>
    </w:p>
    <w:p w14:paraId="29D4AAA1" w14:textId="77777777" w:rsidR="00372F96" w:rsidRDefault="00372F96" w:rsidP="00372F96">
      <w:pPr>
        <w:spacing w:after="0" w:line="276" w:lineRule="auto"/>
        <w:ind w:left="567" w:right="531"/>
        <w:rPr>
          <w:rFonts w:ascii="Arial" w:eastAsia="Times New Roman" w:hAnsi="Arial" w:cs="Arial"/>
          <w:b/>
          <w:bCs/>
          <w:sz w:val="24"/>
          <w:szCs w:val="24"/>
          <w:u w:val="single"/>
          <w:lang w:eastAsia="en-GB"/>
        </w:rPr>
      </w:pPr>
    </w:p>
    <w:p w14:paraId="2295E5E8" w14:textId="77777777" w:rsidR="00372F96" w:rsidRDefault="00372F96" w:rsidP="00372F96">
      <w:pPr>
        <w:spacing w:after="0" w:line="276" w:lineRule="auto"/>
        <w:ind w:left="567" w:right="531"/>
        <w:rPr>
          <w:rFonts w:ascii="Arial" w:eastAsia="Times New Roman" w:hAnsi="Arial" w:cs="Arial"/>
          <w:b/>
          <w:bCs/>
          <w:sz w:val="24"/>
          <w:szCs w:val="24"/>
          <w:u w:val="single"/>
          <w:lang w:eastAsia="en-GB"/>
        </w:rPr>
      </w:pPr>
    </w:p>
    <w:p w14:paraId="37E19D76" w14:textId="77777777" w:rsidR="00372F96" w:rsidRDefault="00372F96" w:rsidP="00372F96">
      <w:pPr>
        <w:spacing w:after="0" w:line="276" w:lineRule="auto"/>
        <w:ind w:left="567" w:right="531"/>
        <w:rPr>
          <w:rFonts w:ascii="Arial" w:eastAsia="Times New Roman" w:hAnsi="Arial" w:cs="Arial"/>
          <w:b/>
          <w:bCs/>
          <w:sz w:val="24"/>
          <w:szCs w:val="24"/>
          <w:u w:val="single"/>
          <w:lang w:eastAsia="en-GB"/>
        </w:rPr>
      </w:pPr>
    </w:p>
    <w:p w14:paraId="12B31076" w14:textId="77777777" w:rsidR="00372F96" w:rsidRDefault="00372F96" w:rsidP="00372F96">
      <w:pPr>
        <w:spacing w:after="0" w:line="276" w:lineRule="auto"/>
        <w:ind w:left="567" w:right="531"/>
        <w:rPr>
          <w:rFonts w:ascii="Arial" w:eastAsia="Times New Roman" w:hAnsi="Arial" w:cs="Arial"/>
          <w:b/>
          <w:bCs/>
          <w:sz w:val="24"/>
          <w:szCs w:val="24"/>
          <w:u w:val="single"/>
          <w:lang w:eastAsia="en-GB"/>
        </w:rPr>
      </w:pPr>
    </w:p>
    <w:p w14:paraId="4B505209" w14:textId="77777777" w:rsidR="00372F96" w:rsidRDefault="00372F96" w:rsidP="00372F96">
      <w:pPr>
        <w:spacing w:after="0" w:line="276" w:lineRule="auto"/>
        <w:ind w:left="567" w:right="531"/>
        <w:rPr>
          <w:rFonts w:ascii="Arial" w:eastAsia="Times New Roman" w:hAnsi="Arial" w:cs="Arial"/>
          <w:b/>
          <w:bCs/>
          <w:sz w:val="24"/>
          <w:szCs w:val="24"/>
          <w:u w:val="single"/>
          <w:lang w:eastAsia="en-GB"/>
        </w:rPr>
      </w:pPr>
    </w:p>
    <w:p w14:paraId="25C7FF78" w14:textId="77777777" w:rsidR="00372F96" w:rsidRDefault="00372F96" w:rsidP="00372F96">
      <w:pPr>
        <w:spacing w:after="0" w:line="276" w:lineRule="auto"/>
        <w:ind w:left="567" w:right="531"/>
        <w:rPr>
          <w:rFonts w:ascii="Arial" w:eastAsia="Times New Roman" w:hAnsi="Arial" w:cs="Arial"/>
          <w:b/>
          <w:bCs/>
          <w:sz w:val="24"/>
          <w:szCs w:val="24"/>
          <w:u w:val="single"/>
          <w:lang w:eastAsia="en-GB"/>
        </w:rPr>
      </w:pPr>
    </w:p>
    <w:p w14:paraId="1819EFF4" w14:textId="77777777" w:rsidR="00372F96" w:rsidRDefault="00372F96" w:rsidP="00372F96">
      <w:pPr>
        <w:spacing w:after="0" w:line="276" w:lineRule="auto"/>
        <w:ind w:left="567" w:right="531"/>
        <w:rPr>
          <w:rFonts w:ascii="Arial" w:eastAsia="Times New Roman" w:hAnsi="Arial" w:cs="Arial"/>
          <w:b/>
          <w:bCs/>
          <w:sz w:val="24"/>
          <w:szCs w:val="24"/>
          <w:u w:val="single"/>
          <w:lang w:eastAsia="en-GB"/>
        </w:rPr>
      </w:pPr>
    </w:p>
    <w:p w14:paraId="2E043567" w14:textId="77777777" w:rsidR="00372F96" w:rsidRDefault="00372F96" w:rsidP="00372F96">
      <w:pPr>
        <w:spacing w:after="0" w:line="276" w:lineRule="auto"/>
        <w:ind w:left="567" w:right="531"/>
        <w:rPr>
          <w:rFonts w:ascii="Arial" w:eastAsia="Times New Roman" w:hAnsi="Arial" w:cs="Arial"/>
          <w:b/>
          <w:bCs/>
          <w:sz w:val="24"/>
          <w:szCs w:val="24"/>
          <w:u w:val="single"/>
          <w:lang w:eastAsia="en-GB"/>
        </w:rPr>
      </w:pPr>
    </w:p>
    <w:p w14:paraId="69C24FC6" w14:textId="77777777" w:rsidR="00372F96" w:rsidRDefault="00372F96" w:rsidP="00372F96">
      <w:pPr>
        <w:spacing w:after="0" w:line="276" w:lineRule="auto"/>
        <w:ind w:left="567" w:right="531"/>
        <w:rPr>
          <w:rFonts w:ascii="Arial" w:eastAsia="Times New Roman" w:hAnsi="Arial" w:cs="Arial"/>
          <w:b/>
          <w:bCs/>
          <w:sz w:val="24"/>
          <w:szCs w:val="24"/>
          <w:u w:val="single"/>
          <w:lang w:eastAsia="en-GB"/>
        </w:rPr>
      </w:pPr>
    </w:p>
    <w:p w14:paraId="3BBE86E4" w14:textId="77777777" w:rsidR="00372F96" w:rsidRDefault="00372F96" w:rsidP="00372F96">
      <w:pPr>
        <w:spacing w:after="0" w:line="276" w:lineRule="auto"/>
        <w:ind w:left="567" w:right="531"/>
        <w:rPr>
          <w:rFonts w:ascii="Arial" w:eastAsia="Times New Roman" w:hAnsi="Arial" w:cs="Arial"/>
          <w:b/>
          <w:bCs/>
          <w:sz w:val="24"/>
          <w:szCs w:val="24"/>
          <w:u w:val="single"/>
          <w:lang w:eastAsia="en-GB"/>
        </w:rPr>
      </w:pPr>
    </w:p>
    <w:p w14:paraId="7E4FFEB5" w14:textId="77777777" w:rsidR="00372F96" w:rsidRDefault="00372F96" w:rsidP="00372F96">
      <w:pPr>
        <w:spacing w:after="0" w:line="276" w:lineRule="auto"/>
        <w:ind w:left="567" w:right="531"/>
        <w:rPr>
          <w:rFonts w:ascii="Arial" w:eastAsia="Times New Roman" w:hAnsi="Arial" w:cs="Arial"/>
          <w:b/>
          <w:bCs/>
          <w:sz w:val="24"/>
          <w:szCs w:val="24"/>
          <w:u w:val="single"/>
          <w:lang w:eastAsia="en-GB"/>
        </w:rPr>
      </w:pPr>
    </w:p>
    <w:p w14:paraId="2AA7BA45" w14:textId="77777777" w:rsidR="00372F96" w:rsidRDefault="00372F96" w:rsidP="00372F96">
      <w:pPr>
        <w:spacing w:after="0" w:line="276" w:lineRule="auto"/>
        <w:ind w:left="567" w:right="531"/>
        <w:rPr>
          <w:rFonts w:ascii="Arial" w:eastAsia="Times New Roman" w:hAnsi="Arial" w:cs="Arial"/>
          <w:b/>
          <w:bCs/>
          <w:sz w:val="24"/>
          <w:szCs w:val="24"/>
          <w:u w:val="single"/>
          <w:lang w:eastAsia="en-GB"/>
        </w:rPr>
      </w:pPr>
    </w:p>
    <w:p w14:paraId="7971CA76" w14:textId="77777777" w:rsidR="00372F96" w:rsidRDefault="00372F96" w:rsidP="00372F96">
      <w:pPr>
        <w:spacing w:after="0" w:line="276" w:lineRule="auto"/>
        <w:ind w:left="567" w:right="531"/>
        <w:rPr>
          <w:rFonts w:ascii="Arial" w:eastAsia="Times New Roman" w:hAnsi="Arial" w:cs="Arial"/>
          <w:b/>
          <w:bCs/>
          <w:sz w:val="24"/>
          <w:szCs w:val="24"/>
          <w:u w:val="single"/>
          <w:lang w:eastAsia="en-GB"/>
        </w:rPr>
      </w:pPr>
    </w:p>
    <w:p w14:paraId="15B9F083" w14:textId="77777777" w:rsidR="00372F96" w:rsidRDefault="00372F96" w:rsidP="00372F96">
      <w:pPr>
        <w:spacing w:after="0" w:line="276" w:lineRule="auto"/>
        <w:ind w:left="567" w:right="531"/>
        <w:rPr>
          <w:rFonts w:ascii="Arial" w:eastAsia="Times New Roman" w:hAnsi="Arial" w:cs="Arial"/>
          <w:b/>
          <w:bCs/>
          <w:sz w:val="24"/>
          <w:szCs w:val="24"/>
          <w:u w:val="single"/>
          <w:lang w:eastAsia="en-GB"/>
        </w:rPr>
      </w:pPr>
    </w:p>
    <w:p w14:paraId="2A9EEC10" w14:textId="77777777" w:rsidR="00372F96" w:rsidRDefault="00372F96" w:rsidP="00372F96">
      <w:pPr>
        <w:spacing w:after="0" w:line="276" w:lineRule="auto"/>
        <w:ind w:left="567" w:right="531"/>
        <w:rPr>
          <w:rFonts w:ascii="Arial" w:eastAsia="Times New Roman" w:hAnsi="Arial" w:cs="Arial"/>
          <w:b/>
          <w:bCs/>
          <w:sz w:val="24"/>
          <w:szCs w:val="24"/>
          <w:u w:val="single"/>
          <w:lang w:eastAsia="en-GB"/>
        </w:rPr>
      </w:pPr>
    </w:p>
    <w:p w14:paraId="72EE41DC" w14:textId="77777777" w:rsidR="00372F96" w:rsidRDefault="00372F96" w:rsidP="00372F96">
      <w:pPr>
        <w:spacing w:after="0" w:line="276" w:lineRule="auto"/>
        <w:ind w:right="531"/>
        <w:rPr>
          <w:rFonts w:ascii="Arial" w:eastAsia="Times New Roman" w:hAnsi="Arial" w:cs="Arial"/>
          <w:b/>
          <w:bCs/>
          <w:sz w:val="24"/>
          <w:szCs w:val="24"/>
          <w:u w:val="single"/>
          <w:lang w:eastAsia="en-GB"/>
        </w:rPr>
      </w:pPr>
    </w:p>
    <w:p w14:paraId="0FFF166A" w14:textId="52F743BB" w:rsidR="00372F96" w:rsidRDefault="00372F96" w:rsidP="00372F96">
      <w:pPr>
        <w:spacing w:after="0" w:line="276" w:lineRule="auto"/>
        <w:ind w:right="531"/>
        <w:rPr>
          <w:rFonts w:ascii="Arial" w:eastAsia="Times New Roman" w:hAnsi="Arial" w:cs="Arial"/>
          <w:b/>
          <w:bCs/>
          <w:sz w:val="24"/>
          <w:szCs w:val="24"/>
          <w:u w:val="single"/>
          <w:lang w:eastAsia="en-GB"/>
        </w:rPr>
      </w:pPr>
      <w:r>
        <w:rPr>
          <w:rFonts w:ascii="Arial" w:eastAsia="Times New Roman" w:hAnsi="Arial" w:cs="Arial"/>
          <w:b/>
          <w:bCs/>
          <w:sz w:val="24"/>
          <w:szCs w:val="24"/>
          <w:u w:val="single"/>
          <w:lang w:eastAsia="en-GB"/>
        </w:rPr>
        <w:lastRenderedPageBreak/>
        <w:t xml:space="preserve">REFERENCES </w:t>
      </w:r>
    </w:p>
    <w:p w14:paraId="4A0B0EAC" w14:textId="75D76174" w:rsidR="00D830D2" w:rsidRDefault="00D830D2" w:rsidP="00D830D2">
      <w:pPr>
        <w:pStyle w:val="NormalWeb"/>
        <w:rPr>
          <w:rFonts w:ascii="Arial" w:hAnsi="Arial" w:cs="Arial"/>
        </w:rPr>
      </w:pPr>
      <w:r w:rsidRPr="00D830D2">
        <w:rPr>
          <w:rFonts w:ascii="Arial" w:hAnsi="Arial" w:cs="Arial"/>
        </w:rPr>
        <w:t xml:space="preserve">Afifi, T.O. and G., A.G.J. (2019) “Direction for future </w:t>
      </w:r>
      <w:proofErr w:type="gramStart"/>
      <w:r w:rsidRPr="00D830D2">
        <w:rPr>
          <w:rFonts w:ascii="Arial" w:hAnsi="Arial" w:cs="Arial"/>
        </w:rPr>
        <w:t>research ,</w:t>
      </w:r>
      <w:proofErr w:type="gramEnd"/>
      <w:r w:rsidRPr="00D830D2">
        <w:rPr>
          <w:rFonts w:ascii="Arial" w:hAnsi="Arial" w:cs="Arial"/>
        </w:rPr>
        <w:t xml:space="preserve">” in </w:t>
      </w:r>
      <w:r w:rsidRPr="00D830D2">
        <w:rPr>
          <w:rFonts w:ascii="Arial" w:hAnsi="Arial" w:cs="Arial"/>
          <w:i/>
          <w:iCs/>
        </w:rPr>
        <w:t>Adverse childhood experiences: Using evidence to advance research, practice, policy, and prevention</w:t>
      </w:r>
      <w:r w:rsidRPr="00D830D2">
        <w:rPr>
          <w:rFonts w:ascii="Arial" w:hAnsi="Arial" w:cs="Arial"/>
        </w:rPr>
        <w:t xml:space="preserve">. London, United </w:t>
      </w:r>
      <w:proofErr w:type="gramStart"/>
      <w:r w:rsidRPr="00D830D2">
        <w:rPr>
          <w:rFonts w:ascii="Arial" w:hAnsi="Arial" w:cs="Arial"/>
        </w:rPr>
        <w:t>Kingdom :</w:t>
      </w:r>
      <w:proofErr w:type="gramEnd"/>
      <w:r w:rsidRPr="00D830D2">
        <w:rPr>
          <w:rFonts w:ascii="Arial" w:hAnsi="Arial" w:cs="Arial"/>
        </w:rPr>
        <w:t xml:space="preserve"> Academic Press, p. P138.</w:t>
      </w:r>
    </w:p>
    <w:p w14:paraId="62C2A257" w14:textId="34F9651A" w:rsidR="00D830D2" w:rsidRPr="00D830D2" w:rsidRDefault="00D830D2" w:rsidP="00D830D2">
      <w:pPr>
        <w:pStyle w:val="NormalWeb"/>
        <w:rPr>
          <w:rFonts w:ascii="Arial" w:hAnsi="Arial" w:cs="Arial"/>
        </w:rPr>
      </w:pPr>
      <w:r w:rsidRPr="00D830D2">
        <w:rPr>
          <w:rFonts w:ascii="Arial" w:hAnsi="Arial" w:cs="Arial"/>
        </w:rPr>
        <w:t xml:space="preserve">Ashcroft, R.T. and </w:t>
      </w:r>
      <w:proofErr w:type="spellStart"/>
      <w:r w:rsidRPr="00D830D2">
        <w:rPr>
          <w:rFonts w:ascii="Arial" w:hAnsi="Arial" w:cs="Arial"/>
        </w:rPr>
        <w:t>Bevir</w:t>
      </w:r>
      <w:proofErr w:type="spellEnd"/>
      <w:r w:rsidRPr="00D830D2">
        <w:rPr>
          <w:rFonts w:ascii="Arial" w:hAnsi="Arial" w:cs="Arial"/>
        </w:rPr>
        <w:t xml:space="preserve">, M. (2019) “Multiculturalism,” in </w:t>
      </w:r>
      <w:r w:rsidRPr="00D830D2">
        <w:rPr>
          <w:rFonts w:ascii="Arial" w:hAnsi="Arial" w:cs="Arial"/>
          <w:i/>
          <w:iCs/>
        </w:rPr>
        <w:t>Multiculturalism in the Britis</w:t>
      </w:r>
      <w:r>
        <w:rPr>
          <w:rFonts w:ascii="Arial" w:hAnsi="Arial" w:cs="Arial"/>
          <w:i/>
          <w:iCs/>
        </w:rPr>
        <w:t xml:space="preserve">h </w:t>
      </w:r>
      <w:r w:rsidRPr="00D830D2">
        <w:rPr>
          <w:rFonts w:ascii="Arial" w:hAnsi="Arial" w:cs="Arial"/>
          <w:i/>
          <w:iCs/>
        </w:rPr>
        <w:t>Commonwealth: Comparative Perspectives on Theory and Practice</w:t>
      </w:r>
      <w:r w:rsidRPr="00D830D2">
        <w:rPr>
          <w:rFonts w:ascii="Arial" w:hAnsi="Arial" w:cs="Arial"/>
        </w:rPr>
        <w:t>. Oakland, California: University of California Press, pp. P6–P6.</w:t>
      </w:r>
    </w:p>
    <w:p w14:paraId="253EB9EC" w14:textId="6F1AC503" w:rsidR="00D830D2" w:rsidRPr="00D830D2" w:rsidRDefault="00D830D2" w:rsidP="00D830D2">
      <w:pPr>
        <w:pStyle w:val="NormalWeb"/>
        <w:rPr>
          <w:rFonts w:ascii="Arial" w:hAnsi="Arial" w:cs="Arial"/>
        </w:rPr>
      </w:pPr>
      <w:r w:rsidRPr="00D830D2">
        <w:rPr>
          <w:rFonts w:ascii="Arial" w:hAnsi="Arial" w:cs="Arial"/>
        </w:rPr>
        <w:t xml:space="preserve">Association, I.R.M. (2019) “Code </w:t>
      </w:r>
      <w:proofErr w:type="gramStart"/>
      <w:r w:rsidRPr="00D830D2">
        <w:rPr>
          <w:rFonts w:ascii="Arial" w:hAnsi="Arial" w:cs="Arial"/>
        </w:rPr>
        <w:t>Of</w:t>
      </w:r>
      <w:proofErr w:type="gramEnd"/>
      <w:r w:rsidRPr="00D830D2">
        <w:rPr>
          <w:rFonts w:ascii="Arial" w:hAnsi="Arial" w:cs="Arial"/>
        </w:rPr>
        <w:t xml:space="preserve"> Ethics,” in </w:t>
      </w:r>
      <w:r w:rsidRPr="00D830D2">
        <w:rPr>
          <w:rFonts w:ascii="Arial" w:hAnsi="Arial" w:cs="Arial"/>
          <w:i/>
          <w:iCs/>
        </w:rPr>
        <w:t>Police science: Breakthroughs in research and Practice</w:t>
      </w:r>
      <w:r w:rsidRPr="00D830D2">
        <w:rPr>
          <w:rFonts w:ascii="Arial" w:hAnsi="Arial" w:cs="Arial"/>
        </w:rPr>
        <w:t>. Hershey, PA, Pennsylvania: Information Science Reference, an imprint of IGI Global, pp. P461–461.</w:t>
      </w:r>
    </w:p>
    <w:p w14:paraId="726F599D" w14:textId="7C9E0C92" w:rsidR="00D830D2" w:rsidRPr="00D830D2" w:rsidRDefault="00D830D2" w:rsidP="00D830D2">
      <w:pPr>
        <w:pStyle w:val="NormalWeb"/>
        <w:rPr>
          <w:rFonts w:ascii="Arial" w:hAnsi="Arial" w:cs="Arial"/>
        </w:rPr>
      </w:pPr>
      <w:r w:rsidRPr="00D830D2">
        <w:rPr>
          <w:rFonts w:ascii="Arial" w:hAnsi="Arial" w:cs="Arial"/>
        </w:rPr>
        <w:t xml:space="preserve">Baker, K. (2009) </w:t>
      </w:r>
      <w:r w:rsidRPr="00D830D2">
        <w:rPr>
          <w:rFonts w:ascii="Arial" w:hAnsi="Arial" w:cs="Arial"/>
          <w:i/>
          <w:iCs/>
        </w:rPr>
        <w:t>Multi-agency Public Protection Arrangements and youth justice</w:t>
      </w:r>
      <w:r w:rsidRPr="00D830D2">
        <w:rPr>
          <w:rFonts w:ascii="Arial" w:hAnsi="Arial" w:cs="Arial"/>
        </w:rPr>
        <w:t>.</w:t>
      </w:r>
      <w:r>
        <w:rPr>
          <w:rFonts w:ascii="Arial" w:hAnsi="Arial" w:cs="Arial"/>
        </w:rPr>
        <w:t xml:space="preserve"> </w:t>
      </w:r>
      <w:r w:rsidRPr="00D830D2">
        <w:rPr>
          <w:rFonts w:ascii="Arial" w:hAnsi="Arial" w:cs="Arial"/>
        </w:rPr>
        <w:t>Bristol, United Kingdom: Policy Press.</w:t>
      </w:r>
    </w:p>
    <w:p w14:paraId="578FAD07" w14:textId="1E2E6B4E" w:rsidR="00D830D2" w:rsidRPr="00D830D2" w:rsidRDefault="00D830D2" w:rsidP="00D830D2">
      <w:pPr>
        <w:pStyle w:val="NormalWeb"/>
        <w:rPr>
          <w:rFonts w:ascii="Arial" w:hAnsi="Arial" w:cs="Arial"/>
        </w:rPr>
      </w:pPr>
      <w:r w:rsidRPr="00D830D2">
        <w:rPr>
          <w:rFonts w:ascii="Arial" w:hAnsi="Arial" w:cs="Arial"/>
        </w:rPr>
        <w:t xml:space="preserve">Bornstein, M.H. and Bradley, R.H. (2014) “Socioeconomic Status, Parenting, and Child Development,” in </w:t>
      </w:r>
      <w:r w:rsidRPr="00D830D2">
        <w:rPr>
          <w:rFonts w:ascii="Arial" w:hAnsi="Arial" w:cs="Arial"/>
          <w:i/>
          <w:iCs/>
        </w:rPr>
        <w:t>Socioeconomic status, parenting, and child development</w:t>
      </w:r>
      <w:r w:rsidRPr="00D830D2">
        <w:rPr>
          <w:rFonts w:ascii="Arial" w:hAnsi="Arial" w:cs="Arial"/>
        </w:rPr>
        <w:t>. Mahwah, NJ, New York: Lawrence Erlbaum Associates, p. P1.</w:t>
      </w:r>
    </w:p>
    <w:p w14:paraId="3DEDCF0B" w14:textId="7C2B2430" w:rsidR="00D830D2" w:rsidRPr="00D830D2" w:rsidRDefault="00D830D2" w:rsidP="00D830D2">
      <w:pPr>
        <w:pStyle w:val="NormalWeb"/>
        <w:rPr>
          <w:rFonts w:ascii="Arial" w:hAnsi="Arial" w:cs="Arial"/>
        </w:rPr>
      </w:pPr>
      <w:r w:rsidRPr="00D830D2">
        <w:rPr>
          <w:rFonts w:ascii="Arial" w:hAnsi="Arial" w:cs="Arial"/>
        </w:rPr>
        <w:t xml:space="preserve">Bowling, B. (2006) </w:t>
      </w:r>
      <w:r w:rsidRPr="00D830D2">
        <w:rPr>
          <w:rFonts w:ascii="Arial" w:hAnsi="Arial" w:cs="Arial"/>
          <w:i/>
          <w:iCs/>
        </w:rPr>
        <w:t>Violent racism: Victimization, policing, and social context</w:t>
      </w:r>
      <w:r w:rsidRPr="00D830D2">
        <w:rPr>
          <w:rFonts w:ascii="Arial" w:hAnsi="Arial" w:cs="Arial"/>
        </w:rPr>
        <w:t xml:space="preserve">. Oxford, </w:t>
      </w:r>
      <w:proofErr w:type="spellStart"/>
      <w:r w:rsidRPr="00D830D2">
        <w:rPr>
          <w:rFonts w:ascii="Arial" w:hAnsi="Arial" w:cs="Arial"/>
        </w:rPr>
        <w:t>Untied</w:t>
      </w:r>
      <w:proofErr w:type="spellEnd"/>
      <w:r w:rsidRPr="00D830D2">
        <w:rPr>
          <w:rFonts w:ascii="Arial" w:hAnsi="Arial" w:cs="Arial"/>
        </w:rPr>
        <w:t xml:space="preserve"> Kingdom: Oxford University Press.</w:t>
      </w:r>
    </w:p>
    <w:p w14:paraId="672CA93E" w14:textId="1E183828" w:rsidR="00D830D2" w:rsidRPr="00D830D2" w:rsidRDefault="00D830D2" w:rsidP="00D830D2">
      <w:pPr>
        <w:pStyle w:val="NormalWeb"/>
        <w:rPr>
          <w:rFonts w:ascii="Arial" w:hAnsi="Arial" w:cs="Arial"/>
        </w:rPr>
      </w:pPr>
      <w:proofErr w:type="spellStart"/>
      <w:r w:rsidRPr="00D830D2">
        <w:rPr>
          <w:rFonts w:ascii="Arial" w:hAnsi="Arial" w:cs="Arial"/>
        </w:rPr>
        <w:t>Carr</w:t>
      </w:r>
      <w:proofErr w:type="spellEnd"/>
      <w:r w:rsidRPr="00D830D2">
        <w:rPr>
          <w:rFonts w:ascii="Arial" w:hAnsi="Arial" w:cs="Arial"/>
        </w:rPr>
        <w:t xml:space="preserve">, H. and </w:t>
      </w:r>
      <w:proofErr w:type="spellStart"/>
      <w:r w:rsidRPr="00D830D2">
        <w:rPr>
          <w:rFonts w:ascii="Arial" w:hAnsi="Arial" w:cs="Arial"/>
        </w:rPr>
        <w:t>Goosey</w:t>
      </w:r>
      <w:proofErr w:type="spellEnd"/>
      <w:r w:rsidRPr="00D830D2">
        <w:rPr>
          <w:rFonts w:ascii="Arial" w:hAnsi="Arial" w:cs="Arial"/>
        </w:rPr>
        <w:t xml:space="preserve">, D. (2021) “The Principles of Children's </w:t>
      </w:r>
      <w:proofErr w:type="gramStart"/>
      <w:r w:rsidRPr="00D830D2">
        <w:rPr>
          <w:rFonts w:ascii="Arial" w:hAnsi="Arial" w:cs="Arial"/>
        </w:rPr>
        <w:t>Law ,</w:t>
      </w:r>
      <w:proofErr w:type="gramEnd"/>
      <w:r w:rsidRPr="00D830D2">
        <w:rPr>
          <w:rFonts w:ascii="Arial" w:hAnsi="Arial" w:cs="Arial"/>
        </w:rPr>
        <w:t xml:space="preserve">” in </w:t>
      </w:r>
      <w:r w:rsidRPr="00D830D2">
        <w:rPr>
          <w:rFonts w:ascii="Arial" w:hAnsi="Arial" w:cs="Arial"/>
          <w:i/>
          <w:iCs/>
        </w:rPr>
        <w:t>Law for Social Workers</w:t>
      </w:r>
      <w:r w:rsidRPr="00D830D2">
        <w:rPr>
          <w:rFonts w:ascii="Arial" w:hAnsi="Arial" w:cs="Arial"/>
        </w:rPr>
        <w:t>. Oxford, United Kingdom: Oxford University Press, p. P205.</w:t>
      </w:r>
    </w:p>
    <w:p w14:paraId="6A7C99E4" w14:textId="77777777" w:rsidR="00D830D2" w:rsidRDefault="00D830D2" w:rsidP="00D830D2">
      <w:pPr>
        <w:pStyle w:val="NormalWeb"/>
        <w:rPr>
          <w:rFonts w:ascii="Arial" w:hAnsi="Arial" w:cs="Arial"/>
        </w:rPr>
      </w:pPr>
      <w:r w:rsidRPr="00D830D2">
        <w:rPr>
          <w:rFonts w:ascii="Arial" w:hAnsi="Arial" w:cs="Arial"/>
        </w:rPr>
        <w:t xml:space="preserve">Clark, J.B. and </w:t>
      </w:r>
      <w:proofErr w:type="spellStart"/>
      <w:r w:rsidRPr="00D830D2">
        <w:rPr>
          <w:rFonts w:ascii="Arial" w:hAnsi="Arial" w:cs="Arial"/>
        </w:rPr>
        <w:t>Poucki</w:t>
      </w:r>
      <w:proofErr w:type="spellEnd"/>
      <w:r w:rsidRPr="00D830D2">
        <w:rPr>
          <w:rFonts w:ascii="Arial" w:hAnsi="Arial" w:cs="Arial"/>
        </w:rPr>
        <w:t xml:space="preserve">, S. (2018) </w:t>
      </w:r>
      <w:r w:rsidRPr="00D830D2">
        <w:rPr>
          <w:rFonts w:ascii="Arial" w:hAnsi="Arial" w:cs="Arial"/>
          <w:i/>
          <w:iCs/>
        </w:rPr>
        <w:t xml:space="preserve">The sage handbook of human trafficking and </w:t>
      </w:r>
      <w:proofErr w:type="gramStart"/>
      <w:r w:rsidRPr="00D830D2">
        <w:rPr>
          <w:rFonts w:ascii="Arial" w:hAnsi="Arial" w:cs="Arial"/>
          <w:i/>
          <w:iCs/>
        </w:rPr>
        <w:t>modern day</w:t>
      </w:r>
      <w:proofErr w:type="gramEnd"/>
      <w:r w:rsidRPr="00D830D2">
        <w:rPr>
          <w:rFonts w:ascii="Arial" w:hAnsi="Arial" w:cs="Arial"/>
          <w:i/>
          <w:iCs/>
        </w:rPr>
        <w:t xml:space="preserve"> slavery</w:t>
      </w:r>
      <w:r w:rsidRPr="00D830D2">
        <w:rPr>
          <w:rFonts w:ascii="Arial" w:hAnsi="Arial" w:cs="Arial"/>
        </w:rPr>
        <w:t>. Los Angeles, California: SAGE Reference.</w:t>
      </w:r>
    </w:p>
    <w:p w14:paraId="506A02E4" w14:textId="1E8B8BBD" w:rsidR="00D830D2" w:rsidRPr="00D830D2" w:rsidRDefault="00D830D2" w:rsidP="00D830D2">
      <w:pPr>
        <w:pStyle w:val="NormalWeb"/>
        <w:rPr>
          <w:rFonts w:ascii="Arial" w:hAnsi="Arial" w:cs="Arial"/>
        </w:rPr>
      </w:pPr>
      <w:r w:rsidRPr="00D830D2">
        <w:rPr>
          <w:rFonts w:ascii="Arial" w:hAnsi="Arial" w:cs="Arial"/>
          <w:i/>
          <w:iCs/>
        </w:rPr>
        <w:t>Code of ethics: A code of practice for the principles and standards of professional behaviour for the policing profession of England and Wales</w:t>
      </w:r>
      <w:r w:rsidRPr="00D830D2">
        <w:rPr>
          <w:rFonts w:ascii="Arial" w:hAnsi="Arial" w:cs="Arial"/>
        </w:rPr>
        <w:t xml:space="preserve"> (2014). Coventry, United Kingdom: College of Policing Limited.</w:t>
      </w:r>
    </w:p>
    <w:p w14:paraId="0DFDCFD4" w14:textId="15D8BD33" w:rsidR="00D830D2" w:rsidRPr="00D830D2" w:rsidRDefault="00D830D2" w:rsidP="00D830D2">
      <w:pPr>
        <w:pStyle w:val="NormalWeb"/>
        <w:rPr>
          <w:rFonts w:ascii="Arial" w:hAnsi="Arial" w:cs="Arial"/>
        </w:rPr>
      </w:pPr>
      <w:r w:rsidRPr="00D830D2">
        <w:rPr>
          <w:rFonts w:ascii="Arial" w:hAnsi="Arial" w:cs="Arial"/>
          <w:i/>
          <w:iCs/>
        </w:rPr>
        <w:t>Complaints and misconduct</w:t>
      </w:r>
      <w:r w:rsidRPr="00D830D2">
        <w:rPr>
          <w:rFonts w:ascii="Arial" w:hAnsi="Arial" w:cs="Arial"/>
        </w:rPr>
        <w:t xml:space="preserve"> (2015) </w:t>
      </w:r>
      <w:r w:rsidRPr="00D830D2">
        <w:rPr>
          <w:rFonts w:ascii="Arial" w:hAnsi="Arial" w:cs="Arial"/>
          <w:i/>
          <w:iCs/>
        </w:rPr>
        <w:t>College of Policing</w:t>
      </w:r>
      <w:r w:rsidRPr="00D830D2">
        <w:rPr>
          <w:rFonts w:ascii="Arial" w:hAnsi="Arial" w:cs="Arial"/>
        </w:rPr>
        <w:t>. Available at: https://www.college.police.uk/app/professional-standards/complaints-and-misconduct# (Accessed: February 1, 2023).</w:t>
      </w:r>
    </w:p>
    <w:p w14:paraId="5D1ABA2D" w14:textId="36DF0760" w:rsidR="00D830D2" w:rsidRPr="00D830D2" w:rsidRDefault="00D830D2" w:rsidP="00D830D2">
      <w:pPr>
        <w:pStyle w:val="NormalWeb"/>
        <w:rPr>
          <w:rFonts w:ascii="Arial" w:hAnsi="Arial" w:cs="Arial"/>
        </w:rPr>
      </w:pPr>
      <w:r w:rsidRPr="00D830D2">
        <w:rPr>
          <w:rFonts w:ascii="Arial" w:hAnsi="Arial" w:cs="Arial"/>
        </w:rPr>
        <w:t xml:space="preserve">Cyr, M. (2022) </w:t>
      </w:r>
      <w:r w:rsidRPr="00D830D2">
        <w:rPr>
          <w:rFonts w:ascii="Arial" w:hAnsi="Arial" w:cs="Arial"/>
          <w:i/>
          <w:iCs/>
        </w:rPr>
        <w:t>Conducting interviews with child victims of abuse and witnesses of crime: A practical guide</w:t>
      </w:r>
      <w:r w:rsidRPr="00D830D2">
        <w:rPr>
          <w:rFonts w:ascii="Arial" w:hAnsi="Arial" w:cs="Arial"/>
        </w:rPr>
        <w:t xml:space="preserve">. Abingdon, Oxon, United </w:t>
      </w:r>
      <w:proofErr w:type="spellStart"/>
      <w:r w:rsidRPr="00D830D2">
        <w:rPr>
          <w:rFonts w:ascii="Arial" w:hAnsi="Arial" w:cs="Arial"/>
        </w:rPr>
        <w:t>Kindom</w:t>
      </w:r>
      <w:proofErr w:type="spellEnd"/>
      <w:r w:rsidRPr="00D830D2">
        <w:rPr>
          <w:rFonts w:ascii="Arial" w:hAnsi="Arial" w:cs="Arial"/>
        </w:rPr>
        <w:t>: Routledge.</w:t>
      </w:r>
    </w:p>
    <w:p w14:paraId="65653918" w14:textId="252AC10C" w:rsidR="00D830D2" w:rsidRPr="00D830D2" w:rsidRDefault="00D830D2" w:rsidP="00D830D2">
      <w:pPr>
        <w:pStyle w:val="NormalWeb"/>
        <w:rPr>
          <w:rFonts w:ascii="Arial" w:hAnsi="Arial" w:cs="Arial"/>
        </w:rPr>
      </w:pPr>
      <w:r w:rsidRPr="00D830D2">
        <w:rPr>
          <w:rFonts w:ascii="Arial" w:hAnsi="Arial" w:cs="Arial"/>
        </w:rPr>
        <w:t xml:space="preserve">Das, T.K. (2021) “Cultural </w:t>
      </w:r>
      <w:proofErr w:type="gramStart"/>
      <w:r w:rsidRPr="00D830D2">
        <w:rPr>
          <w:rFonts w:ascii="Arial" w:hAnsi="Arial" w:cs="Arial"/>
        </w:rPr>
        <w:t>Values ,</w:t>
      </w:r>
      <w:proofErr w:type="gramEnd"/>
      <w:r w:rsidRPr="00D830D2">
        <w:rPr>
          <w:rFonts w:ascii="Arial" w:hAnsi="Arial" w:cs="Arial"/>
        </w:rPr>
        <w:t xml:space="preserve">” in </w:t>
      </w:r>
      <w:r w:rsidRPr="00D830D2">
        <w:rPr>
          <w:rFonts w:ascii="Arial" w:hAnsi="Arial" w:cs="Arial"/>
          <w:i/>
          <w:iCs/>
        </w:rPr>
        <w:t>Cultural values in strategy and organization</w:t>
      </w:r>
      <w:r w:rsidRPr="00D830D2">
        <w:rPr>
          <w:rFonts w:ascii="Arial" w:hAnsi="Arial" w:cs="Arial"/>
        </w:rPr>
        <w:t xml:space="preserve">. Charlotte, NC, </w:t>
      </w:r>
      <w:proofErr w:type="gramStart"/>
      <w:r w:rsidRPr="00D830D2">
        <w:rPr>
          <w:rFonts w:ascii="Arial" w:hAnsi="Arial" w:cs="Arial"/>
        </w:rPr>
        <w:t>Carolina :</w:t>
      </w:r>
      <w:proofErr w:type="gramEnd"/>
      <w:r w:rsidRPr="00D830D2">
        <w:rPr>
          <w:rFonts w:ascii="Arial" w:hAnsi="Arial" w:cs="Arial"/>
        </w:rPr>
        <w:t xml:space="preserve"> IAP, Information Age Publishing, Inc., pp. P71–P71.</w:t>
      </w:r>
    </w:p>
    <w:p w14:paraId="240AF574" w14:textId="77777777" w:rsidR="00D830D2" w:rsidRDefault="00D830D2" w:rsidP="00D830D2">
      <w:pPr>
        <w:pStyle w:val="NormalWeb"/>
        <w:rPr>
          <w:rFonts w:ascii="Arial" w:hAnsi="Arial" w:cs="Arial"/>
        </w:rPr>
      </w:pPr>
      <w:proofErr w:type="spellStart"/>
      <w:r w:rsidRPr="00D830D2">
        <w:rPr>
          <w:rFonts w:ascii="Arial" w:hAnsi="Arial" w:cs="Arial"/>
        </w:rPr>
        <w:t>Delsol</w:t>
      </w:r>
      <w:proofErr w:type="spellEnd"/>
      <w:r w:rsidRPr="00D830D2">
        <w:rPr>
          <w:rFonts w:ascii="Arial" w:hAnsi="Arial" w:cs="Arial"/>
        </w:rPr>
        <w:t xml:space="preserve">, R. and Shiner, M. (2015) “Stop </w:t>
      </w:r>
      <w:proofErr w:type="gramStart"/>
      <w:r w:rsidRPr="00D830D2">
        <w:rPr>
          <w:rFonts w:ascii="Arial" w:hAnsi="Arial" w:cs="Arial"/>
        </w:rPr>
        <w:t>Search ,</w:t>
      </w:r>
      <w:proofErr w:type="gramEnd"/>
      <w:r w:rsidRPr="00D830D2">
        <w:rPr>
          <w:rFonts w:ascii="Arial" w:hAnsi="Arial" w:cs="Arial"/>
        </w:rPr>
        <w:t xml:space="preserve">” in </w:t>
      </w:r>
      <w:r w:rsidRPr="00D830D2">
        <w:rPr>
          <w:rFonts w:ascii="Arial" w:hAnsi="Arial" w:cs="Arial"/>
          <w:i/>
          <w:iCs/>
        </w:rPr>
        <w:t>Stop and search - the anatomy of a police power</w:t>
      </w:r>
      <w:r w:rsidRPr="00D830D2">
        <w:rPr>
          <w:rFonts w:ascii="Arial" w:hAnsi="Arial" w:cs="Arial"/>
        </w:rPr>
        <w:t>. Palgrave Macmillan, p. P54.</w:t>
      </w:r>
    </w:p>
    <w:p w14:paraId="44F46CCE" w14:textId="36318012" w:rsidR="00D830D2" w:rsidRPr="00D830D2" w:rsidRDefault="00D830D2" w:rsidP="00D830D2">
      <w:pPr>
        <w:pStyle w:val="NormalWeb"/>
        <w:rPr>
          <w:rFonts w:ascii="Arial" w:hAnsi="Arial" w:cs="Arial"/>
        </w:rPr>
      </w:pPr>
      <w:r w:rsidRPr="00D830D2">
        <w:rPr>
          <w:rFonts w:ascii="Arial" w:hAnsi="Arial" w:cs="Arial"/>
        </w:rPr>
        <w:t xml:space="preserve">Elliot, M. and Thomas, R. (2020) “Human Rights,” in </w:t>
      </w:r>
      <w:proofErr w:type="gramStart"/>
      <w:r w:rsidRPr="00D830D2">
        <w:rPr>
          <w:rFonts w:ascii="Arial" w:hAnsi="Arial" w:cs="Arial"/>
          <w:i/>
          <w:iCs/>
        </w:rPr>
        <w:t>Public</w:t>
      </w:r>
      <w:proofErr w:type="gramEnd"/>
      <w:r w:rsidRPr="00D830D2">
        <w:rPr>
          <w:rFonts w:ascii="Arial" w:hAnsi="Arial" w:cs="Arial"/>
          <w:i/>
          <w:iCs/>
        </w:rPr>
        <w:t xml:space="preserve"> law</w:t>
      </w:r>
      <w:r w:rsidRPr="00D830D2">
        <w:rPr>
          <w:rFonts w:ascii="Arial" w:hAnsi="Arial" w:cs="Arial"/>
        </w:rPr>
        <w:t>. Oxford, United Kingdom: Oxford University Press, p. P908.</w:t>
      </w:r>
    </w:p>
    <w:p w14:paraId="6FFEE6E3" w14:textId="06573822" w:rsidR="00D830D2" w:rsidRPr="00D830D2" w:rsidRDefault="00D830D2" w:rsidP="00D830D2">
      <w:pPr>
        <w:pStyle w:val="NormalWeb"/>
        <w:rPr>
          <w:rFonts w:ascii="Arial" w:hAnsi="Arial" w:cs="Arial"/>
        </w:rPr>
      </w:pPr>
      <w:r w:rsidRPr="00D830D2">
        <w:rPr>
          <w:rFonts w:ascii="Arial" w:hAnsi="Arial" w:cs="Arial"/>
        </w:rPr>
        <w:lastRenderedPageBreak/>
        <w:t xml:space="preserve">Farrell, J. (2020) “The Runner,” in </w:t>
      </w:r>
      <w:r w:rsidRPr="00D830D2">
        <w:rPr>
          <w:rFonts w:ascii="Arial" w:hAnsi="Arial" w:cs="Arial"/>
          <w:i/>
          <w:iCs/>
        </w:rPr>
        <w:t>County lines: The New Breed of drug exploitation plaguing our Streets</w:t>
      </w:r>
      <w:r w:rsidRPr="00D830D2">
        <w:rPr>
          <w:rFonts w:ascii="Arial" w:hAnsi="Arial" w:cs="Arial"/>
        </w:rPr>
        <w:t>. London, United Kingdom: John Blake Publishing, p. P56.</w:t>
      </w:r>
    </w:p>
    <w:p w14:paraId="20EC7A51" w14:textId="5B111C42" w:rsidR="00D830D2" w:rsidRPr="00D830D2" w:rsidRDefault="00D830D2" w:rsidP="00D830D2">
      <w:pPr>
        <w:pStyle w:val="NormalWeb"/>
        <w:rPr>
          <w:rFonts w:ascii="Arial" w:hAnsi="Arial" w:cs="Arial"/>
        </w:rPr>
      </w:pPr>
      <w:r w:rsidRPr="00D830D2">
        <w:rPr>
          <w:rFonts w:ascii="Arial" w:hAnsi="Arial" w:cs="Arial"/>
          <w:i/>
          <w:iCs/>
        </w:rPr>
        <w:t xml:space="preserve">Fast facts: Preventing adverse childhood experiences |violence </w:t>
      </w:r>
      <w:proofErr w:type="spellStart"/>
      <w:r w:rsidRPr="00D830D2">
        <w:rPr>
          <w:rFonts w:ascii="Arial" w:hAnsi="Arial" w:cs="Arial"/>
          <w:i/>
          <w:iCs/>
        </w:rPr>
        <w:t>prevention|injury</w:t>
      </w:r>
      <w:proofErr w:type="spellEnd"/>
      <w:r w:rsidRPr="00D830D2">
        <w:rPr>
          <w:rFonts w:ascii="Arial" w:hAnsi="Arial" w:cs="Arial"/>
          <w:i/>
          <w:iCs/>
        </w:rPr>
        <w:t xml:space="preserve"> </w:t>
      </w:r>
      <w:proofErr w:type="spellStart"/>
      <w:r w:rsidRPr="00D830D2">
        <w:rPr>
          <w:rFonts w:ascii="Arial" w:hAnsi="Arial" w:cs="Arial"/>
          <w:i/>
          <w:iCs/>
        </w:rPr>
        <w:t>Center|CDC</w:t>
      </w:r>
      <w:proofErr w:type="spellEnd"/>
      <w:r w:rsidRPr="00D830D2">
        <w:rPr>
          <w:rFonts w:ascii="Arial" w:hAnsi="Arial" w:cs="Arial"/>
        </w:rPr>
        <w:t xml:space="preserve"> (2022) </w:t>
      </w:r>
      <w:proofErr w:type="spellStart"/>
      <w:r w:rsidRPr="00D830D2">
        <w:rPr>
          <w:rFonts w:ascii="Arial" w:hAnsi="Arial" w:cs="Arial"/>
          <w:i/>
          <w:iCs/>
        </w:rPr>
        <w:t>Centers</w:t>
      </w:r>
      <w:proofErr w:type="spellEnd"/>
      <w:r w:rsidRPr="00D830D2">
        <w:rPr>
          <w:rFonts w:ascii="Arial" w:hAnsi="Arial" w:cs="Arial"/>
          <w:i/>
          <w:iCs/>
        </w:rPr>
        <w:t xml:space="preserve"> for Disease Control and Prevention</w:t>
      </w:r>
      <w:r w:rsidRPr="00D830D2">
        <w:rPr>
          <w:rFonts w:ascii="Arial" w:hAnsi="Arial" w:cs="Arial"/>
        </w:rPr>
        <w:t xml:space="preserve">. </w:t>
      </w:r>
      <w:proofErr w:type="spellStart"/>
      <w:r w:rsidRPr="00D830D2">
        <w:rPr>
          <w:rFonts w:ascii="Arial" w:hAnsi="Arial" w:cs="Arial"/>
        </w:rPr>
        <w:t>Centers</w:t>
      </w:r>
      <w:proofErr w:type="spellEnd"/>
      <w:r w:rsidRPr="00D830D2">
        <w:rPr>
          <w:rFonts w:ascii="Arial" w:hAnsi="Arial" w:cs="Arial"/>
        </w:rPr>
        <w:t xml:space="preserve"> for Disease Control and Prevention. Available at: https://www.cdc.gov/violenceprevention/aces/fastfact.html (Accessed: February 2, 2023).</w:t>
      </w:r>
    </w:p>
    <w:p w14:paraId="7ACB6372" w14:textId="77777777" w:rsidR="00D830D2" w:rsidRDefault="00D830D2" w:rsidP="00D830D2">
      <w:pPr>
        <w:pStyle w:val="NormalWeb"/>
        <w:rPr>
          <w:rFonts w:ascii="Arial" w:hAnsi="Arial" w:cs="Arial"/>
        </w:rPr>
      </w:pPr>
      <w:r w:rsidRPr="00D830D2">
        <w:rPr>
          <w:rFonts w:ascii="Arial" w:hAnsi="Arial" w:cs="Arial"/>
        </w:rPr>
        <w:t xml:space="preserve">Gibson, B. (2005) </w:t>
      </w:r>
      <w:r w:rsidRPr="00D830D2">
        <w:rPr>
          <w:rFonts w:ascii="Arial" w:hAnsi="Arial" w:cs="Arial"/>
          <w:i/>
          <w:iCs/>
        </w:rPr>
        <w:t xml:space="preserve">Criminal justice act 2003 the </w:t>
      </w:r>
      <w:proofErr w:type="gramStart"/>
      <w:r w:rsidRPr="00D830D2">
        <w:rPr>
          <w:rFonts w:ascii="Arial" w:hAnsi="Arial" w:cs="Arial"/>
          <w:i/>
          <w:iCs/>
        </w:rPr>
        <w:t>statute ;</w:t>
      </w:r>
      <w:proofErr w:type="gramEnd"/>
      <w:r w:rsidRPr="00D830D2">
        <w:rPr>
          <w:rFonts w:ascii="Arial" w:hAnsi="Arial" w:cs="Arial"/>
          <w:i/>
          <w:iCs/>
        </w:rPr>
        <w:t xml:space="preserve"> designed to accompany Criminal Justice Act 2003: A guide to the new procedures and sentencing</w:t>
      </w:r>
      <w:r w:rsidRPr="00D830D2">
        <w:rPr>
          <w:rFonts w:ascii="Arial" w:hAnsi="Arial" w:cs="Arial"/>
        </w:rPr>
        <w:t>. Winchester, England, United Kingdom: Waterside Press.</w:t>
      </w:r>
    </w:p>
    <w:p w14:paraId="1D12456A" w14:textId="1BD94F7E" w:rsidR="00D830D2" w:rsidRPr="00D830D2" w:rsidRDefault="00D830D2" w:rsidP="00D830D2">
      <w:pPr>
        <w:pStyle w:val="NormalWeb"/>
        <w:rPr>
          <w:rFonts w:ascii="Arial" w:hAnsi="Arial" w:cs="Arial"/>
        </w:rPr>
      </w:pPr>
      <w:r w:rsidRPr="00D830D2">
        <w:rPr>
          <w:rFonts w:ascii="Arial" w:hAnsi="Arial" w:cs="Arial"/>
        </w:rPr>
        <w:t>Harris, M.J. (2009) “Why's everyone always picking on me</w:t>
      </w:r>
      <w:proofErr w:type="gramStart"/>
      <w:r w:rsidRPr="00D830D2">
        <w:rPr>
          <w:rFonts w:ascii="Arial" w:hAnsi="Arial" w:cs="Arial"/>
        </w:rPr>
        <w:t>? ,</w:t>
      </w:r>
      <w:proofErr w:type="gramEnd"/>
      <w:r w:rsidRPr="00D830D2">
        <w:rPr>
          <w:rFonts w:ascii="Arial" w:hAnsi="Arial" w:cs="Arial"/>
        </w:rPr>
        <w:t xml:space="preserve">” in </w:t>
      </w:r>
      <w:r w:rsidRPr="00D830D2">
        <w:rPr>
          <w:rFonts w:ascii="Arial" w:hAnsi="Arial" w:cs="Arial"/>
          <w:i/>
          <w:iCs/>
        </w:rPr>
        <w:t>Bullying, rejection, and peer victimization: A Social Cognitive Neuroscience Perspective</w:t>
      </w:r>
      <w:r w:rsidRPr="00D830D2">
        <w:rPr>
          <w:rFonts w:ascii="Arial" w:hAnsi="Arial" w:cs="Arial"/>
        </w:rPr>
        <w:t>. New York, New York: Springer, p. P155.</w:t>
      </w:r>
    </w:p>
    <w:p w14:paraId="60FDB2D2" w14:textId="2C20EA43" w:rsidR="00D830D2" w:rsidRPr="00D830D2" w:rsidRDefault="00D830D2" w:rsidP="00D830D2">
      <w:pPr>
        <w:pStyle w:val="NormalWeb"/>
        <w:rPr>
          <w:rFonts w:ascii="Arial" w:hAnsi="Arial" w:cs="Arial"/>
        </w:rPr>
      </w:pPr>
      <w:r w:rsidRPr="00D830D2">
        <w:rPr>
          <w:rFonts w:ascii="Arial" w:hAnsi="Arial" w:cs="Arial"/>
        </w:rPr>
        <w:t xml:space="preserve">Harrison, K. (2011) in </w:t>
      </w:r>
      <w:r w:rsidRPr="00D830D2">
        <w:rPr>
          <w:rFonts w:ascii="Arial" w:hAnsi="Arial" w:cs="Arial"/>
          <w:i/>
          <w:iCs/>
        </w:rPr>
        <w:t>Dangerousness, risk and the governance of serious sexual and violent offenders</w:t>
      </w:r>
      <w:r w:rsidRPr="00D830D2">
        <w:rPr>
          <w:rFonts w:ascii="Arial" w:hAnsi="Arial" w:cs="Arial"/>
        </w:rPr>
        <w:t>. Abingdon, Oxon, United Kingdom: Routledge, p. P91.</w:t>
      </w:r>
    </w:p>
    <w:p w14:paraId="46903E53" w14:textId="77777777" w:rsidR="00D830D2" w:rsidRDefault="00D830D2" w:rsidP="00D830D2">
      <w:pPr>
        <w:pStyle w:val="NormalWeb"/>
        <w:rPr>
          <w:rFonts w:ascii="Arial" w:hAnsi="Arial" w:cs="Arial"/>
        </w:rPr>
      </w:pPr>
      <w:r w:rsidRPr="00D830D2">
        <w:rPr>
          <w:rFonts w:ascii="Arial" w:hAnsi="Arial" w:cs="Arial"/>
        </w:rPr>
        <w:t xml:space="preserve">Henry, L. and Ryder, M. (2022) in </w:t>
      </w:r>
      <w:r w:rsidRPr="00D830D2">
        <w:rPr>
          <w:rFonts w:ascii="Arial" w:hAnsi="Arial" w:cs="Arial"/>
          <w:i/>
          <w:iCs/>
        </w:rPr>
        <w:t xml:space="preserve">Black </w:t>
      </w:r>
      <w:proofErr w:type="spellStart"/>
      <w:r w:rsidRPr="00D830D2">
        <w:rPr>
          <w:rFonts w:ascii="Arial" w:hAnsi="Arial" w:cs="Arial"/>
          <w:i/>
          <w:iCs/>
        </w:rPr>
        <w:t>british</w:t>
      </w:r>
      <w:proofErr w:type="spellEnd"/>
      <w:r w:rsidRPr="00D830D2">
        <w:rPr>
          <w:rFonts w:ascii="Arial" w:hAnsi="Arial" w:cs="Arial"/>
          <w:i/>
          <w:iCs/>
        </w:rPr>
        <w:t xml:space="preserve"> lives matter</w:t>
      </w:r>
      <w:r w:rsidRPr="00D830D2">
        <w:rPr>
          <w:rFonts w:ascii="Arial" w:hAnsi="Arial" w:cs="Arial"/>
        </w:rPr>
        <w:t>. London, United Kingdom: Faber &amp; Faber Limited, p. P43.</w:t>
      </w:r>
    </w:p>
    <w:p w14:paraId="6AAE65EE" w14:textId="77777777" w:rsidR="00D830D2" w:rsidRDefault="00D830D2" w:rsidP="00D830D2">
      <w:pPr>
        <w:pStyle w:val="NormalWeb"/>
        <w:rPr>
          <w:rFonts w:ascii="Arial" w:hAnsi="Arial" w:cs="Arial"/>
        </w:rPr>
      </w:pPr>
      <w:r w:rsidRPr="00D830D2">
        <w:rPr>
          <w:rFonts w:ascii="Arial" w:hAnsi="Arial" w:cs="Arial"/>
        </w:rPr>
        <w:t xml:space="preserve">HOLOHAN, S.I.O.B.H.A.N. (2022) “Macpherson Report,” in </w:t>
      </w:r>
      <w:r w:rsidRPr="00D830D2">
        <w:rPr>
          <w:rFonts w:ascii="Arial" w:hAnsi="Arial" w:cs="Arial"/>
          <w:i/>
          <w:iCs/>
        </w:rPr>
        <w:t>Search for justice in a media age: Reading Stephen Lawrence and Louise Woodward</w:t>
      </w:r>
      <w:r w:rsidRPr="00D830D2">
        <w:rPr>
          <w:rFonts w:ascii="Arial" w:hAnsi="Arial" w:cs="Arial"/>
        </w:rPr>
        <w:t xml:space="preserve">. </w:t>
      </w:r>
      <w:proofErr w:type="spellStart"/>
      <w:r w:rsidRPr="00D830D2">
        <w:rPr>
          <w:rFonts w:ascii="Arial" w:hAnsi="Arial" w:cs="Arial"/>
        </w:rPr>
        <w:t>S.l.</w:t>
      </w:r>
      <w:proofErr w:type="spellEnd"/>
      <w:r w:rsidRPr="00D830D2">
        <w:rPr>
          <w:rFonts w:ascii="Arial" w:hAnsi="Arial" w:cs="Arial"/>
        </w:rPr>
        <w:t>: ROUTLEDGE, p. P34.</w:t>
      </w:r>
    </w:p>
    <w:p w14:paraId="04C1396D" w14:textId="77777777" w:rsidR="00D830D2" w:rsidRDefault="00D830D2" w:rsidP="00D830D2">
      <w:pPr>
        <w:pStyle w:val="NormalWeb"/>
        <w:rPr>
          <w:rFonts w:ascii="Arial" w:hAnsi="Arial" w:cs="Arial"/>
        </w:rPr>
      </w:pPr>
      <w:r w:rsidRPr="00D830D2">
        <w:rPr>
          <w:rFonts w:ascii="Arial" w:hAnsi="Arial" w:cs="Arial"/>
        </w:rPr>
        <w:t xml:space="preserve">Innes, M. </w:t>
      </w:r>
      <w:r w:rsidRPr="00D830D2">
        <w:rPr>
          <w:rFonts w:ascii="Arial" w:hAnsi="Arial" w:cs="Arial"/>
          <w:i/>
          <w:iCs/>
        </w:rPr>
        <w:t>et al.</w:t>
      </w:r>
      <w:r w:rsidRPr="00D830D2">
        <w:rPr>
          <w:rFonts w:ascii="Arial" w:hAnsi="Arial" w:cs="Arial"/>
        </w:rPr>
        <w:t xml:space="preserve"> (2020) </w:t>
      </w:r>
      <w:r w:rsidRPr="00D830D2">
        <w:rPr>
          <w:rFonts w:ascii="Arial" w:hAnsi="Arial" w:cs="Arial"/>
          <w:i/>
          <w:iCs/>
        </w:rPr>
        <w:t>Neighbourhood policing: The rise and fall of a policing model</w:t>
      </w:r>
      <w:r w:rsidRPr="00D830D2">
        <w:rPr>
          <w:rFonts w:ascii="Arial" w:hAnsi="Arial" w:cs="Arial"/>
        </w:rPr>
        <w:t>. Oxford, England, United Kingdom: Oxford University Press.</w:t>
      </w:r>
    </w:p>
    <w:p w14:paraId="651EC524" w14:textId="77777777" w:rsidR="00D830D2" w:rsidRDefault="00D830D2" w:rsidP="00D830D2">
      <w:pPr>
        <w:pStyle w:val="NormalWeb"/>
        <w:rPr>
          <w:rFonts w:ascii="Arial" w:hAnsi="Arial" w:cs="Arial"/>
        </w:rPr>
      </w:pPr>
      <w:r w:rsidRPr="00D830D2">
        <w:rPr>
          <w:rFonts w:ascii="Arial" w:hAnsi="Arial" w:cs="Arial"/>
        </w:rPr>
        <w:t xml:space="preserve">Malloch, M. and Rigby, P. (2016) </w:t>
      </w:r>
      <w:r w:rsidRPr="00D830D2">
        <w:rPr>
          <w:rFonts w:ascii="Arial" w:hAnsi="Arial" w:cs="Arial"/>
          <w:i/>
          <w:iCs/>
        </w:rPr>
        <w:t>Human trafficking the complexities of exploitation</w:t>
      </w:r>
      <w:r w:rsidRPr="00D830D2">
        <w:rPr>
          <w:rFonts w:ascii="Arial" w:hAnsi="Arial" w:cs="Arial"/>
        </w:rPr>
        <w:t xml:space="preserve">. Edinburgh, United </w:t>
      </w:r>
      <w:proofErr w:type="gramStart"/>
      <w:r w:rsidRPr="00D830D2">
        <w:rPr>
          <w:rFonts w:ascii="Arial" w:hAnsi="Arial" w:cs="Arial"/>
        </w:rPr>
        <w:t>Kingdom :</w:t>
      </w:r>
      <w:proofErr w:type="gramEnd"/>
      <w:r w:rsidRPr="00D830D2">
        <w:rPr>
          <w:rFonts w:ascii="Arial" w:hAnsi="Arial" w:cs="Arial"/>
        </w:rPr>
        <w:t xml:space="preserve"> Edinburgh University Press</w:t>
      </w:r>
    </w:p>
    <w:p w14:paraId="4508C611" w14:textId="77777777" w:rsidR="00D830D2" w:rsidRDefault="00D830D2" w:rsidP="00D830D2">
      <w:pPr>
        <w:pStyle w:val="NormalWeb"/>
        <w:rPr>
          <w:rFonts w:ascii="Arial" w:hAnsi="Arial" w:cs="Arial"/>
        </w:rPr>
      </w:pPr>
      <w:r w:rsidRPr="00D830D2">
        <w:rPr>
          <w:rFonts w:ascii="Arial" w:hAnsi="Arial" w:cs="Arial"/>
        </w:rPr>
        <w:t xml:space="preserve">Massey, G. (2016) “Social Change,” in </w:t>
      </w:r>
      <w:r w:rsidRPr="00D830D2">
        <w:rPr>
          <w:rFonts w:ascii="Arial" w:hAnsi="Arial" w:cs="Arial"/>
          <w:i/>
          <w:iCs/>
        </w:rPr>
        <w:t>Ways of social change: Making sense of modern times</w:t>
      </w:r>
      <w:r w:rsidRPr="00D830D2">
        <w:rPr>
          <w:rFonts w:ascii="Arial" w:hAnsi="Arial" w:cs="Arial"/>
        </w:rPr>
        <w:t xml:space="preserve">. Los Angeles, </w:t>
      </w:r>
      <w:proofErr w:type="gramStart"/>
      <w:r w:rsidRPr="00D830D2">
        <w:rPr>
          <w:rFonts w:ascii="Arial" w:hAnsi="Arial" w:cs="Arial"/>
        </w:rPr>
        <w:t>California :</w:t>
      </w:r>
      <w:proofErr w:type="gramEnd"/>
      <w:r w:rsidRPr="00D830D2">
        <w:rPr>
          <w:rFonts w:ascii="Arial" w:hAnsi="Arial" w:cs="Arial"/>
        </w:rPr>
        <w:t xml:space="preserve"> SAGE Publications, Inc., p. P69</w:t>
      </w:r>
    </w:p>
    <w:p w14:paraId="474BFF89" w14:textId="11C17095" w:rsidR="00D830D2" w:rsidRPr="00D830D2" w:rsidRDefault="00D830D2" w:rsidP="00D830D2">
      <w:pPr>
        <w:pStyle w:val="NormalWeb"/>
        <w:rPr>
          <w:rFonts w:ascii="Arial" w:hAnsi="Arial" w:cs="Arial"/>
        </w:rPr>
      </w:pPr>
      <w:r w:rsidRPr="00D830D2">
        <w:rPr>
          <w:rFonts w:ascii="Arial" w:hAnsi="Arial" w:cs="Arial"/>
          <w:i/>
          <w:iCs/>
        </w:rPr>
        <w:t>Multi-Agency Public Protection Arrangements</w:t>
      </w:r>
      <w:r w:rsidRPr="00D830D2">
        <w:rPr>
          <w:rFonts w:ascii="Arial" w:hAnsi="Arial" w:cs="Arial"/>
        </w:rPr>
        <w:t xml:space="preserve"> (2017) </w:t>
      </w:r>
      <w:r w:rsidRPr="00D830D2">
        <w:rPr>
          <w:rFonts w:ascii="Arial" w:hAnsi="Arial" w:cs="Arial"/>
          <w:i/>
          <w:iCs/>
        </w:rPr>
        <w:t>2.4.5 multi-agency public protection arrangements (MAPPA)</w:t>
      </w:r>
      <w:r w:rsidRPr="00D830D2">
        <w:rPr>
          <w:rFonts w:ascii="Arial" w:hAnsi="Arial" w:cs="Arial"/>
        </w:rPr>
        <w:t>. Kent Safeguarding Children. Available at: https://www.proceduresonline.com/kentandmedway/chapters/p_mappa.html#requirement (Accessed: January 24, 2023).</w:t>
      </w:r>
    </w:p>
    <w:p w14:paraId="4997152B" w14:textId="7CA34E04" w:rsidR="00D830D2" w:rsidRPr="00D830D2" w:rsidRDefault="00D830D2" w:rsidP="00D830D2">
      <w:pPr>
        <w:pStyle w:val="NormalWeb"/>
        <w:rPr>
          <w:rFonts w:ascii="Arial" w:hAnsi="Arial" w:cs="Arial"/>
        </w:rPr>
      </w:pPr>
      <w:r w:rsidRPr="00D830D2">
        <w:rPr>
          <w:rFonts w:ascii="Arial" w:hAnsi="Arial" w:cs="Arial"/>
        </w:rPr>
        <w:t>Nagle, J. (2018) “What is a community</w:t>
      </w:r>
      <w:proofErr w:type="gramStart"/>
      <w:r w:rsidRPr="00D830D2">
        <w:rPr>
          <w:rFonts w:ascii="Arial" w:hAnsi="Arial" w:cs="Arial"/>
        </w:rPr>
        <w:t>? ,</w:t>
      </w:r>
      <w:proofErr w:type="gramEnd"/>
      <w:r w:rsidRPr="00D830D2">
        <w:rPr>
          <w:rFonts w:ascii="Arial" w:hAnsi="Arial" w:cs="Arial"/>
        </w:rPr>
        <w:t xml:space="preserve">” in </w:t>
      </w:r>
      <w:r w:rsidRPr="00D830D2">
        <w:rPr>
          <w:rFonts w:ascii="Arial" w:hAnsi="Arial" w:cs="Arial"/>
          <w:i/>
          <w:iCs/>
        </w:rPr>
        <w:t>What is a community?</w:t>
      </w:r>
      <w:r w:rsidRPr="00D830D2">
        <w:rPr>
          <w:rFonts w:ascii="Arial" w:hAnsi="Arial" w:cs="Arial"/>
        </w:rPr>
        <w:t xml:space="preserve"> New York, New York: Britannica Educational Publishing, p. P6.</w:t>
      </w:r>
    </w:p>
    <w:p w14:paraId="4543083A" w14:textId="77777777" w:rsidR="00D830D2" w:rsidRDefault="00D830D2" w:rsidP="00D830D2">
      <w:pPr>
        <w:pStyle w:val="NormalWeb"/>
        <w:rPr>
          <w:rFonts w:ascii="Arial" w:hAnsi="Arial" w:cs="Arial"/>
        </w:rPr>
      </w:pPr>
      <w:r w:rsidRPr="00D830D2">
        <w:rPr>
          <w:rFonts w:ascii="Arial" w:hAnsi="Arial" w:cs="Arial"/>
        </w:rPr>
        <w:t xml:space="preserve">Participation, E. (2003) </w:t>
      </w:r>
      <w:r w:rsidRPr="00D830D2">
        <w:rPr>
          <w:rFonts w:ascii="Arial" w:hAnsi="Arial" w:cs="Arial"/>
          <w:i/>
          <w:iCs/>
        </w:rPr>
        <w:t>Criminal justice act 2003</w:t>
      </w:r>
      <w:r w:rsidRPr="00D830D2">
        <w:rPr>
          <w:rFonts w:ascii="Arial" w:hAnsi="Arial" w:cs="Arial"/>
        </w:rPr>
        <w:t xml:space="preserve">, </w:t>
      </w:r>
      <w:r w:rsidRPr="00D830D2">
        <w:rPr>
          <w:rFonts w:ascii="Arial" w:hAnsi="Arial" w:cs="Arial"/>
          <w:i/>
          <w:iCs/>
        </w:rPr>
        <w:t>Legislation.gov.uk</w:t>
      </w:r>
      <w:r w:rsidRPr="00D830D2">
        <w:rPr>
          <w:rFonts w:ascii="Arial" w:hAnsi="Arial" w:cs="Arial"/>
        </w:rPr>
        <w:t>. Statute Law Database. Available at: https://www.legislation.gov.uk/ukpga/2003/44/part/13/crossheading/assessing-etc-risks-posed-by-sexual-or-violent-offenders (Accessed: February 6, 2023).</w:t>
      </w:r>
    </w:p>
    <w:p w14:paraId="4AFBC132" w14:textId="4679AF33" w:rsidR="00D830D2" w:rsidRPr="00D830D2" w:rsidRDefault="00D830D2" w:rsidP="00D830D2">
      <w:pPr>
        <w:pStyle w:val="NormalWeb"/>
        <w:rPr>
          <w:rFonts w:ascii="Arial" w:hAnsi="Arial" w:cs="Arial"/>
        </w:rPr>
      </w:pPr>
      <w:proofErr w:type="spellStart"/>
      <w:r w:rsidRPr="00D830D2">
        <w:rPr>
          <w:rFonts w:ascii="Arial" w:hAnsi="Arial" w:cs="Arial"/>
        </w:rPr>
        <w:lastRenderedPageBreak/>
        <w:t>Prenzler</w:t>
      </w:r>
      <w:proofErr w:type="spellEnd"/>
      <w:r w:rsidRPr="00D830D2">
        <w:rPr>
          <w:rFonts w:ascii="Arial" w:hAnsi="Arial" w:cs="Arial"/>
        </w:rPr>
        <w:t>, T. (2019) “</w:t>
      </w:r>
      <w:proofErr w:type="gramStart"/>
      <w:r w:rsidRPr="00D830D2">
        <w:rPr>
          <w:rFonts w:ascii="Arial" w:hAnsi="Arial" w:cs="Arial"/>
        </w:rPr>
        <w:t>Introduction ,</w:t>
      </w:r>
      <w:proofErr w:type="gramEnd"/>
      <w:r w:rsidRPr="00D830D2">
        <w:rPr>
          <w:rFonts w:ascii="Arial" w:hAnsi="Arial" w:cs="Arial"/>
        </w:rPr>
        <w:t xml:space="preserve">” in </w:t>
      </w:r>
      <w:r w:rsidRPr="00D830D2">
        <w:rPr>
          <w:rFonts w:ascii="Arial" w:hAnsi="Arial" w:cs="Arial"/>
          <w:i/>
          <w:iCs/>
        </w:rPr>
        <w:t>Police corruption: Preventing misconduct and maintaining integrity</w:t>
      </w:r>
      <w:r w:rsidRPr="00D830D2">
        <w:rPr>
          <w:rFonts w:ascii="Arial" w:hAnsi="Arial" w:cs="Arial"/>
        </w:rPr>
        <w:t>. Boca Raton, FL, Florida: CRC Press, pp. P1–P1.</w:t>
      </w:r>
    </w:p>
    <w:p w14:paraId="372F6F76" w14:textId="613328BF" w:rsidR="00D830D2" w:rsidRPr="00D830D2" w:rsidRDefault="00D830D2" w:rsidP="00D830D2">
      <w:pPr>
        <w:pStyle w:val="NormalWeb"/>
        <w:rPr>
          <w:rFonts w:ascii="Arial" w:hAnsi="Arial" w:cs="Arial"/>
        </w:rPr>
      </w:pPr>
      <w:r w:rsidRPr="00D830D2">
        <w:rPr>
          <w:rFonts w:ascii="Arial" w:hAnsi="Arial" w:cs="Arial"/>
        </w:rPr>
        <w:t xml:space="preserve">Rowe, M. (2012) “Brixton Riots,” in </w:t>
      </w:r>
      <w:r w:rsidRPr="00D830D2">
        <w:rPr>
          <w:rFonts w:ascii="Arial" w:hAnsi="Arial" w:cs="Arial"/>
          <w:i/>
          <w:iCs/>
        </w:rPr>
        <w:t>Policing, race and racism</w:t>
      </w:r>
      <w:r w:rsidRPr="00D830D2">
        <w:rPr>
          <w:rFonts w:ascii="Arial" w:hAnsi="Arial" w:cs="Arial"/>
        </w:rPr>
        <w:t>. Cullompton, UK, England: Willan, p. P45.</w:t>
      </w:r>
    </w:p>
    <w:p w14:paraId="3C29C9B3" w14:textId="77777777" w:rsidR="00D830D2" w:rsidRDefault="00D830D2" w:rsidP="00D830D2">
      <w:pPr>
        <w:pStyle w:val="NormalWeb"/>
        <w:rPr>
          <w:rFonts w:ascii="Arial" w:hAnsi="Arial" w:cs="Arial"/>
        </w:rPr>
      </w:pPr>
      <w:r w:rsidRPr="00D830D2">
        <w:rPr>
          <w:rFonts w:ascii="Arial" w:hAnsi="Arial" w:cs="Arial"/>
        </w:rPr>
        <w:t xml:space="preserve">Scarman, L.G. (1981) in </w:t>
      </w:r>
      <w:r w:rsidRPr="00D830D2">
        <w:rPr>
          <w:rFonts w:ascii="Arial" w:hAnsi="Arial" w:cs="Arial"/>
          <w:i/>
          <w:iCs/>
        </w:rPr>
        <w:t>The Scarman Report: The Brixton Disorders, 10-12 April 1981: Report of an inquiry</w:t>
      </w:r>
      <w:r w:rsidRPr="00D830D2">
        <w:rPr>
          <w:rFonts w:ascii="Arial" w:hAnsi="Arial" w:cs="Arial"/>
        </w:rPr>
        <w:t>. London, United Kingdom: Penguin Books, p. P81.</w:t>
      </w:r>
    </w:p>
    <w:p w14:paraId="23DD8BC1" w14:textId="78E31F04" w:rsidR="00D830D2" w:rsidRPr="00D830D2" w:rsidRDefault="00D830D2" w:rsidP="00D830D2">
      <w:pPr>
        <w:pStyle w:val="NormalWeb"/>
        <w:rPr>
          <w:rFonts w:ascii="Arial" w:hAnsi="Arial" w:cs="Arial"/>
        </w:rPr>
      </w:pPr>
      <w:r w:rsidRPr="00D830D2">
        <w:rPr>
          <w:rFonts w:ascii="Arial" w:hAnsi="Arial" w:cs="Arial"/>
        </w:rPr>
        <w:t xml:space="preserve">SUTHERLAND, J.O.H.N. (2021) </w:t>
      </w:r>
      <w:r w:rsidRPr="00D830D2">
        <w:rPr>
          <w:rFonts w:ascii="Arial" w:hAnsi="Arial" w:cs="Arial"/>
          <w:i/>
          <w:iCs/>
        </w:rPr>
        <w:t>Crossing the line: Lessons from a life on duty</w:t>
      </w:r>
      <w:r w:rsidRPr="00D830D2">
        <w:rPr>
          <w:rFonts w:ascii="Arial" w:hAnsi="Arial" w:cs="Arial"/>
        </w:rPr>
        <w:t xml:space="preserve">. </w:t>
      </w:r>
      <w:proofErr w:type="spellStart"/>
      <w:r w:rsidRPr="00D830D2">
        <w:rPr>
          <w:rFonts w:ascii="Arial" w:hAnsi="Arial" w:cs="Arial"/>
        </w:rPr>
        <w:t>S.l.</w:t>
      </w:r>
      <w:proofErr w:type="spellEnd"/>
      <w:r w:rsidRPr="00D830D2">
        <w:rPr>
          <w:rFonts w:ascii="Arial" w:hAnsi="Arial" w:cs="Arial"/>
        </w:rPr>
        <w:t>: WEIDENFELD &amp; NICOLSON.</w:t>
      </w:r>
    </w:p>
    <w:p w14:paraId="05471D9E" w14:textId="54610D35" w:rsidR="00D830D2" w:rsidRPr="00D830D2" w:rsidRDefault="00D830D2" w:rsidP="00D830D2">
      <w:pPr>
        <w:pStyle w:val="NormalWeb"/>
        <w:rPr>
          <w:rFonts w:ascii="Arial" w:hAnsi="Arial" w:cs="Arial"/>
        </w:rPr>
      </w:pPr>
      <w:r w:rsidRPr="00D830D2">
        <w:rPr>
          <w:rFonts w:ascii="Arial" w:hAnsi="Arial" w:cs="Arial"/>
        </w:rPr>
        <w:t xml:space="preserve">Taylor, S. (2022) in </w:t>
      </w:r>
      <w:r w:rsidRPr="00D830D2">
        <w:rPr>
          <w:rFonts w:ascii="Arial" w:hAnsi="Arial" w:cs="Arial"/>
          <w:i/>
          <w:iCs/>
        </w:rPr>
        <w:t>Hate crime policy and disability: From vulnerability to ableism</w:t>
      </w:r>
      <w:r w:rsidRPr="00D830D2">
        <w:rPr>
          <w:rFonts w:ascii="Arial" w:hAnsi="Arial" w:cs="Arial"/>
        </w:rPr>
        <w:t>. Bristol, United Kingdom: Bristol University Press, p. P150.</w:t>
      </w:r>
    </w:p>
    <w:p w14:paraId="1447FA36" w14:textId="2A447D0D" w:rsidR="00D830D2" w:rsidRPr="00D830D2" w:rsidRDefault="00D830D2" w:rsidP="00D830D2">
      <w:pPr>
        <w:pStyle w:val="NormalWeb"/>
        <w:rPr>
          <w:rFonts w:ascii="Arial" w:hAnsi="Arial" w:cs="Arial"/>
        </w:rPr>
      </w:pPr>
      <w:r w:rsidRPr="00D830D2">
        <w:rPr>
          <w:rFonts w:ascii="Arial" w:hAnsi="Arial" w:cs="Arial"/>
          <w:i/>
          <w:iCs/>
        </w:rPr>
        <w:t>The police (conduct) regulations 1999</w:t>
      </w:r>
      <w:r w:rsidRPr="00D830D2">
        <w:rPr>
          <w:rFonts w:ascii="Arial" w:hAnsi="Arial" w:cs="Arial"/>
        </w:rPr>
        <w:t xml:space="preserve"> (1999) </w:t>
      </w:r>
      <w:r w:rsidRPr="00D830D2">
        <w:rPr>
          <w:rFonts w:ascii="Arial" w:hAnsi="Arial" w:cs="Arial"/>
          <w:i/>
          <w:iCs/>
        </w:rPr>
        <w:t>Legislation.gov.uk</w:t>
      </w:r>
      <w:r w:rsidRPr="00D830D2">
        <w:rPr>
          <w:rFonts w:ascii="Arial" w:hAnsi="Arial" w:cs="Arial"/>
        </w:rPr>
        <w:t>. Queen's Printer of Acts of Parliament. Available at: https://www.legislation.gov.uk/uksi/1999/730/contents/made (Accessed: February 2, 2023).</w:t>
      </w:r>
    </w:p>
    <w:p w14:paraId="2856ABDB" w14:textId="207E2A8D" w:rsidR="00D830D2" w:rsidRPr="00D830D2" w:rsidRDefault="00D830D2" w:rsidP="00D830D2">
      <w:pPr>
        <w:pStyle w:val="NormalWeb"/>
        <w:rPr>
          <w:rFonts w:ascii="Arial" w:hAnsi="Arial" w:cs="Arial"/>
        </w:rPr>
      </w:pPr>
      <w:r w:rsidRPr="00D830D2">
        <w:rPr>
          <w:rFonts w:ascii="Arial" w:hAnsi="Arial" w:cs="Arial"/>
        </w:rPr>
        <w:t xml:space="preserve">Welsh, L. </w:t>
      </w:r>
      <w:r w:rsidRPr="00D830D2">
        <w:rPr>
          <w:rFonts w:ascii="Arial" w:hAnsi="Arial" w:cs="Arial"/>
          <w:i/>
          <w:iCs/>
        </w:rPr>
        <w:t>et al.</w:t>
      </w:r>
      <w:r w:rsidRPr="00D830D2">
        <w:rPr>
          <w:rFonts w:ascii="Arial" w:hAnsi="Arial" w:cs="Arial"/>
        </w:rPr>
        <w:t xml:space="preserve"> (2021) in </w:t>
      </w:r>
      <w:r w:rsidRPr="00D830D2">
        <w:rPr>
          <w:rFonts w:ascii="Arial" w:hAnsi="Arial" w:cs="Arial"/>
          <w:i/>
          <w:iCs/>
        </w:rPr>
        <w:t>Sanders and Young's Criminal Justice</w:t>
      </w:r>
      <w:r w:rsidRPr="00D830D2">
        <w:rPr>
          <w:rFonts w:ascii="Arial" w:hAnsi="Arial" w:cs="Arial"/>
        </w:rPr>
        <w:t>. Oxford, England: Oxford University Press, p. P65.</w:t>
      </w:r>
    </w:p>
    <w:p w14:paraId="200BB9EA" w14:textId="233319FF" w:rsidR="00D830D2" w:rsidRPr="00D830D2" w:rsidRDefault="00D830D2" w:rsidP="00D830D2">
      <w:pPr>
        <w:pStyle w:val="NormalWeb"/>
        <w:rPr>
          <w:rFonts w:ascii="Arial" w:hAnsi="Arial" w:cs="Arial"/>
        </w:rPr>
      </w:pPr>
      <w:proofErr w:type="spellStart"/>
      <w:r w:rsidRPr="00D830D2">
        <w:rPr>
          <w:rFonts w:ascii="Arial" w:hAnsi="Arial" w:cs="Arial"/>
        </w:rPr>
        <w:t>Wormith</w:t>
      </w:r>
      <w:proofErr w:type="spellEnd"/>
      <w:r w:rsidRPr="00D830D2">
        <w:rPr>
          <w:rFonts w:ascii="Arial" w:hAnsi="Arial" w:cs="Arial"/>
        </w:rPr>
        <w:t xml:space="preserve">, J.S., Craig, L.A. and Hogue, T.E. (2020) in </w:t>
      </w:r>
      <w:r w:rsidRPr="00D830D2">
        <w:rPr>
          <w:rFonts w:ascii="Arial" w:hAnsi="Arial" w:cs="Arial"/>
          <w:i/>
          <w:iCs/>
        </w:rPr>
        <w:t>Wiley Handbook of what works in Violence Risk Management: Theory, research, and Practice</w:t>
      </w:r>
      <w:r w:rsidRPr="00D830D2">
        <w:rPr>
          <w:rFonts w:ascii="Arial" w:hAnsi="Arial" w:cs="Arial"/>
        </w:rPr>
        <w:t>. Hoboken, New York: Wiley &amp; Sons, Incorporated, John, p. P488.</w:t>
      </w:r>
    </w:p>
    <w:p w14:paraId="5924E93B" w14:textId="43CD4486" w:rsidR="00372F96" w:rsidRPr="00372F96" w:rsidRDefault="00FA254D" w:rsidP="00D830D2">
      <w:pPr>
        <w:spacing w:after="0" w:line="276" w:lineRule="auto"/>
        <w:ind w:left="567" w:right="531"/>
        <w:rPr>
          <w:rFonts w:ascii="Arial" w:eastAsia="Times New Roman" w:hAnsi="Arial" w:cs="Arial"/>
          <w:sz w:val="24"/>
          <w:szCs w:val="24"/>
          <w:lang w:eastAsia="en-GB"/>
        </w:rPr>
      </w:pPr>
      <w:r>
        <w:rPr>
          <w:rFonts w:ascii="Arial" w:eastAsia="Times New Roman" w:hAnsi="Arial" w:cs="Arial"/>
          <w:sz w:val="24"/>
          <w:szCs w:val="24"/>
          <w:lang w:eastAsia="en-GB"/>
        </w:rPr>
        <w:br/>
      </w:r>
    </w:p>
    <w:p w14:paraId="35EAE55A" w14:textId="77777777" w:rsidR="00372F96" w:rsidRPr="00372F96" w:rsidRDefault="00372F96" w:rsidP="00D830D2">
      <w:pPr>
        <w:spacing w:after="0" w:line="276" w:lineRule="auto"/>
        <w:ind w:left="567" w:right="531"/>
        <w:rPr>
          <w:rFonts w:ascii="Arial" w:hAnsi="Arial" w:cs="Arial"/>
          <w:sz w:val="24"/>
          <w:szCs w:val="24"/>
        </w:rPr>
      </w:pPr>
    </w:p>
    <w:p w14:paraId="0771177E" w14:textId="77777777" w:rsidR="00372F96" w:rsidRPr="00372F96" w:rsidRDefault="00372F96" w:rsidP="00D830D2">
      <w:pPr>
        <w:spacing w:after="0" w:line="276" w:lineRule="auto"/>
        <w:ind w:left="567" w:right="531"/>
        <w:rPr>
          <w:rFonts w:ascii="Arial" w:hAnsi="Arial" w:cs="Arial"/>
          <w:sz w:val="24"/>
          <w:szCs w:val="24"/>
        </w:rPr>
      </w:pPr>
    </w:p>
    <w:p w14:paraId="17A7DC50" w14:textId="77777777" w:rsidR="00372F96" w:rsidRPr="00372F96" w:rsidRDefault="00372F96" w:rsidP="00372F96">
      <w:pPr>
        <w:spacing w:after="0" w:line="276" w:lineRule="auto"/>
        <w:ind w:left="567" w:right="531"/>
        <w:rPr>
          <w:rFonts w:ascii="Arial" w:eastAsia="Times New Roman" w:hAnsi="Arial" w:cs="Arial"/>
          <w:b/>
          <w:bCs/>
          <w:sz w:val="24"/>
          <w:szCs w:val="24"/>
          <w:u w:val="single"/>
          <w:lang w:eastAsia="en-GB"/>
        </w:rPr>
      </w:pPr>
    </w:p>
    <w:p w14:paraId="65E3BC68" w14:textId="77777777" w:rsidR="00372F96" w:rsidRPr="00372F96" w:rsidRDefault="00372F96" w:rsidP="00372F96">
      <w:pPr>
        <w:spacing w:after="0" w:line="240" w:lineRule="auto"/>
        <w:ind w:left="567" w:right="531"/>
        <w:jc w:val="center"/>
        <w:rPr>
          <w:rFonts w:ascii="Arial" w:eastAsia="Times New Roman" w:hAnsi="Arial" w:cs="Arial"/>
          <w:b/>
          <w:sz w:val="24"/>
          <w:szCs w:val="24"/>
          <w:lang w:eastAsia="en-GB"/>
        </w:rPr>
      </w:pPr>
    </w:p>
    <w:p w14:paraId="6CBFBEB1" w14:textId="77777777" w:rsidR="00372F96" w:rsidRPr="00372F96" w:rsidRDefault="00372F96" w:rsidP="00372F96">
      <w:pPr>
        <w:spacing w:after="0" w:line="240" w:lineRule="auto"/>
        <w:ind w:left="567" w:right="531"/>
        <w:jc w:val="center"/>
        <w:rPr>
          <w:rFonts w:ascii="Arial" w:eastAsia="Times New Roman" w:hAnsi="Arial" w:cs="Arial"/>
          <w:b/>
          <w:sz w:val="24"/>
          <w:szCs w:val="24"/>
          <w:lang w:eastAsia="en-GB"/>
        </w:rPr>
      </w:pPr>
    </w:p>
    <w:p w14:paraId="13036F22" w14:textId="77777777" w:rsidR="00372F96" w:rsidRPr="00372F96" w:rsidRDefault="00372F96" w:rsidP="00372F96">
      <w:pPr>
        <w:spacing w:after="0" w:line="240" w:lineRule="auto"/>
        <w:ind w:right="531"/>
        <w:rPr>
          <w:rFonts w:ascii="Arial" w:eastAsia="Times New Roman" w:hAnsi="Arial" w:cs="Arial"/>
          <w:sz w:val="24"/>
          <w:szCs w:val="24"/>
          <w:lang w:eastAsia="en-GB"/>
        </w:rPr>
      </w:pPr>
    </w:p>
    <w:p w14:paraId="05CB354F" w14:textId="77777777" w:rsidR="00372F96" w:rsidRPr="00372F96" w:rsidRDefault="00372F96" w:rsidP="00372F96">
      <w:pPr>
        <w:spacing w:after="0" w:line="240" w:lineRule="auto"/>
        <w:ind w:right="531"/>
        <w:rPr>
          <w:rFonts w:ascii="Arial" w:eastAsia="Times New Roman" w:hAnsi="Arial" w:cs="Arial"/>
          <w:sz w:val="24"/>
          <w:szCs w:val="24"/>
          <w:lang w:eastAsia="en-GB"/>
        </w:rPr>
      </w:pPr>
    </w:p>
    <w:p w14:paraId="5FC8D5E3" w14:textId="77777777" w:rsidR="00372F96" w:rsidRPr="00372F96" w:rsidRDefault="00372F96" w:rsidP="00372F96">
      <w:pPr>
        <w:spacing w:after="0" w:line="240" w:lineRule="auto"/>
        <w:ind w:right="531"/>
        <w:rPr>
          <w:rFonts w:ascii="Arial" w:eastAsia="Times New Roman" w:hAnsi="Arial" w:cs="Arial"/>
          <w:sz w:val="24"/>
          <w:szCs w:val="24"/>
          <w:lang w:eastAsia="en-GB"/>
        </w:rPr>
      </w:pPr>
    </w:p>
    <w:p w14:paraId="648FF405" w14:textId="77777777" w:rsidR="0009399E" w:rsidRPr="00372F96" w:rsidRDefault="0009399E">
      <w:pPr>
        <w:rPr>
          <w:rFonts w:ascii="Arial" w:hAnsi="Arial" w:cs="Arial"/>
          <w:sz w:val="24"/>
          <w:szCs w:val="24"/>
        </w:rPr>
      </w:pPr>
    </w:p>
    <w:sectPr w:rsidR="0009399E" w:rsidRPr="00372F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D0B82"/>
    <w:multiLevelType w:val="hybridMultilevel"/>
    <w:tmpl w:val="1BF03902"/>
    <w:lvl w:ilvl="0" w:tplc="6630CC8E">
      <w:start w:val="1"/>
      <w:numFmt w:val="decimal"/>
      <w:lvlText w:val="%1."/>
      <w:lvlJc w:val="left"/>
      <w:pPr>
        <w:ind w:left="4897" w:hanging="360"/>
      </w:pPr>
      <w:rPr>
        <w:rFonts w:hint="default"/>
        <w:b/>
        <w:bCs/>
      </w:rPr>
    </w:lvl>
    <w:lvl w:ilvl="1" w:tplc="08090019" w:tentative="1">
      <w:start w:val="1"/>
      <w:numFmt w:val="lowerLetter"/>
      <w:lvlText w:val="%2."/>
      <w:lvlJc w:val="left"/>
      <w:pPr>
        <w:ind w:left="5617" w:hanging="360"/>
      </w:pPr>
    </w:lvl>
    <w:lvl w:ilvl="2" w:tplc="0809001B" w:tentative="1">
      <w:start w:val="1"/>
      <w:numFmt w:val="lowerRoman"/>
      <w:lvlText w:val="%3."/>
      <w:lvlJc w:val="right"/>
      <w:pPr>
        <w:ind w:left="6337" w:hanging="180"/>
      </w:pPr>
    </w:lvl>
    <w:lvl w:ilvl="3" w:tplc="0809000F" w:tentative="1">
      <w:start w:val="1"/>
      <w:numFmt w:val="decimal"/>
      <w:lvlText w:val="%4."/>
      <w:lvlJc w:val="left"/>
      <w:pPr>
        <w:ind w:left="7057" w:hanging="360"/>
      </w:pPr>
    </w:lvl>
    <w:lvl w:ilvl="4" w:tplc="08090019" w:tentative="1">
      <w:start w:val="1"/>
      <w:numFmt w:val="lowerLetter"/>
      <w:lvlText w:val="%5."/>
      <w:lvlJc w:val="left"/>
      <w:pPr>
        <w:ind w:left="7777" w:hanging="360"/>
      </w:pPr>
    </w:lvl>
    <w:lvl w:ilvl="5" w:tplc="0809001B" w:tentative="1">
      <w:start w:val="1"/>
      <w:numFmt w:val="lowerRoman"/>
      <w:lvlText w:val="%6."/>
      <w:lvlJc w:val="right"/>
      <w:pPr>
        <w:ind w:left="8497" w:hanging="180"/>
      </w:pPr>
    </w:lvl>
    <w:lvl w:ilvl="6" w:tplc="0809000F" w:tentative="1">
      <w:start w:val="1"/>
      <w:numFmt w:val="decimal"/>
      <w:lvlText w:val="%7."/>
      <w:lvlJc w:val="left"/>
      <w:pPr>
        <w:ind w:left="9217" w:hanging="360"/>
      </w:pPr>
    </w:lvl>
    <w:lvl w:ilvl="7" w:tplc="08090019" w:tentative="1">
      <w:start w:val="1"/>
      <w:numFmt w:val="lowerLetter"/>
      <w:lvlText w:val="%8."/>
      <w:lvlJc w:val="left"/>
      <w:pPr>
        <w:ind w:left="9937" w:hanging="360"/>
      </w:pPr>
    </w:lvl>
    <w:lvl w:ilvl="8" w:tplc="0809001B" w:tentative="1">
      <w:start w:val="1"/>
      <w:numFmt w:val="lowerRoman"/>
      <w:lvlText w:val="%9."/>
      <w:lvlJc w:val="right"/>
      <w:pPr>
        <w:ind w:left="10657" w:hanging="180"/>
      </w:pPr>
    </w:lvl>
  </w:abstractNum>
  <w:abstractNum w:abstractNumId="1" w15:restartNumberingAfterBreak="0">
    <w:nsid w:val="114A6C08"/>
    <w:multiLevelType w:val="hybridMultilevel"/>
    <w:tmpl w:val="1542CC14"/>
    <w:lvl w:ilvl="0" w:tplc="4FF0084E">
      <w:start w:val="4"/>
      <w:numFmt w:val="bullet"/>
      <w:lvlText w:val="-"/>
      <w:lvlJc w:val="left"/>
      <w:pPr>
        <w:ind w:left="927" w:hanging="360"/>
      </w:pPr>
      <w:rPr>
        <w:rFonts w:ascii="Arial" w:eastAsia="Times New Roman" w:hAnsi="Arial" w:cs="Aria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 w15:restartNumberingAfterBreak="0">
    <w:nsid w:val="115F226F"/>
    <w:multiLevelType w:val="hybridMultilevel"/>
    <w:tmpl w:val="6A5CD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D38D1"/>
    <w:multiLevelType w:val="hybridMultilevel"/>
    <w:tmpl w:val="ED7C7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AF446A"/>
    <w:multiLevelType w:val="hybridMultilevel"/>
    <w:tmpl w:val="B6848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EB4200"/>
    <w:multiLevelType w:val="hybridMultilevel"/>
    <w:tmpl w:val="8C4CC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50EC338B"/>
    <w:multiLevelType w:val="hybridMultilevel"/>
    <w:tmpl w:val="33521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9D5D4E"/>
    <w:multiLevelType w:val="hybridMultilevel"/>
    <w:tmpl w:val="8A3ED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5B0E42"/>
    <w:multiLevelType w:val="hybridMultilevel"/>
    <w:tmpl w:val="32C28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9515F0"/>
    <w:multiLevelType w:val="multilevel"/>
    <w:tmpl w:val="AE186C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918640995">
    <w:abstractNumId w:val="11"/>
  </w:num>
  <w:num w:numId="2" w16cid:durableId="2106262777">
    <w:abstractNumId w:val="12"/>
  </w:num>
  <w:num w:numId="3" w16cid:durableId="1982420608">
    <w:abstractNumId w:val="6"/>
  </w:num>
  <w:num w:numId="4" w16cid:durableId="1105809127">
    <w:abstractNumId w:val="8"/>
  </w:num>
  <w:num w:numId="5" w16cid:durableId="1058015654">
    <w:abstractNumId w:val="0"/>
  </w:num>
  <w:num w:numId="6" w16cid:durableId="1213884670">
    <w:abstractNumId w:val="4"/>
  </w:num>
  <w:num w:numId="7" w16cid:durableId="523983614">
    <w:abstractNumId w:val="3"/>
  </w:num>
  <w:num w:numId="8" w16cid:durableId="54015015">
    <w:abstractNumId w:val="7"/>
  </w:num>
  <w:num w:numId="9" w16cid:durableId="212541152">
    <w:abstractNumId w:val="5"/>
  </w:num>
  <w:num w:numId="10" w16cid:durableId="510066750">
    <w:abstractNumId w:val="9"/>
  </w:num>
  <w:num w:numId="11" w16cid:durableId="2107267504">
    <w:abstractNumId w:val="2"/>
  </w:num>
  <w:num w:numId="12" w16cid:durableId="118036343">
    <w:abstractNumId w:val="10"/>
  </w:num>
  <w:num w:numId="13" w16cid:durableId="17781382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F96"/>
    <w:rsid w:val="0009399E"/>
    <w:rsid w:val="00172F43"/>
    <w:rsid w:val="001E47DD"/>
    <w:rsid w:val="00372F96"/>
    <w:rsid w:val="00395B60"/>
    <w:rsid w:val="008965D5"/>
    <w:rsid w:val="00D65207"/>
    <w:rsid w:val="00D830D2"/>
    <w:rsid w:val="00ED49BD"/>
    <w:rsid w:val="00FA25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8EDB6"/>
  <w15:chartTrackingRefBased/>
  <w15:docId w15:val="{0F63A149-9E34-4381-BEB6-095B45E2B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F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72F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2F96"/>
  </w:style>
  <w:style w:type="table" w:styleId="TableGrid">
    <w:name w:val="Table Grid"/>
    <w:basedOn w:val="TableNormal"/>
    <w:uiPriority w:val="39"/>
    <w:rsid w:val="00372F9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72F96"/>
    <w:pPr>
      <w:ind w:left="720"/>
      <w:contextualSpacing/>
    </w:pPr>
  </w:style>
  <w:style w:type="paragraph" w:styleId="BalloonText">
    <w:name w:val="Balloon Text"/>
    <w:basedOn w:val="Normal"/>
    <w:link w:val="BalloonTextChar"/>
    <w:uiPriority w:val="99"/>
    <w:semiHidden/>
    <w:unhideWhenUsed/>
    <w:rsid w:val="00372F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2F96"/>
    <w:rPr>
      <w:rFonts w:ascii="Segoe UI" w:hAnsi="Segoe UI" w:cs="Segoe UI"/>
      <w:sz w:val="18"/>
      <w:szCs w:val="18"/>
    </w:rPr>
  </w:style>
  <w:style w:type="paragraph" w:styleId="Header">
    <w:name w:val="header"/>
    <w:basedOn w:val="Normal"/>
    <w:link w:val="HeaderChar"/>
    <w:uiPriority w:val="99"/>
    <w:unhideWhenUsed/>
    <w:rsid w:val="00372F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2F96"/>
  </w:style>
  <w:style w:type="character" w:styleId="CommentReference">
    <w:name w:val="annotation reference"/>
    <w:basedOn w:val="DefaultParagraphFont"/>
    <w:uiPriority w:val="99"/>
    <w:semiHidden/>
    <w:unhideWhenUsed/>
    <w:rsid w:val="00372F96"/>
    <w:rPr>
      <w:sz w:val="16"/>
      <w:szCs w:val="16"/>
    </w:rPr>
  </w:style>
  <w:style w:type="paragraph" w:styleId="CommentText">
    <w:name w:val="annotation text"/>
    <w:basedOn w:val="Normal"/>
    <w:link w:val="CommentTextChar"/>
    <w:uiPriority w:val="99"/>
    <w:semiHidden/>
    <w:unhideWhenUsed/>
    <w:rsid w:val="00372F96"/>
    <w:pPr>
      <w:spacing w:line="240" w:lineRule="auto"/>
    </w:pPr>
    <w:rPr>
      <w:sz w:val="20"/>
      <w:szCs w:val="20"/>
    </w:rPr>
  </w:style>
  <w:style w:type="character" w:customStyle="1" w:styleId="CommentTextChar">
    <w:name w:val="Comment Text Char"/>
    <w:basedOn w:val="DefaultParagraphFont"/>
    <w:link w:val="CommentText"/>
    <w:uiPriority w:val="99"/>
    <w:semiHidden/>
    <w:rsid w:val="00372F96"/>
    <w:rPr>
      <w:sz w:val="20"/>
      <w:szCs w:val="20"/>
    </w:rPr>
  </w:style>
  <w:style w:type="paragraph" w:styleId="CommentSubject">
    <w:name w:val="annotation subject"/>
    <w:basedOn w:val="CommentText"/>
    <w:next w:val="CommentText"/>
    <w:link w:val="CommentSubjectChar"/>
    <w:uiPriority w:val="99"/>
    <w:semiHidden/>
    <w:unhideWhenUsed/>
    <w:rsid w:val="00372F96"/>
    <w:rPr>
      <w:b/>
      <w:bCs/>
    </w:rPr>
  </w:style>
  <w:style w:type="character" w:customStyle="1" w:styleId="CommentSubjectChar">
    <w:name w:val="Comment Subject Char"/>
    <w:basedOn w:val="CommentTextChar"/>
    <w:link w:val="CommentSubject"/>
    <w:uiPriority w:val="99"/>
    <w:semiHidden/>
    <w:rsid w:val="00372F96"/>
    <w:rPr>
      <w:b/>
      <w:bCs/>
      <w:sz w:val="20"/>
      <w:szCs w:val="20"/>
    </w:rPr>
  </w:style>
  <w:style w:type="character" w:styleId="Hyperlink">
    <w:name w:val="Hyperlink"/>
    <w:basedOn w:val="DefaultParagraphFont"/>
    <w:uiPriority w:val="99"/>
    <w:unhideWhenUsed/>
    <w:rsid w:val="00372F96"/>
    <w:rPr>
      <w:color w:val="0563C1" w:themeColor="hyperlink"/>
      <w:u w:val="single"/>
    </w:rPr>
  </w:style>
  <w:style w:type="character" w:styleId="UnresolvedMention">
    <w:name w:val="Unresolved Mention"/>
    <w:basedOn w:val="DefaultParagraphFont"/>
    <w:uiPriority w:val="99"/>
    <w:semiHidden/>
    <w:unhideWhenUsed/>
    <w:rsid w:val="00372F96"/>
    <w:rPr>
      <w:color w:val="605E5C"/>
      <w:shd w:val="clear" w:color="auto" w:fill="E1DFDD"/>
    </w:rPr>
  </w:style>
  <w:style w:type="character" w:styleId="FollowedHyperlink">
    <w:name w:val="FollowedHyperlink"/>
    <w:basedOn w:val="DefaultParagraphFont"/>
    <w:uiPriority w:val="99"/>
    <w:semiHidden/>
    <w:unhideWhenUsed/>
    <w:rsid w:val="00D65207"/>
    <w:rPr>
      <w:color w:val="954F72" w:themeColor="followedHyperlink"/>
      <w:u w:val="single"/>
    </w:rPr>
  </w:style>
  <w:style w:type="paragraph" w:styleId="NormalWeb">
    <w:name w:val="Normal (Web)"/>
    <w:basedOn w:val="Normal"/>
    <w:uiPriority w:val="99"/>
    <w:semiHidden/>
    <w:unhideWhenUsed/>
    <w:rsid w:val="00FA254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1326</TotalTime>
  <Pages>19</Pages>
  <Words>5164</Words>
  <Characters>29440</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Thomas,Joshua swp8102</dc:creator>
  <cp:keywords/>
  <dc:description/>
  <cp:lastModifiedBy>Thomas,Joshua swp8102</cp:lastModifiedBy>
  <cp:revision>11</cp:revision>
  <dcterms:created xsi:type="dcterms:W3CDTF">2023-02-05T22:11:00Z</dcterms:created>
  <dcterms:modified xsi:type="dcterms:W3CDTF">2023-02-06T20:38:00Z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2023-02-05T22:11:19Z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229b1021-b0ed-4d96-b7bf-197e3fdf61b9</vt:lpwstr>
  </property>
  <property fmtid="{D5CDD505-2E9C-101B-9397-08002B2CF9AE}" pid="8" name="MSIP_Label_66cf8fe5-b7b7-4df7-b38d-1c61ac2f6639_ContentBits">
    <vt:lpwstr>0</vt:lpwstr>
  </property>
</Properties>
</file>