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EEC791" w14:textId="0C227AB7" w:rsidR="00A82E45" w:rsidRPr="001B455F" w:rsidRDefault="00A82E45" w:rsidP="00E71926">
      <w:pPr>
        <w:spacing w:line="276" w:lineRule="auto"/>
        <w:rPr>
          <w:rFonts w:ascii="Times New Roman" w:hAnsi="Times New Roman" w:cs="Times New Roman"/>
          <w:noProof/>
          <w:sz w:val="24"/>
          <w:szCs w:val="24"/>
        </w:rPr>
      </w:pPr>
      <w:r w:rsidRPr="001B455F">
        <w:rPr>
          <w:rFonts w:ascii="Times New Roman" w:hAnsi="Times New Roman" w:cs="Times New Roman"/>
          <w:noProof/>
          <w:sz w:val="24"/>
          <w:szCs w:val="24"/>
        </w:rPr>
        <w:t xml:space="preserve">The findings of this investigation presents a definite assessment of survey results relating to Adverse Childhood Experiences (Experts) and their suggestions. Through an exploration of informed assent, awareness of Pros, view of prevalence, and information on local area. These findings offer important experiences into the intricacies surrounding Experts, including moral contemplations, awareness holes, and admittance to help administrations. Through a nuanced investigation, this segment adds to how </w:t>
      </w:r>
      <w:r w:rsidR="001B455F">
        <w:rPr>
          <w:rFonts w:ascii="Times New Roman" w:hAnsi="Times New Roman" w:cs="Times New Roman"/>
          <w:noProof/>
          <w:sz w:val="24"/>
          <w:szCs w:val="24"/>
        </w:rPr>
        <w:t>one</w:t>
      </w:r>
      <w:r w:rsidRPr="001B455F">
        <w:rPr>
          <w:rFonts w:ascii="Times New Roman" w:hAnsi="Times New Roman" w:cs="Times New Roman"/>
          <w:noProof/>
          <w:sz w:val="24"/>
          <w:szCs w:val="24"/>
        </w:rPr>
        <w:t xml:space="preserve"> might interpret the connection between childhood adversity and its ramifications, illuminating procedures for intercession, prevention, and strategy improvement.</w:t>
      </w:r>
    </w:p>
    <w:p w14:paraId="5F089906" w14:textId="291C6019" w:rsidR="0072070A" w:rsidRPr="001B455F" w:rsidRDefault="0072070A" w:rsidP="00E71926">
      <w:pPr>
        <w:spacing w:line="276" w:lineRule="auto"/>
        <w:rPr>
          <w:rFonts w:ascii="Times New Roman" w:hAnsi="Times New Roman" w:cs="Times New Roman"/>
          <w:sz w:val="24"/>
          <w:szCs w:val="24"/>
        </w:rPr>
      </w:pPr>
      <w:r w:rsidRPr="001B455F">
        <w:rPr>
          <w:rFonts w:ascii="Times New Roman" w:hAnsi="Times New Roman" w:cs="Times New Roman"/>
          <w:noProof/>
          <w:sz w:val="24"/>
          <w:szCs w:val="24"/>
        </w:rPr>
        <w:drawing>
          <wp:anchor distT="0" distB="0" distL="114300" distR="114300" simplePos="0" relativeHeight="251658240" behindDoc="0" locked="0" layoutInCell="1" allowOverlap="1" wp14:anchorId="388C6B3B" wp14:editId="32FB5DFF">
            <wp:simplePos x="0" y="0"/>
            <wp:positionH relativeFrom="column">
              <wp:posOffset>25400</wp:posOffset>
            </wp:positionH>
            <wp:positionV relativeFrom="paragraph">
              <wp:posOffset>152400</wp:posOffset>
            </wp:positionV>
            <wp:extent cx="5731510" cy="2596515"/>
            <wp:effectExtent l="152400" t="152400" r="364490" b="356235"/>
            <wp:wrapSquare wrapText="bothSides"/>
            <wp:docPr id="1845006696" name="Picture 1" descr="Forms response chart. Question title: Q1. This survey is anonymous and confidential, do you consent to participate in this survey and your data being used in the research study? . Number of responses: 8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Q1. This survey is anonymous and confidential, do you consent to participate in this survey and your data being used in the research study? . Number of responses: 88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9651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1B455F">
        <w:rPr>
          <w:rFonts w:ascii="Times New Roman" w:hAnsi="Times New Roman" w:cs="Times New Roman"/>
          <w:sz w:val="24"/>
          <w:szCs w:val="24"/>
        </w:rPr>
        <w:t xml:space="preserve">This result </w:t>
      </w:r>
      <w:r w:rsidR="000D6479" w:rsidRPr="001B455F">
        <w:rPr>
          <w:rFonts w:ascii="Times New Roman" w:hAnsi="Times New Roman" w:cs="Times New Roman"/>
          <w:sz w:val="24"/>
          <w:szCs w:val="24"/>
        </w:rPr>
        <w:t xml:space="preserve">(Q1) </w:t>
      </w:r>
      <w:r w:rsidRPr="001B455F">
        <w:rPr>
          <w:rFonts w:ascii="Times New Roman" w:hAnsi="Times New Roman" w:cs="Times New Roman"/>
          <w:sz w:val="24"/>
          <w:szCs w:val="24"/>
        </w:rPr>
        <w:t>shows the results of a survey question about informed consent to participate in a research study. In total, 88 people responded to the question. Of those who responded, 96.6% said yes (85 people) and 3.4% said no (3 people).</w:t>
      </w:r>
    </w:p>
    <w:p w14:paraId="67E36C05" w14:textId="77777777" w:rsidR="0072070A" w:rsidRPr="001B455F" w:rsidRDefault="0072070A" w:rsidP="00E71926">
      <w:pPr>
        <w:spacing w:line="276" w:lineRule="auto"/>
        <w:rPr>
          <w:rFonts w:ascii="Times New Roman" w:hAnsi="Times New Roman" w:cs="Times New Roman"/>
          <w:sz w:val="24"/>
          <w:szCs w:val="24"/>
        </w:rPr>
      </w:pPr>
      <w:r w:rsidRPr="001B455F">
        <w:rPr>
          <w:rFonts w:ascii="Times New Roman" w:hAnsi="Times New Roman" w:cs="Times New Roman"/>
          <w:sz w:val="24"/>
          <w:szCs w:val="24"/>
        </w:rPr>
        <w:t>Here’s a breakdown of what the pie chart shows:</w:t>
      </w:r>
    </w:p>
    <w:p w14:paraId="1AB3EACA" w14:textId="77777777" w:rsidR="0072070A" w:rsidRPr="001B455F" w:rsidRDefault="0072070A" w:rsidP="00E71926">
      <w:pPr>
        <w:numPr>
          <w:ilvl w:val="0"/>
          <w:numId w:val="1"/>
        </w:numPr>
        <w:spacing w:line="276" w:lineRule="auto"/>
        <w:rPr>
          <w:rFonts w:ascii="Times New Roman" w:hAnsi="Times New Roman" w:cs="Times New Roman"/>
          <w:sz w:val="24"/>
          <w:szCs w:val="24"/>
        </w:rPr>
      </w:pPr>
      <w:r w:rsidRPr="001B455F">
        <w:rPr>
          <w:rFonts w:ascii="Times New Roman" w:hAnsi="Times New Roman" w:cs="Times New Roman"/>
          <w:b/>
          <w:bCs/>
          <w:sz w:val="24"/>
          <w:szCs w:val="24"/>
        </w:rPr>
        <w:t>Total respondents:</w:t>
      </w:r>
      <w:r w:rsidRPr="001B455F">
        <w:rPr>
          <w:rFonts w:ascii="Times New Roman" w:hAnsi="Times New Roman" w:cs="Times New Roman"/>
          <w:sz w:val="24"/>
          <w:szCs w:val="24"/>
        </w:rPr>
        <w:t> 88 people</w:t>
      </w:r>
    </w:p>
    <w:p w14:paraId="0342FB3D" w14:textId="77777777" w:rsidR="0072070A" w:rsidRPr="001B455F" w:rsidRDefault="0072070A" w:rsidP="00E71926">
      <w:pPr>
        <w:numPr>
          <w:ilvl w:val="0"/>
          <w:numId w:val="1"/>
        </w:numPr>
        <w:spacing w:line="276" w:lineRule="auto"/>
        <w:rPr>
          <w:rFonts w:ascii="Times New Roman" w:hAnsi="Times New Roman" w:cs="Times New Roman"/>
          <w:sz w:val="24"/>
          <w:szCs w:val="24"/>
        </w:rPr>
      </w:pPr>
      <w:r w:rsidRPr="001B455F">
        <w:rPr>
          <w:rFonts w:ascii="Times New Roman" w:hAnsi="Times New Roman" w:cs="Times New Roman"/>
          <w:b/>
          <w:bCs/>
          <w:sz w:val="24"/>
          <w:szCs w:val="24"/>
        </w:rPr>
        <w:t>Consent to participate:</w:t>
      </w:r>
      <w:r w:rsidRPr="001B455F">
        <w:rPr>
          <w:rFonts w:ascii="Times New Roman" w:hAnsi="Times New Roman" w:cs="Times New Roman"/>
          <w:sz w:val="24"/>
          <w:szCs w:val="24"/>
        </w:rPr>
        <w:t> 85 people (96.6%)</w:t>
      </w:r>
    </w:p>
    <w:p w14:paraId="3BACFAF3" w14:textId="77777777" w:rsidR="0072070A" w:rsidRPr="001B455F" w:rsidRDefault="0072070A" w:rsidP="00E71926">
      <w:pPr>
        <w:numPr>
          <w:ilvl w:val="0"/>
          <w:numId w:val="1"/>
        </w:numPr>
        <w:spacing w:line="276" w:lineRule="auto"/>
        <w:rPr>
          <w:rFonts w:ascii="Times New Roman" w:hAnsi="Times New Roman" w:cs="Times New Roman"/>
          <w:sz w:val="24"/>
          <w:szCs w:val="24"/>
        </w:rPr>
      </w:pPr>
      <w:r w:rsidRPr="001B455F">
        <w:rPr>
          <w:rFonts w:ascii="Times New Roman" w:hAnsi="Times New Roman" w:cs="Times New Roman"/>
          <w:b/>
          <w:bCs/>
          <w:sz w:val="24"/>
          <w:szCs w:val="24"/>
        </w:rPr>
        <w:t>Do not consent to participate:</w:t>
      </w:r>
      <w:r w:rsidRPr="001B455F">
        <w:rPr>
          <w:rFonts w:ascii="Times New Roman" w:hAnsi="Times New Roman" w:cs="Times New Roman"/>
          <w:sz w:val="24"/>
          <w:szCs w:val="24"/>
        </w:rPr>
        <w:t> 3 people (3.4%)</w:t>
      </w:r>
    </w:p>
    <w:p w14:paraId="3B8E1FA6" w14:textId="1AA00F75" w:rsidR="0072070A" w:rsidRPr="001B455F" w:rsidRDefault="000D6479" w:rsidP="00E71926">
      <w:pPr>
        <w:spacing w:line="276" w:lineRule="auto"/>
        <w:rPr>
          <w:rFonts w:ascii="Times New Roman" w:hAnsi="Times New Roman" w:cs="Times New Roman"/>
          <w:sz w:val="24"/>
          <w:szCs w:val="24"/>
        </w:rPr>
      </w:pPr>
      <w:r w:rsidRPr="001B455F">
        <w:rPr>
          <w:rFonts w:ascii="Times New Roman" w:hAnsi="Times New Roman" w:cs="Times New Roman"/>
          <w:noProof/>
          <w:sz w:val="24"/>
          <w:szCs w:val="24"/>
        </w:rPr>
        <w:lastRenderedPageBreak/>
        <w:drawing>
          <wp:anchor distT="0" distB="0" distL="114300" distR="114300" simplePos="0" relativeHeight="251659264" behindDoc="0" locked="0" layoutInCell="1" allowOverlap="1" wp14:anchorId="67D5F400" wp14:editId="54744DEE">
            <wp:simplePos x="0" y="0"/>
            <wp:positionH relativeFrom="margin">
              <wp:align>center</wp:align>
            </wp:positionH>
            <wp:positionV relativeFrom="paragraph">
              <wp:posOffset>152400</wp:posOffset>
            </wp:positionV>
            <wp:extent cx="5731510" cy="2408555"/>
            <wp:effectExtent l="152400" t="152400" r="364490" b="353695"/>
            <wp:wrapSquare wrapText="bothSides"/>
            <wp:docPr id="410970869" name="Picture 2" descr="Forms response chart. Question title: Q2. What is your gender?.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Q2. What is your gender?. Number of responses: 89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72070A" w:rsidRPr="001B455F">
        <w:rPr>
          <w:rFonts w:ascii="Times New Roman" w:hAnsi="Times New Roman" w:cs="Times New Roman"/>
          <w:sz w:val="24"/>
          <w:szCs w:val="24"/>
        </w:rPr>
        <w:t xml:space="preserve">The pie chart </w:t>
      </w:r>
      <w:r w:rsidRPr="001B455F">
        <w:rPr>
          <w:rFonts w:ascii="Times New Roman" w:hAnsi="Times New Roman" w:cs="Times New Roman"/>
          <w:sz w:val="24"/>
          <w:szCs w:val="24"/>
        </w:rPr>
        <w:t xml:space="preserve">(Q2) </w:t>
      </w:r>
      <w:r w:rsidR="0072070A" w:rsidRPr="001B455F">
        <w:rPr>
          <w:rFonts w:ascii="Times New Roman" w:hAnsi="Times New Roman" w:cs="Times New Roman"/>
          <w:sz w:val="24"/>
          <w:szCs w:val="24"/>
        </w:rPr>
        <w:t>shows the gender distribution of 89 survey respondents. Here's a breakdown of the results:</w:t>
      </w:r>
    </w:p>
    <w:p w14:paraId="56610323" w14:textId="6D5FC8C8" w:rsidR="0072070A" w:rsidRPr="001B455F" w:rsidRDefault="0072070A" w:rsidP="00E71926">
      <w:pPr>
        <w:numPr>
          <w:ilvl w:val="0"/>
          <w:numId w:val="2"/>
        </w:numPr>
        <w:spacing w:line="276" w:lineRule="auto"/>
        <w:rPr>
          <w:rFonts w:ascii="Times New Roman" w:hAnsi="Times New Roman" w:cs="Times New Roman"/>
          <w:sz w:val="24"/>
          <w:szCs w:val="24"/>
        </w:rPr>
      </w:pPr>
      <w:r w:rsidRPr="001B455F">
        <w:rPr>
          <w:rFonts w:ascii="Times New Roman" w:hAnsi="Times New Roman" w:cs="Times New Roman"/>
          <w:b/>
          <w:bCs/>
          <w:sz w:val="24"/>
          <w:szCs w:val="24"/>
        </w:rPr>
        <w:t>Male:</w:t>
      </w:r>
      <w:r w:rsidRPr="001B455F">
        <w:rPr>
          <w:rFonts w:ascii="Times New Roman" w:hAnsi="Times New Roman" w:cs="Times New Roman"/>
          <w:sz w:val="24"/>
          <w:szCs w:val="24"/>
        </w:rPr>
        <w:t> 62.9% (56 people)</w:t>
      </w:r>
    </w:p>
    <w:p w14:paraId="62C23BC4" w14:textId="16881E8E" w:rsidR="0072070A" w:rsidRPr="001B455F" w:rsidRDefault="0072070A" w:rsidP="00E71926">
      <w:pPr>
        <w:numPr>
          <w:ilvl w:val="0"/>
          <w:numId w:val="2"/>
        </w:numPr>
        <w:spacing w:line="276" w:lineRule="auto"/>
        <w:rPr>
          <w:rFonts w:ascii="Times New Roman" w:hAnsi="Times New Roman" w:cs="Times New Roman"/>
          <w:sz w:val="24"/>
          <w:szCs w:val="24"/>
        </w:rPr>
      </w:pPr>
      <w:r w:rsidRPr="001B455F">
        <w:rPr>
          <w:rFonts w:ascii="Times New Roman" w:hAnsi="Times New Roman" w:cs="Times New Roman"/>
          <w:b/>
          <w:bCs/>
          <w:sz w:val="24"/>
          <w:szCs w:val="24"/>
        </w:rPr>
        <w:t>Female:</w:t>
      </w:r>
      <w:r w:rsidRPr="001B455F">
        <w:rPr>
          <w:rFonts w:ascii="Times New Roman" w:hAnsi="Times New Roman" w:cs="Times New Roman"/>
          <w:sz w:val="24"/>
          <w:szCs w:val="24"/>
        </w:rPr>
        <w:t> 36% (32 people)</w:t>
      </w:r>
    </w:p>
    <w:p w14:paraId="507BB72D" w14:textId="6A5C4279" w:rsidR="0072070A" w:rsidRPr="001B455F" w:rsidRDefault="0072070A" w:rsidP="00E71926">
      <w:pPr>
        <w:numPr>
          <w:ilvl w:val="0"/>
          <w:numId w:val="2"/>
        </w:numPr>
        <w:spacing w:line="276" w:lineRule="auto"/>
        <w:rPr>
          <w:rFonts w:ascii="Times New Roman" w:hAnsi="Times New Roman" w:cs="Times New Roman"/>
          <w:sz w:val="24"/>
          <w:szCs w:val="24"/>
        </w:rPr>
      </w:pPr>
      <w:r w:rsidRPr="001B455F">
        <w:rPr>
          <w:rFonts w:ascii="Times New Roman" w:hAnsi="Times New Roman" w:cs="Times New Roman"/>
          <w:b/>
          <w:bCs/>
          <w:sz w:val="24"/>
          <w:szCs w:val="24"/>
        </w:rPr>
        <w:t>Prefer not to say:</w:t>
      </w:r>
      <w:r w:rsidRPr="001B455F">
        <w:rPr>
          <w:rFonts w:ascii="Times New Roman" w:hAnsi="Times New Roman" w:cs="Times New Roman"/>
          <w:sz w:val="24"/>
          <w:szCs w:val="24"/>
        </w:rPr>
        <w:t> 1.1</w:t>
      </w:r>
      <w:r w:rsidR="001B455F" w:rsidRPr="001B455F">
        <w:rPr>
          <w:rFonts w:ascii="Times New Roman" w:hAnsi="Times New Roman" w:cs="Times New Roman"/>
          <w:sz w:val="24"/>
          <w:szCs w:val="24"/>
        </w:rPr>
        <w:t>% (</w:t>
      </w:r>
      <w:r w:rsidRPr="001B455F">
        <w:rPr>
          <w:rFonts w:ascii="Times New Roman" w:hAnsi="Times New Roman" w:cs="Times New Roman"/>
          <w:sz w:val="24"/>
          <w:szCs w:val="24"/>
        </w:rPr>
        <w:t>1 person)</w:t>
      </w:r>
    </w:p>
    <w:p w14:paraId="352F258C" w14:textId="39A4340B" w:rsidR="0072070A" w:rsidRPr="001B455F" w:rsidRDefault="000D6479" w:rsidP="00E71926">
      <w:pPr>
        <w:spacing w:line="276" w:lineRule="auto"/>
        <w:rPr>
          <w:rFonts w:ascii="Times New Roman" w:hAnsi="Times New Roman" w:cs="Times New Roman"/>
          <w:sz w:val="24"/>
          <w:szCs w:val="24"/>
        </w:rPr>
      </w:pPr>
      <w:r w:rsidRPr="001B455F">
        <w:rPr>
          <w:rFonts w:ascii="Times New Roman" w:hAnsi="Times New Roman" w:cs="Times New Roman"/>
          <w:noProof/>
          <w:sz w:val="24"/>
          <w:szCs w:val="24"/>
        </w:rPr>
        <w:drawing>
          <wp:anchor distT="0" distB="0" distL="114300" distR="114300" simplePos="0" relativeHeight="251666432" behindDoc="0" locked="0" layoutInCell="1" allowOverlap="1" wp14:anchorId="65A855E8" wp14:editId="1287F3D0">
            <wp:simplePos x="0" y="0"/>
            <wp:positionH relativeFrom="margin">
              <wp:align>center</wp:align>
            </wp:positionH>
            <wp:positionV relativeFrom="paragraph">
              <wp:posOffset>733849</wp:posOffset>
            </wp:positionV>
            <wp:extent cx="5731510" cy="2408555"/>
            <wp:effectExtent l="152400" t="152400" r="364490" b="353695"/>
            <wp:wrapSquare wrapText="bothSides"/>
            <wp:docPr id="453934252" name="Picture 4" descr="Forms response chart. Question title: Q3. How old are you ?.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Q3. How old are you ?. Number of responses: 89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anchor>
        </w:drawing>
      </w:r>
      <w:r w:rsidR="0072070A" w:rsidRPr="001B455F">
        <w:rPr>
          <w:rFonts w:ascii="Times New Roman" w:hAnsi="Times New Roman" w:cs="Times New Roman"/>
          <w:sz w:val="24"/>
          <w:szCs w:val="24"/>
        </w:rPr>
        <w:t xml:space="preserve">It is important to note that the sample size is relatively small, so the results may not be </w:t>
      </w:r>
      <w:r w:rsidR="00F422E5">
        <w:rPr>
          <w:rFonts w:ascii="Times New Roman" w:hAnsi="Times New Roman" w:cs="Times New Roman"/>
          <w:sz w:val="24"/>
          <w:szCs w:val="24"/>
        </w:rPr>
        <w:t>generalisable</w:t>
      </w:r>
      <w:r w:rsidR="0072070A" w:rsidRPr="001B455F">
        <w:rPr>
          <w:rFonts w:ascii="Times New Roman" w:hAnsi="Times New Roman" w:cs="Times New Roman"/>
          <w:sz w:val="24"/>
          <w:szCs w:val="24"/>
        </w:rPr>
        <w:t xml:space="preserve"> to a larger population. However, the chart does show that a majority of the respondents who answered the question identified as male.</w:t>
      </w:r>
    </w:p>
    <w:p w14:paraId="06F1D389" w14:textId="1C5B6419" w:rsidR="0072070A" w:rsidRPr="001B455F" w:rsidRDefault="0072070A"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pie chart </w:t>
      </w:r>
      <w:r w:rsidR="000D6479" w:rsidRPr="001B455F">
        <w:rPr>
          <w:rFonts w:ascii="Times New Roman" w:hAnsi="Times New Roman" w:cs="Times New Roman"/>
          <w:sz w:val="24"/>
          <w:szCs w:val="24"/>
        </w:rPr>
        <w:t xml:space="preserve">(Q3) </w:t>
      </w:r>
      <w:r w:rsidRPr="001B455F">
        <w:rPr>
          <w:rFonts w:ascii="Times New Roman" w:hAnsi="Times New Roman" w:cs="Times New Roman"/>
          <w:sz w:val="24"/>
          <w:szCs w:val="24"/>
        </w:rPr>
        <w:t>shows the age distribution of 89 respondents. Almost 60% (59.6%) of the respondents were aged 18-24. There is no data for the age groups 18-24, 25-34, 35-44, 45-54, and 55+.</w:t>
      </w:r>
    </w:p>
    <w:p w14:paraId="064CEC24" w14:textId="77777777" w:rsidR="0072070A" w:rsidRPr="001B455F" w:rsidRDefault="0072070A"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Here's a breakdown of the age distribution according to the chart:</w:t>
      </w:r>
    </w:p>
    <w:p w14:paraId="500BCB7D" w14:textId="77777777" w:rsidR="0072070A" w:rsidRPr="001B455F" w:rsidRDefault="0072070A" w:rsidP="00E71926">
      <w:pPr>
        <w:numPr>
          <w:ilvl w:val="0"/>
          <w:numId w:val="3"/>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lastRenderedPageBreak/>
        <w:t>Under 18: 25.8% (23 people)</w:t>
      </w:r>
    </w:p>
    <w:p w14:paraId="6F8A4CE7" w14:textId="4173512A" w:rsidR="0072070A" w:rsidRPr="001B455F" w:rsidRDefault="0072070A" w:rsidP="00E71926">
      <w:pPr>
        <w:numPr>
          <w:ilvl w:val="0"/>
          <w:numId w:val="3"/>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18-24: 59.6% (53 people)</w:t>
      </w:r>
    </w:p>
    <w:p w14:paraId="27B53999" w14:textId="07A9B78D" w:rsidR="0072070A" w:rsidRPr="001B455F" w:rsidRDefault="0072070A" w:rsidP="00E71926">
      <w:pPr>
        <w:numPr>
          <w:ilvl w:val="0"/>
          <w:numId w:val="3"/>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No data for other age groups</w:t>
      </w:r>
    </w:p>
    <w:p w14:paraId="1ECDA9AF" w14:textId="34A0CC14" w:rsidR="0072070A" w:rsidRPr="001B455F" w:rsidRDefault="000D6479"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noProof/>
          <w:sz w:val="24"/>
          <w:szCs w:val="24"/>
        </w:rPr>
        <w:drawing>
          <wp:anchor distT="0" distB="0" distL="114300" distR="114300" simplePos="0" relativeHeight="251660288" behindDoc="0" locked="0" layoutInCell="1" allowOverlap="1" wp14:anchorId="4F40DFA4" wp14:editId="5936EEE7">
            <wp:simplePos x="0" y="0"/>
            <wp:positionH relativeFrom="column">
              <wp:posOffset>-42334</wp:posOffset>
            </wp:positionH>
            <wp:positionV relativeFrom="paragraph">
              <wp:posOffset>985943</wp:posOffset>
            </wp:positionV>
            <wp:extent cx="5731510" cy="2408555"/>
            <wp:effectExtent l="152400" t="152400" r="364490" b="353695"/>
            <wp:wrapSquare wrapText="bothSides"/>
            <wp:docPr id="1381584345" name="Picture 5" descr="Forms response chart. Question title: Q4. Were you aware of Adverse Childhood Experiences (ACEs) before taking part in this survey?&#10;.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Q4. Were you aware of Adverse Childhood Experiences (ACEs) before taking part in this survey?&#10;. Number of responses: 89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72070A" w:rsidRPr="001B455F">
        <w:rPr>
          <w:rFonts w:ascii="Times New Roman" w:hAnsi="Times New Roman" w:cs="Times New Roman"/>
          <w:sz w:val="24"/>
          <w:szCs w:val="24"/>
        </w:rPr>
        <w:t xml:space="preserve">It is important to consider that the survey does not capture data for a significant portion (40.4%) of the respondents. This could potentially </w:t>
      </w:r>
      <w:r w:rsidR="001B455F">
        <w:rPr>
          <w:rFonts w:ascii="Times New Roman" w:hAnsi="Times New Roman" w:cs="Times New Roman"/>
          <w:sz w:val="24"/>
          <w:szCs w:val="24"/>
        </w:rPr>
        <w:t>divert</w:t>
      </w:r>
      <w:r w:rsidR="0072070A" w:rsidRPr="001B455F">
        <w:rPr>
          <w:rFonts w:ascii="Times New Roman" w:hAnsi="Times New Roman" w:cs="Times New Roman"/>
          <w:sz w:val="24"/>
          <w:szCs w:val="24"/>
        </w:rPr>
        <w:t xml:space="preserve"> the results depending on the age demographics of those who did not answer the question. For instance, if older age groups were less likely to respond to the question, the pie chart would overrepresent the younger demographics.</w:t>
      </w:r>
      <w:r w:rsidR="00C64559" w:rsidRPr="001B455F">
        <w:rPr>
          <w:rFonts w:ascii="Times New Roman" w:hAnsi="Times New Roman" w:cs="Times New Roman"/>
          <w:sz w:val="24"/>
          <w:szCs w:val="24"/>
        </w:rPr>
        <w:t xml:space="preserve">                                           </w:t>
      </w:r>
      <w:r w:rsidR="00C64559" w:rsidRPr="001B455F">
        <w:rPr>
          <w:rFonts w:ascii="Times New Roman" w:hAnsi="Times New Roman" w:cs="Times New Roman"/>
          <w:sz w:val="24"/>
          <w:szCs w:val="24"/>
        </w:rPr>
        <w:tab/>
      </w:r>
    </w:p>
    <w:p w14:paraId="0CE79A8C" w14:textId="5CE20C53" w:rsidR="0072070A" w:rsidRPr="001B455F" w:rsidRDefault="0072070A"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graph </w:t>
      </w:r>
      <w:r w:rsidR="000D6479" w:rsidRPr="001B455F">
        <w:rPr>
          <w:rFonts w:ascii="Times New Roman" w:hAnsi="Times New Roman" w:cs="Times New Roman"/>
          <w:sz w:val="24"/>
          <w:szCs w:val="24"/>
        </w:rPr>
        <w:t xml:space="preserve">(Q4) </w:t>
      </w:r>
      <w:r w:rsidRPr="001B455F">
        <w:rPr>
          <w:rFonts w:ascii="Times New Roman" w:hAnsi="Times New Roman" w:cs="Times New Roman"/>
          <w:sz w:val="24"/>
          <w:szCs w:val="24"/>
        </w:rPr>
        <w:t>shows the results of a survey question about awareness of Adverse Childhood Experiences (ACEs) before taking part in the survey. There were 89 total respondents.</w:t>
      </w:r>
    </w:p>
    <w:p w14:paraId="2C20AC8D" w14:textId="4AF7C439" w:rsidR="0072070A" w:rsidRPr="001B455F" w:rsidRDefault="0072070A" w:rsidP="00E71926">
      <w:pPr>
        <w:numPr>
          <w:ilvl w:val="0"/>
          <w:numId w:val="4"/>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b/>
          <w:bCs/>
          <w:sz w:val="24"/>
          <w:szCs w:val="24"/>
        </w:rPr>
        <w:t>Aware of ACEs:</w:t>
      </w:r>
      <w:r w:rsidRPr="001B455F">
        <w:rPr>
          <w:rFonts w:ascii="Times New Roman" w:hAnsi="Times New Roman" w:cs="Times New Roman"/>
          <w:sz w:val="24"/>
          <w:szCs w:val="24"/>
        </w:rPr>
        <w:t> 53.9% (48 people).</w:t>
      </w:r>
    </w:p>
    <w:p w14:paraId="7C885FD5" w14:textId="146D50B2" w:rsidR="0072070A" w:rsidRPr="001B455F" w:rsidRDefault="0072070A" w:rsidP="00E71926">
      <w:pPr>
        <w:numPr>
          <w:ilvl w:val="0"/>
          <w:numId w:val="4"/>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b/>
          <w:bCs/>
          <w:sz w:val="24"/>
          <w:szCs w:val="24"/>
        </w:rPr>
        <w:t>Not Aware of ACEs:</w:t>
      </w:r>
      <w:r w:rsidRPr="001B455F">
        <w:rPr>
          <w:rFonts w:ascii="Times New Roman" w:hAnsi="Times New Roman" w:cs="Times New Roman"/>
          <w:sz w:val="24"/>
          <w:szCs w:val="24"/>
        </w:rPr>
        <w:t> 46.1% (41 people).</w:t>
      </w:r>
    </w:p>
    <w:p w14:paraId="16D15A94" w14:textId="0A087256" w:rsidR="0072070A" w:rsidRPr="001B455F" w:rsidRDefault="0072070A"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Here’s a breakdown of what the pie chart shows:</w:t>
      </w:r>
    </w:p>
    <w:p w14:paraId="788C9E54" w14:textId="66D1505B" w:rsidR="0072070A" w:rsidRPr="001B455F" w:rsidRDefault="0072070A" w:rsidP="00E71926">
      <w:pPr>
        <w:numPr>
          <w:ilvl w:val="0"/>
          <w:numId w:val="5"/>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 little over half of the respondents (53.9%) were aware of ACEs before taking part in the survey.</w:t>
      </w:r>
    </w:p>
    <w:p w14:paraId="45A2F00E" w14:textId="6FAC96F4" w:rsidR="0072070A" w:rsidRPr="001B455F" w:rsidRDefault="0072070A" w:rsidP="00E71926">
      <w:pPr>
        <w:numPr>
          <w:ilvl w:val="0"/>
          <w:numId w:val="5"/>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Almost half of the respondents (46.1%) were not aware of ACEs before taking part in the survey.</w:t>
      </w:r>
    </w:p>
    <w:p w14:paraId="16E02686" w14:textId="55E4206E" w:rsidR="0072070A" w:rsidRPr="001B455F" w:rsidRDefault="0072070A"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It is important to note that the survey does not tell us anything about the demographics of the respondents. This means </w:t>
      </w:r>
      <w:r w:rsidR="001B455F">
        <w:rPr>
          <w:rFonts w:ascii="Times New Roman" w:hAnsi="Times New Roman" w:cs="Times New Roman"/>
          <w:sz w:val="24"/>
          <w:szCs w:val="24"/>
        </w:rPr>
        <w:t>one</w:t>
      </w:r>
      <w:r w:rsidRPr="001B455F">
        <w:rPr>
          <w:rFonts w:ascii="Times New Roman" w:hAnsi="Times New Roman" w:cs="Times New Roman"/>
          <w:sz w:val="24"/>
          <w:szCs w:val="24"/>
        </w:rPr>
        <w:t xml:space="preserve"> cannot say for sure if certain groups were more or less likely to be aware of ACEs.</w:t>
      </w:r>
    </w:p>
    <w:p w14:paraId="1996149A" w14:textId="2DA125F2" w:rsidR="00334B01" w:rsidRPr="001B455F" w:rsidRDefault="00334B01"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pie chart shows the distribution of responses to a survey question about people’s awareness of Adverse Childhood Experiences (ACEs) before taking part in the survey. There were 89 total respondents. Just over half of the respondents (53.9%, or 48 people) said they </w:t>
      </w:r>
      <w:r w:rsidRPr="001B455F">
        <w:rPr>
          <w:rFonts w:ascii="Times New Roman" w:hAnsi="Times New Roman" w:cs="Times New Roman"/>
          <w:sz w:val="24"/>
          <w:szCs w:val="24"/>
        </w:rPr>
        <w:lastRenderedPageBreak/>
        <w:t>were aware of ACEs before taking the survey. That means almost half (46.1%, or 41 people) were not aware of ACEs before the survey.</w:t>
      </w:r>
    </w:p>
    <w:p w14:paraId="374F5548" w14:textId="3EF7D7C7" w:rsidR="00C64559" w:rsidRPr="001B455F" w:rsidRDefault="00C64559"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b/>
      </w:r>
      <w:r w:rsidRPr="001B455F">
        <w:rPr>
          <w:rFonts w:ascii="Times New Roman" w:hAnsi="Times New Roman" w:cs="Times New Roman"/>
          <w:sz w:val="24"/>
          <w:szCs w:val="24"/>
        </w:rPr>
        <w:tab/>
      </w:r>
      <w:r w:rsidRPr="001B455F">
        <w:rPr>
          <w:rFonts w:ascii="Times New Roman" w:hAnsi="Times New Roman" w:cs="Times New Roman"/>
          <w:sz w:val="24"/>
          <w:szCs w:val="24"/>
        </w:rPr>
        <w:tab/>
      </w:r>
      <w:r w:rsidRPr="001B455F">
        <w:rPr>
          <w:rFonts w:ascii="Times New Roman" w:hAnsi="Times New Roman" w:cs="Times New Roman"/>
          <w:sz w:val="24"/>
          <w:szCs w:val="24"/>
        </w:rPr>
        <w:tab/>
      </w:r>
      <w:r w:rsidRPr="001B455F">
        <w:rPr>
          <w:rFonts w:ascii="Times New Roman" w:hAnsi="Times New Roman" w:cs="Times New Roman"/>
          <w:sz w:val="24"/>
          <w:szCs w:val="24"/>
        </w:rPr>
        <w:tab/>
      </w:r>
      <w:r w:rsidR="000D6479" w:rsidRPr="001B455F">
        <w:rPr>
          <w:rFonts w:ascii="Times New Roman" w:hAnsi="Times New Roman" w:cs="Times New Roman"/>
          <w:noProof/>
          <w:sz w:val="24"/>
          <w:szCs w:val="24"/>
        </w:rPr>
        <w:drawing>
          <wp:anchor distT="0" distB="0" distL="114300" distR="114300" simplePos="0" relativeHeight="251667456" behindDoc="0" locked="0" layoutInCell="1" allowOverlap="1" wp14:anchorId="34AD0235" wp14:editId="22C959CF">
            <wp:simplePos x="0" y="0"/>
            <wp:positionH relativeFrom="column">
              <wp:posOffset>-76200</wp:posOffset>
            </wp:positionH>
            <wp:positionV relativeFrom="paragraph">
              <wp:posOffset>152823</wp:posOffset>
            </wp:positionV>
            <wp:extent cx="5731510" cy="2408555"/>
            <wp:effectExtent l="152400" t="152400" r="364490" b="353695"/>
            <wp:wrapSquare wrapText="bothSides"/>
            <wp:docPr id="255556753" name="Picture 10" descr="Forms response chart. Question title: Q6. What proportion of children in the UK do you think have at least one ACE in their early lives?.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s response chart. Question title: Q6. What proportion of children in the UK do you think have at least one ACE in their early lives?. Number of responses: 9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anchor>
        </w:drawing>
      </w:r>
      <w:r w:rsidRPr="001B455F">
        <w:rPr>
          <w:rFonts w:ascii="Times New Roman" w:hAnsi="Times New Roman" w:cs="Times New Roman"/>
          <w:sz w:val="24"/>
          <w:szCs w:val="24"/>
        </w:rPr>
        <w:tab/>
      </w:r>
      <w:r w:rsidRPr="001B455F">
        <w:rPr>
          <w:rFonts w:ascii="Times New Roman" w:hAnsi="Times New Roman" w:cs="Times New Roman"/>
          <w:sz w:val="24"/>
          <w:szCs w:val="24"/>
        </w:rPr>
        <w:tab/>
      </w:r>
      <w:r w:rsidRPr="001B455F">
        <w:rPr>
          <w:rFonts w:ascii="Times New Roman" w:hAnsi="Times New Roman" w:cs="Times New Roman"/>
          <w:sz w:val="24"/>
          <w:szCs w:val="24"/>
        </w:rPr>
        <w:tab/>
      </w:r>
    </w:p>
    <w:p w14:paraId="55D866C7" w14:textId="535BA8C4" w:rsidR="0072070A" w:rsidRPr="001B455F" w:rsidRDefault="00334B01"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noProof/>
          <w:sz w:val="24"/>
          <w:szCs w:val="24"/>
        </w:rPr>
        <w:drawing>
          <wp:anchor distT="0" distB="0" distL="114300" distR="114300" simplePos="0" relativeHeight="251662336" behindDoc="0" locked="0" layoutInCell="1" allowOverlap="1" wp14:anchorId="7E37376F" wp14:editId="33CE9530">
            <wp:simplePos x="0" y="0"/>
            <wp:positionH relativeFrom="page">
              <wp:posOffset>956734</wp:posOffset>
            </wp:positionH>
            <wp:positionV relativeFrom="paragraph">
              <wp:posOffset>2577888</wp:posOffset>
            </wp:positionV>
            <wp:extent cx="5731510" cy="2408555"/>
            <wp:effectExtent l="152400" t="152400" r="364490" b="353695"/>
            <wp:wrapTopAndBottom/>
            <wp:docPr id="1724903783" name="Picture 11" descr="Forms response chart. Question title: Q7. What proportion of children in the UK have five or more ACEs ?.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s response chart. Question title: Q7. What proportion of children in the UK have five or more ACEs ?. Number of responses: 89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anchor>
        </w:drawing>
      </w:r>
      <w:r w:rsidR="0072070A" w:rsidRPr="001B455F">
        <w:rPr>
          <w:rFonts w:ascii="Times New Roman" w:hAnsi="Times New Roman" w:cs="Times New Roman"/>
          <w:sz w:val="24"/>
          <w:szCs w:val="24"/>
        </w:rPr>
        <w:t xml:space="preserve">The pie chart </w:t>
      </w:r>
      <w:r w:rsidR="000D6479" w:rsidRPr="001B455F">
        <w:rPr>
          <w:rFonts w:ascii="Times New Roman" w:hAnsi="Times New Roman" w:cs="Times New Roman"/>
          <w:sz w:val="24"/>
          <w:szCs w:val="24"/>
        </w:rPr>
        <w:t xml:space="preserve">(Q6) </w:t>
      </w:r>
      <w:r w:rsidR="0072070A" w:rsidRPr="001B455F">
        <w:rPr>
          <w:rFonts w:ascii="Times New Roman" w:hAnsi="Times New Roman" w:cs="Times New Roman"/>
          <w:sz w:val="24"/>
          <w:szCs w:val="24"/>
        </w:rPr>
        <w:t>depicts public perception of Adverse Childhood Experiences (ACEs) prevalence in the UK. A significant portion (35.6%) believe that over half (51-75%) of children have experienced at least one ACE. Interestingly, 14.4% are unsure, highlighting a potential knowledge gap about ACEs. While the chart offers valuable insight into public perception, it's crucial to remember this data is based on opinions, not concrete evidence on actual ACE rates.</w:t>
      </w:r>
    </w:p>
    <w:p w14:paraId="611E3094" w14:textId="77777777" w:rsidR="00334B01" w:rsidRPr="001B455F" w:rsidRDefault="00334B01" w:rsidP="00E71926">
      <w:pPr>
        <w:spacing w:line="276" w:lineRule="auto"/>
        <w:rPr>
          <w:rFonts w:ascii="Times New Roman" w:hAnsi="Times New Roman" w:cs="Times New Roman"/>
          <w:sz w:val="24"/>
          <w:szCs w:val="24"/>
        </w:rPr>
      </w:pPr>
    </w:p>
    <w:p w14:paraId="63F57E07" w14:textId="26707276" w:rsidR="00C64559" w:rsidRPr="001B455F" w:rsidRDefault="00E35A2C"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 </w:t>
      </w:r>
      <w:r w:rsidR="009776B7" w:rsidRPr="001B455F">
        <w:rPr>
          <w:rFonts w:ascii="Times New Roman" w:hAnsi="Times New Roman" w:cs="Times New Roman"/>
          <w:sz w:val="24"/>
          <w:szCs w:val="24"/>
        </w:rPr>
        <w:t xml:space="preserve">The pie chart reveals that awareness of Adverse Childhood Experiences (ACEs) is divided nearly equally among the 89 people who responded to the survey question. Over half, 53.9% </w:t>
      </w:r>
      <w:r w:rsidR="009776B7" w:rsidRPr="001B455F">
        <w:rPr>
          <w:rFonts w:ascii="Times New Roman" w:hAnsi="Times New Roman" w:cs="Times New Roman"/>
          <w:sz w:val="24"/>
          <w:szCs w:val="24"/>
        </w:rPr>
        <w:lastRenderedPageBreak/>
        <w:t>(48 people), said they were aware of ACEs before participating in the survey. This suggests that a significant portion of the population has some knowledge about ACEs. However, a nearly equal number, 46.1% (41 people), were not aware of ACEs before the survey. This highlights a potential knowledge gap about ACEs in a substantial portion of the population.</w:t>
      </w:r>
    </w:p>
    <w:p w14:paraId="71D771DE" w14:textId="0AE2505F" w:rsidR="009776B7" w:rsidRPr="001B455F" w:rsidRDefault="009776B7" w:rsidP="00E71926">
      <w:pPr>
        <w:tabs>
          <w:tab w:val="left" w:pos="6180"/>
        </w:tabs>
        <w:spacing w:line="276" w:lineRule="auto"/>
        <w:rPr>
          <w:rFonts w:ascii="Times New Roman" w:hAnsi="Times New Roman" w:cs="Times New Roman"/>
          <w:sz w:val="24"/>
          <w:szCs w:val="24"/>
        </w:rPr>
      </w:pPr>
    </w:p>
    <w:p w14:paraId="79AD8520" w14:textId="49A39220" w:rsidR="009776B7" w:rsidRPr="001B455F" w:rsidRDefault="009776B7"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pie chart </w:t>
      </w:r>
      <w:r w:rsidR="00334B01" w:rsidRPr="001B455F">
        <w:rPr>
          <w:rFonts w:ascii="Times New Roman" w:hAnsi="Times New Roman" w:cs="Times New Roman"/>
          <w:sz w:val="24"/>
          <w:szCs w:val="24"/>
        </w:rPr>
        <w:t xml:space="preserve">(Q7) </w:t>
      </w:r>
      <w:r w:rsidRPr="001B455F">
        <w:rPr>
          <w:rFonts w:ascii="Times New Roman" w:hAnsi="Times New Roman" w:cs="Times New Roman"/>
          <w:sz w:val="24"/>
          <w:szCs w:val="24"/>
        </w:rPr>
        <w:t>shows the results of a survey question about awareness of community resources for individuals affected by Adverse Childhood Experiences (ACEs). A total of 89 people responded to the question.</w:t>
      </w:r>
    </w:p>
    <w:p w14:paraId="10D909A6" w14:textId="401E6566" w:rsidR="009776B7" w:rsidRPr="001B455F" w:rsidRDefault="009776B7" w:rsidP="00E71926">
      <w:pPr>
        <w:numPr>
          <w:ilvl w:val="0"/>
          <w:numId w:val="8"/>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b/>
          <w:bCs/>
          <w:sz w:val="24"/>
          <w:szCs w:val="24"/>
        </w:rPr>
        <w:t>Aware of resources:</w:t>
      </w:r>
      <w:r w:rsidRPr="001B455F">
        <w:rPr>
          <w:rFonts w:ascii="Times New Roman" w:hAnsi="Times New Roman" w:cs="Times New Roman"/>
          <w:sz w:val="24"/>
          <w:szCs w:val="24"/>
        </w:rPr>
        <w:t> 67.4% (60 people)</w:t>
      </w:r>
    </w:p>
    <w:p w14:paraId="7153E3DE" w14:textId="73A6F526" w:rsidR="009776B7" w:rsidRPr="001B455F" w:rsidRDefault="009776B7" w:rsidP="00E71926">
      <w:pPr>
        <w:numPr>
          <w:ilvl w:val="0"/>
          <w:numId w:val="8"/>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b/>
          <w:bCs/>
          <w:sz w:val="24"/>
          <w:szCs w:val="24"/>
        </w:rPr>
        <w:t>Not aware of resources:</w:t>
      </w:r>
      <w:r w:rsidRPr="001B455F">
        <w:rPr>
          <w:rFonts w:ascii="Times New Roman" w:hAnsi="Times New Roman" w:cs="Times New Roman"/>
          <w:sz w:val="24"/>
          <w:szCs w:val="24"/>
        </w:rPr>
        <w:t> 21.3% (19 people)</w:t>
      </w:r>
    </w:p>
    <w:p w14:paraId="3A59AF30" w14:textId="3AEDD164" w:rsidR="009776B7" w:rsidRPr="001B455F" w:rsidRDefault="00E71926" w:rsidP="00E71926">
      <w:pPr>
        <w:numPr>
          <w:ilvl w:val="0"/>
          <w:numId w:val="8"/>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noProof/>
          <w:sz w:val="24"/>
          <w:szCs w:val="24"/>
        </w:rPr>
        <w:drawing>
          <wp:anchor distT="0" distB="0" distL="114300" distR="114300" simplePos="0" relativeHeight="251665408" behindDoc="0" locked="0" layoutInCell="1" allowOverlap="1" wp14:anchorId="1FC0FE4A" wp14:editId="6FB41F00">
            <wp:simplePos x="0" y="0"/>
            <wp:positionH relativeFrom="margin">
              <wp:align>center</wp:align>
            </wp:positionH>
            <wp:positionV relativeFrom="paragraph">
              <wp:posOffset>3142191</wp:posOffset>
            </wp:positionV>
            <wp:extent cx="5731510" cy="2408555"/>
            <wp:effectExtent l="152400" t="152400" r="364490" b="353695"/>
            <wp:wrapSquare wrapText="bothSides"/>
            <wp:docPr id="2081721666" name="Picture 15" descr="Forms response chart. Question title: Q11. Are you aware of any community resources aimed at supporting individuals affected by ACEs? . Number of responses: 8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ms response chart. Question title: Q11. Are you aware of any community resources aimed at supporting individuals affected by ACEs? . Number of responses: 89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anchor>
        </w:drawing>
      </w:r>
      <w:r w:rsidR="00334B01" w:rsidRPr="001B455F">
        <w:rPr>
          <w:rFonts w:ascii="Times New Roman" w:hAnsi="Times New Roman" w:cs="Times New Roman"/>
          <w:noProof/>
          <w:sz w:val="24"/>
          <w:szCs w:val="24"/>
        </w:rPr>
        <w:drawing>
          <wp:anchor distT="0" distB="0" distL="114300" distR="114300" simplePos="0" relativeHeight="251664384" behindDoc="0" locked="0" layoutInCell="1" allowOverlap="1" wp14:anchorId="561F2C91" wp14:editId="390080D5">
            <wp:simplePos x="0" y="0"/>
            <wp:positionH relativeFrom="margin">
              <wp:posOffset>-67733</wp:posOffset>
            </wp:positionH>
            <wp:positionV relativeFrom="paragraph">
              <wp:posOffset>478366</wp:posOffset>
            </wp:positionV>
            <wp:extent cx="5731510" cy="2408555"/>
            <wp:effectExtent l="152400" t="152400" r="364490" b="353695"/>
            <wp:wrapTopAndBottom/>
            <wp:docPr id="2020058551" name="Picture 14" descr="Forms response chart. Question title: Q10.  Do you think addressing ACEs can help prevent or reduce antisocial behaviour in society? . Number of responses: 9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Forms response chart. Question title: Q10.  Do you think addressing ACEs can help prevent or reduce antisocial behaviour in society? . Number of responses: 9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anchor>
        </w:drawing>
      </w:r>
      <w:r w:rsidR="009776B7" w:rsidRPr="001B455F">
        <w:rPr>
          <w:rFonts w:ascii="Times New Roman" w:hAnsi="Times New Roman" w:cs="Times New Roman"/>
          <w:b/>
          <w:bCs/>
          <w:sz w:val="24"/>
          <w:szCs w:val="24"/>
        </w:rPr>
        <w:t>Maybe aware of resources:</w:t>
      </w:r>
      <w:r w:rsidR="009776B7" w:rsidRPr="001B455F">
        <w:rPr>
          <w:rFonts w:ascii="Times New Roman" w:hAnsi="Times New Roman" w:cs="Times New Roman"/>
          <w:sz w:val="24"/>
          <w:szCs w:val="24"/>
        </w:rPr>
        <w:t> 11.2% (10 people)</w:t>
      </w:r>
    </w:p>
    <w:p w14:paraId="1DA2A1E0" w14:textId="025BDB41" w:rsidR="009776B7" w:rsidRPr="001B455F" w:rsidRDefault="009776B7"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The pie chart</w:t>
      </w:r>
      <w:r w:rsidR="00334B01" w:rsidRPr="001B455F">
        <w:rPr>
          <w:rFonts w:ascii="Times New Roman" w:hAnsi="Times New Roman" w:cs="Times New Roman"/>
          <w:sz w:val="24"/>
          <w:szCs w:val="24"/>
        </w:rPr>
        <w:t xml:space="preserve"> (Q11)</w:t>
      </w:r>
      <w:r w:rsidRPr="001B455F">
        <w:rPr>
          <w:rFonts w:ascii="Times New Roman" w:hAnsi="Times New Roman" w:cs="Times New Roman"/>
          <w:sz w:val="24"/>
          <w:szCs w:val="24"/>
        </w:rPr>
        <w:t xml:space="preserve"> indicates that a significant majority (67.4%, or 60 people) are aware of resources available in their community to help those impacted by ACEs. This suggests that </w:t>
      </w:r>
      <w:r w:rsidRPr="001B455F">
        <w:rPr>
          <w:rFonts w:ascii="Times New Roman" w:hAnsi="Times New Roman" w:cs="Times New Roman"/>
          <w:sz w:val="24"/>
          <w:szCs w:val="24"/>
        </w:rPr>
        <w:lastRenderedPageBreak/>
        <w:t>there may be successful outreach programs informing the community about available resources. However, a sizeable minority (21.3%, or 19 people) were not aware of such resources. There is also a small group (11.2%, or 10 people) who are unsure about the availability of resources.</w:t>
      </w:r>
    </w:p>
    <w:p w14:paraId="5CD5D4B8" w14:textId="44B079BB" w:rsidR="009776B7"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noProof/>
          <w:sz w:val="24"/>
          <w:szCs w:val="24"/>
        </w:rPr>
        <w:drawing>
          <wp:anchor distT="0" distB="0" distL="114300" distR="114300" simplePos="0" relativeHeight="251668480" behindDoc="0" locked="0" layoutInCell="1" allowOverlap="1" wp14:anchorId="262A1AC5" wp14:editId="5CFA1583">
            <wp:simplePos x="0" y="0"/>
            <wp:positionH relativeFrom="column">
              <wp:posOffset>-33655</wp:posOffset>
            </wp:positionH>
            <wp:positionV relativeFrom="paragraph">
              <wp:posOffset>1324398</wp:posOffset>
            </wp:positionV>
            <wp:extent cx="5731510" cy="2408555"/>
            <wp:effectExtent l="152400" t="152400" r="364490" b="353695"/>
            <wp:wrapTopAndBottom/>
            <wp:docPr id="584231875" name="Picture 19" descr="Forms response chart. Question title: Q15. Do you believe there are any gaps in public awareness or education regarding ACEs? &#10;. Number of responses: 8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s response chart. Question title: Q15. Do you believe there are any gaps in public awareness or education regarding ACEs? &#10;. Number of responses: 87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8555"/>
                    </a:xfrm>
                    <a:prstGeom prst="rect">
                      <a:avLst/>
                    </a:prstGeom>
                    <a:ln>
                      <a:noFill/>
                    </a:ln>
                    <a:effectLst>
                      <a:outerShdw blurRad="292100" dist="139700" dir="2700000" algn="tl" rotWithShape="0">
                        <a:srgbClr val="333333">
                          <a:alpha val="65000"/>
                        </a:srgbClr>
                      </a:outerShdw>
                    </a:effectLst>
                  </pic:spPr>
                </pic:pic>
              </a:graphicData>
            </a:graphic>
          </wp:anchor>
        </w:drawing>
      </w:r>
      <w:r w:rsidR="009776B7" w:rsidRPr="001B455F">
        <w:rPr>
          <w:rFonts w:ascii="Times New Roman" w:hAnsi="Times New Roman" w:cs="Times New Roman"/>
          <w:sz w:val="24"/>
          <w:szCs w:val="24"/>
        </w:rPr>
        <w:t>Overall, the pie chart suggests that there is some awareness about community resources for people affected by ACEs. However, there is also a gap in knowledge among a significant minority of the population. Considering the limitations of the data, further research to understand the demographics of those who are unaware and the reach of outreach programs could be beneficial.</w:t>
      </w:r>
    </w:p>
    <w:p w14:paraId="26358579" w14:textId="0CA9D794" w:rsidR="00613646" w:rsidRPr="001B455F" w:rsidRDefault="0061364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According to the pie chart</w:t>
      </w:r>
      <w:r w:rsidR="00334B01" w:rsidRPr="001B455F">
        <w:rPr>
          <w:rFonts w:ascii="Times New Roman" w:hAnsi="Times New Roman" w:cs="Times New Roman"/>
          <w:sz w:val="24"/>
          <w:szCs w:val="24"/>
        </w:rPr>
        <w:t xml:space="preserve"> (Q15)</w:t>
      </w:r>
      <w:r w:rsidRPr="001B455F">
        <w:rPr>
          <w:rFonts w:ascii="Times New Roman" w:hAnsi="Times New Roman" w:cs="Times New Roman"/>
          <w:sz w:val="24"/>
          <w:szCs w:val="24"/>
        </w:rPr>
        <w:t xml:space="preserve">, the largest percentage of respondents (35.6%) believe that over half (51-75%) of children in the UK have at least one ACE in their early lives </w:t>
      </w:r>
      <w:r w:rsidR="00E71926" w:rsidRPr="001B455F">
        <w:rPr>
          <w:rFonts w:ascii="Times New Roman" w:hAnsi="Times New Roman" w:cs="Times New Roman"/>
          <w:sz w:val="24"/>
          <w:szCs w:val="24"/>
        </w:rPr>
        <w:t>(Boulier &amp; Blair, 2018)</w:t>
      </w:r>
      <w:r w:rsidRPr="001B455F">
        <w:rPr>
          <w:rFonts w:ascii="Times New Roman" w:hAnsi="Times New Roman" w:cs="Times New Roman"/>
          <w:sz w:val="24"/>
          <w:szCs w:val="24"/>
        </w:rPr>
        <w:t>. However, it is important to note that this data is based on people’s perceptions rather than factual data</w:t>
      </w:r>
    </w:p>
    <w:p w14:paraId="6E4E3FD5" w14:textId="7437F652" w:rsidR="00613646" w:rsidRPr="001B455F" w:rsidRDefault="0061364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Here’s a more detailed breakdown of the findings:</w:t>
      </w:r>
    </w:p>
    <w:p w14:paraId="4AF3B627" w14:textId="55E170C8" w:rsidR="00613646" w:rsidRPr="001B455F" w:rsidRDefault="00613646" w:rsidP="00E71926">
      <w:pPr>
        <w:numPr>
          <w:ilvl w:val="0"/>
          <w:numId w:val="10"/>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 significant portion of respondents (35.6%) believe that a majority of children (51-75%) experience at least one ACE before adulthood.</w:t>
      </w:r>
    </w:p>
    <w:p w14:paraId="029FE60A" w14:textId="417C60DB" w:rsidR="00613646" w:rsidRPr="001B455F" w:rsidRDefault="00613646" w:rsidP="00E71926">
      <w:pPr>
        <w:numPr>
          <w:ilvl w:val="0"/>
          <w:numId w:val="10"/>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Over a third (32.2%) believe that less than a quarter (under 25%) of children experience ACEs.</w:t>
      </w:r>
    </w:p>
    <w:p w14:paraId="4B48C860" w14:textId="24DEFF2F" w:rsidR="00613646" w:rsidRPr="001B455F" w:rsidRDefault="00613646" w:rsidP="00E71926">
      <w:pPr>
        <w:numPr>
          <w:ilvl w:val="0"/>
          <w:numId w:val="10"/>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Nearly one in seven (14.4%) are unsure about the prevalence of ACEs in early childhood.</w:t>
      </w:r>
    </w:p>
    <w:p w14:paraId="423BF44D" w14:textId="22EF7645" w:rsidR="00613646" w:rsidRPr="001B455F" w:rsidRDefault="00613646" w:rsidP="00E71926">
      <w:pPr>
        <w:numPr>
          <w:ilvl w:val="0"/>
          <w:numId w:val="10"/>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 smaller percentage of respondents selected the following options:</w:t>
      </w:r>
    </w:p>
    <w:p w14:paraId="11180E42" w14:textId="39F9ADC5" w:rsidR="00613646" w:rsidRPr="001B455F" w:rsidRDefault="00613646" w:rsidP="00E71926">
      <w:pPr>
        <w:numPr>
          <w:ilvl w:val="1"/>
          <w:numId w:val="10"/>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Between 25-50% of children experience ACEs (12.2%).</w:t>
      </w:r>
    </w:p>
    <w:p w14:paraId="62E7BD1C" w14:textId="5331049A" w:rsidR="00613646" w:rsidRPr="001B455F" w:rsidRDefault="00613646" w:rsidP="00E71926">
      <w:pPr>
        <w:numPr>
          <w:ilvl w:val="1"/>
          <w:numId w:val="10"/>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More than 75% of children experience ACEs (6.6%).</w:t>
      </w:r>
    </w:p>
    <w:p w14:paraId="4CAB39FD" w14:textId="38228591" w:rsidR="0086728F" w:rsidRPr="001B455F" w:rsidRDefault="0086728F" w:rsidP="00E71926">
      <w:pPr>
        <w:tabs>
          <w:tab w:val="left" w:pos="6180"/>
        </w:tabs>
        <w:spacing w:line="276" w:lineRule="auto"/>
        <w:jc w:val="center"/>
        <w:rPr>
          <w:rFonts w:ascii="Times New Roman" w:hAnsi="Times New Roman" w:cs="Times New Roman"/>
          <w:sz w:val="24"/>
          <w:szCs w:val="24"/>
        </w:rPr>
      </w:pPr>
      <w:r w:rsidRPr="001B455F">
        <w:rPr>
          <w:rFonts w:ascii="Times New Roman" w:hAnsi="Times New Roman" w:cs="Times New Roman"/>
          <w:noProof/>
          <w:sz w:val="24"/>
          <w:szCs w:val="24"/>
        </w:rPr>
        <w:lastRenderedPageBreak/>
        <w:drawing>
          <wp:inline distT="0" distB="0" distL="0" distR="0" wp14:anchorId="1C441868" wp14:editId="06556063">
            <wp:extent cx="5366261" cy="2723092"/>
            <wp:effectExtent l="152400" t="152400" r="368300" b="363220"/>
            <wp:docPr id="4010873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81095" cy="2730620"/>
                    </a:xfrm>
                    <a:prstGeom prst="rect">
                      <a:avLst/>
                    </a:prstGeom>
                    <a:ln>
                      <a:noFill/>
                    </a:ln>
                    <a:effectLst>
                      <a:outerShdw blurRad="292100" dist="139700" dir="2700000" algn="tl" rotWithShape="0">
                        <a:srgbClr val="333333">
                          <a:alpha val="65000"/>
                        </a:srgbClr>
                      </a:outerShdw>
                    </a:effectLst>
                  </pic:spPr>
                </pic:pic>
              </a:graphicData>
            </a:graphic>
          </wp:inline>
        </w:drawing>
      </w:r>
    </w:p>
    <w:p w14:paraId="5C89494F" w14:textId="77777777" w:rsidR="00133B70" w:rsidRPr="001B455F" w:rsidRDefault="00133B70"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The graph shows the number of respondents who reported experiencing each type of ACE, as well as the percentage of respondents who reported experiencing each type of ACE.</w:t>
      </w:r>
    </w:p>
    <w:p w14:paraId="19CE5589" w14:textId="77777777" w:rsidR="00133B70" w:rsidRPr="001B455F" w:rsidRDefault="00133B70"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Here is a breakdown of the results shown in the graph:</w:t>
      </w:r>
    </w:p>
    <w:p w14:paraId="1BB42996"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Physical abuse: 38 respondents (42.2%)</w:t>
      </w:r>
    </w:p>
    <w:p w14:paraId="69AC1789"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Emotional abuse: 36 respondents (40%)</w:t>
      </w:r>
    </w:p>
    <w:p w14:paraId="0A0FDDE1"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Sexual abuse: 35 respondents (38.9%)</w:t>
      </w:r>
    </w:p>
    <w:p w14:paraId="1DBFC4ED"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Physical neglect: 35 respondents (38.9%)</w:t>
      </w:r>
    </w:p>
    <w:p w14:paraId="60F276D0"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Emotional neglect: 35 respondents (38.9%)</w:t>
      </w:r>
    </w:p>
    <w:p w14:paraId="50C4E4AD"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Domestic violence: 34 respondents (37.8%)</w:t>
      </w:r>
    </w:p>
    <w:p w14:paraId="2C8595E5"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Household substance abuse: 22 respondents (24.4%)</w:t>
      </w:r>
    </w:p>
    <w:p w14:paraId="1BD42BE4"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Household mental illness: 17 respondents (18.9%)</w:t>
      </w:r>
    </w:p>
    <w:p w14:paraId="35A4780F"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Loss of a parent to death or abandonment: 21 respondents (23.3%)</w:t>
      </w:r>
    </w:p>
    <w:p w14:paraId="019EB411" w14:textId="77777777" w:rsidR="00133B70" w:rsidRPr="001B455F" w:rsidRDefault="00133B70" w:rsidP="00E71926">
      <w:pPr>
        <w:numPr>
          <w:ilvl w:val="0"/>
          <w:numId w:val="11"/>
        </w:num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Incarceration of a household member: 11 respondents (12.2%)</w:t>
      </w:r>
    </w:p>
    <w:p w14:paraId="736E9A8E" w14:textId="77777777" w:rsidR="0086728F" w:rsidRPr="001B455F" w:rsidRDefault="0086728F" w:rsidP="00E71926">
      <w:pPr>
        <w:tabs>
          <w:tab w:val="left" w:pos="6180"/>
        </w:tabs>
        <w:spacing w:line="276" w:lineRule="auto"/>
        <w:rPr>
          <w:rFonts w:ascii="Times New Roman" w:hAnsi="Times New Roman" w:cs="Times New Roman"/>
          <w:sz w:val="24"/>
          <w:szCs w:val="24"/>
        </w:rPr>
      </w:pPr>
    </w:p>
    <w:p w14:paraId="76C45028" w14:textId="6F4ED1C8" w:rsidR="00C64559" w:rsidRPr="001B455F" w:rsidRDefault="00C64559"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b/>
      </w:r>
      <w:r w:rsidRPr="001B455F">
        <w:rPr>
          <w:rFonts w:ascii="Times New Roman" w:hAnsi="Times New Roman" w:cs="Times New Roman"/>
          <w:sz w:val="24"/>
          <w:szCs w:val="24"/>
        </w:rPr>
        <w:tab/>
      </w:r>
    </w:p>
    <w:p w14:paraId="5298B9FA" w14:textId="77777777" w:rsidR="00613646" w:rsidRPr="001B455F" w:rsidRDefault="0061364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b/>
          <w:bCs/>
          <w:sz w:val="24"/>
          <w:szCs w:val="24"/>
        </w:rPr>
        <w:t>Findings Analysis</w:t>
      </w:r>
    </w:p>
    <w:p w14:paraId="29D016CC" w14:textId="77777777" w:rsidR="00C323CE" w:rsidRPr="001B455F" w:rsidRDefault="00C323CE"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findings from the survey information offer huge bits of knowledge into different parts of Adverse Childhood Experiences (Experts) and their suggestions for research and practice. </w:t>
      </w:r>
      <w:r w:rsidRPr="001B455F">
        <w:rPr>
          <w:rFonts w:ascii="Times New Roman" w:hAnsi="Times New Roman" w:cs="Times New Roman"/>
          <w:sz w:val="24"/>
          <w:szCs w:val="24"/>
        </w:rPr>
        <w:lastRenderedPageBreak/>
        <w:t>This comprehensive investigation expects to dig further into the findings, giving extra setting and explanations upheld by important writing.</w:t>
      </w:r>
    </w:p>
    <w:p w14:paraId="2F075F9C" w14:textId="77777777" w:rsidR="00C323CE" w:rsidRPr="001B455F" w:rsidRDefault="00C323CE" w:rsidP="00E71926">
      <w:pPr>
        <w:tabs>
          <w:tab w:val="left" w:pos="6180"/>
        </w:tabs>
        <w:spacing w:line="276" w:lineRule="auto"/>
        <w:rPr>
          <w:rFonts w:ascii="Times New Roman" w:hAnsi="Times New Roman" w:cs="Times New Roman"/>
          <w:b/>
          <w:bCs/>
          <w:sz w:val="24"/>
          <w:szCs w:val="24"/>
        </w:rPr>
      </w:pPr>
      <w:r w:rsidRPr="001B455F">
        <w:rPr>
          <w:rFonts w:ascii="Times New Roman" w:hAnsi="Times New Roman" w:cs="Times New Roman"/>
          <w:b/>
          <w:bCs/>
          <w:sz w:val="24"/>
          <w:szCs w:val="24"/>
        </w:rPr>
        <w:t>Informed Assent and Socioeconomics</w:t>
      </w:r>
    </w:p>
    <w:p w14:paraId="48EBB2CC" w14:textId="77777777" w:rsidR="00C323CE" w:rsidRPr="001B455F" w:rsidRDefault="00C323CE"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The survey's high pace of informed assent, with 96.6% of respondents consenting to partake in the research study, thinks about emphatically the moral lead of the study. Informed assent is a major moral rule in research, ensuring that members figure out the reason, procedures, and expected dangers of the study before deliberately consenting to take part (Beauchamp and Childress, 2019). By far most of members consenting to the study proposes that they comprehended the furnished data and were OK with their investment.</w:t>
      </w:r>
    </w:p>
    <w:p w14:paraId="15370EC2" w14:textId="5F6AD11A" w:rsidR="00C323CE" w:rsidRPr="001B455F" w:rsidRDefault="00C323CE"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Be that as it may, recogni</w:t>
      </w:r>
      <w:r w:rsidR="00F422E5">
        <w:rPr>
          <w:rFonts w:ascii="Times New Roman" w:hAnsi="Times New Roman" w:cs="Times New Roman"/>
          <w:sz w:val="24"/>
          <w:szCs w:val="24"/>
        </w:rPr>
        <w:t>s</w:t>
      </w:r>
      <w:r w:rsidRPr="001B455F">
        <w:rPr>
          <w:rFonts w:ascii="Times New Roman" w:hAnsi="Times New Roman" w:cs="Times New Roman"/>
          <w:sz w:val="24"/>
          <w:szCs w:val="24"/>
        </w:rPr>
        <w:t>ing the restrictions inborn in the absence of segment data about respondents is significant. Without this segment information, it is trying to evaluate whether certain groups might be overrepresented or underrepresented in the example, which could affect the generalizability of the findings (Bowling, 2014). For example, studies have shown that variables like age, orientation, financial status, and instructive level can impact people's eagerness to partake in research (Fry and Dwyer, 2001; Galea and Tracy, 2007). Subsequently, understanding the segment structure of the example is fundamental for interpreting the findings precisely and making legitimate derivations about the more extensive populace.</w:t>
      </w:r>
    </w:p>
    <w:p w14:paraId="7C3DE95C" w14:textId="77777777" w:rsidR="00C323CE" w:rsidRPr="001B455F" w:rsidRDefault="00C323CE" w:rsidP="00E71926">
      <w:pPr>
        <w:tabs>
          <w:tab w:val="left" w:pos="6180"/>
        </w:tabs>
        <w:spacing w:line="276" w:lineRule="auto"/>
        <w:rPr>
          <w:rFonts w:ascii="Times New Roman" w:hAnsi="Times New Roman" w:cs="Times New Roman"/>
          <w:b/>
          <w:bCs/>
          <w:sz w:val="24"/>
          <w:szCs w:val="24"/>
        </w:rPr>
      </w:pPr>
      <w:r w:rsidRPr="001B455F">
        <w:rPr>
          <w:rFonts w:ascii="Times New Roman" w:hAnsi="Times New Roman" w:cs="Times New Roman"/>
          <w:b/>
          <w:bCs/>
          <w:sz w:val="24"/>
          <w:szCs w:val="24"/>
        </w:rPr>
        <w:t>Awareness of Experts</w:t>
      </w:r>
    </w:p>
    <w:p w14:paraId="6E2E7A29" w14:textId="242DAD1F" w:rsidR="00C323CE" w:rsidRPr="001B455F" w:rsidRDefault="00C323CE"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survey findings uncover blended degrees of awareness with respect to Adverse Childhood Experiences (Experts) among respondents. While over portion of the respondents (53.9%) knew about Pros </w:t>
      </w:r>
      <w:r w:rsidR="00F422E5">
        <w:rPr>
          <w:rFonts w:ascii="Times New Roman" w:hAnsi="Times New Roman" w:cs="Times New Roman"/>
          <w:sz w:val="24"/>
          <w:szCs w:val="24"/>
        </w:rPr>
        <w:t>before</w:t>
      </w:r>
      <w:r w:rsidRPr="001B455F">
        <w:rPr>
          <w:rFonts w:ascii="Times New Roman" w:hAnsi="Times New Roman" w:cs="Times New Roman"/>
          <w:sz w:val="24"/>
          <w:szCs w:val="24"/>
        </w:rPr>
        <w:t xml:space="preserve"> taking the survey, a critical extent (46.1%) didn't know about Experts. This features a potential information gap inside the populace concerning the effect of childhood adversity on wellbeing and prosperity.</w:t>
      </w:r>
    </w:p>
    <w:p w14:paraId="08116DF6" w14:textId="5C1E4682" w:rsidR="00C323CE" w:rsidRPr="001B455F" w:rsidRDefault="00C323CE"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significance of bringing issues to light about Experts couldn't possibly be more significant, as it assumes a pivotal part in preventive </w:t>
      </w:r>
      <w:r w:rsidR="001B455F" w:rsidRPr="001B455F">
        <w:rPr>
          <w:rFonts w:ascii="Times New Roman" w:hAnsi="Times New Roman" w:cs="Times New Roman"/>
          <w:sz w:val="24"/>
          <w:szCs w:val="24"/>
        </w:rPr>
        <w:t>endeavours</w:t>
      </w:r>
      <w:r w:rsidRPr="001B455F">
        <w:rPr>
          <w:rFonts w:ascii="Times New Roman" w:hAnsi="Times New Roman" w:cs="Times New Roman"/>
          <w:sz w:val="24"/>
          <w:szCs w:val="24"/>
        </w:rPr>
        <w:t xml:space="preserve"> and mediation techniques (Felitti et al., 1998; Hughes et al., 2017). Research shows that expanded awareness of Pros can prompt superior distinguishing proof, early intercession, and backing for people impacted by childhood adversity (Anda et al., 2006; Lanier et al., 2018). Besides, state funded schooling efforts and preparing programs focusing on medical care experts, teachers, and social specialist organizations can add to a more comprehensive comprehension of Pros and their suggestions for individual and local area wellbeing (Merrick et al., 2017; Cronholm et al., 2015).</w:t>
      </w:r>
    </w:p>
    <w:p w14:paraId="5B93EDB6" w14:textId="49ED903D" w:rsidR="00C323CE" w:rsidRPr="001B455F" w:rsidRDefault="00C323CE"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survey findings </w:t>
      </w:r>
      <w:r w:rsidR="00F422E5">
        <w:rPr>
          <w:rFonts w:ascii="Times New Roman" w:hAnsi="Times New Roman" w:cs="Times New Roman"/>
          <w:sz w:val="24"/>
          <w:szCs w:val="24"/>
        </w:rPr>
        <w:t>concerning</w:t>
      </w:r>
      <w:r w:rsidRPr="001B455F">
        <w:rPr>
          <w:rFonts w:ascii="Times New Roman" w:hAnsi="Times New Roman" w:cs="Times New Roman"/>
          <w:sz w:val="24"/>
          <w:szCs w:val="24"/>
        </w:rPr>
        <w:t xml:space="preserve"> the impression of Pro prevalence among respondents offer important bits of knowledge into public awareness and perspectives toward childhood adversity. A critical extent of respondents (35.6%) </w:t>
      </w:r>
      <w:r w:rsidR="00F422E5">
        <w:rPr>
          <w:rFonts w:ascii="Times New Roman" w:hAnsi="Times New Roman" w:cs="Times New Roman"/>
          <w:sz w:val="24"/>
          <w:szCs w:val="24"/>
        </w:rPr>
        <w:t>accept</w:t>
      </w:r>
      <w:r w:rsidRPr="001B455F">
        <w:rPr>
          <w:rFonts w:ascii="Times New Roman" w:hAnsi="Times New Roman" w:cs="Times New Roman"/>
          <w:sz w:val="24"/>
          <w:szCs w:val="24"/>
        </w:rPr>
        <w:t xml:space="preserve"> that over portion of children in the UK have experienced something like one Pro in their initial lives. This insight underscores the widespread acknowledgment of the prevalence of Pros and their possible effect on people and networks.</w:t>
      </w:r>
    </w:p>
    <w:p w14:paraId="5513483E" w14:textId="77777777" w:rsidR="00C323CE" w:rsidRPr="001B455F" w:rsidRDefault="00C323CE"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lastRenderedPageBreak/>
        <w:t>View of Pro prevalence can impact public strategy, resource assignment, and intercession techniques pointed toward addressing childhood adversity (Evans et al., 2013; Gershoff et al., 2012). In any case, it is fundamental to perceive that discernments may not necessarily line up with experimental information on Pro prevalence (Taylor et al., 2019). Disparities among saw and genuine prevalence rates can result in misguided approach choices and lacking resource designation, underscoring the requirement for exact and modern epidemiological information on Experts (Taylor et al., 2019; Javdani et al., 2014).</w:t>
      </w:r>
    </w:p>
    <w:p w14:paraId="5FC7464B" w14:textId="77777777" w:rsidR="00C323CE" w:rsidRPr="001B455F" w:rsidRDefault="00C323CE" w:rsidP="00E71926">
      <w:pPr>
        <w:tabs>
          <w:tab w:val="left" w:pos="6180"/>
        </w:tabs>
        <w:spacing w:line="276" w:lineRule="auto"/>
        <w:rPr>
          <w:rFonts w:ascii="Times New Roman" w:hAnsi="Times New Roman" w:cs="Times New Roman"/>
          <w:b/>
          <w:bCs/>
          <w:sz w:val="24"/>
          <w:szCs w:val="24"/>
        </w:rPr>
      </w:pPr>
      <w:r w:rsidRPr="001B455F">
        <w:rPr>
          <w:rFonts w:ascii="Times New Roman" w:hAnsi="Times New Roman" w:cs="Times New Roman"/>
          <w:b/>
          <w:bCs/>
          <w:sz w:val="24"/>
          <w:szCs w:val="24"/>
        </w:rPr>
        <w:t>Awareness of Local area Resources</w:t>
      </w:r>
    </w:p>
    <w:p w14:paraId="43C6F5B8" w14:textId="28AC39AC" w:rsidR="00F435F0" w:rsidRPr="001B455F" w:rsidRDefault="00F435F0" w:rsidP="00F435F0">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survey findings concerning awareness of </w:t>
      </w:r>
      <w:r w:rsidR="001B455F" w:rsidRPr="001B455F">
        <w:rPr>
          <w:rFonts w:ascii="Times New Roman" w:hAnsi="Times New Roman" w:cs="Times New Roman"/>
          <w:sz w:val="24"/>
          <w:szCs w:val="24"/>
        </w:rPr>
        <w:t>neighbourhood</w:t>
      </w:r>
      <w:r w:rsidRPr="001B455F">
        <w:rPr>
          <w:rFonts w:ascii="Times New Roman" w:hAnsi="Times New Roman" w:cs="Times New Roman"/>
          <w:sz w:val="24"/>
          <w:szCs w:val="24"/>
        </w:rPr>
        <w:t xml:space="preserve"> for individuals influenced by Experts give experiences into the availability and transparency of help organi</w:t>
      </w:r>
      <w:r w:rsidR="00F422E5">
        <w:rPr>
          <w:rFonts w:ascii="Times New Roman" w:hAnsi="Times New Roman" w:cs="Times New Roman"/>
          <w:sz w:val="24"/>
          <w:szCs w:val="24"/>
        </w:rPr>
        <w:t>s</w:t>
      </w:r>
      <w:r w:rsidRPr="001B455F">
        <w:rPr>
          <w:rFonts w:ascii="Times New Roman" w:hAnsi="Times New Roman" w:cs="Times New Roman"/>
          <w:sz w:val="24"/>
          <w:szCs w:val="24"/>
        </w:rPr>
        <w:t xml:space="preserve">ations (Giano et al. 2020). While a </w:t>
      </w:r>
      <w:r w:rsidR="00F422E5">
        <w:rPr>
          <w:rFonts w:ascii="Times New Roman" w:hAnsi="Times New Roman" w:cs="Times New Roman"/>
          <w:sz w:val="24"/>
          <w:szCs w:val="24"/>
        </w:rPr>
        <w:t xml:space="preserve"> </w:t>
      </w:r>
      <w:r w:rsidRPr="001B455F">
        <w:rPr>
          <w:rFonts w:ascii="Times New Roman" w:hAnsi="Times New Roman" w:cs="Times New Roman"/>
          <w:sz w:val="24"/>
          <w:szCs w:val="24"/>
        </w:rPr>
        <w:t xml:space="preserve">bigger </w:t>
      </w:r>
      <w:r w:rsidR="00F422E5" w:rsidRPr="001B455F">
        <w:rPr>
          <w:rFonts w:ascii="Times New Roman" w:hAnsi="Times New Roman" w:cs="Times New Roman"/>
          <w:sz w:val="24"/>
          <w:szCs w:val="24"/>
        </w:rPr>
        <w:t>sample</w:t>
      </w:r>
      <w:r w:rsidRPr="001B455F">
        <w:rPr>
          <w:rFonts w:ascii="Times New Roman" w:hAnsi="Times New Roman" w:cs="Times New Roman"/>
          <w:sz w:val="24"/>
          <w:szCs w:val="24"/>
        </w:rPr>
        <w:t xml:space="preserve"> of respondents (67.4%) had some awareness of open resources, a striking degree (21.3%) had hardly any insight into such resources. This finding underscores the meaning of additional induction to information about help organizations and resources for individuals affected by childhood adversity (Anda et al. 2020).</w:t>
      </w:r>
    </w:p>
    <w:p w14:paraId="42CD6691" w14:textId="15A9A85A" w:rsidR="00F435F0" w:rsidRPr="001B455F" w:rsidRDefault="00F435F0" w:rsidP="00F435F0">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Induction to </w:t>
      </w:r>
      <w:r w:rsidR="00F422E5">
        <w:rPr>
          <w:rFonts w:ascii="Times New Roman" w:hAnsi="Times New Roman" w:cs="Times New Roman"/>
          <w:sz w:val="24"/>
          <w:szCs w:val="24"/>
        </w:rPr>
        <w:t xml:space="preserve">the </w:t>
      </w:r>
      <w:r w:rsidR="001B455F" w:rsidRPr="001B455F">
        <w:rPr>
          <w:rFonts w:ascii="Times New Roman" w:hAnsi="Times New Roman" w:cs="Times New Roman"/>
          <w:sz w:val="24"/>
          <w:szCs w:val="24"/>
        </w:rPr>
        <w:t>neighbourhood</w:t>
      </w:r>
      <w:r w:rsidRPr="001B455F">
        <w:rPr>
          <w:rFonts w:ascii="Times New Roman" w:hAnsi="Times New Roman" w:cs="Times New Roman"/>
          <w:sz w:val="24"/>
          <w:szCs w:val="24"/>
        </w:rPr>
        <w:t xml:space="preserve"> is fundamental for directing the appalling results of ACEs and advancing resilience among affected individuals (Bethell et al., 2019; Dube et al., 2003). Regardless, limits like restricted awareness, shame, and hidden </w:t>
      </w:r>
      <w:r w:rsidR="001B455F" w:rsidRPr="001B455F">
        <w:rPr>
          <w:rFonts w:ascii="Times New Roman" w:hAnsi="Times New Roman" w:cs="Times New Roman"/>
          <w:sz w:val="24"/>
          <w:szCs w:val="24"/>
        </w:rPr>
        <w:t>aberrations</w:t>
      </w:r>
      <w:r w:rsidRPr="001B455F">
        <w:rPr>
          <w:rFonts w:ascii="Times New Roman" w:hAnsi="Times New Roman" w:cs="Times New Roman"/>
          <w:sz w:val="24"/>
          <w:szCs w:val="24"/>
        </w:rPr>
        <w:t xml:space="preserve"> can hinder permission to these resources, particularly for limited </w:t>
      </w:r>
      <w:r w:rsidR="00F422E5">
        <w:rPr>
          <w:rFonts w:ascii="Times New Roman" w:hAnsi="Times New Roman" w:cs="Times New Roman"/>
          <w:sz w:val="24"/>
          <w:szCs w:val="24"/>
        </w:rPr>
        <w:t>people</w:t>
      </w:r>
      <w:r w:rsidRPr="001B455F">
        <w:rPr>
          <w:rFonts w:ascii="Times New Roman" w:hAnsi="Times New Roman" w:cs="Times New Roman"/>
          <w:sz w:val="24"/>
          <w:szCs w:val="24"/>
        </w:rPr>
        <w:t xml:space="preserve"> (Shonkoff et al., 2012; Nurius et al., 2015). As such, attempts to update awareness, decline shame, and address hidden limits are central for ensuring unprejudiced induction to help organizations for all individuals affected by Experts (Finkelhor, 2020).</w:t>
      </w:r>
    </w:p>
    <w:p w14:paraId="5CE49088" w14:textId="77777777" w:rsidR="00F435F0" w:rsidRPr="001B455F" w:rsidRDefault="00F435F0" w:rsidP="00F435F0">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Course of action with Study Objectives</w:t>
      </w:r>
    </w:p>
    <w:p w14:paraId="478992AA" w14:textId="4CD9693C" w:rsidR="00F435F0" w:rsidRPr="001B455F" w:rsidRDefault="00F435F0" w:rsidP="00F435F0">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The survey findings change personally with the study objectives, particularly in sorting out the association among Experts and the likelihood of </w:t>
      </w:r>
      <w:r w:rsidR="00F422E5">
        <w:rPr>
          <w:rFonts w:ascii="Times New Roman" w:hAnsi="Times New Roman" w:cs="Times New Roman"/>
          <w:sz w:val="24"/>
          <w:szCs w:val="24"/>
        </w:rPr>
        <w:t>at-fault</w:t>
      </w:r>
      <w:r w:rsidRPr="001B455F">
        <w:rPr>
          <w:rFonts w:ascii="Times New Roman" w:hAnsi="Times New Roman" w:cs="Times New Roman"/>
          <w:sz w:val="24"/>
          <w:szCs w:val="24"/>
        </w:rPr>
        <w:t xml:space="preserve"> lead (Boulier and Blair, 2018). The high speed of informed consent reflects moral examinations central for coordinating research on fragile subjects like Experts. Additionally, the survey gives critical pieces of information into public awareness, observations, and permission to resources associated with Stars, which are essential for enlightening prevention and intervention techniques (Gilgoff et al. 2020).</w:t>
      </w:r>
    </w:p>
    <w:p w14:paraId="00CCC7AF" w14:textId="6E37E9C2" w:rsidR="00C323CE" w:rsidRPr="001B455F" w:rsidRDefault="00F435F0" w:rsidP="00F435F0">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 xml:space="preserve">By addressing these objectives, the study means to add to the field and effect courses of action highlighted further fostering the success of individuals affected by childhood adversity (Briggs et al. 2021). Getting a handle on the trade between ACEs, social determinants of prosperity, and adverse results, for instance, disturbing approach to acting is crucial for making assigned mediations and advancing resilience among frail peoples (Tooth et al., 2017; Baglivio et al., 2014). Likewise, by uncovering knowledge into gaps in awareness and permission to resources, the study can enlighten advocacy attempts and resource distribution decisions highlighted </w:t>
      </w:r>
      <w:r w:rsidR="00F422E5">
        <w:rPr>
          <w:rFonts w:ascii="Times New Roman" w:hAnsi="Times New Roman" w:cs="Times New Roman"/>
          <w:sz w:val="24"/>
          <w:szCs w:val="24"/>
        </w:rPr>
        <w:t xml:space="preserve">by </w:t>
      </w:r>
      <w:r w:rsidRPr="001B455F">
        <w:rPr>
          <w:rFonts w:ascii="Times New Roman" w:hAnsi="Times New Roman" w:cs="Times New Roman"/>
          <w:sz w:val="24"/>
          <w:szCs w:val="24"/>
        </w:rPr>
        <w:t>addressing the fundamental of childhood adversity and its connected results (Narayan et al. 2021</w:t>
      </w:r>
      <w:r w:rsidR="00E71926" w:rsidRPr="001B455F">
        <w:rPr>
          <w:rFonts w:ascii="Times New Roman" w:hAnsi="Times New Roman" w:cs="Times New Roman"/>
          <w:sz w:val="24"/>
          <w:szCs w:val="24"/>
        </w:rPr>
        <w:t>)</w:t>
      </w:r>
      <w:r w:rsidR="00C323CE" w:rsidRPr="001B455F">
        <w:rPr>
          <w:rFonts w:ascii="Times New Roman" w:hAnsi="Times New Roman" w:cs="Times New Roman"/>
          <w:sz w:val="24"/>
          <w:szCs w:val="24"/>
        </w:rPr>
        <w:t>.</w:t>
      </w:r>
    </w:p>
    <w:p w14:paraId="78E24D2E" w14:textId="0F526F2F" w:rsidR="00613646" w:rsidRPr="001B455F" w:rsidRDefault="00165FD1"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Therefore</w:t>
      </w:r>
      <w:r w:rsidR="00C323CE" w:rsidRPr="001B455F">
        <w:rPr>
          <w:rFonts w:ascii="Times New Roman" w:hAnsi="Times New Roman" w:cs="Times New Roman"/>
          <w:sz w:val="24"/>
          <w:szCs w:val="24"/>
        </w:rPr>
        <w:t>, the survey findings give significant bits of knowledge into different parts of Adverse Childhood Experiences (Pros) and their suggestions for research and practice</w:t>
      </w:r>
      <w:r w:rsidR="00E71926" w:rsidRPr="001B455F">
        <w:rPr>
          <w:rFonts w:ascii="Times New Roman" w:hAnsi="Times New Roman" w:cs="Times New Roman"/>
          <w:sz w:val="24"/>
          <w:szCs w:val="24"/>
        </w:rPr>
        <w:t xml:space="preserve"> (Jones </w:t>
      </w:r>
      <w:r w:rsidR="00E71926" w:rsidRPr="001B455F">
        <w:rPr>
          <w:rFonts w:ascii="Times New Roman" w:hAnsi="Times New Roman" w:cs="Times New Roman"/>
          <w:sz w:val="24"/>
          <w:szCs w:val="24"/>
        </w:rPr>
        <w:lastRenderedPageBreak/>
        <w:t>et al. 2020)</w:t>
      </w:r>
      <w:r w:rsidR="00C323CE" w:rsidRPr="001B455F">
        <w:rPr>
          <w:rFonts w:ascii="Times New Roman" w:hAnsi="Times New Roman" w:cs="Times New Roman"/>
          <w:sz w:val="24"/>
          <w:szCs w:val="24"/>
        </w:rPr>
        <w:t xml:space="preserve">. By addressing the study objectives and featuring key findings, this examination adds to how </w:t>
      </w:r>
      <w:r w:rsidR="001B455F">
        <w:rPr>
          <w:rFonts w:ascii="Times New Roman" w:hAnsi="Times New Roman" w:cs="Times New Roman"/>
          <w:sz w:val="24"/>
          <w:szCs w:val="24"/>
        </w:rPr>
        <w:t>one</w:t>
      </w:r>
      <w:r w:rsidR="00C323CE" w:rsidRPr="001B455F">
        <w:rPr>
          <w:rFonts w:ascii="Times New Roman" w:hAnsi="Times New Roman" w:cs="Times New Roman"/>
          <w:sz w:val="24"/>
          <w:szCs w:val="24"/>
        </w:rPr>
        <w:t xml:space="preserve"> might interpret the perplexing connection between childhood adversity and its ramifications, at last illuminating </w:t>
      </w:r>
      <w:r w:rsidR="001B455F" w:rsidRPr="001B455F">
        <w:rPr>
          <w:rFonts w:ascii="Times New Roman" w:hAnsi="Times New Roman" w:cs="Times New Roman"/>
          <w:sz w:val="24"/>
          <w:szCs w:val="24"/>
        </w:rPr>
        <w:t>endeavours</w:t>
      </w:r>
      <w:r w:rsidR="00C323CE" w:rsidRPr="001B455F">
        <w:rPr>
          <w:rFonts w:ascii="Times New Roman" w:hAnsi="Times New Roman" w:cs="Times New Roman"/>
          <w:sz w:val="24"/>
          <w:szCs w:val="24"/>
        </w:rPr>
        <w:t xml:space="preserve"> to help people and networks impacted by ACEs</w:t>
      </w:r>
      <w:r w:rsidR="00E71926" w:rsidRPr="001B455F">
        <w:rPr>
          <w:rFonts w:ascii="Times New Roman" w:hAnsi="Times New Roman" w:cs="Times New Roman"/>
          <w:sz w:val="24"/>
          <w:szCs w:val="24"/>
        </w:rPr>
        <w:t xml:space="preserve"> (Jones et al. 2020)</w:t>
      </w:r>
      <w:r w:rsidR="00C323CE" w:rsidRPr="001B455F">
        <w:rPr>
          <w:rFonts w:ascii="Times New Roman" w:hAnsi="Times New Roman" w:cs="Times New Roman"/>
          <w:sz w:val="24"/>
          <w:szCs w:val="24"/>
        </w:rPr>
        <w:t xml:space="preserve">. Pushing ahead, </w:t>
      </w:r>
      <w:r w:rsidR="005020E0">
        <w:rPr>
          <w:rFonts w:ascii="Times New Roman" w:hAnsi="Times New Roman" w:cs="Times New Roman"/>
          <w:sz w:val="24"/>
          <w:szCs w:val="24"/>
        </w:rPr>
        <w:t>proceeding</w:t>
      </w:r>
      <w:r w:rsidR="00C323CE" w:rsidRPr="001B455F">
        <w:rPr>
          <w:rFonts w:ascii="Times New Roman" w:hAnsi="Times New Roman" w:cs="Times New Roman"/>
          <w:sz w:val="24"/>
          <w:szCs w:val="24"/>
        </w:rPr>
        <w:t xml:space="preserve"> with research, advocacy, and strategy </w:t>
      </w:r>
      <w:r w:rsidR="001B455F" w:rsidRPr="001B455F">
        <w:rPr>
          <w:rFonts w:ascii="Times New Roman" w:hAnsi="Times New Roman" w:cs="Times New Roman"/>
          <w:sz w:val="24"/>
          <w:szCs w:val="24"/>
        </w:rPr>
        <w:t>endeavours</w:t>
      </w:r>
      <w:r w:rsidR="00C323CE" w:rsidRPr="001B455F">
        <w:rPr>
          <w:rFonts w:ascii="Times New Roman" w:hAnsi="Times New Roman" w:cs="Times New Roman"/>
          <w:sz w:val="24"/>
          <w:szCs w:val="24"/>
        </w:rPr>
        <w:t xml:space="preserve"> are expected to address the main drivers of childhood adversity and advance resilience among weak populaces</w:t>
      </w:r>
      <w:r w:rsidR="00613646" w:rsidRPr="001B455F">
        <w:rPr>
          <w:rFonts w:ascii="Times New Roman" w:hAnsi="Times New Roman" w:cs="Times New Roman"/>
          <w:sz w:val="24"/>
          <w:szCs w:val="24"/>
        </w:rPr>
        <w:t>.</w:t>
      </w:r>
    </w:p>
    <w:p w14:paraId="1169762F" w14:textId="532C7291" w:rsidR="00115761" w:rsidRPr="001B455F" w:rsidRDefault="00115761" w:rsidP="00E71926">
      <w:pPr>
        <w:tabs>
          <w:tab w:val="left" w:pos="6180"/>
        </w:tabs>
        <w:spacing w:line="276" w:lineRule="auto"/>
        <w:jc w:val="center"/>
        <w:rPr>
          <w:rFonts w:ascii="Times New Roman" w:hAnsi="Times New Roman" w:cs="Times New Roman"/>
          <w:b/>
          <w:bCs/>
          <w:sz w:val="24"/>
          <w:szCs w:val="24"/>
        </w:rPr>
      </w:pPr>
      <w:r w:rsidRPr="001B455F">
        <w:rPr>
          <w:rFonts w:ascii="Times New Roman" w:hAnsi="Times New Roman" w:cs="Times New Roman"/>
          <w:b/>
          <w:bCs/>
          <w:sz w:val="24"/>
          <w:szCs w:val="24"/>
        </w:rPr>
        <w:t>References</w:t>
      </w:r>
    </w:p>
    <w:p w14:paraId="4202DC40" w14:textId="77777777" w:rsidR="001300CC" w:rsidRPr="001B455F" w:rsidRDefault="001300CC"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Anda, R. F., Felitti, V. J., Bremner, J. D., Walker, J. D., Whitfield, C., Perry, B. D., ... &amp; Giles, W. H. (2006). The enduring effects of abuse and related adverse experiences in childhood: A convergence of evidence from neurobiology and epidemiology. European archives of psychiatry and clinical neuroscience, 256(3), 174-186.</w:t>
      </w:r>
    </w:p>
    <w:p w14:paraId="02C8536D" w14:textId="77777777" w:rsidR="001300CC" w:rsidRPr="001B455F" w:rsidRDefault="001300CC"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Baglivio, M. T., Wolff, K. T., Piquero, A. R., Bilchik, S., Jackowski, K., Greenwald, M. A., &amp; Epps, N. (2014). Maltreatment, child welfare, and recidivism in a sample of deep-end crossover youth. Journal of Youth and Adolescence, 43(5), 782-796.</w:t>
      </w:r>
    </w:p>
    <w:p w14:paraId="5A353DB6" w14:textId="77777777" w:rsidR="001300CC" w:rsidRPr="001B455F" w:rsidRDefault="001300CC"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Beauchamp, T. L., &amp; Childress, J. F. (2019). Principles of biomedical ethics. Oxford University Press.</w:t>
      </w:r>
    </w:p>
    <w:p w14:paraId="478D430A" w14:textId="77777777" w:rsidR="001300CC" w:rsidRPr="001B455F" w:rsidRDefault="001300CC"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Bethell, C. D., Newacheck, P., Hawes, E., &amp; Halfon, N. (2014). Adverse childhood experiences: Assessing the impact on health and school engagement and the mitigating role of resilience. Health Affairs, 33(12), 210</w:t>
      </w:r>
    </w:p>
    <w:p w14:paraId="4627CF12" w14:textId="7E8071E5" w:rsidR="00115761" w:rsidRPr="001B455F" w:rsidRDefault="00E71926" w:rsidP="00E71926">
      <w:pPr>
        <w:tabs>
          <w:tab w:val="left" w:pos="6180"/>
        </w:tabs>
        <w:spacing w:line="276" w:lineRule="auto"/>
        <w:rPr>
          <w:rFonts w:ascii="Times New Roman" w:hAnsi="Times New Roman" w:cs="Times New Roman"/>
          <w:color w:val="222222"/>
          <w:sz w:val="24"/>
          <w:szCs w:val="24"/>
          <w:shd w:val="clear" w:color="auto" w:fill="FFFFFF"/>
        </w:rPr>
      </w:pPr>
      <w:r w:rsidRPr="001B455F">
        <w:rPr>
          <w:rFonts w:ascii="Times New Roman" w:hAnsi="Times New Roman" w:cs="Times New Roman"/>
          <w:color w:val="222222"/>
          <w:sz w:val="24"/>
          <w:szCs w:val="24"/>
          <w:shd w:val="clear" w:color="auto" w:fill="FFFFFF"/>
        </w:rPr>
        <w:t>Boullier, M., &amp; Blair, M. (2018). Adverse childhood experiences. </w:t>
      </w:r>
      <w:r w:rsidRPr="001B455F">
        <w:rPr>
          <w:rFonts w:ascii="Times New Roman" w:hAnsi="Times New Roman" w:cs="Times New Roman"/>
          <w:i/>
          <w:iCs/>
          <w:color w:val="222222"/>
          <w:sz w:val="24"/>
          <w:szCs w:val="24"/>
          <w:shd w:val="clear" w:color="auto" w:fill="FFFFFF"/>
        </w:rPr>
        <w:t>Paediatrics and Child Health</w:t>
      </w:r>
      <w:r w:rsidRPr="001B455F">
        <w:rPr>
          <w:rFonts w:ascii="Times New Roman" w:hAnsi="Times New Roman" w:cs="Times New Roman"/>
          <w:color w:val="222222"/>
          <w:sz w:val="24"/>
          <w:szCs w:val="24"/>
          <w:shd w:val="clear" w:color="auto" w:fill="FFFFFF"/>
        </w:rPr>
        <w:t>, </w:t>
      </w:r>
      <w:r w:rsidRPr="001B455F">
        <w:rPr>
          <w:rFonts w:ascii="Times New Roman" w:hAnsi="Times New Roman" w:cs="Times New Roman"/>
          <w:i/>
          <w:iCs/>
          <w:color w:val="222222"/>
          <w:sz w:val="24"/>
          <w:szCs w:val="24"/>
          <w:shd w:val="clear" w:color="auto" w:fill="FFFFFF"/>
        </w:rPr>
        <w:t>28</w:t>
      </w:r>
      <w:r w:rsidRPr="001B455F">
        <w:rPr>
          <w:rFonts w:ascii="Times New Roman" w:hAnsi="Times New Roman" w:cs="Times New Roman"/>
          <w:color w:val="222222"/>
          <w:sz w:val="24"/>
          <w:szCs w:val="24"/>
          <w:shd w:val="clear" w:color="auto" w:fill="FFFFFF"/>
        </w:rPr>
        <w:t>(3), 132-137.</w:t>
      </w:r>
    </w:p>
    <w:p w14:paraId="37D0B1BB" w14:textId="10000F36" w:rsidR="00E71926" w:rsidRPr="001B455F" w:rsidRDefault="00E71926" w:rsidP="00E71926">
      <w:pPr>
        <w:tabs>
          <w:tab w:val="left" w:pos="6180"/>
        </w:tabs>
        <w:spacing w:line="276" w:lineRule="auto"/>
        <w:rPr>
          <w:rFonts w:ascii="Times New Roman" w:hAnsi="Times New Roman" w:cs="Times New Roman"/>
          <w:color w:val="222222"/>
          <w:sz w:val="24"/>
          <w:szCs w:val="24"/>
          <w:shd w:val="clear" w:color="auto" w:fill="FFFFFF"/>
        </w:rPr>
      </w:pPr>
      <w:r w:rsidRPr="001B455F">
        <w:rPr>
          <w:rFonts w:ascii="Times New Roman" w:hAnsi="Times New Roman" w:cs="Times New Roman"/>
          <w:color w:val="222222"/>
          <w:sz w:val="24"/>
          <w:szCs w:val="24"/>
          <w:shd w:val="clear" w:color="auto" w:fill="FFFFFF"/>
        </w:rPr>
        <w:t>Gilgoff, R., Singh, L., Koita, K., Gentile, B., &amp; Marques, S. S. (2020). Adverse childhood experiences, outcomes, and interventions. </w:t>
      </w:r>
      <w:r w:rsidRPr="001B455F">
        <w:rPr>
          <w:rFonts w:ascii="Times New Roman" w:hAnsi="Times New Roman" w:cs="Times New Roman"/>
          <w:i/>
          <w:iCs/>
          <w:color w:val="222222"/>
          <w:sz w:val="24"/>
          <w:szCs w:val="24"/>
          <w:shd w:val="clear" w:color="auto" w:fill="FFFFFF"/>
        </w:rPr>
        <w:t>Pediatric Clinics</w:t>
      </w:r>
      <w:r w:rsidRPr="001B455F">
        <w:rPr>
          <w:rFonts w:ascii="Times New Roman" w:hAnsi="Times New Roman" w:cs="Times New Roman"/>
          <w:color w:val="222222"/>
          <w:sz w:val="24"/>
          <w:szCs w:val="24"/>
          <w:shd w:val="clear" w:color="auto" w:fill="FFFFFF"/>
        </w:rPr>
        <w:t>, </w:t>
      </w:r>
      <w:r w:rsidRPr="001B455F">
        <w:rPr>
          <w:rFonts w:ascii="Times New Roman" w:hAnsi="Times New Roman" w:cs="Times New Roman"/>
          <w:i/>
          <w:iCs/>
          <w:color w:val="222222"/>
          <w:sz w:val="24"/>
          <w:szCs w:val="24"/>
          <w:shd w:val="clear" w:color="auto" w:fill="FFFFFF"/>
        </w:rPr>
        <w:t>67</w:t>
      </w:r>
      <w:r w:rsidRPr="001B455F">
        <w:rPr>
          <w:rFonts w:ascii="Times New Roman" w:hAnsi="Times New Roman" w:cs="Times New Roman"/>
          <w:color w:val="222222"/>
          <w:sz w:val="24"/>
          <w:szCs w:val="24"/>
          <w:shd w:val="clear" w:color="auto" w:fill="FFFFFF"/>
        </w:rPr>
        <w:t>(2), 259-273.</w:t>
      </w:r>
    </w:p>
    <w:p w14:paraId="5C9215F9" w14:textId="7AB30EF7"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Briggs, E. C., Amaya-Jackson, L., Putnam, K. T., &amp; Putnam, F. W. (2021). All adverse childhood experiences are not equal: The contribution of synergy to adverse childhood experience scores. </w:t>
      </w:r>
      <w:r w:rsidRPr="001B455F">
        <w:rPr>
          <w:rFonts w:ascii="Times New Roman" w:hAnsi="Times New Roman" w:cs="Times New Roman"/>
          <w:i/>
          <w:iCs/>
          <w:sz w:val="24"/>
          <w:szCs w:val="24"/>
        </w:rPr>
        <w:t>American Psychologist</w:t>
      </w:r>
      <w:r w:rsidRPr="001B455F">
        <w:rPr>
          <w:rFonts w:ascii="Times New Roman" w:hAnsi="Times New Roman" w:cs="Times New Roman"/>
          <w:sz w:val="24"/>
          <w:szCs w:val="24"/>
        </w:rPr>
        <w:t>, </w:t>
      </w:r>
      <w:r w:rsidRPr="001B455F">
        <w:rPr>
          <w:rFonts w:ascii="Times New Roman" w:hAnsi="Times New Roman" w:cs="Times New Roman"/>
          <w:i/>
          <w:iCs/>
          <w:sz w:val="24"/>
          <w:szCs w:val="24"/>
        </w:rPr>
        <w:t>76</w:t>
      </w:r>
      <w:r w:rsidRPr="001B455F">
        <w:rPr>
          <w:rFonts w:ascii="Times New Roman" w:hAnsi="Times New Roman" w:cs="Times New Roman"/>
          <w:sz w:val="24"/>
          <w:szCs w:val="24"/>
        </w:rPr>
        <w:t>(2), 243.</w:t>
      </w:r>
    </w:p>
    <w:p w14:paraId="6D1CE8B3" w14:textId="7C1A209A"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Narayan, A. J., Lieberman, A. F., &amp; Masten, A. S. (2021). Intergenerational transmission and prevention of adverse childhood experiences (ACEs). </w:t>
      </w:r>
      <w:r w:rsidRPr="001B455F">
        <w:rPr>
          <w:rFonts w:ascii="Times New Roman" w:hAnsi="Times New Roman" w:cs="Times New Roman"/>
          <w:i/>
          <w:iCs/>
          <w:sz w:val="24"/>
          <w:szCs w:val="24"/>
        </w:rPr>
        <w:t>Clinical psychology review</w:t>
      </w:r>
      <w:r w:rsidRPr="001B455F">
        <w:rPr>
          <w:rFonts w:ascii="Times New Roman" w:hAnsi="Times New Roman" w:cs="Times New Roman"/>
          <w:sz w:val="24"/>
          <w:szCs w:val="24"/>
        </w:rPr>
        <w:t>, </w:t>
      </w:r>
      <w:r w:rsidRPr="001B455F">
        <w:rPr>
          <w:rFonts w:ascii="Times New Roman" w:hAnsi="Times New Roman" w:cs="Times New Roman"/>
          <w:i/>
          <w:iCs/>
          <w:sz w:val="24"/>
          <w:szCs w:val="24"/>
        </w:rPr>
        <w:t>85</w:t>
      </w:r>
      <w:r w:rsidRPr="001B455F">
        <w:rPr>
          <w:rFonts w:ascii="Times New Roman" w:hAnsi="Times New Roman" w:cs="Times New Roman"/>
          <w:sz w:val="24"/>
          <w:szCs w:val="24"/>
        </w:rPr>
        <w:t>, 101997.</w:t>
      </w:r>
    </w:p>
    <w:p w14:paraId="4BCF310A" w14:textId="2C3BE5EA"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Jones, C. M., Merrick, M. T., &amp; Houry, D. E. (2020). Identifying and preventing adverse childhood experiences: implications for clinical practice. </w:t>
      </w:r>
      <w:r w:rsidRPr="001B455F">
        <w:rPr>
          <w:rFonts w:ascii="Times New Roman" w:hAnsi="Times New Roman" w:cs="Times New Roman"/>
          <w:i/>
          <w:iCs/>
          <w:sz w:val="24"/>
          <w:szCs w:val="24"/>
        </w:rPr>
        <w:t>Jama</w:t>
      </w:r>
      <w:r w:rsidRPr="001B455F">
        <w:rPr>
          <w:rFonts w:ascii="Times New Roman" w:hAnsi="Times New Roman" w:cs="Times New Roman"/>
          <w:sz w:val="24"/>
          <w:szCs w:val="24"/>
        </w:rPr>
        <w:t>, </w:t>
      </w:r>
      <w:r w:rsidRPr="001B455F">
        <w:rPr>
          <w:rFonts w:ascii="Times New Roman" w:hAnsi="Times New Roman" w:cs="Times New Roman"/>
          <w:i/>
          <w:iCs/>
          <w:sz w:val="24"/>
          <w:szCs w:val="24"/>
        </w:rPr>
        <w:t>323</w:t>
      </w:r>
      <w:r w:rsidRPr="001B455F">
        <w:rPr>
          <w:rFonts w:ascii="Times New Roman" w:hAnsi="Times New Roman" w:cs="Times New Roman"/>
          <w:sz w:val="24"/>
          <w:szCs w:val="24"/>
        </w:rPr>
        <w:t>(1), 25-26.</w:t>
      </w:r>
    </w:p>
    <w:p w14:paraId="2CB695AE" w14:textId="518BD5E8"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Finkelhor, D. (2020). Trends in adverse childhood experiences (ACEs) in the United States. </w:t>
      </w:r>
      <w:r w:rsidRPr="001B455F">
        <w:rPr>
          <w:rFonts w:ascii="Times New Roman" w:hAnsi="Times New Roman" w:cs="Times New Roman"/>
          <w:i/>
          <w:iCs/>
          <w:sz w:val="24"/>
          <w:szCs w:val="24"/>
        </w:rPr>
        <w:t>Child abuse &amp; neglect</w:t>
      </w:r>
      <w:r w:rsidRPr="001B455F">
        <w:rPr>
          <w:rFonts w:ascii="Times New Roman" w:hAnsi="Times New Roman" w:cs="Times New Roman"/>
          <w:sz w:val="24"/>
          <w:szCs w:val="24"/>
        </w:rPr>
        <w:t>, </w:t>
      </w:r>
      <w:r w:rsidRPr="001B455F">
        <w:rPr>
          <w:rFonts w:ascii="Times New Roman" w:hAnsi="Times New Roman" w:cs="Times New Roman"/>
          <w:i/>
          <w:iCs/>
          <w:sz w:val="24"/>
          <w:szCs w:val="24"/>
        </w:rPr>
        <w:t>108</w:t>
      </w:r>
      <w:r w:rsidRPr="001B455F">
        <w:rPr>
          <w:rFonts w:ascii="Times New Roman" w:hAnsi="Times New Roman" w:cs="Times New Roman"/>
          <w:sz w:val="24"/>
          <w:szCs w:val="24"/>
        </w:rPr>
        <w:t>, 104641.</w:t>
      </w:r>
    </w:p>
    <w:p w14:paraId="67CD8A16" w14:textId="4C16DEC2"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Anda, R. F., Porter, L. E., &amp; Brown, D. W. (2020). Inside the adverse childhood experience score: Strengths, limitations, and misapplications. </w:t>
      </w:r>
      <w:r w:rsidRPr="001B455F">
        <w:rPr>
          <w:rFonts w:ascii="Times New Roman" w:hAnsi="Times New Roman" w:cs="Times New Roman"/>
          <w:i/>
          <w:iCs/>
          <w:sz w:val="24"/>
          <w:szCs w:val="24"/>
        </w:rPr>
        <w:t>American Journal of Preventive Medicine</w:t>
      </w:r>
      <w:r w:rsidRPr="001B455F">
        <w:rPr>
          <w:rFonts w:ascii="Times New Roman" w:hAnsi="Times New Roman" w:cs="Times New Roman"/>
          <w:sz w:val="24"/>
          <w:szCs w:val="24"/>
        </w:rPr>
        <w:t>, </w:t>
      </w:r>
      <w:r w:rsidRPr="001B455F">
        <w:rPr>
          <w:rFonts w:ascii="Times New Roman" w:hAnsi="Times New Roman" w:cs="Times New Roman"/>
          <w:i/>
          <w:iCs/>
          <w:sz w:val="24"/>
          <w:szCs w:val="24"/>
        </w:rPr>
        <w:t>59</w:t>
      </w:r>
      <w:r w:rsidRPr="001B455F">
        <w:rPr>
          <w:rFonts w:ascii="Times New Roman" w:hAnsi="Times New Roman" w:cs="Times New Roman"/>
          <w:sz w:val="24"/>
          <w:szCs w:val="24"/>
        </w:rPr>
        <w:t>(2), 293-295.</w:t>
      </w:r>
    </w:p>
    <w:p w14:paraId="397A5ECD" w14:textId="629A3A95"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lastRenderedPageBreak/>
        <w:t>Giano, Z., Wheeler, D. L., &amp; Hubach, R. D. (2020). The frequencies and disparities of adverse childhood experiences in the US. </w:t>
      </w:r>
      <w:r w:rsidRPr="001B455F">
        <w:rPr>
          <w:rFonts w:ascii="Times New Roman" w:hAnsi="Times New Roman" w:cs="Times New Roman"/>
          <w:i/>
          <w:iCs/>
          <w:sz w:val="24"/>
          <w:szCs w:val="24"/>
        </w:rPr>
        <w:t>BMC public health</w:t>
      </w:r>
      <w:r w:rsidRPr="001B455F">
        <w:rPr>
          <w:rFonts w:ascii="Times New Roman" w:hAnsi="Times New Roman" w:cs="Times New Roman"/>
          <w:sz w:val="24"/>
          <w:szCs w:val="24"/>
        </w:rPr>
        <w:t>, </w:t>
      </w:r>
      <w:r w:rsidRPr="001B455F">
        <w:rPr>
          <w:rFonts w:ascii="Times New Roman" w:hAnsi="Times New Roman" w:cs="Times New Roman"/>
          <w:i/>
          <w:iCs/>
          <w:sz w:val="24"/>
          <w:szCs w:val="24"/>
        </w:rPr>
        <w:t>20</w:t>
      </w:r>
      <w:r w:rsidRPr="001B455F">
        <w:rPr>
          <w:rFonts w:ascii="Times New Roman" w:hAnsi="Times New Roman" w:cs="Times New Roman"/>
          <w:sz w:val="24"/>
          <w:szCs w:val="24"/>
        </w:rPr>
        <w:t>, 1-12.</w:t>
      </w:r>
    </w:p>
    <w:p w14:paraId="6E5A0960" w14:textId="63297336"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Loveday, S., Hall, T., Constable, L., Paton, K., Sanci, L., Goldfeld, S., &amp; Hiscock, H. (2022). Screening for adverse childhood experiences in children: a systematic review. </w:t>
      </w:r>
      <w:r w:rsidRPr="001B455F">
        <w:rPr>
          <w:rFonts w:ascii="Times New Roman" w:hAnsi="Times New Roman" w:cs="Times New Roman"/>
          <w:i/>
          <w:iCs/>
          <w:sz w:val="24"/>
          <w:szCs w:val="24"/>
        </w:rPr>
        <w:t>Pediatrics</w:t>
      </w:r>
      <w:r w:rsidRPr="001B455F">
        <w:rPr>
          <w:rFonts w:ascii="Times New Roman" w:hAnsi="Times New Roman" w:cs="Times New Roman"/>
          <w:sz w:val="24"/>
          <w:szCs w:val="24"/>
        </w:rPr>
        <w:t>, </w:t>
      </w:r>
      <w:r w:rsidRPr="001B455F">
        <w:rPr>
          <w:rFonts w:ascii="Times New Roman" w:hAnsi="Times New Roman" w:cs="Times New Roman"/>
          <w:i/>
          <w:iCs/>
          <w:sz w:val="24"/>
          <w:szCs w:val="24"/>
        </w:rPr>
        <w:t>149</w:t>
      </w:r>
      <w:r w:rsidRPr="001B455F">
        <w:rPr>
          <w:rFonts w:ascii="Times New Roman" w:hAnsi="Times New Roman" w:cs="Times New Roman"/>
          <w:sz w:val="24"/>
          <w:szCs w:val="24"/>
        </w:rPr>
        <w:t>(2), e2021051884.</w:t>
      </w:r>
    </w:p>
    <w:p w14:paraId="08928FFC" w14:textId="557F51EB"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Bryant, D. J., Oo, M., &amp; Damian, A. J. (2020). The rise of adverse childhood experiences during the COVID-19 pandemic. </w:t>
      </w:r>
      <w:r w:rsidRPr="001B455F">
        <w:rPr>
          <w:rFonts w:ascii="Times New Roman" w:hAnsi="Times New Roman" w:cs="Times New Roman"/>
          <w:i/>
          <w:iCs/>
          <w:sz w:val="24"/>
          <w:szCs w:val="24"/>
        </w:rPr>
        <w:t>Psychological Trauma: Theory, Research, Practice, and Policy</w:t>
      </w:r>
      <w:r w:rsidRPr="001B455F">
        <w:rPr>
          <w:rFonts w:ascii="Times New Roman" w:hAnsi="Times New Roman" w:cs="Times New Roman"/>
          <w:sz w:val="24"/>
          <w:szCs w:val="24"/>
        </w:rPr>
        <w:t>, </w:t>
      </w:r>
      <w:r w:rsidRPr="001B455F">
        <w:rPr>
          <w:rFonts w:ascii="Times New Roman" w:hAnsi="Times New Roman" w:cs="Times New Roman"/>
          <w:i/>
          <w:iCs/>
          <w:sz w:val="24"/>
          <w:szCs w:val="24"/>
        </w:rPr>
        <w:t>12</w:t>
      </w:r>
      <w:r w:rsidRPr="001B455F">
        <w:rPr>
          <w:rFonts w:ascii="Times New Roman" w:hAnsi="Times New Roman" w:cs="Times New Roman"/>
          <w:sz w:val="24"/>
          <w:szCs w:val="24"/>
        </w:rPr>
        <w:t>(S1), S193.</w:t>
      </w:r>
    </w:p>
    <w:p w14:paraId="70273036" w14:textId="38E0C270"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Goddard, A. (2021). Adverse childhood experiences and trauma-informed care. </w:t>
      </w:r>
      <w:r w:rsidRPr="001B455F">
        <w:rPr>
          <w:rFonts w:ascii="Times New Roman" w:hAnsi="Times New Roman" w:cs="Times New Roman"/>
          <w:i/>
          <w:iCs/>
          <w:sz w:val="24"/>
          <w:szCs w:val="24"/>
        </w:rPr>
        <w:t>Journal of Pediatric Health Care</w:t>
      </w:r>
      <w:r w:rsidRPr="001B455F">
        <w:rPr>
          <w:rFonts w:ascii="Times New Roman" w:hAnsi="Times New Roman" w:cs="Times New Roman"/>
          <w:sz w:val="24"/>
          <w:szCs w:val="24"/>
        </w:rPr>
        <w:t>, </w:t>
      </w:r>
      <w:r w:rsidRPr="001B455F">
        <w:rPr>
          <w:rFonts w:ascii="Times New Roman" w:hAnsi="Times New Roman" w:cs="Times New Roman"/>
          <w:i/>
          <w:iCs/>
          <w:sz w:val="24"/>
          <w:szCs w:val="24"/>
        </w:rPr>
        <w:t>35</w:t>
      </w:r>
      <w:r w:rsidRPr="001B455F">
        <w:rPr>
          <w:rFonts w:ascii="Times New Roman" w:hAnsi="Times New Roman" w:cs="Times New Roman"/>
          <w:sz w:val="24"/>
          <w:szCs w:val="24"/>
        </w:rPr>
        <w:t>(2), 145-155.</w:t>
      </w:r>
    </w:p>
    <w:p w14:paraId="600C3573" w14:textId="20A7F3F6"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Hughes, K., Ford, K., Bellis, M. A., Glendinning, F., Harrison, E., &amp; Passmore, J. (2021). Health and financial costs of adverse childhood experiences in 28 European countries: a systematic review and meta-analysis. </w:t>
      </w:r>
      <w:r w:rsidRPr="001B455F">
        <w:rPr>
          <w:rFonts w:ascii="Times New Roman" w:hAnsi="Times New Roman" w:cs="Times New Roman"/>
          <w:i/>
          <w:iCs/>
          <w:sz w:val="24"/>
          <w:szCs w:val="24"/>
        </w:rPr>
        <w:t>The Lancet Public Health</w:t>
      </w:r>
      <w:r w:rsidRPr="001B455F">
        <w:rPr>
          <w:rFonts w:ascii="Times New Roman" w:hAnsi="Times New Roman" w:cs="Times New Roman"/>
          <w:sz w:val="24"/>
          <w:szCs w:val="24"/>
        </w:rPr>
        <w:t>, </w:t>
      </w:r>
      <w:r w:rsidRPr="001B455F">
        <w:rPr>
          <w:rFonts w:ascii="Times New Roman" w:hAnsi="Times New Roman" w:cs="Times New Roman"/>
          <w:i/>
          <w:iCs/>
          <w:sz w:val="24"/>
          <w:szCs w:val="24"/>
        </w:rPr>
        <w:t>6</w:t>
      </w:r>
      <w:r w:rsidRPr="001B455F">
        <w:rPr>
          <w:rFonts w:ascii="Times New Roman" w:hAnsi="Times New Roman" w:cs="Times New Roman"/>
          <w:sz w:val="24"/>
          <w:szCs w:val="24"/>
        </w:rPr>
        <w:t>(11), e848-e857.</w:t>
      </w:r>
    </w:p>
    <w:p w14:paraId="1FE85B71" w14:textId="53C204B7"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Baldwin, J. R., Caspi, A., Meehan, A. J., Ambler, A., Arseneault, L., Fisher, H. L., ... &amp; Danese, A. (2021). Population vs individual prediction of poor health from results of adverse childhood experiences screening. </w:t>
      </w:r>
      <w:r w:rsidRPr="001B455F">
        <w:rPr>
          <w:rFonts w:ascii="Times New Roman" w:hAnsi="Times New Roman" w:cs="Times New Roman"/>
          <w:i/>
          <w:iCs/>
          <w:sz w:val="24"/>
          <w:szCs w:val="24"/>
        </w:rPr>
        <w:t>JAMA pediatrics</w:t>
      </w:r>
      <w:r w:rsidRPr="001B455F">
        <w:rPr>
          <w:rFonts w:ascii="Times New Roman" w:hAnsi="Times New Roman" w:cs="Times New Roman"/>
          <w:sz w:val="24"/>
          <w:szCs w:val="24"/>
        </w:rPr>
        <w:t>, </w:t>
      </w:r>
      <w:r w:rsidRPr="001B455F">
        <w:rPr>
          <w:rFonts w:ascii="Times New Roman" w:hAnsi="Times New Roman" w:cs="Times New Roman"/>
          <w:i/>
          <w:iCs/>
          <w:sz w:val="24"/>
          <w:szCs w:val="24"/>
        </w:rPr>
        <w:t>175</w:t>
      </w:r>
      <w:r w:rsidRPr="001B455F">
        <w:rPr>
          <w:rFonts w:ascii="Times New Roman" w:hAnsi="Times New Roman" w:cs="Times New Roman"/>
          <w:sz w:val="24"/>
          <w:szCs w:val="24"/>
        </w:rPr>
        <w:t>(4), 385-393.</w:t>
      </w:r>
    </w:p>
    <w:p w14:paraId="03D8B921" w14:textId="564AB1B3"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Schroeder, K., Schuler, B. R., Kobulsky, J. M., &amp; Sarwer, D. B. (2021). The association between adverse childhood experiences and childhood obesity: a systematic review. </w:t>
      </w:r>
      <w:r w:rsidRPr="001B455F">
        <w:rPr>
          <w:rFonts w:ascii="Times New Roman" w:hAnsi="Times New Roman" w:cs="Times New Roman"/>
          <w:i/>
          <w:iCs/>
          <w:sz w:val="24"/>
          <w:szCs w:val="24"/>
        </w:rPr>
        <w:t>Obesity Reviews</w:t>
      </w:r>
      <w:r w:rsidRPr="001B455F">
        <w:rPr>
          <w:rFonts w:ascii="Times New Roman" w:hAnsi="Times New Roman" w:cs="Times New Roman"/>
          <w:sz w:val="24"/>
          <w:szCs w:val="24"/>
        </w:rPr>
        <w:t>, </w:t>
      </w:r>
      <w:r w:rsidRPr="001B455F">
        <w:rPr>
          <w:rFonts w:ascii="Times New Roman" w:hAnsi="Times New Roman" w:cs="Times New Roman"/>
          <w:i/>
          <w:iCs/>
          <w:sz w:val="24"/>
          <w:szCs w:val="24"/>
        </w:rPr>
        <w:t>22</w:t>
      </w:r>
      <w:r w:rsidRPr="001B455F">
        <w:rPr>
          <w:rFonts w:ascii="Times New Roman" w:hAnsi="Times New Roman" w:cs="Times New Roman"/>
          <w:sz w:val="24"/>
          <w:szCs w:val="24"/>
        </w:rPr>
        <w:t>(7), e13204.</w:t>
      </w:r>
    </w:p>
    <w:p w14:paraId="7DC95E88" w14:textId="2E04D92E"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Leza, L., Siria, S., López-Goñi, J. J., &amp; Fernandez-Montalvo, J. (2021). Adverse childhood experiences (ACEs) and substance use disorder (SUD): a scoping review. </w:t>
      </w:r>
      <w:r w:rsidRPr="001B455F">
        <w:rPr>
          <w:rFonts w:ascii="Times New Roman" w:hAnsi="Times New Roman" w:cs="Times New Roman"/>
          <w:i/>
          <w:iCs/>
          <w:sz w:val="24"/>
          <w:szCs w:val="24"/>
        </w:rPr>
        <w:t>Drug and alcohol dependence</w:t>
      </w:r>
      <w:r w:rsidRPr="001B455F">
        <w:rPr>
          <w:rFonts w:ascii="Times New Roman" w:hAnsi="Times New Roman" w:cs="Times New Roman"/>
          <w:sz w:val="24"/>
          <w:szCs w:val="24"/>
        </w:rPr>
        <w:t>, </w:t>
      </w:r>
      <w:r w:rsidRPr="001B455F">
        <w:rPr>
          <w:rFonts w:ascii="Times New Roman" w:hAnsi="Times New Roman" w:cs="Times New Roman"/>
          <w:i/>
          <w:iCs/>
          <w:sz w:val="24"/>
          <w:szCs w:val="24"/>
        </w:rPr>
        <w:t>221</w:t>
      </w:r>
      <w:r w:rsidRPr="001B455F">
        <w:rPr>
          <w:rFonts w:ascii="Times New Roman" w:hAnsi="Times New Roman" w:cs="Times New Roman"/>
          <w:sz w:val="24"/>
          <w:szCs w:val="24"/>
        </w:rPr>
        <w:t>, 108563.</w:t>
      </w:r>
    </w:p>
    <w:p w14:paraId="7907DB66" w14:textId="277FD7F4" w:rsidR="00E71926" w:rsidRPr="001B455F" w:rsidRDefault="00E71926" w:rsidP="00E71926">
      <w:pPr>
        <w:tabs>
          <w:tab w:val="left" w:pos="6180"/>
        </w:tabs>
        <w:spacing w:line="276" w:lineRule="auto"/>
        <w:rPr>
          <w:rFonts w:ascii="Times New Roman" w:hAnsi="Times New Roman" w:cs="Times New Roman"/>
          <w:sz w:val="24"/>
          <w:szCs w:val="24"/>
        </w:rPr>
      </w:pPr>
      <w:r w:rsidRPr="001B455F">
        <w:rPr>
          <w:rFonts w:ascii="Times New Roman" w:hAnsi="Times New Roman" w:cs="Times New Roman"/>
          <w:sz w:val="24"/>
          <w:szCs w:val="24"/>
        </w:rPr>
        <w:t>Alhowaymel, F., Kalmakis, K., &amp; Jacelon, C. (2021). Developing the concept of adverse childhood experiences: A global perspective. </w:t>
      </w:r>
      <w:r w:rsidRPr="001B455F">
        <w:rPr>
          <w:rFonts w:ascii="Times New Roman" w:hAnsi="Times New Roman" w:cs="Times New Roman"/>
          <w:i/>
          <w:iCs/>
          <w:sz w:val="24"/>
          <w:szCs w:val="24"/>
        </w:rPr>
        <w:t>Journal of Pediatric Nursing</w:t>
      </w:r>
      <w:r w:rsidRPr="001B455F">
        <w:rPr>
          <w:rFonts w:ascii="Times New Roman" w:hAnsi="Times New Roman" w:cs="Times New Roman"/>
          <w:sz w:val="24"/>
          <w:szCs w:val="24"/>
        </w:rPr>
        <w:t>, </w:t>
      </w:r>
      <w:r w:rsidRPr="001B455F">
        <w:rPr>
          <w:rFonts w:ascii="Times New Roman" w:hAnsi="Times New Roman" w:cs="Times New Roman"/>
          <w:i/>
          <w:iCs/>
          <w:sz w:val="24"/>
          <w:szCs w:val="24"/>
        </w:rPr>
        <w:t>56</w:t>
      </w:r>
      <w:r w:rsidRPr="001B455F">
        <w:rPr>
          <w:rFonts w:ascii="Times New Roman" w:hAnsi="Times New Roman" w:cs="Times New Roman"/>
          <w:sz w:val="24"/>
          <w:szCs w:val="24"/>
        </w:rPr>
        <w:t>, 18-23.</w:t>
      </w:r>
    </w:p>
    <w:p w14:paraId="7DF1CCB8" w14:textId="01A83F44" w:rsidR="00613646" w:rsidRPr="001B455F" w:rsidRDefault="00613646" w:rsidP="00E71926">
      <w:pPr>
        <w:tabs>
          <w:tab w:val="left" w:pos="6180"/>
        </w:tabs>
        <w:spacing w:line="276" w:lineRule="auto"/>
        <w:rPr>
          <w:rFonts w:ascii="Times New Roman" w:hAnsi="Times New Roman" w:cs="Times New Roman"/>
          <w:sz w:val="24"/>
          <w:szCs w:val="24"/>
        </w:rPr>
      </w:pPr>
    </w:p>
    <w:sectPr w:rsidR="00613646" w:rsidRPr="001B45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C06CD3" w14:textId="77777777" w:rsidR="00D3486F" w:rsidRDefault="00D3486F" w:rsidP="0072070A">
      <w:pPr>
        <w:spacing w:after="0" w:line="240" w:lineRule="auto"/>
      </w:pPr>
      <w:r>
        <w:separator/>
      </w:r>
    </w:p>
  </w:endnote>
  <w:endnote w:type="continuationSeparator" w:id="0">
    <w:p w14:paraId="0AB96B8E" w14:textId="77777777" w:rsidR="00D3486F" w:rsidRDefault="00D3486F" w:rsidP="0072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03D6B" w14:textId="77777777" w:rsidR="00D3486F" w:rsidRDefault="00D3486F" w:rsidP="0072070A">
      <w:pPr>
        <w:spacing w:after="0" w:line="240" w:lineRule="auto"/>
      </w:pPr>
      <w:r>
        <w:separator/>
      </w:r>
    </w:p>
  </w:footnote>
  <w:footnote w:type="continuationSeparator" w:id="0">
    <w:p w14:paraId="401D657A" w14:textId="77777777" w:rsidR="00D3486F" w:rsidRDefault="00D3486F" w:rsidP="0072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7C79"/>
    <w:multiLevelType w:val="multilevel"/>
    <w:tmpl w:val="1D8E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D35EC"/>
    <w:multiLevelType w:val="multilevel"/>
    <w:tmpl w:val="BB22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32174"/>
    <w:multiLevelType w:val="multilevel"/>
    <w:tmpl w:val="2DE6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7E0AE3"/>
    <w:multiLevelType w:val="multilevel"/>
    <w:tmpl w:val="AF26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4D48C8"/>
    <w:multiLevelType w:val="multilevel"/>
    <w:tmpl w:val="E6EA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CE12F3"/>
    <w:multiLevelType w:val="multilevel"/>
    <w:tmpl w:val="5184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EF70FF"/>
    <w:multiLevelType w:val="multilevel"/>
    <w:tmpl w:val="54A24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397A0B"/>
    <w:multiLevelType w:val="multilevel"/>
    <w:tmpl w:val="89DC3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D73323"/>
    <w:multiLevelType w:val="multilevel"/>
    <w:tmpl w:val="FAEE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1E1C16"/>
    <w:multiLevelType w:val="multilevel"/>
    <w:tmpl w:val="63984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8E659E"/>
    <w:multiLevelType w:val="multilevel"/>
    <w:tmpl w:val="6424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860037"/>
    <w:multiLevelType w:val="multilevel"/>
    <w:tmpl w:val="E522E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8709121">
    <w:abstractNumId w:val="10"/>
  </w:num>
  <w:num w:numId="2" w16cid:durableId="1202088215">
    <w:abstractNumId w:val="1"/>
  </w:num>
  <w:num w:numId="3" w16cid:durableId="1189223718">
    <w:abstractNumId w:val="7"/>
  </w:num>
  <w:num w:numId="4" w16cid:durableId="1162936793">
    <w:abstractNumId w:val="11"/>
  </w:num>
  <w:num w:numId="5" w16cid:durableId="406996782">
    <w:abstractNumId w:val="0"/>
  </w:num>
  <w:num w:numId="6" w16cid:durableId="1926069664">
    <w:abstractNumId w:val="3"/>
  </w:num>
  <w:num w:numId="7" w16cid:durableId="522599086">
    <w:abstractNumId w:val="5"/>
  </w:num>
  <w:num w:numId="8" w16cid:durableId="1081482683">
    <w:abstractNumId w:val="6"/>
  </w:num>
  <w:num w:numId="9" w16cid:durableId="213393696">
    <w:abstractNumId w:val="4"/>
  </w:num>
  <w:num w:numId="10" w16cid:durableId="748618020">
    <w:abstractNumId w:val="9"/>
  </w:num>
  <w:num w:numId="11" w16cid:durableId="720860490">
    <w:abstractNumId w:val="8"/>
  </w:num>
  <w:num w:numId="12" w16cid:durableId="405759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559"/>
    <w:rsid w:val="000B7EBB"/>
    <w:rsid w:val="000D6479"/>
    <w:rsid w:val="00115761"/>
    <w:rsid w:val="001300CC"/>
    <w:rsid w:val="00133B70"/>
    <w:rsid w:val="00142323"/>
    <w:rsid w:val="00165FD1"/>
    <w:rsid w:val="001B455F"/>
    <w:rsid w:val="00334B01"/>
    <w:rsid w:val="00466215"/>
    <w:rsid w:val="005020E0"/>
    <w:rsid w:val="005A101A"/>
    <w:rsid w:val="00613646"/>
    <w:rsid w:val="0072070A"/>
    <w:rsid w:val="00733ECD"/>
    <w:rsid w:val="007A5CE4"/>
    <w:rsid w:val="0086728F"/>
    <w:rsid w:val="009776B7"/>
    <w:rsid w:val="00A82E45"/>
    <w:rsid w:val="00A929B3"/>
    <w:rsid w:val="00AF5142"/>
    <w:rsid w:val="00B373D4"/>
    <w:rsid w:val="00BF2072"/>
    <w:rsid w:val="00C323CE"/>
    <w:rsid w:val="00C64559"/>
    <w:rsid w:val="00D3486F"/>
    <w:rsid w:val="00DF440F"/>
    <w:rsid w:val="00E35A2C"/>
    <w:rsid w:val="00E4385B"/>
    <w:rsid w:val="00E71926"/>
    <w:rsid w:val="00F422E5"/>
    <w:rsid w:val="00F43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55CAD"/>
  <w15:chartTrackingRefBased/>
  <w15:docId w15:val="{E0C8815C-1DEF-4F68-A1B8-43F58E5CD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4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4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4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559"/>
    <w:rPr>
      <w:rFonts w:eastAsiaTheme="majorEastAsia" w:cstheme="majorBidi"/>
      <w:color w:val="272727" w:themeColor="text1" w:themeTint="D8"/>
    </w:rPr>
  </w:style>
  <w:style w:type="paragraph" w:styleId="Title">
    <w:name w:val="Title"/>
    <w:basedOn w:val="Normal"/>
    <w:next w:val="Normal"/>
    <w:link w:val="TitleChar"/>
    <w:uiPriority w:val="10"/>
    <w:qFormat/>
    <w:rsid w:val="00C64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559"/>
    <w:pPr>
      <w:spacing w:before="160"/>
      <w:jc w:val="center"/>
    </w:pPr>
    <w:rPr>
      <w:i/>
      <w:iCs/>
      <w:color w:val="404040" w:themeColor="text1" w:themeTint="BF"/>
    </w:rPr>
  </w:style>
  <w:style w:type="character" w:customStyle="1" w:styleId="QuoteChar">
    <w:name w:val="Quote Char"/>
    <w:basedOn w:val="DefaultParagraphFont"/>
    <w:link w:val="Quote"/>
    <w:uiPriority w:val="29"/>
    <w:rsid w:val="00C64559"/>
    <w:rPr>
      <w:i/>
      <w:iCs/>
      <w:color w:val="404040" w:themeColor="text1" w:themeTint="BF"/>
    </w:rPr>
  </w:style>
  <w:style w:type="paragraph" w:styleId="ListParagraph">
    <w:name w:val="List Paragraph"/>
    <w:basedOn w:val="Normal"/>
    <w:uiPriority w:val="34"/>
    <w:qFormat/>
    <w:rsid w:val="00C64559"/>
    <w:pPr>
      <w:ind w:left="720"/>
      <w:contextualSpacing/>
    </w:pPr>
  </w:style>
  <w:style w:type="character" w:styleId="IntenseEmphasis">
    <w:name w:val="Intense Emphasis"/>
    <w:basedOn w:val="DefaultParagraphFont"/>
    <w:uiPriority w:val="21"/>
    <w:qFormat/>
    <w:rsid w:val="00C64559"/>
    <w:rPr>
      <w:i/>
      <w:iCs/>
      <w:color w:val="0F4761" w:themeColor="accent1" w:themeShade="BF"/>
    </w:rPr>
  </w:style>
  <w:style w:type="paragraph" w:styleId="IntenseQuote">
    <w:name w:val="Intense Quote"/>
    <w:basedOn w:val="Normal"/>
    <w:next w:val="Normal"/>
    <w:link w:val="IntenseQuoteChar"/>
    <w:uiPriority w:val="30"/>
    <w:qFormat/>
    <w:rsid w:val="00C64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559"/>
    <w:rPr>
      <w:i/>
      <w:iCs/>
      <w:color w:val="0F4761" w:themeColor="accent1" w:themeShade="BF"/>
    </w:rPr>
  </w:style>
  <w:style w:type="character" w:styleId="IntenseReference">
    <w:name w:val="Intense Reference"/>
    <w:basedOn w:val="DefaultParagraphFont"/>
    <w:uiPriority w:val="32"/>
    <w:qFormat/>
    <w:rsid w:val="00C64559"/>
    <w:rPr>
      <w:b/>
      <w:bCs/>
      <w:smallCaps/>
      <w:color w:val="0F4761" w:themeColor="accent1" w:themeShade="BF"/>
      <w:spacing w:val="5"/>
    </w:rPr>
  </w:style>
  <w:style w:type="paragraph" w:styleId="Header">
    <w:name w:val="header"/>
    <w:basedOn w:val="Normal"/>
    <w:link w:val="HeaderChar"/>
    <w:uiPriority w:val="99"/>
    <w:unhideWhenUsed/>
    <w:rsid w:val="007207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70A"/>
  </w:style>
  <w:style w:type="paragraph" w:styleId="Footer">
    <w:name w:val="footer"/>
    <w:basedOn w:val="Normal"/>
    <w:link w:val="FooterChar"/>
    <w:uiPriority w:val="99"/>
    <w:unhideWhenUsed/>
    <w:rsid w:val="007207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70A"/>
  </w:style>
  <w:style w:type="paragraph" w:styleId="NormalWeb">
    <w:name w:val="Normal (Web)"/>
    <w:basedOn w:val="Normal"/>
    <w:uiPriority w:val="99"/>
    <w:semiHidden/>
    <w:unhideWhenUsed/>
    <w:rsid w:val="009776B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09343">
      <w:bodyDiv w:val="1"/>
      <w:marLeft w:val="0"/>
      <w:marRight w:val="0"/>
      <w:marTop w:val="0"/>
      <w:marBottom w:val="0"/>
      <w:divBdr>
        <w:top w:val="none" w:sz="0" w:space="0" w:color="auto"/>
        <w:left w:val="none" w:sz="0" w:space="0" w:color="auto"/>
        <w:bottom w:val="none" w:sz="0" w:space="0" w:color="auto"/>
        <w:right w:val="none" w:sz="0" w:space="0" w:color="auto"/>
      </w:divBdr>
    </w:div>
    <w:div w:id="636765056">
      <w:bodyDiv w:val="1"/>
      <w:marLeft w:val="0"/>
      <w:marRight w:val="0"/>
      <w:marTop w:val="0"/>
      <w:marBottom w:val="0"/>
      <w:divBdr>
        <w:top w:val="none" w:sz="0" w:space="0" w:color="auto"/>
        <w:left w:val="none" w:sz="0" w:space="0" w:color="auto"/>
        <w:bottom w:val="none" w:sz="0" w:space="0" w:color="auto"/>
        <w:right w:val="none" w:sz="0" w:space="0" w:color="auto"/>
      </w:divBdr>
    </w:div>
    <w:div w:id="807012077">
      <w:bodyDiv w:val="1"/>
      <w:marLeft w:val="0"/>
      <w:marRight w:val="0"/>
      <w:marTop w:val="0"/>
      <w:marBottom w:val="0"/>
      <w:divBdr>
        <w:top w:val="none" w:sz="0" w:space="0" w:color="auto"/>
        <w:left w:val="none" w:sz="0" w:space="0" w:color="auto"/>
        <w:bottom w:val="none" w:sz="0" w:space="0" w:color="auto"/>
        <w:right w:val="none" w:sz="0" w:space="0" w:color="auto"/>
      </w:divBdr>
    </w:div>
    <w:div w:id="1214390908">
      <w:bodyDiv w:val="1"/>
      <w:marLeft w:val="0"/>
      <w:marRight w:val="0"/>
      <w:marTop w:val="0"/>
      <w:marBottom w:val="0"/>
      <w:divBdr>
        <w:top w:val="none" w:sz="0" w:space="0" w:color="auto"/>
        <w:left w:val="none" w:sz="0" w:space="0" w:color="auto"/>
        <w:bottom w:val="none" w:sz="0" w:space="0" w:color="auto"/>
        <w:right w:val="none" w:sz="0" w:space="0" w:color="auto"/>
      </w:divBdr>
    </w:div>
    <w:div w:id="1413117090">
      <w:bodyDiv w:val="1"/>
      <w:marLeft w:val="0"/>
      <w:marRight w:val="0"/>
      <w:marTop w:val="0"/>
      <w:marBottom w:val="0"/>
      <w:divBdr>
        <w:top w:val="none" w:sz="0" w:space="0" w:color="auto"/>
        <w:left w:val="none" w:sz="0" w:space="0" w:color="auto"/>
        <w:bottom w:val="none" w:sz="0" w:space="0" w:color="auto"/>
        <w:right w:val="none" w:sz="0" w:space="0" w:color="auto"/>
      </w:divBdr>
    </w:div>
    <w:div w:id="1506549882">
      <w:bodyDiv w:val="1"/>
      <w:marLeft w:val="0"/>
      <w:marRight w:val="0"/>
      <w:marTop w:val="0"/>
      <w:marBottom w:val="0"/>
      <w:divBdr>
        <w:top w:val="none" w:sz="0" w:space="0" w:color="auto"/>
        <w:left w:val="none" w:sz="0" w:space="0" w:color="auto"/>
        <w:bottom w:val="none" w:sz="0" w:space="0" w:color="auto"/>
        <w:right w:val="none" w:sz="0" w:space="0" w:color="auto"/>
      </w:divBdr>
    </w:div>
    <w:div w:id="1661157344">
      <w:bodyDiv w:val="1"/>
      <w:marLeft w:val="0"/>
      <w:marRight w:val="0"/>
      <w:marTop w:val="0"/>
      <w:marBottom w:val="0"/>
      <w:divBdr>
        <w:top w:val="none" w:sz="0" w:space="0" w:color="auto"/>
        <w:left w:val="none" w:sz="0" w:space="0" w:color="auto"/>
        <w:bottom w:val="none" w:sz="0" w:space="0" w:color="auto"/>
        <w:right w:val="none" w:sz="0" w:space="0" w:color="auto"/>
      </w:divBdr>
    </w:div>
    <w:div w:id="1672027248">
      <w:bodyDiv w:val="1"/>
      <w:marLeft w:val="0"/>
      <w:marRight w:val="0"/>
      <w:marTop w:val="0"/>
      <w:marBottom w:val="0"/>
      <w:divBdr>
        <w:top w:val="none" w:sz="0" w:space="0" w:color="auto"/>
        <w:left w:val="none" w:sz="0" w:space="0" w:color="auto"/>
        <w:bottom w:val="none" w:sz="0" w:space="0" w:color="auto"/>
        <w:right w:val="none" w:sz="0" w:space="0" w:color="auto"/>
      </w:divBdr>
    </w:div>
    <w:div w:id="1748921097">
      <w:bodyDiv w:val="1"/>
      <w:marLeft w:val="0"/>
      <w:marRight w:val="0"/>
      <w:marTop w:val="0"/>
      <w:marBottom w:val="0"/>
      <w:divBdr>
        <w:top w:val="none" w:sz="0" w:space="0" w:color="auto"/>
        <w:left w:val="none" w:sz="0" w:space="0" w:color="auto"/>
        <w:bottom w:val="none" w:sz="0" w:space="0" w:color="auto"/>
        <w:right w:val="none" w:sz="0" w:space="0" w:color="auto"/>
      </w:divBdr>
    </w:div>
    <w:div w:id="1759057105">
      <w:bodyDiv w:val="1"/>
      <w:marLeft w:val="0"/>
      <w:marRight w:val="0"/>
      <w:marTop w:val="0"/>
      <w:marBottom w:val="0"/>
      <w:divBdr>
        <w:top w:val="none" w:sz="0" w:space="0" w:color="auto"/>
        <w:left w:val="none" w:sz="0" w:space="0" w:color="auto"/>
        <w:bottom w:val="none" w:sz="0" w:space="0" w:color="auto"/>
        <w:right w:val="none" w:sz="0" w:space="0" w:color="auto"/>
      </w:divBdr>
    </w:div>
    <w:div w:id="2004235767">
      <w:bodyDiv w:val="1"/>
      <w:marLeft w:val="0"/>
      <w:marRight w:val="0"/>
      <w:marTop w:val="0"/>
      <w:marBottom w:val="0"/>
      <w:divBdr>
        <w:top w:val="none" w:sz="0" w:space="0" w:color="auto"/>
        <w:left w:val="none" w:sz="0" w:space="0" w:color="auto"/>
        <w:bottom w:val="none" w:sz="0" w:space="0" w:color="auto"/>
        <w:right w:val="none" w:sz="0" w:space="0" w:color="auto"/>
      </w:divBdr>
    </w:div>
    <w:div w:id="2080785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2704</Words>
  <Characters>15336</Characters>
  <Application>Microsoft Office Word</Application>
  <DocSecurity>0</DocSecurity>
  <Lines>259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nilsbegum171@outlook.com</dc:creator>
  <cp:keywords/>
  <dc:description/>
  <cp:lastModifiedBy>nilsbegum171@outlook.com</cp:lastModifiedBy>
  <cp:revision>4</cp:revision>
  <dcterms:created xsi:type="dcterms:W3CDTF">2024-04-15T01:01:00Z</dcterms:created>
  <dcterms:modified xsi:type="dcterms:W3CDTF">2024-04-15T01:11:00Z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1fbb29f5-d5a2-4e70-9ffe-0b8ad7b25bed</vt:lpwstr>
  </property>
</Properties>
</file>