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DC3026" w14:textId="42043B04" w:rsidR="00D73D4A" w:rsidRPr="00D73D4A" w:rsidRDefault="00D73D4A" w:rsidP="00D73D4A">
      <w:pPr>
        <w:jc w:val="center"/>
        <w:rPr>
          <w:rFonts w:asciiTheme="minorHAnsi" w:hAnsiTheme="minorHAnsi" w:cstheme="minorHAnsi"/>
          <w:b/>
          <w:bCs/>
          <w:sz w:val="40"/>
          <w:szCs w:val="40"/>
          <w:u w:val="single"/>
          <w:lang w:val="en-US"/>
        </w:rPr>
      </w:pPr>
      <w:r w:rsidRPr="00D73D4A">
        <w:rPr>
          <w:rFonts w:asciiTheme="minorHAnsi" w:hAnsiTheme="minorHAnsi" w:cstheme="minorHAnsi"/>
          <w:b/>
          <w:bCs/>
          <w:sz w:val="40"/>
          <w:szCs w:val="40"/>
          <w:u w:val="single"/>
          <w:lang w:val="en-US"/>
        </w:rPr>
        <w:t>Academic Poster</w:t>
      </w:r>
    </w:p>
    <w:p w14:paraId="1FB5F087" w14:textId="77777777" w:rsidR="00D73D4A" w:rsidRDefault="00D73D4A" w:rsidP="00D73D4A">
      <w:pPr>
        <w:rPr>
          <w:rFonts w:asciiTheme="minorHAnsi" w:hAnsiTheme="minorHAnsi" w:cstheme="minorHAnsi"/>
          <w:b/>
          <w:bCs/>
          <w:sz w:val="40"/>
          <w:szCs w:val="40"/>
          <w:lang w:val="en-US"/>
        </w:rPr>
      </w:pPr>
    </w:p>
    <w:p w14:paraId="03B62942" w14:textId="6F30017C" w:rsidR="00D73D4A" w:rsidRPr="00D73D4A" w:rsidRDefault="00D73D4A" w:rsidP="00D73D4A">
      <w:pPr>
        <w:rPr>
          <w:rFonts w:asciiTheme="minorHAnsi" w:hAnsiTheme="minorHAnsi" w:cstheme="minorHAnsi"/>
          <w:b/>
          <w:bCs/>
          <w:sz w:val="40"/>
          <w:szCs w:val="40"/>
          <w:lang w:val="en-US"/>
        </w:rPr>
      </w:pPr>
      <w:r w:rsidRPr="00D73D4A">
        <w:rPr>
          <w:rFonts w:asciiTheme="minorHAnsi" w:hAnsiTheme="minorHAnsi" w:cstheme="minorHAnsi"/>
          <w:b/>
          <w:bCs/>
          <w:sz w:val="40"/>
          <w:szCs w:val="40"/>
          <w:lang w:val="en-US"/>
        </w:rPr>
        <w:t>Lecturer Name: Jonathan Wyatt</w:t>
      </w:r>
    </w:p>
    <w:p w14:paraId="53D8E87F" w14:textId="77777777" w:rsidR="00D73D4A" w:rsidRPr="00D73D4A" w:rsidRDefault="00D73D4A" w:rsidP="00D73D4A">
      <w:pPr>
        <w:rPr>
          <w:rFonts w:asciiTheme="minorHAnsi" w:hAnsiTheme="minorHAnsi" w:cstheme="minorHAnsi"/>
          <w:b/>
          <w:bCs/>
          <w:sz w:val="40"/>
          <w:szCs w:val="40"/>
          <w:lang w:val="en-US"/>
        </w:rPr>
      </w:pPr>
    </w:p>
    <w:p w14:paraId="47F477BD" w14:textId="0E46E5A4" w:rsidR="00D73D4A" w:rsidRPr="00D73D4A" w:rsidRDefault="00D73D4A" w:rsidP="00D73D4A">
      <w:pPr>
        <w:rPr>
          <w:rFonts w:asciiTheme="minorHAnsi" w:hAnsiTheme="minorHAnsi" w:cstheme="minorHAnsi"/>
          <w:b/>
          <w:bCs/>
          <w:sz w:val="40"/>
          <w:szCs w:val="40"/>
          <w:lang w:val="en-US"/>
        </w:rPr>
      </w:pPr>
      <w:r w:rsidRPr="00D73D4A">
        <w:rPr>
          <w:rFonts w:asciiTheme="minorHAnsi" w:hAnsiTheme="minorHAnsi" w:cstheme="minorHAnsi"/>
          <w:b/>
          <w:bCs/>
          <w:sz w:val="40"/>
          <w:szCs w:val="40"/>
          <w:lang w:val="en-US"/>
        </w:rPr>
        <w:t>Module name: Contemporary Impacts in Supporting Young People</w:t>
      </w:r>
      <w:r w:rsidRPr="00D73D4A">
        <w:rPr>
          <w:rFonts w:asciiTheme="minorHAnsi" w:hAnsiTheme="minorHAnsi" w:cstheme="minorHAnsi"/>
          <w:b/>
          <w:bCs/>
          <w:sz w:val="40"/>
          <w:szCs w:val="40"/>
          <w:lang w:val="en-US"/>
        </w:rPr>
        <w:t xml:space="preserve"> </w:t>
      </w:r>
    </w:p>
    <w:p w14:paraId="2570F825" w14:textId="77777777" w:rsidR="00D73D4A" w:rsidRPr="00D73D4A" w:rsidRDefault="00D73D4A" w:rsidP="00D73D4A">
      <w:pPr>
        <w:rPr>
          <w:rFonts w:asciiTheme="minorHAnsi" w:hAnsiTheme="minorHAnsi" w:cstheme="minorHAnsi"/>
          <w:b/>
          <w:bCs/>
          <w:sz w:val="40"/>
          <w:szCs w:val="40"/>
          <w:lang w:val="en-US"/>
        </w:rPr>
      </w:pPr>
    </w:p>
    <w:p w14:paraId="08A26242" w14:textId="77777777" w:rsidR="00D73D4A" w:rsidRPr="00D73D4A" w:rsidRDefault="00D73D4A" w:rsidP="00D73D4A">
      <w:pPr>
        <w:rPr>
          <w:rFonts w:asciiTheme="minorHAnsi" w:hAnsiTheme="minorHAnsi" w:cstheme="minorHAnsi"/>
          <w:b/>
          <w:bCs/>
          <w:sz w:val="40"/>
          <w:szCs w:val="40"/>
          <w:lang w:val="nl-NL"/>
        </w:rPr>
      </w:pPr>
      <w:r w:rsidRPr="00D73D4A">
        <w:rPr>
          <w:rFonts w:asciiTheme="minorHAnsi" w:hAnsiTheme="minorHAnsi" w:cstheme="minorHAnsi"/>
          <w:b/>
          <w:bCs/>
          <w:sz w:val="40"/>
          <w:szCs w:val="40"/>
          <w:lang w:val="nl-NL"/>
        </w:rPr>
        <w:t>Module code: BMHP6025 </w:t>
      </w:r>
    </w:p>
    <w:p w14:paraId="58A03439" w14:textId="77777777" w:rsidR="00D73D4A" w:rsidRPr="00D73D4A" w:rsidRDefault="00D73D4A" w:rsidP="00D73D4A">
      <w:pPr>
        <w:rPr>
          <w:rFonts w:asciiTheme="minorHAnsi" w:hAnsiTheme="minorHAnsi" w:cstheme="minorHAnsi"/>
          <w:b/>
          <w:bCs/>
          <w:sz w:val="40"/>
          <w:szCs w:val="40"/>
          <w:lang w:val="nl-NL"/>
        </w:rPr>
      </w:pPr>
    </w:p>
    <w:p w14:paraId="15005C08" w14:textId="77777777" w:rsidR="00D73D4A" w:rsidRPr="00D73D4A" w:rsidRDefault="00D73D4A" w:rsidP="00D73D4A">
      <w:pPr>
        <w:rPr>
          <w:rFonts w:asciiTheme="minorHAnsi" w:hAnsiTheme="minorHAnsi" w:cstheme="minorHAnsi"/>
          <w:b/>
          <w:bCs/>
          <w:sz w:val="40"/>
          <w:szCs w:val="40"/>
          <w:lang w:val="nl-NL"/>
        </w:rPr>
      </w:pPr>
      <w:r w:rsidRPr="00D73D4A">
        <w:rPr>
          <w:rFonts w:asciiTheme="minorHAnsi" w:hAnsiTheme="minorHAnsi" w:cstheme="minorHAnsi"/>
          <w:b/>
          <w:bCs/>
          <w:sz w:val="40"/>
          <w:szCs w:val="40"/>
          <w:lang w:val="nl-NL"/>
        </w:rPr>
        <w:t>Student name: 2115655</w:t>
      </w:r>
    </w:p>
    <w:p w14:paraId="49D752E8" w14:textId="77777777" w:rsidR="00D73D4A" w:rsidRPr="00D73D4A" w:rsidRDefault="00D73D4A" w:rsidP="00D73D4A">
      <w:pPr>
        <w:rPr>
          <w:rFonts w:asciiTheme="minorHAnsi" w:hAnsiTheme="minorHAnsi" w:cstheme="minorHAnsi"/>
          <w:b/>
          <w:bCs/>
          <w:sz w:val="40"/>
          <w:szCs w:val="40"/>
          <w:lang w:val="nl-NL"/>
        </w:rPr>
      </w:pPr>
    </w:p>
    <w:p w14:paraId="64946A5E" w14:textId="77777777" w:rsidR="00D73D4A" w:rsidRPr="00D73D4A" w:rsidRDefault="00D73D4A" w:rsidP="00D73D4A">
      <w:pPr>
        <w:rPr>
          <w:rFonts w:asciiTheme="minorHAnsi" w:hAnsiTheme="minorHAnsi" w:cstheme="minorHAnsi"/>
          <w:b/>
          <w:bCs/>
          <w:sz w:val="40"/>
          <w:szCs w:val="40"/>
        </w:rPr>
      </w:pPr>
      <w:r w:rsidRPr="00D73D4A">
        <w:rPr>
          <w:rFonts w:asciiTheme="minorHAnsi" w:hAnsiTheme="minorHAnsi" w:cstheme="minorHAnsi"/>
          <w:b/>
          <w:bCs/>
          <w:sz w:val="40"/>
          <w:szCs w:val="40"/>
          <w:lang w:val="en-US"/>
        </w:rPr>
        <w:t>Student ID</w:t>
      </w:r>
      <w:r w:rsidRPr="00D73D4A">
        <w:rPr>
          <w:rFonts w:asciiTheme="minorHAnsi" w:hAnsiTheme="minorHAnsi" w:cstheme="minorHAnsi"/>
          <w:b/>
          <w:bCs/>
          <w:sz w:val="40"/>
          <w:szCs w:val="40"/>
        </w:rPr>
        <w:t>: Sophie Hart</w:t>
      </w:r>
    </w:p>
    <w:p w14:paraId="59899AA0" w14:textId="75E37BFB" w:rsidR="00C1570E" w:rsidRDefault="00C1570E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6E0CA78B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51B123F7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6E5D8FA7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054FCFC4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411F0FCE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37754188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7C0C87B1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31E15611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674E34FB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49A8D4AB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53B87D99" w14:textId="58B08265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06874D03" wp14:editId="75C8EF15">
            <wp:extent cx="5731510" cy="4047490"/>
            <wp:effectExtent l="0" t="0" r="2540" b="0"/>
            <wp:docPr id="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7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9BD32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3707C323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0C0F1AE0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5DDC7276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7DB77B09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7E8131B0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10F82C77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5DE2789F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5C953F35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6C939C4E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474A8BFE" w14:textId="46CB3D21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b/>
          <w:bCs/>
          <w:sz w:val="36"/>
          <w:szCs w:val="36"/>
        </w:rPr>
        <w:lastRenderedPageBreak/>
        <w:t>Reference List;</w:t>
      </w:r>
    </w:p>
    <w:p w14:paraId="7BFB2591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>American Psychiatric Association (2022). Diagnostic and statistical manual of mental disorders (5th ed.). APA Publishing.</w:t>
      </w:r>
    </w:p>
    <w:p w14:paraId="6CDD3372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>Anda, R. F., Felitti, V. J., Bremner, J. D., Walker, J. D., Whitfield, C., Perry, B. D., ... &amp; Giles, W. H. (2006). The enduring effects of abuse and related adverse experiences in childhood. European Archives of Psychiatry and Clinical Neuroscience, 256(3), 174-186.</w:t>
      </w:r>
    </w:p>
    <w:p w14:paraId="7D0B7B58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>Bowlby, J. (1988). A secure base: Parent-child attachment and healthy human development. Basic Books.</w:t>
      </w:r>
    </w:p>
    <w:p w14:paraId="3C87E491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 xml:space="preserve">Cook, A., Spinazzola, J., Ford, J. D., </w:t>
      </w:r>
      <w:proofErr w:type="spellStart"/>
      <w:r w:rsidRPr="00FE62C7">
        <w:rPr>
          <w:rFonts w:asciiTheme="majorHAnsi" w:hAnsiTheme="majorHAnsi" w:cstheme="majorHAnsi"/>
          <w:sz w:val="24"/>
          <w:szCs w:val="24"/>
        </w:rPr>
        <w:t>Lanktree</w:t>
      </w:r>
      <w:proofErr w:type="spellEnd"/>
      <w:r w:rsidRPr="00FE62C7">
        <w:rPr>
          <w:rFonts w:asciiTheme="majorHAnsi" w:hAnsiTheme="majorHAnsi" w:cstheme="majorHAnsi"/>
          <w:sz w:val="24"/>
          <w:szCs w:val="24"/>
        </w:rPr>
        <w:t xml:space="preserve">, C., Blaustein, M., </w:t>
      </w:r>
      <w:proofErr w:type="spellStart"/>
      <w:r w:rsidRPr="00FE62C7">
        <w:rPr>
          <w:rFonts w:asciiTheme="majorHAnsi" w:hAnsiTheme="majorHAnsi" w:cstheme="majorHAnsi"/>
          <w:sz w:val="24"/>
          <w:szCs w:val="24"/>
        </w:rPr>
        <w:t>Cloitre</w:t>
      </w:r>
      <w:proofErr w:type="spellEnd"/>
      <w:r w:rsidRPr="00FE62C7">
        <w:rPr>
          <w:rFonts w:asciiTheme="majorHAnsi" w:hAnsiTheme="majorHAnsi" w:cstheme="majorHAnsi"/>
          <w:sz w:val="24"/>
          <w:szCs w:val="24"/>
        </w:rPr>
        <w:t>, M., &amp; van der Kolk, B. A. (2005). Complex trauma in children and adolescents. Psychiatric Annals, 35(5), 390-398.</w:t>
      </w:r>
    </w:p>
    <w:p w14:paraId="4458636B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>Felitti, V. J., Anda, R. F., Nordenberg, D., Williamson, D. F., Spitz, A. M., Edwards, V., &amp; Marks, J. S. (1998). Relationship of childhood abuse and household dysfunction to many of the leading causes of death in adults. American Journal of Preventive Medicine, 14(4), 245-258.</w:t>
      </w:r>
    </w:p>
    <w:p w14:paraId="0DEAEA6C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 xml:space="preserve">Ford, J. D., Courtois, C. A., </w:t>
      </w:r>
      <w:proofErr w:type="spellStart"/>
      <w:r w:rsidRPr="00FE62C7">
        <w:rPr>
          <w:rFonts w:asciiTheme="majorHAnsi" w:hAnsiTheme="majorHAnsi" w:cstheme="majorHAnsi"/>
          <w:sz w:val="24"/>
          <w:szCs w:val="24"/>
        </w:rPr>
        <w:t>Cloitre</w:t>
      </w:r>
      <w:proofErr w:type="spellEnd"/>
      <w:r w:rsidRPr="00FE62C7">
        <w:rPr>
          <w:rFonts w:asciiTheme="majorHAnsi" w:hAnsiTheme="majorHAnsi" w:cstheme="majorHAnsi"/>
          <w:sz w:val="24"/>
          <w:szCs w:val="24"/>
        </w:rPr>
        <w:t>, M., &amp; Schnyder, U. (2012). Treating complex traumatic stress disorders in children and adolescents. Guilford Press.</w:t>
      </w:r>
    </w:p>
    <w:p w14:paraId="082FEFF4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  <w:lang w:val="de-DE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 xml:space="preserve">Herman, J. L. (1992). Trauma and recovery. </w:t>
      </w:r>
      <w:r w:rsidRPr="00FE62C7">
        <w:rPr>
          <w:rFonts w:asciiTheme="majorHAnsi" w:hAnsiTheme="majorHAnsi" w:cstheme="majorHAnsi"/>
          <w:sz w:val="24"/>
          <w:szCs w:val="24"/>
          <w:lang w:val="de-DE"/>
        </w:rPr>
        <w:t>Basic Books</w:t>
      </w:r>
    </w:p>
    <w:p w14:paraId="32151864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  <w:lang w:val="de-DE"/>
        </w:rPr>
        <w:t>•</w:t>
      </w:r>
      <w:r w:rsidRPr="00FE62C7">
        <w:rPr>
          <w:rFonts w:asciiTheme="majorHAnsi" w:hAnsiTheme="majorHAnsi" w:cstheme="majorHAnsi"/>
          <w:sz w:val="24"/>
          <w:szCs w:val="24"/>
          <w:lang w:val="de-DE"/>
        </w:rPr>
        <w:tab/>
        <w:t xml:space="preserve">Kessler, R. C., Berglund, P., </w:t>
      </w:r>
      <w:proofErr w:type="spellStart"/>
      <w:r w:rsidRPr="00FE62C7">
        <w:rPr>
          <w:rFonts w:asciiTheme="majorHAnsi" w:hAnsiTheme="majorHAnsi" w:cstheme="majorHAnsi"/>
          <w:sz w:val="24"/>
          <w:szCs w:val="24"/>
          <w:lang w:val="de-DE"/>
        </w:rPr>
        <w:t>Demler</w:t>
      </w:r>
      <w:proofErr w:type="spellEnd"/>
      <w:r w:rsidRPr="00FE62C7">
        <w:rPr>
          <w:rFonts w:asciiTheme="majorHAnsi" w:hAnsiTheme="majorHAnsi" w:cstheme="majorHAnsi"/>
          <w:sz w:val="24"/>
          <w:szCs w:val="24"/>
          <w:lang w:val="de-DE"/>
        </w:rPr>
        <w:t xml:space="preserve">, O., Jin, R., </w:t>
      </w:r>
      <w:proofErr w:type="spellStart"/>
      <w:r w:rsidRPr="00FE62C7">
        <w:rPr>
          <w:rFonts w:asciiTheme="majorHAnsi" w:hAnsiTheme="majorHAnsi" w:cstheme="majorHAnsi"/>
          <w:sz w:val="24"/>
          <w:szCs w:val="24"/>
          <w:lang w:val="de-DE"/>
        </w:rPr>
        <w:t>Merikangas</w:t>
      </w:r>
      <w:proofErr w:type="spellEnd"/>
      <w:r w:rsidRPr="00FE62C7">
        <w:rPr>
          <w:rFonts w:asciiTheme="majorHAnsi" w:hAnsiTheme="majorHAnsi" w:cstheme="majorHAnsi"/>
          <w:sz w:val="24"/>
          <w:szCs w:val="24"/>
          <w:lang w:val="de-DE"/>
        </w:rPr>
        <w:t xml:space="preserve">, K. R., &amp; Walters, E. E. (2005). </w:t>
      </w:r>
      <w:r w:rsidRPr="00FE62C7">
        <w:rPr>
          <w:rFonts w:asciiTheme="majorHAnsi" w:hAnsiTheme="majorHAnsi" w:cstheme="majorHAnsi"/>
          <w:sz w:val="24"/>
          <w:szCs w:val="24"/>
        </w:rPr>
        <w:t>Lifetime prevalence and age-of-onset distributions of DSM-IV disorders. Archives of General Psychiatry, 62(6), 593-602.</w:t>
      </w:r>
    </w:p>
    <w:p w14:paraId="6E55895F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</w:r>
      <w:proofErr w:type="spellStart"/>
      <w:r w:rsidRPr="00FE62C7">
        <w:rPr>
          <w:rFonts w:asciiTheme="majorHAnsi" w:hAnsiTheme="majorHAnsi" w:cstheme="majorHAnsi"/>
          <w:sz w:val="24"/>
          <w:szCs w:val="24"/>
        </w:rPr>
        <w:t>Khantzian</w:t>
      </w:r>
      <w:proofErr w:type="spellEnd"/>
      <w:r w:rsidRPr="00FE62C7">
        <w:rPr>
          <w:rFonts w:asciiTheme="majorHAnsi" w:hAnsiTheme="majorHAnsi" w:cstheme="majorHAnsi"/>
          <w:sz w:val="24"/>
          <w:szCs w:val="24"/>
        </w:rPr>
        <w:t>, E. J. (1997). The self-medication hypothesis of substance use disorders. American Journal of Psychiatry, 44(3), 231-236.</w:t>
      </w:r>
    </w:p>
    <w:p w14:paraId="6283E191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 xml:space="preserve">McCrory, E., De Brito, S. A., &amp; </w:t>
      </w:r>
      <w:proofErr w:type="spellStart"/>
      <w:r w:rsidRPr="00FE62C7">
        <w:rPr>
          <w:rFonts w:asciiTheme="majorHAnsi" w:hAnsiTheme="majorHAnsi" w:cstheme="majorHAnsi"/>
          <w:sz w:val="24"/>
          <w:szCs w:val="24"/>
        </w:rPr>
        <w:t>Viding</w:t>
      </w:r>
      <w:proofErr w:type="spellEnd"/>
      <w:r w:rsidRPr="00FE62C7">
        <w:rPr>
          <w:rFonts w:asciiTheme="majorHAnsi" w:hAnsiTheme="majorHAnsi" w:cstheme="majorHAnsi"/>
          <w:sz w:val="24"/>
          <w:szCs w:val="24"/>
        </w:rPr>
        <w:t xml:space="preserve">, E. (2011). The neurobiology of maltreatment. Neuroscience &amp; </w:t>
      </w:r>
      <w:proofErr w:type="spellStart"/>
      <w:r w:rsidRPr="00FE62C7">
        <w:rPr>
          <w:rFonts w:asciiTheme="majorHAnsi" w:hAnsiTheme="majorHAnsi" w:cstheme="majorHAnsi"/>
          <w:sz w:val="24"/>
          <w:szCs w:val="24"/>
        </w:rPr>
        <w:t>Biobehavioral</w:t>
      </w:r>
      <w:proofErr w:type="spellEnd"/>
      <w:r w:rsidRPr="00FE62C7">
        <w:rPr>
          <w:rFonts w:asciiTheme="majorHAnsi" w:hAnsiTheme="majorHAnsi" w:cstheme="majorHAnsi"/>
          <w:sz w:val="24"/>
          <w:szCs w:val="24"/>
        </w:rPr>
        <w:t xml:space="preserve"> Reviews, 35(7), 1266-1275.</w:t>
      </w:r>
    </w:p>
    <w:p w14:paraId="787172C8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>Perry, B. D., &amp; Szalavitz, M. (2017). The boy who was raised as a dog: And other stories from a child psychiatrist’s notebook. Basic Books.</w:t>
      </w:r>
    </w:p>
    <w:p w14:paraId="334D4D35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</w:r>
      <w:proofErr w:type="spellStart"/>
      <w:r w:rsidRPr="00FE62C7">
        <w:rPr>
          <w:rFonts w:asciiTheme="majorHAnsi" w:hAnsiTheme="majorHAnsi" w:cstheme="majorHAnsi"/>
          <w:sz w:val="24"/>
          <w:szCs w:val="24"/>
        </w:rPr>
        <w:t>Resick</w:t>
      </w:r>
      <w:proofErr w:type="spellEnd"/>
      <w:r w:rsidRPr="00FE62C7">
        <w:rPr>
          <w:rFonts w:asciiTheme="majorHAnsi" w:hAnsiTheme="majorHAnsi" w:cstheme="majorHAnsi"/>
          <w:sz w:val="24"/>
          <w:szCs w:val="24"/>
        </w:rPr>
        <w:t>, P. A., Monson, C. M., &amp; Chard, K. M. (2008). A randomized clinical trial of cognitive processing therapy. Journal of Consulting and Clinical Psychology, 76(2), 243-258.</w:t>
      </w:r>
    </w:p>
    <w:p w14:paraId="3797A91F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 xml:space="preserve">Shapiro, F. (2018). Eye movement desensitization and reprocessing (EMDR) therapy (3rd </w:t>
      </w:r>
      <w:proofErr w:type="spellStart"/>
      <w:r w:rsidRPr="00FE62C7">
        <w:rPr>
          <w:rFonts w:asciiTheme="majorHAnsi" w:hAnsiTheme="majorHAnsi" w:cstheme="majorHAnsi"/>
          <w:sz w:val="24"/>
          <w:szCs w:val="24"/>
        </w:rPr>
        <w:t>edn</w:t>
      </w:r>
      <w:proofErr w:type="spellEnd"/>
      <w:r w:rsidRPr="00FE62C7">
        <w:rPr>
          <w:rFonts w:asciiTheme="majorHAnsi" w:hAnsiTheme="majorHAnsi" w:cstheme="majorHAnsi"/>
          <w:sz w:val="24"/>
          <w:szCs w:val="24"/>
        </w:rPr>
        <w:t>.). Guilford Publications.</w:t>
      </w:r>
    </w:p>
    <w:p w14:paraId="503FCCF2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 xml:space="preserve">Shonkoff, J. P., Boyce, W. T., &amp; McEwen, B. S. (2012). The lifelong effects of early childhood adversity and toxic stress. </w:t>
      </w:r>
      <w:proofErr w:type="spellStart"/>
      <w:r w:rsidRPr="00FE62C7">
        <w:rPr>
          <w:rFonts w:asciiTheme="majorHAnsi" w:hAnsiTheme="majorHAnsi" w:cstheme="majorHAnsi"/>
          <w:sz w:val="24"/>
          <w:szCs w:val="24"/>
        </w:rPr>
        <w:t>Pediatrics</w:t>
      </w:r>
      <w:proofErr w:type="spellEnd"/>
      <w:r w:rsidRPr="00FE62C7">
        <w:rPr>
          <w:rFonts w:asciiTheme="majorHAnsi" w:hAnsiTheme="majorHAnsi" w:cstheme="majorHAnsi"/>
          <w:sz w:val="24"/>
          <w:szCs w:val="24"/>
        </w:rPr>
        <w:t>, 129(1), e232-e246.</w:t>
      </w:r>
    </w:p>
    <w:p w14:paraId="3AA65314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>Substance Abuse and Mental Health Services Administration (SAMHSA) (2014). SAMHSA’s concept of trauma and guidance for a trauma-informed approach. U.S. Department of Health and Human Services.</w:t>
      </w:r>
    </w:p>
    <w:p w14:paraId="19CE0713" w14:textId="77777777" w:rsidR="00FE62C7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lastRenderedPageBreak/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>Teicher, M. H., Samson, J. A., Anderson, C. M., &amp; Ohashi, K. (2016). The effects of childhood maltreatment on brain structure. American Journal of Psychiatry, 173(9), 946-959.</w:t>
      </w:r>
    </w:p>
    <w:p w14:paraId="37395385" w14:textId="0FF23175" w:rsidR="00D73D4A" w:rsidRPr="00FE62C7" w:rsidRDefault="00FE62C7" w:rsidP="00FE62C7">
      <w:pPr>
        <w:rPr>
          <w:rFonts w:asciiTheme="majorHAnsi" w:hAnsiTheme="majorHAnsi" w:cstheme="majorHAnsi"/>
          <w:sz w:val="24"/>
          <w:szCs w:val="24"/>
        </w:rPr>
      </w:pPr>
      <w:r w:rsidRPr="00FE62C7">
        <w:rPr>
          <w:rFonts w:asciiTheme="majorHAnsi" w:hAnsiTheme="majorHAnsi" w:cstheme="majorHAnsi"/>
          <w:sz w:val="24"/>
          <w:szCs w:val="24"/>
        </w:rPr>
        <w:t>•</w:t>
      </w:r>
      <w:r w:rsidRPr="00FE62C7">
        <w:rPr>
          <w:rFonts w:asciiTheme="majorHAnsi" w:hAnsiTheme="majorHAnsi" w:cstheme="majorHAnsi"/>
          <w:sz w:val="24"/>
          <w:szCs w:val="24"/>
        </w:rPr>
        <w:tab/>
        <w:t>Ungar, M. (2011). The social ecology of resilience: A handbook of theory and practice. Springer</w:t>
      </w:r>
    </w:p>
    <w:p w14:paraId="6CC13C8C" w14:textId="77777777" w:rsid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789B4D0B" w14:textId="77777777" w:rsidR="00D73D4A" w:rsidRPr="00D73D4A" w:rsidRDefault="00D73D4A">
      <w:pPr>
        <w:rPr>
          <w:rFonts w:asciiTheme="majorHAnsi" w:hAnsiTheme="majorHAnsi" w:cstheme="majorHAnsi"/>
          <w:b/>
          <w:bCs/>
          <w:sz w:val="36"/>
          <w:szCs w:val="36"/>
        </w:rPr>
      </w:pPr>
    </w:p>
    <w:sectPr w:rsidR="00D73D4A" w:rsidRPr="00D73D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3D4A"/>
    <w:rsid w:val="00352F70"/>
    <w:rsid w:val="0063521D"/>
    <w:rsid w:val="00B47604"/>
    <w:rsid w:val="00C1570E"/>
    <w:rsid w:val="00D73D4A"/>
    <w:rsid w:val="00FE6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3F29CB"/>
  <w15:chartTrackingRefBased/>
  <w15:docId w15:val="{B89BABF6-2E68-4C50-B31D-887754931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3D4A"/>
    <w:pPr>
      <w:suppressAutoHyphens/>
      <w:autoSpaceDN w:val="0"/>
      <w:spacing w:line="254" w:lineRule="auto"/>
    </w:pPr>
    <w:rPr>
      <w:rFonts w:ascii="Calibri" w:eastAsia="Calibri" w:hAnsi="Calibri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D73D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3D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3D4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3D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3D4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3D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3D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3D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3D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3D4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3D4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3D4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3D4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3D4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3D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3D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3D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3D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3D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3D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3D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3D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3D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3D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3D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3D4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3D4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3D4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3D4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443</Words>
  <Characters>2526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hart</dc:creator>
  <cp:keywords/>
  <dc:description/>
  <cp:lastModifiedBy>sophie hart</cp:lastModifiedBy>
  <cp:revision>1</cp:revision>
  <dcterms:created xsi:type="dcterms:W3CDTF">2025-12-09T22:41:00Z</dcterms:created>
  <dcterms:modified xsi:type="dcterms:W3CDTF">2025-12-09T23:06:00Z</dcterms:modified>
</cp:coreProperties>
</file>