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Autospacing="0" w:afterAutospacing="0"/>
        <w:ind w:left="-180" w:right="-334"/>
        <w:jc w:val="left"/>
        <w:rPr>
          <w:lang w:eastAsia="en-GB"/>
        </w:rPr>
      </w:pPr>
      <w:r>
        <w:rPr>
          <w:lang w:eastAsia="en-GB"/>
        </w:rPr>
        <w:drawing>
          <wp:inline distT="0" distB="0" distL="114300" distR="114300">
            <wp:extent cx="2058035" cy="856615"/>
            <wp:effectExtent l="0" t="0" r="18415" b="635"/>
            <wp:docPr id="5" name="图片 5"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blettm\AppData\Local\Microsoft\Windows\Temporary Internet Files\Content.Outlook\R41HOZLM\UWTSD Logo.jpg"/>
                    <pic:cNvPicPr>
                      <a:picLocks noChangeAspect="1"/>
                    </pic:cNvPicPr>
                  </pic:nvPicPr>
                  <pic:blipFill>
                    <a:blip r:embed="rId5"/>
                    <a:stretch>
                      <a:fillRect/>
                    </a:stretch>
                  </pic:blipFill>
                  <pic:spPr>
                    <a:xfrm>
                      <a:off x="0" y="0"/>
                      <a:ext cx="2058035" cy="856615"/>
                    </a:xfrm>
                    <a:prstGeom prst="rect">
                      <a:avLst/>
                    </a:prstGeom>
                    <a:noFill/>
                    <a:ln w="9525">
                      <a:noFill/>
                    </a:ln>
                  </pic:spPr>
                </pic:pic>
              </a:graphicData>
            </a:graphic>
          </wp:inline>
        </w:drawing>
      </w:r>
    </w:p>
    <w:p>
      <w:pPr>
        <w:pStyle w:val="5"/>
        <w:spacing w:beforeAutospacing="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pPr>
        <w:pStyle w:val="5"/>
        <w:spacing w:beforeAutospacing="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pPr>
        <w:rPr>
          <w:rFonts w:ascii="Arial" w:hAnsi="Arial" w:cs="Arial"/>
          <w:sz w:val="28"/>
          <w:szCs w:val="28"/>
          <w:lang w:val="cy-GB"/>
        </w:rPr>
      </w:pPr>
    </w:p>
    <w:p>
      <w:pPr>
        <w:pStyle w:val="2"/>
        <w:jc w:val="center"/>
        <w:rPr>
          <w:lang w:val="cy-GB"/>
        </w:rPr>
      </w:pPr>
      <w:r>
        <w:rPr>
          <w:lang w:val="cy-GB"/>
        </w:rPr>
        <w:t>THIS SHEET MUST BE THE FIRST PAGE OF THE ASSIGNMENT YOU ARE SUBMITTING  (DO NOT SEND AS A SEPARATE FILE)</w:t>
      </w:r>
    </w:p>
    <w:p>
      <w:pPr>
        <w:pStyle w:val="2"/>
        <w:jc w:val="center"/>
        <w:rPr>
          <w:rFonts w:ascii="Trebuchet MS" w:hAnsi="Trebuchet MS"/>
        </w:rPr>
      </w:pPr>
    </w:p>
    <w:tbl>
      <w:tblPr>
        <w:tblStyle w:val="7"/>
        <w:tblW w:w="88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88"/>
        <w:gridCol w:w="423"/>
        <w:gridCol w:w="1557"/>
        <w:gridCol w:w="286"/>
        <w:gridCol w:w="18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14" w:hRule="atLeast"/>
        </w:trPr>
        <w:tc>
          <w:tcPr>
            <w:tcW w:w="8856" w:type="dxa"/>
            <w:gridSpan w:val="5"/>
          </w:tcPr>
          <w:p>
            <w:pPr>
              <w:pStyle w:val="5"/>
              <w:spacing w:beforeAutospacing="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8" w:hRule="atLeast"/>
        </w:trPr>
        <w:tc>
          <w:tcPr>
            <w:tcW w:w="8856" w:type="dxa"/>
            <w:gridSpan w:val="5"/>
          </w:tcPr>
          <w:p>
            <w:pPr>
              <w:pStyle w:val="5"/>
              <w:spacing w:beforeAutospacing="0" w:afterAutospacing="0"/>
              <w:ind w:right="34"/>
              <w:rPr>
                <w:rFonts w:hint="eastAsia" w:ascii="Arial" w:hAnsi="Arial" w:cs="Arial" w:eastAsiaTheme="minorEastAsia"/>
                <w:sz w:val="22"/>
                <w:szCs w:val="22"/>
                <w:lang w:val="en-US" w:eastAsia="zh-CN"/>
              </w:rPr>
            </w:pPr>
            <w:r>
              <w:rPr>
                <w:rFonts w:ascii="Arial" w:hAnsi="Arial" w:cs="Arial"/>
                <w:sz w:val="22"/>
                <w:szCs w:val="22"/>
              </w:rPr>
              <w:t>Student Name:</w:t>
            </w:r>
            <w:r>
              <w:rPr>
                <w:rFonts w:hint="eastAsia" w:ascii="Arial" w:hAnsi="Arial" w:cs="Arial"/>
                <w:sz w:val="22"/>
                <w:szCs w:val="22"/>
                <w:lang w:val="en-US" w:eastAsia="zh-CN"/>
              </w:rPr>
              <w:t>Shuke Liu</w:t>
            </w:r>
          </w:p>
          <w:p>
            <w:pPr>
              <w:pStyle w:val="5"/>
              <w:spacing w:beforeAutospacing="0" w:afterAutospacing="0"/>
              <w:ind w:right="3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49" w:hRule="atLeast"/>
        </w:trPr>
        <w:tc>
          <w:tcPr>
            <w:tcW w:w="4788" w:type="dxa"/>
          </w:tcPr>
          <w:p>
            <w:pPr>
              <w:pStyle w:val="5"/>
              <w:spacing w:beforeAutospacing="0" w:afterAutospacing="0"/>
              <w:ind w:right="34"/>
              <w:rPr>
                <w:rFonts w:ascii="Arial" w:hAnsi="Arial" w:eastAsia="宋体" w:cs="Arial"/>
                <w:sz w:val="22"/>
                <w:szCs w:val="22"/>
              </w:rPr>
            </w:pPr>
            <w:r>
              <w:rPr>
                <w:rFonts w:ascii="Arial" w:hAnsi="Arial" w:cs="Arial"/>
                <w:sz w:val="22"/>
                <w:szCs w:val="22"/>
              </w:rPr>
              <w:t>Module code:</w:t>
            </w:r>
            <w:r>
              <w:rPr>
                <w:rFonts w:hint="eastAsia" w:ascii="Arial" w:hAnsi="Arial" w:cs="Arial"/>
                <w:sz w:val="22"/>
                <w:szCs w:val="22"/>
              </w:rPr>
              <w:t>SICH3003</w:t>
            </w:r>
          </w:p>
          <w:p>
            <w:pPr>
              <w:pStyle w:val="5"/>
              <w:spacing w:beforeAutospacing="0" w:afterAutospacing="0"/>
              <w:ind w:right="34"/>
              <w:rPr>
                <w:rFonts w:ascii="Arial" w:hAnsi="Arial" w:cs="Arial"/>
                <w:sz w:val="22"/>
                <w:szCs w:val="22"/>
              </w:rPr>
            </w:pPr>
          </w:p>
          <w:p>
            <w:pPr>
              <w:pStyle w:val="5"/>
              <w:spacing w:beforeAutospacing="0" w:afterAutospacing="0"/>
              <w:ind w:right="34"/>
              <w:rPr>
                <w:rFonts w:ascii="Arial" w:hAnsi="Arial" w:eastAsia="宋体" w:cs="Arial"/>
                <w:sz w:val="22"/>
                <w:szCs w:val="22"/>
              </w:rPr>
            </w:pPr>
            <w:r>
              <w:rPr>
                <w:rFonts w:ascii="Arial" w:hAnsi="Arial" w:cs="Arial"/>
                <w:sz w:val="22"/>
                <w:szCs w:val="22"/>
              </w:rPr>
              <w:t>Module title: Explaining and memorizing the classical Chinese text</w:t>
            </w:r>
          </w:p>
          <w:p>
            <w:pPr>
              <w:pStyle w:val="5"/>
              <w:spacing w:beforeAutospacing="0" w:afterAutospacing="0"/>
              <w:ind w:right="34"/>
              <w:rPr>
                <w:rFonts w:ascii="Arial" w:hAnsi="Arial" w:cs="Arial"/>
                <w:sz w:val="22"/>
                <w:szCs w:val="22"/>
              </w:rPr>
            </w:pPr>
          </w:p>
          <w:p>
            <w:pPr>
              <w:pStyle w:val="5"/>
              <w:spacing w:beforeAutospacing="0" w:afterAutospacing="0"/>
              <w:ind w:right="34"/>
              <w:rPr>
                <w:rFonts w:ascii="Arial" w:hAnsi="Arial" w:cs="Arial"/>
                <w:sz w:val="22"/>
                <w:szCs w:val="22"/>
              </w:rPr>
            </w:pPr>
          </w:p>
        </w:tc>
        <w:tc>
          <w:tcPr>
            <w:tcW w:w="2266" w:type="dxa"/>
            <w:gridSpan w:val="3"/>
          </w:tcPr>
          <w:p>
            <w:pPr>
              <w:pStyle w:val="5"/>
              <w:spacing w:beforeAutospacing="0" w:afterAutospacing="0"/>
              <w:ind w:right="34"/>
              <w:rPr>
                <w:rFonts w:ascii="Arial" w:hAnsi="Arial" w:cs="Arial"/>
                <w:sz w:val="22"/>
                <w:szCs w:val="22"/>
              </w:rPr>
            </w:pPr>
            <w:r>
              <w:rPr>
                <w:rFonts w:ascii="Arial" w:hAnsi="Arial" w:cs="Arial"/>
                <w:sz w:val="22"/>
                <w:szCs w:val="22"/>
              </w:rPr>
              <w:t>Student ID number:</w:t>
            </w:r>
          </w:p>
          <w:p>
            <w:pPr>
              <w:pStyle w:val="5"/>
              <w:spacing w:beforeAutospacing="0" w:afterAutospacing="0"/>
              <w:ind w:right="34"/>
              <w:rPr>
                <w:rFonts w:hint="eastAsia" w:ascii="Arial" w:hAnsi="Arial" w:cs="Arial" w:eastAsiaTheme="minorEastAsia"/>
                <w:sz w:val="22"/>
                <w:szCs w:val="22"/>
                <w:lang w:val="en-US" w:eastAsia="zh-CN"/>
              </w:rPr>
            </w:pPr>
            <w:r>
              <w:rPr>
                <w:rFonts w:hint="eastAsia" w:ascii="Arial" w:hAnsi="Arial" w:cs="Arial"/>
                <w:sz w:val="22"/>
                <w:szCs w:val="22"/>
              </w:rPr>
              <w:t>1804</w:t>
            </w:r>
            <w:r>
              <w:rPr>
                <w:rFonts w:hint="eastAsia" w:ascii="Arial" w:hAnsi="Arial" w:cs="Arial"/>
                <w:sz w:val="22"/>
                <w:szCs w:val="22"/>
                <w:lang w:val="en-US" w:eastAsia="zh-CN"/>
              </w:rPr>
              <w:t>818</w:t>
            </w:r>
          </w:p>
        </w:tc>
        <w:tc>
          <w:tcPr>
            <w:tcW w:w="1802" w:type="dxa"/>
          </w:tcPr>
          <w:p>
            <w:pPr>
              <w:pStyle w:val="5"/>
              <w:spacing w:beforeAutospacing="0" w:afterAutospacing="0"/>
              <w:ind w:right="34"/>
              <w:rPr>
                <w:rFonts w:ascii="Arial" w:hAnsi="Arial" w:cs="Arial"/>
                <w:sz w:val="22"/>
                <w:szCs w:val="22"/>
              </w:rPr>
            </w:pPr>
            <w:r>
              <w:rPr>
                <w:rFonts w:ascii="Arial" w:hAnsi="Arial" w:cs="Arial"/>
                <w:sz w:val="22"/>
                <w:szCs w:val="22"/>
              </w:rPr>
              <w:t>Educational support needs:</w:t>
            </w:r>
          </w:p>
          <w:p>
            <w:pPr>
              <w:pStyle w:val="5"/>
              <w:spacing w:beforeAutospacing="0" w:afterAutospacing="0"/>
              <w:ind w:right="34"/>
              <w:rPr>
                <w:rFonts w:ascii="Arial" w:hAnsi="Arial" w:cs="Arial"/>
                <w:sz w:val="22"/>
                <w:szCs w:val="22"/>
              </w:rPr>
            </w:pPr>
            <w:r>
              <w:rPr>
                <w:rFonts w:ascii="Arial" w:hAnsi="Arial" w:cs="Arial"/>
                <w:strike/>
                <w:sz w:val="22"/>
                <w:szCs w:val="22"/>
              </w:rPr>
              <w:t>Yes</w:t>
            </w:r>
            <w:r>
              <w:rPr>
                <w:rFonts w:ascii="Arial" w:hAnsi="Arial" w:cs="Arial"/>
                <w:sz w:val="22"/>
                <w:szCs w:val="22"/>
              </w:rPr>
              <w:t>/No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9" w:hRule="atLeast"/>
        </w:trPr>
        <w:tc>
          <w:tcPr>
            <w:tcW w:w="8856" w:type="dxa"/>
            <w:gridSpan w:val="5"/>
          </w:tcPr>
          <w:p>
            <w:pPr>
              <w:pStyle w:val="5"/>
              <w:spacing w:beforeAutospacing="0" w:afterAutospacing="0"/>
              <w:ind w:right="34"/>
              <w:rPr>
                <w:rFonts w:ascii="Arial" w:hAnsi="Arial" w:eastAsia="宋体" w:cs="Arial"/>
                <w:sz w:val="22"/>
                <w:szCs w:val="22"/>
              </w:rPr>
            </w:pPr>
            <w:r>
              <w:rPr>
                <w:rFonts w:ascii="Arial" w:hAnsi="Arial" w:cs="Arial"/>
                <w:sz w:val="22"/>
                <w:szCs w:val="22"/>
              </w:rPr>
              <w:t>Module tutor:</w:t>
            </w:r>
            <w:r>
              <w:rPr>
                <w:rFonts w:hint="eastAsia" w:ascii="Arial" w:hAnsi="Arial" w:cs="Arial"/>
                <w:sz w:val="22"/>
                <w:szCs w:val="22"/>
              </w:rPr>
              <w:t xml:space="preserve"> Professor Chia-Feng Hsieh </w:t>
            </w:r>
          </w:p>
          <w:p>
            <w:pPr>
              <w:pStyle w:val="5"/>
              <w:spacing w:beforeAutospacing="0" w:afterAutospacing="0"/>
              <w:ind w:right="34"/>
              <w:rPr>
                <w:rFonts w:ascii="Arial" w:hAnsi="Arial" w:cs="Arial"/>
                <w:sz w:val="22"/>
                <w:szCs w:val="22"/>
              </w:rPr>
            </w:pPr>
          </w:p>
          <w:p>
            <w:pPr>
              <w:pStyle w:val="5"/>
              <w:spacing w:beforeAutospacing="0" w:afterAutospacing="0"/>
              <w:ind w:right="34"/>
              <w:rPr>
                <w:rFonts w:ascii="Arial" w:hAnsi="Arial" w:cs="Arial"/>
                <w:sz w:val="22"/>
                <w:szCs w:val="22"/>
              </w:rPr>
            </w:pPr>
          </w:p>
          <w:p>
            <w:pPr>
              <w:pStyle w:val="5"/>
              <w:spacing w:beforeAutospacing="0" w:afterAutospacing="0"/>
              <w:ind w:right="34"/>
              <w:rPr>
                <w:rFonts w:ascii="Arial" w:hAnsi="Arial" w:eastAsia="宋体" w:cs="Arial"/>
                <w:sz w:val="22"/>
                <w:szCs w:val="22"/>
              </w:rPr>
            </w:pPr>
            <w:r>
              <w:rPr>
                <w:rFonts w:ascii="Arial" w:hAnsi="Arial" w:cs="Arial"/>
                <w:sz w:val="22"/>
                <w:szCs w:val="22"/>
              </w:rPr>
              <w:t>Assignment due date:11</w:t>
            </w:r>
            <w:r>
              <w:rPr>
                <w:rFonts w:hint="eastAsia" w:ascii="Arial" w:hAnsi="Arial" w:cs="Arial"/>
                <w:sz w:val="22"/>
                <w:szCs w:val="22"/>
              </w:rPr>
              <w:t>th January, 2019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78" w:hRule="atLeast"/>
        </w:trPr>
        <w:tc>
          <w:tcPr>
            <w:tcW w:w="8856" w:type="dxa"/>
            <w:gridSpan w:val="5"/>
            <w:tcBorders>
              <w:bottom w:val="single" w:color="000000" w:sz="4" w:space="0"/>
            </w:tcBorders>
          </w:tcPr>
          <w:p>
            <w:pPr>
              <w:rPr>
                <w:rFonts w:ascii="Arial" w:hAnsi="Arial" w:cs="Arial"/>
                <w:sz w:val="22"/>
                <w:szCs w:val="22"/>
              </w:rPr>
            </w:pPr>
            <w:r>
              <w:rPr>
                <w:rFonts w:ascii="Arial" w:hAnsi="Arial" w:cs="Arial"/>
                <w:sz w:val="22"/>
                <w:szCs w:val="22"/>
              </w:rPr>
              <w:t>If your module has multiple submissions please indicate which piece of work this is.</w:t>
            </w:r>
          </w:p>
          <w:p>
            <w:pPr>
              <w:rPr>
                <w:rFonts w:ascii="Arial" w:hAnsi="Arial" w:cs="Arial"/>
                <w:sz w:val="22"/>
                <w:szCs w:val="22"/>
              </w:rPr>
            </w:pPr>
          </w:p>
          <w:p>
            <w:pPr>
              <w:rPr>
                <w:rFonts w:ascii="Arial" w:hAnsi="Arial" w:cs="Arial"/>
                <w:sz w:val="22"/>
                <w:szCs w:val="22"/>
              </w:rPr>
            </w:pPr>
            <w:r>
              <w:rPr>
                <w:rFonts w:ascii="Arial" w:hAnsi="Arial" w:cs="Arial"/>
                <w:sz w:val="22"/>
                <w:szCs w:val="22"/>
              </w:rPr>
              <w:t>1</w:t>
            </w:r>
            <w:r>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0"/>
                    <w:checked w:val="0"/>
                  </w:checkBox>
                </w:ffData>
              </w:fldChar>
            </w:r>
            <w:bookmarkStart w:id="0" w:name="Check13"/>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0"/>
            <w:r>
              <w:rPr>
                <w:rFonts w:hint="eastAsia" w:ascii="Arial" w:hAnsi="Arial" w:cs="Arial"/>
                <w:sz w:val="22"/>
                <w:szCs w:val="22"/>
              </w:rPr>
              <w:t xml:space="preserve">   </w:t>
            </w:r>
            <w:r>
              <w:rPr>
                <w:rFonts w:ascii="Arial" w:hAnsi="Arial" w:cs="Arial"/>
                <w:sz w:val="22"/>
                <w:szCs w:val="22"/>
              </w:rPr>
              <w:t>2</w:t>
            </w:r>
            <w:r>
              <w:rPr>
                <w:rFonts w:ascii="Arial" w:hAnsi="Arial" w:cs="Arial"/>
                <w:sz w:val="22"/>
                <w:szCs w:val="22"/>
                <w:vertAlign w:val="superscript"/>
              </w:rPr>
              <w:t>nd</w:t>
            </w:r>
            <w:r>
              <w:rPr>
                <w:rFonts w:ascii="Arial" w:hAnsi="Arial" w:cs="Arial"/>
                <w:sz w:val="22"/>
                <w:szCs w:val="22"/>
              </w:rPr>
              <w:t xml:space="preserve">  </w:t>
            </w:r>
            <w:r>
              <w:rPr>
                <w:rFonts w:ascii="Arial" w:hAnsi="Arial" w:cs="Arial"/>
                <w:sz w:val="22"/>
                <w:szCs w:val="22"/>
              </w:rPr>
              <w:fldChar w:fldCharType="begin">
                <w:ffData>
                  <w:name w:val="Check14"/>
                  <w:enabled/>
                  <w:calcOnExit w:val="0"/>
                  <w:checkBox>
                    <w:sizeAuto/>
                    <w:default w:val="0"/>
                    <w:checked w:val="0"/>
                  </w:checkBox>
                </w:ffData>
              </w:fldChar>
            </w:r>
            <w:bookmarkStart w:id="1" w:name="Check14"/>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1"/>
            <w:r>
              <w:rPr>
                <w:rFonts w:ascii="Arial" w:hAnsi="Arial" w:cs="Arial"/>
                <w:sz w:val="22"/>
                <w:szCs w:val="22"/>
              </w:rPr>
              <w:t xml:space="preserve"> √    3</w:t>
            </w:r>
            <w:r>
              <w:rPr>
                <w:rFonts w:ascii="Arial" w:hAnsi="Arial" w:cs="Arial"/>
                <w:sz w:val="22"/>
                <w:szCs w:val="22"/>
                <w:vertAlign w:val="superscript"/>
              </w:rPr>
              <w:t>rd</w:t>
            </w:r>
            <w:r>
              <w:rPr>
                <w:rFonts w:ascii="Arial" w:hAnsi="Arial" w:cs="Arial"/>
                <w:sz w:val="22"/>
                <w:szCs w:val="22"/>
              </w:rPr>
              <w:t xml:space="preserve">  </w:t>
            </w:r>
            <w:r>
              <w:rPr>
                <w:rFonts w:ascii="Arial" w:hAnsi="Arial" w:cs="Arial"/>
                <w:sz w:val="22"/>
                <w:szCs w:val="22"/>
              </w:rPr>
              <w:fldChar w:fldCharType="begin">
                <w:ffData>
                  <w:name w:val="Check15"/>
                  <w:enabled/>
                  <w:calcOnExit w:val="0"/>
                  <w:checkBox>
                    <w:sizeAuto/>
                    <w:default w:val="0"/>
                    <w:checked w:val="0"/>
                  </w:checkBox>
                </w:ffData>
              </w:fldChar>
            </w:r>
            <w:bookmarkStart w:id="2" w:name="Check15"/>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2"/>
            <w:r>
              <w:rPr>
                <w:rFonts w:ascii="Arial" w:hAnsi="Arial" w:cs="Arial"/>
                <w:sz w:val="22"/>
                <w:szCs w:val="22"/>
              </w:rPr>
              <w:t xml:space="preserve">      4</w:t>
            </w:r>
            <w:r>
              <w:rPr>
                <w:rFonts w:ascii="Arial" w:hAnsi="Arial" w:cs="Arial"/>
                <w:sz w:val="22"/>
                <w:szCs w:val="22"/>
                <w:vertAlign w:val="superscript"/>
              </w:rPr>
              <w:t>th</w:t>
            </w:r>
            <w:r>
              <w:rPr>
                <w:rFonts w:ascii="Arial" w:hAnsi="Arial" w:cs="Arial"/>
                <w:sz w:val="22"/>
                <w:szCs w:val="22"/>
              </w:rPr>
              <w:t xml:space="preserve"> </w:t>
            </w:r>
            <w:r>
              <w:rPr>
                <w:rFonts w:ascii="Arial" w:hAnsi="Arial" w:cs="Arial"/>
                <w:sz w:val="22"/>
                <w:szCs w:val="22"/>
              </w:rPr>
              <w:fldChar w:fldCharType="begin">
                <w:ffData>
                  <w:name w:val="Check16"/>
                  <w:enabled/>
                  <w:calcOnExit w:val="0"/>
                  <w:checkBox>
                    <w:sizeAuto/>
                    <w:default w:val="0"/>
                    <w:checked w:val="0"/>
                  </w:checkBox>
                </w:ffData>
              </w:fldChar>
            </w:r>
            <w:bookmarkStart w:id="3" w:name="Check16"/>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3"/>
            <w:r>
              <w:rPr>
                <w:rFonts w:ascii="Arial" w:hAnsi="Arial" w:cs="Arial"/>
                <w:sz w:val="22"/>
                <w:szCs w:val="22"/>
              </w:rPr>
              <w:t xml:space="preserve">      5</w:t>
            </w:r>
            <w:r>
              <w:rPr>
                <w:rFonts w:ascii="Arial" w:hAnsi="Arial" w:cs="Arial"/>
                <w:sz w:val="22"/>
                <w:szCs w:val="22"/>
                <w:vertAlign w:val="superscript"/>
              </w:rPr>
              <w:t>th</w:t>
            </w:r>
            <w:r>
              <w:rPr>
                <w:rFonts w:ascii="Arial" w:hAnsi="Arial" w:cs="Arial"/>
                <w:sz w:val="22"/>
                <w:szCs w:val="22"/>
              </w:rPr>
              <w:t xml:space="preserve"> </w:t>
            </w:r>
            <w:r>
              <w:rPr>
                <w:rFonts w:ascii="Arial" w:hAnsi="Arial" w:cs="Arial"/>
                <w:sz w:val="22"/>
                <w:szCs w:val="22"/>
              </w:rPr>
              <w:fldChar w:fldCharType="begin">
                <w:ffData>
                  <w:name w:val="Check17"/>
                  <w:enabled/>
                  <w:calcOnExit w:val="0"/>
                  <w:checkBox>
                    <w:sizeAuto/>
                    <w:default w:val="0"/>
                    <w:checked w:val="0"/>
                  </w:checkBox>
                </w:ffData>
              </w:fldChar>
            </w:r>
            <w:bookmarkStart w:id="4" w:name="Check17"/>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4"/>
            <w:r>
              <w:rPr>
                <w:rFonts w:ascii="Arial" w:hAnsi="Arial" w:cs="Arial"/>
                <w:sz w:val="22"/>
                <w:szCs w:val="22"/>
              </w:rPr>
              <w:t xml:space="preserve">      6</w:t>
            </w:r>
            <w:r>
              <w:rPr>
                <w:rFonts w:ascii="Arial" w:hAnsi="Arial" w:cs="Arial"/>
                <w:sz w:val="22"/>
                <w:szCs w:val="22"/>
                <w:vertAlign w:val="superscript"/>
              </w:rPr>
              <w:t>th</w:t>
            </w:r>
            <w:r>
              <w:rPr>
                <w:rFonts w:ascii="Arial" w:hAnsi="Arial" w:cs="Arial"/>
                <w:sz w:val="22"/>
                <w:szCs w:val="22"/>
              </w:rPr>
              <w:t xml:space="preserve"> </w:t>
            </w:r>
            <w:r>
              <w:rPr>
                <w:rFonts w:ascii="Arial" w:hAnsi="Arial" w:cs="Arial"/>
                <w:sz w:val="22"/>
                <w:szCs w:val="22"/>
              </w:rPr>
              <w:fldChar w:fldCharType="begin">
                <w:ffData>
                  <w:name w:val="Check18"/>
                  <w:enabled/>
                  <w:calcOnExit w:val="0"/>
                  <w:checkBox>
                    <w:sizeAuto/>
                    <w:default w:val="0"/>
                    <w:checked w:val="0"/>
                  </w:checkBox>
                </w:ffData>
              </w:fldChar>
            </w:r>
            <w:bookmarkStart w:id="5" w:name="Check18"/>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78" w:hRule="atLeast"/>
        </w:trPr>
        <w:tc>
          <w:tcPr>
            <w:tcW w:w="8856" w:type="dxa"/>
            <w:gridSpan w:val="5"/>
            <w:shd w:val="clear" w:color="auto" w:fill="D9D9D9"/>
          </w:tcPr>
          <w:p>
            <w:pPr>
              <w:pStyle w:val="5"/>
              <w:spacing w:beforeAutospacing="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pPr>
              <w:pStyle w:val="5"/>
              <w:spacing w:beforeAutospacing="0" w:afterAutospacing="0"/>
              <w:ind w:right="34"/>
              <w:rPr>
                <w:rFonts w:ascii="Arial" w:hAnsi="Arial" w:cs="Arial"/>
                <w:sz w:val="22"/>
                <w:szCs w:val="22"/>
              </w:rPr>
            </w:pPr>
            <w:r>
              <w:rPr>
                <w:rFonts w:ascii="Arial" w:hAnsi="Arial" w:cs="Arial"/>
                <w:sz w:val="22"/>
                <w:szCs w:val="22"/>
              </w:rPr>
              <w:t xml:space="preserve">Signed </w:t>
            </w:r>
            <w:r>
              <w:rPr>
                <w:rFonts w:hint="eastAsia" w:ascii="Arial" w:hAnsi="Arial" w:cs="Arial"/>
                <w:sz w:val="22"/>
                <w:szCs w:val="22"/>
                <w:lang w:val="en-US" w:eastAsia="zh-CN"/>
              </w:rPr>
              <w:t>Shuke Liu</w:t>
            </w:r>
            <w:r>
              <w:rPr>
                <w:rFonts w:ascii="Arial" w:hAnsi="Arial" w:cs="Arial"/>
                <w:sz w:val="22"/>
                <w:szCs w:val="22"/>
              </w:rPr>
              <w:t>……………………………………………………………</w:t>
            </w:r>
          </w:p>
          <w:p>
            <w:pPr>
              <w:pStyle w:val="5"/>
              <w:spacing w:beforeAutospacing="0" w:afterAutospacing="0"/>
              <w:ind w:right="34"/>
              <w:rPr>
                <w:rFonts w:ascii="Calibri" w:hAnsi="Calibri" w:cs="Calibri"/>
                <w:b/>
                <w:sz w:val="44"/>
                <w:szCs w:val="44"/>
              </w:rPr>
            </w:pPr>
            <w:r>
              <w:rPr>
                <w:rFonts w:ascii="Calibri" w:hAnsi="Calibri" w:cs="Tahoma"/>
                <w:b/>
              </w:rPr>
              <w:t>Email submission: if you are submitting this form via email, please tick this box</w:t>
            </w:r>
            <w:r>
              <w:rPr>
                <w:rFonts w:ascii="Calibri" w:hAnsi="Calibri" w:cs="Tahoma"/>
                <w:b/>
                <w:sz w:val="36"/>
                <w:szCs w:val="36"/>
              </w:rPr>
              <w:sym w:font="Wingdings" w:char="00FE"/>
            </w:r>
          </w:p>
          <w:p>
            <w:pPr>
              <w:pStyle w:val="5"/>
              <w:spacing w:beforeAutospacing="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72" w:hRule="atLeast"/>
        </w:trPr>
        <w:tc>
          <w:tcPr>
            <w:tcW w:w="8856" w:type="dxa"/>
            <w:gridSpan w:val="5"/>
          </w:tcPr>
          <w:p>
            <w:pPr>
              <w:rPr>
                <w:rFonts w:ascii="Arial" w:hAnsi="Arial"/>
                <w:b/>
              </w:rPr>
            </w:pPr>
          </w:p>
          <w:p>
            <w:pPr>
              <w:rPr>
                <w:rFonts w:ascii="Arial" w:hAnsi="Arial"/>
              </w:rPr>
            </w:pPr>
            <w:r>
              <w:rPr>
                <w:rFonts w:ascii="Arial" w:hAnsi="Arial"/>
                <w:b/>
              </w:rPr>
              <w:t>Assignment Mark</w:t>
            </w:r>
          </w:p>
          <w:tbl>
            <w:tblPr>
              <w:tblStyle w:val="7"/>
              <w:tblW w:w="8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0"/>
              <w:gridCol w:w="1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70" w:type="dxa"/>
                </w:tcPr>
                <w:p>
                  <w:pPr>
                    <w:rPr>
                      <w:rFonts w:ascii="Arial" w:hAnsi="Arial"/>
                      <w:sz w:val="20"/>
                      <w:szCs w:val="20"/>
                    </w:rPr>
                  </w:pPr>
                </w:p>
                <w:p>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pPr>
                    <w:rPr>
                      <w:rFonts w:ascii="Arial" w:hAnsi="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70" w:type="dxa"/>
                </w:tcPr>
                <w:p>
                  <w:pPr>
                    <w:rPr>
                      <w:rFonts w:ascii="Arial" w:hAnsi="Arial"/>
                      <w:sz w:val="20"/>
                      <w:szCs w:val="20"/>
                    </w:rPr>
                  </w:pPr>
                </w:p>
                <w:p>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pPr>
                    <w:rPr>
                      <w:rFonts w:ascii="Arial" w:hAnsi="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70" w:type="dxa"/>
                </w:tcPr>
                <w:p>
                  <w:pPr>
                    <w:rPr>
                      <w:rFonts w:ascii="Arial" w:hAnsi="Arial"/>
                      <w:sz w:val="20"/>
                      <w:szCs w:val="20"/>
                    </w:rPr>
                  </w:pPr>
                  <w:r>
                    <w:rPr>
                      <w:rFonts w:ascii="Arial" w:hAnsi="Arial"/>
                      <w:sz w:val="20"/>
                      <w:szCs w:val="20"/>
                    </w:rPr>
                    <w:t xml:space="preserve">Agreed Internal Mark: </w:t>
                  </w:r>
                </w:p>
                <w:p>
                  <w:pPr>
                    <w:rPr>
                      <w:rFonts w:ascii="Arial" w:hAnsi="Arial"/>
                      <w:sz w:val="20"/>
                      <w:szCs w:val="20"/>
                      <w:highlight w:val="yellow"/>
                    </w:rPr>
                  </w:pPr>
                </w:p>
              </w:tc>
              <w:tc>
                <w:tcPr>
                  <w:tcW w:w="1660" w:type="dxa"/>
                </w:tcPr>
                <w:p>
                  <w:pPr>
                    <w:rPr>
                      <w:rFonts w:ascii="Arial" w:hAnsi="Arial"/>
                      <w:sz w:val="20"/>
                      <w:szCs w:val="20"/>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70" w:type="dxa"/>
                </w:tcPr>
                <w:p>
                  <w:pPr>
                    <w:rPr>
                      <w:rFonts w:ascii="Arial" w:hAnsi="Arial"/>
                      <w:sz w:val="20"/>
                      <w:szCs w:val="20"/>
                    </w:rPr>
                  </w:pPr>
                </w:p>
                <w:p>
                  <w:pPr>
                    <w:rPr>
                      <w:rFonts w:ascii="Arial" w:hAnsi="Arial"/>
                      <w:sz w:val="20"/>
                      <w:szCs w:val="20"/>
                    </w:rPr>
                  </w:pPr>
                  <w:r>
                    <w:rPr>
                      <w:rFonts w:ascii="Arial" w:hAnsi="Arial"/>
                      <w:sz w:val="20"/>
                      <w:szCs w:val="20"/>
                    </w:rPr>
                    <w:t>External Examiner’s mark (if relevant)</w:t>
                  </w:r>
                </w:p>
              </w:tc>
              <w:tc>
                <w:tcPr>
                  <w:tcW w:w="1660" w:type="dxa"/>
                </w:tcPr>
                <w:p>
                  <w:pPr>
                    <w:rPr>
                      <w:rFonts w:ascii="Arial" w:hAnsi="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70" w:type="dxa"/>
                </w:tcPr>
                <w:p>
                  <w:pPr>
                    <w:rPr>
                      <w:rFonts w:ascii="Arial" w:hAnsi="Arial"/>
                      <w:sz w:val="20"/>
                      <w:szCs w:val="20"/>
                    </w:rPr>
                  </w:pPr>
                </w:p>
                <w:p>
                  <w:pPr>
                    <w:rPr>
                      <w:rFonts w:ascii="Arial" w:hAnsi="Arial"/>
                      <w:b/>
                      <w:sz w:val="20"/>
                      <w:szCs w:val="20"/>
                    </w:rPr>
                  </w:pPr>
                  <w:r>
                    <w:rPr>
                      <w:rFonts w:ascii="Arial" w:hAnsi="Arial"/>
                      <w:b/>
                      <w:sz w:val="20"/>
                      <w:szCs w:val="20"/>
                    </w:rPr>
                    <w:t>Final Mark</w:t>
                  </w:r>
                </w:p>
                <w:p>
                  <w:pPr>
                    <w:rPr>
                      <w:rFonts w:ascii="Arial" w:hAnsi="Arial"/>
                      <w:sz w:val="20"/>
                      <w:szCs w:val="20"/>
                    </w:rPr>
                  </w:pPr>
                </w:p>
              </w:tc>
              <w:tc>
                <w:tcPr>
                  <w:tcW w:w="1660" w:type="dxa"/>
                </w:tcPr>
                <w:p>
                  <w:pPr>
                    <w:rPr>
                      <w:rFonts w:ascii="Arial" w:hAnsi="Arial"/>
                      <w:sz w:val="20"/>
                      <w:szCs w:val="20"/>
                    </w:rPr>
                  </w:pPr>
                </w:p>
              </w:tc>
            </w:tr>
          </w:tbl>
          <w:p>
            <w:pPr>
              <w:pStyle w:val="5"/>
              <w:spacing w:beforeAutospacing="0" w:afterAutospacing="0"/>
              <w:ind w:left="142" w:right="34"/>
              <w:rPr>
                <w:rFonts w:ascii="Arial" w:hAnsi="Arial" w:cs="Arial"/>
                <w:b/>
                <w:sz w:val="22"/>
                <w:szCs w:val="22"/>
              </w:rPr>
            </w:pPr>
          </w:p>
          <w:p>
            <w:pPr>
              <w:pStyle w:val="5"/>
              <w:spacing w:beforeAutospacing="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pPr>
              <w:pStyle w:val="5"/>
              <w:spacing w:beforeAutospacing="0" w:afterAutospacing="0"/>
              <w:rPr>
                <w:rFonts w:ascii="Arial" w:hAnsi="Arial" w:cs="Arial"/>
                <w:b/>
                <w:sz w:val="22"/>
                <w:szCs w:val="22"/>
              </w:rPr>
            </w:pPr>
          </w:p>
          <w:p>
            <w:pPr>
              <w:pStyle w:val="5"/>
              <w:spacing w:beforeAutospacing="0" w:afterAutospacing="0"/>
              <w:rPr>
                <w:rFonts w:ascii="Arial" w:hAnsi="Arial" w:cs="Arial"/>
                <w:b/>
                <w:sz w:val="22"/>
                <w:szCs w:val="22"/>
              </w:rPr>
            </w:pPr>
          </w:p>
          <w:p>
            <w:pPr>
              <w:pStyle w:val="5"/>
              <w:spacing w:beforeAutospacing="0" w:afterAutospacing="0"/>
              <w:rPr>
                <w:rFonts w:ascii="Arial" w:hAnsi="Arial" w:cs="Arial"/>
                <w:b/>
                <w:sz w:val="22"/>
                <w:szCs w:val="22"/>
              </w:rPr>
            </w:pPr>
          </w:p>
          <w:p>
            <w:pPr>
              <w:pStyle w:val="5"/>
              <w:spacing w:beforeAutospacing="0" w:afterAutospacing="0"/>
              <w:rPr>
                <w:rFonts w:ascii="Arial" w:hAnsi="Arial" w:cs="Arial"/>
                <w:b/>
                <w:sz w:val="22"/>
                <w:szCs w:val="22"/>
              </w:rPr>
            </w:pPr>
          </w:p>
          <w:p>
            <w:pPr>
              <w:pStyle w:val="5"/>
              <w:spacing w:beforeAutospacing="0" w:afterAutospacing="0"/>
              <w:rPr>
                <w:rFonts w:ascii="Arial" w:hAnsi="Arial" w:cs="Arial"/>
                <w:b/>
                <w:sz w:val="22"/>
                <w:szCs w:val="22"/>
              </w:rPr>
            </w:pPr>
            <w:r>
              <w:rPr>
                <w:rFonts w:ascii="Arial" w:hAnsi="Arial" w:cs="Arial"/>
                <w:b/>
                <w:sz w:val="22"/>
                <w:szCs w:val="22"/>
              </w:rPr>
              <w:t>For completion by Marker 1 :</w:t>
            </w:r>
          </w:p>
          <w:p>
            <w:pPr>
              <w:pStyle w:val="5"/>
              <w:rPr>
                <w:rFonts w:ascii="Arial" w:hAnsi="Arial" w:cs="Arial"/>
                <w:sz w:val="22"/>
                <w:szCs w:val="22"/>
              </w:rPr>
            </w:pPr>
            <w:r>
              <w:rPr>
                <w:rFonts w:ascii="Arial" w:hAnsi="Arial" w:cs="Arial"/>
                <w:sz w:val="22"/>
                <w:szCs w:val="22"/>
              </w:rPr>
              <w:t>Comments:</w:t>
            </w:r>
          </w:p>
          <w:p>
            <w:pPr>
              <w:pStyle w:val="5"/>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92" w:hRule="atLeast"/>
        </w:trPr>
        <w:tc>
          <w:tcPr>
            <w:tcW w:w="6768" w:type="dxa"/>
            <w:gridSpan w:val="3"/>
          </w:tcPr>
          <w:p>
            <w:pPr>
              <w:pStyle w:val="5"/>
              <w:ind w:left="142" w:right="34"/>
              <w:rPr>
                <w:rFonts w:ascii="Arial" w:hAnsi="Arial" w:cs="Arial"/>
                <w:sz w:val="22"/>
                <w:szCs w:val="22"/>
              </w:rPr>
            </w:pPr>
            <w:r>
              <w:rPr>
                <w:rFonts w:ascii="Arial" w:hAnsi="Arial" w:cs="Arial"/>
                <w:sz w:val="22"/>
                <w:szCs w:val="22"/>
              </w:rPr>
              <w:t>Marker’s signature:</w:t>
            </w:r>
          </w:p>
        </w:tc>
        <w:tc>
          <w:tcPr>
            <w:tcW w:w="2088" w:type="dxa"/>
            <w:gridSpan w:val="2"/>
          </w:tcPr>
          <w:p>
            <w:pPr>
              <w:pStyle w:val="5"/>
              <w:ind w:left="142" w:right="34"/>
              <w:rPr>
                <w:rFonts w:ascii="Arial" w:hAnsi="Arial" w:cs="Arial"/>
                <w:sz w:val="22"/>
                <w:szCs w:val="22"/>
              </w:rPr>
            </w:pPr>
            <w:r>
              <w:rPr>
                <w:rFonts w:ascii="Arial" w:hAnsi="Arial" w:cs="Arial"/>
                <w:sz w:val="22"/>
                <w:szCs w:val="22"/>
              </w:rPr>
              <w:t>Date: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856" w:type="dxa"/>
            <w:gridSpan w:val="5"/>
          </w:tcPr>
          <w:p>
            <w:pPr>
              <w:pStyle w:val="5"/>
              <w:spacing w:beforeAutospacing="0" w:afterAutospacing="0"/>
              <w:ind w:right="-334"/>
              <w:rPr>
                <w:rFonts w:ascii="Arial" w:hAnsi="Arial" w:cs="Arial"/>
                <w:bCs/>
                <w:i/>
                <w:sz w:val="22"/>
                <w:szCs w:val="22"/>
              </w:rPr>
            </w:pPr>
          </w:p>
          <w:p>
            <w:pPr>
              <w:pStyle w:val="5"/>
              <w:spacing w:beforeAutospacing="0" w:afterAutospacing="0"/>
              <w:ind w:right="-334"/>
              <w:rPr>
                <w:rFonts w:ascii="Arial" w:hAnsi="Arial" w:cs="Arial"/>
                <w:b/>
                <w:bCs/>
                <w:sz w:val="22"/>
                <w:szCs w:val="22"/>
              </w:rPr>
            </w:pPr>
            <w:r>
              <w:rPr>
                <w:rFonts w:ascii="Arial" w:hAnsi="Arial" w:cs="Arial"/>
                <w:b/>
                <w:bCs/>
                <w:sz w:val="22"/>
                <w:szCs w:val="22"/>
              </w:rPr>
              <w:t>For completion by Marker 2/Moderator:</w:t>
            </w:r>
          </w:p>
          <w:p>
            <w:pPr>
              <w:pStyle w:val="5"/>
              <w:spacing w:beforeAutospacing="0" w:afterAutospacing="0"/>
              <w:ind w:right="-334"/>
              <w:rPr>
                <w:rFonts w:ascii="Arial" w:hAnsi="Arial" w:cs="Arial"/>
                <w:b/>
                <w:bCs/>
                <w:sz w:val="22"/>
                <w:szCs w:val="22"/>
              </w:rPr>
            </w:pPr>
          </w:p>
          <w:p>
            <w:pPr>
              <w:pStyle w:val="5"/>
              <w:spacing w:beforeAutospacing="0" w:afterAutospacing="0"/>
              <w:ind w:right="-334"/>
              <w:rPr>
                <w:rFonts w:ascii="Arial" w:hAnsi="Arial" w:cs="Arial"/>
                <w:bCs/>
                <w:sz w:val="22"/>
                <w:szCs w:val="22"/>
              </w:rPr>
            </w:pPr>
            <w:r>
              <w:rPr>
                <w:rFonts w:ascii="Arial" w:hAnsi="Arial" w:cs="Arial"/>
                <w:bCs/>
                <w:sz w:val="22"/>
                <w:szCs w:val="22"/>
              </w:rPr>
              <w:t>Comments:</w:t>
            </w:r>
          </w:p>
          <w:p>
            <w:pPr>
              <w:pStyle w:val="5"/>
              <w:spacing w:beforeAutospacing="0" w:afterAutospacing="0"/>
              <w:ind w:right="-334"/>
              <w:rPr>
                <w:rFonts w:ascii="Arial" w:hAnsi="Arial" w:cs="Arial"/>
                <w:bCs/>
                <w:sz w:val="22"/>
                <w:szCs w:val="22"/>
              </w:rPr>
            </w:pPr>
          </w:p>
          <w:p>
            <w:pPr>
              <w:pStyle w:val="5"/>
              <w:spacing w:beforeAutospacing="0" w:afterAutospacing="0"/>
              <w:ind w:right="-334"/>
              <w:rPr>
                <w:rFonts w:ascii="Arial" w:hAnsi="Arial" w:cs="Arial"/>
                <w:bCs/>
                <w:sz w:val="22"/>
                <w:szCs w:val="22"/>
              </w:rPr>
            </w:pPr>
          </w:p>
          <w:p>
            <w:pPr>
              <w:pStyle w:val="5"/>
              <w:spacing w:beforeAutospacing="0" w:afterAutospacing="0"/>
              <w:ind w:right="-334"/>
              <w:rPr>
                <w:rFonts w:ascii="Arial" w:hAnsi="Arial" w:cs="Arial"/>
                <w:bCs/>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20" w:hRule="atLeast"/>
        </w:trPr>
        <w:tc>
          <w:tcPr>
            <w:tcW w:w="5211" w:type="dxa"/>
            <w:gridSpan w:val="2"/>
          </w:tcPr>
          <w:p>
            <w:pPr>
              <w:pStyle w:val="5"/>
              <w:spacing w:beforeAutospacing="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3"/>
          </w:tcPr>
          <w:p>
            <w:pPr>
              <w:pStyle w:val="5"/>
              <w:spacing w:beforeAutospacing="0" w:afterAutospacing="0"/>
              <w:ind w:right="-334"/>
              <w:rPr>
                <w:rFonts w:ascii="Arial" w:hAnsi="Arial" w:cs="Arial"/>
                <w:bCs/>
                <w:sz w:val="22"/>
                <w:szCs w:val="22"/>
              </w:rPr>
            </w:pPr>
            <w:r>
              <w:rPr>
                <w:rFonts w:ascii="Arial" w:hAnsi="Arial" w:cs="Arial"/>
                <w:bCs/>
                <w:sz w:val="22"/>
                <w:szCs w:val="22"/>
              </w:rPr>
              <w:t>Date: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20" w:hRule="atLeast"/>
        </w:trPr>
        <w:tc>
          <w:tcPr>
            <w:tcW w:w="8856" w:type="dxa"/>
            <w:gridSpan w:val="5"/>
          </w:tcPr>
          <w:p>
            <w:pPr>
              <w:rPr>
                <w:rFonts w:ascii="Arial" w:hAnsi="Arial" w:cs="Arial"/>
                <w:b/>
                <w:sz w:val="22"/>
                <w:szCs w:val="22"/>
              </w:rPr>
            </w:pPr>
            <w:r>
              <w:rPr>
                <w:rFonts w:ascii="Arial" w:hAnsi="Arial" w:cs="Arial"/>
                <w:b/>
                <w:sz w:val="22"/>
                <w:szCs w:val="22"/>
              </w:rPr>
              <w:t>AGREED INTERNAL MARK (where necessary):</w:t>
            </w:r>
          </w:p>
          <w:p>
            <w:pPr>
              <w:rPr>
                <w:rFonts w:ascii="Arial" w:hAnsi="Arial" w:cs="Arial"/>
                <w:b/>
                <w:sz w:val="22"/>
                <w:szCs w:val="22"/>
              </w:rPr>
            </w:pPr>
          </w:p>
          <w:p>
            <w:pPr>
              <w:rPr>
                <w:rFonts w:ascii="Arial" w:hAnsi="Arial" w:cs="Arial"/>
                <w:b/>
                <w:sz w:val="22"/>
                <w:szCs w:val="22"/>
              </w:rPr>
            </w:pPr>
            <w:r>
              <w:rPr>
                <w:rFonts w:ascii="Arial" w:hAnsi="Arial" w:cs="Arial"/>
                <w:b/>
                <w:sz w:val="22"/>
                <w:szCs w:val="22"/>
              </w:rPr>
              <w:t>Comment on process on arriving at agreed mark:</w:t>
            </w:r>
          </w:p>
          <w:p>
            <w:pPr>
              <w:rPr>
                <w:rFonts w:ascii="Arial" w:hAnsi="Arial" w:cs="Arial"/>
                <w:b/>
                <w:sz w:val="22"/>
                <w:szCs w:val="22"/>
              </w:rPr>
            </w:pPr>
          </w:p>
          <w:p>
            <w:pPr>
              <w:rPr>
                <w:rFonts w:ascii="Arial" w:hAnsi="Arial" w:cs="Arial"/>
                <w:b/>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20" w:hRule="atLeast"/>
        </w:trPr>
        <w:tc>
          <w:tcPr>
            <w:tcW w:w="8856" w:type="dxa"/>
            <w:gridSpan w:val="5"/>
          </w:tcPr>
          <w:p>
            <w:pPr>
              <w:rPr>
                <w:rFonts w:ascii="Arial" w:hAnsi="Arial" w:cs="Arial"/>
                <w:b/>
                <w:sz w:val="22"/>
                <w:szCs w:val="22"/>
              </w:rPr>
            </w:pPr>
            <w:r>
              <w:rPr>
                <w:rFonts w:ascii="Arial" w:hAnsi="Arial" w:cs="Arial"/>
                <w:b/>
                <w:sz w:val="22"/>
                <w:szCs w:val="22"/>
              </w:rPr>
              <w:t>External Examiner’s comments (if relevant)</w:t>
            </w:r>
          </w:p>
          <w:p>
            <w:pPr>
              <w:pStyle w:val="5"/>
              <w:spacing w:beforeAutospacing="0" w:afterAutospacing="0"/>
              <w:ind w:right="-334"/>
              <w:rPr>
                <w:rFonts w:ascii="Arial" w:hAnsi="Arial" w:cs="Arial"/>
                <w:bCs/>
                <w:sz w:val="22"/>
                <w:szCs w:val="22"/>
              </w:rPr>
            </w:pPr>
          </w:p>
          <w:p>
            <w:pPr>
              <w:pStyle w:val="5"/>
              <w:spacing w:beforeAutospacing="0" w:afterAutospacing="0"/>
              <w:ind w:right="-334"/>
              <w:rPr>
                <w:rFonts w:ascii="Arial" w:hAnsi="Arial" w:cs="Arial"/>
                <w:bCs/>
                <w:sz w:val="22"/>
                <w:szCs w:val="22"/>
              </w:rPr>
            </w:pPr>
          </w:p>
          <w:p>
            <w:pPr>
              <w:pStyle w:val="5"/>
              <w:spacing w:beforeAutospacing="0" w:afterAutospacing="0"/>
              <w:ind w:right="-334"/>
              <w:rPr>
                <w:rFonts w:ascii="Arial" w:hAnsi="Arial" w:cs="Arial"/>
                <w:bCs/>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20" w:hRule="atLeast"/>
        </w:trPr>
        <w:tc>
          <w:tcPr>
            <w:tcW w:w="5211" w:type="dxa"/>
            <w:gridSpan w:val="2"/>
          </w:tcPr>
          <w:p>
            <w:pPr>
              <w:rPr>
                <w:rFonts w:ascii="Arial" w:hAnsi="Arial" w:cs="Arial"/>
                <w:sz w:val="22"/>
                <w:szCs w:val="22"/>
              </w:rPr>
            </w:pPr>
            <w:r>
              <w:rPr>
                <w:rFonts w:ascii="Arial" w:hAnsi="Arial" w:cs="Arial"/>
                <w:sz w:val="22"/>
                <w:szCs w:val="22"/>
              </w:rPr>
              <w:t>External Examiner’s Signature:</w:t>
            </w:r>
          </w:p>
        </w:tc>
        <w:tc>
          <w:tcPr>
            <w:tcW w:w="3645" w:type="dxa"/>
            <w:gridSpan w:val="3"/>
          </w:tcPr>
          <w:p>
            <w:pPr>
              <w:rPr>
                <w:rFonts w:ascii="Arial" w:hAnsi="Arial" w:cs="Arial"/>
                <w:sz w:val="22"/>
                <w:szCs w:val="22"/>
              </w:rPr>
            </w:pPr>
            <w:r>
              <w:rPr>
                <w:rFonts w:ascii="Arial" w:hAnsi="Arial" w:cs="Arial"/>
                <w:sz w:val="22"/>
                <w:szCs w:val="22"/>
              </w:rPr>
              <w:t>Date:</w:t>
            </w:r>
          </w:p>
        </w:tc>
      </w:tr>
    </w:tbl>
    <w:p>
      <w:pPr>
        <w:jc w:val="center"/>
        <w:rPr>
          <w:rFonts w:ascii="DFKai-SB" w:hAnsi="DFKai-SB" w:eastAsia="DFKai-SB" w:cs="DFKai-SB"/>
          <w:sz w:val="36"/>
          <w:szCs w:val="36"/>
        </w:rPr>
      </w:pPr>
    </w:p>
    <w:p>
      <w:pPr>
        <w:jc w:val="center"/>
        <w:rPr>
          <w:rFonts w:ascii="DFKai-SB" w:hAnsi="DFKai-SB" w:eastAsia="DFKai-SB" w:cs="DFKai-SB"/>
          <w:sz w:val="36"/>
          <w:szCs w:val="36"/>
        </w:rPr>
      </w:pPr>
    </w:p>
    <w:p>
      <w:pPr>
        <w:jc w:val="center"/>
        <w:rPr>
          <w:rFonts w:ascii="DFKai-SB" w:hAnsi="DFKai-SB" w:eastAsia="DFKai-SB" w:cs="DFKai-SB"/>
          <w:sz w:val="36"/>
          <w:szCs w:val="36"/>
        </w:rPr>
      </w:pPr>
    </w:p>
    <w:p>
      <w:pPr>
        <w:jc w:val="center"/>
        <w:rPr>
          <w:rFonts w:ascii="DFKai-SB" w:hAnsi="DFKai-SB" w:eastAsia="DFKai-SB" w:cs="DFKai-SB"/>
          <w:sz w:val="36"/>
          <w:szCs w:val="36"/>
        </w:rPr>
      </w:pPr>
    </w:p>
    <w:p/>
    <w:p/>
    <w:p/>
    <w:p/>
    <w:p/>
    <w:p/>
    <w:p/>
    <w:p/>
    <w:p/>
    <w:p/>
    <w:p/>
    <w:p/>
    <w:p/>
    <w:p/>
    <w:p/>
    <w:p/>
    <w:p/>
    <w:p/>
    <w:p/>
    <w:p/>
    <w:p/>
    <w:p/>
    <w:p/>
    <w:p/>
    <w:p/>
    <w:p/>
    <w:p/>
    <w:p/>
    <w:p/>
    <w:p/>
    <w:p/>
    <w:p/>
    <w:p/>
    <w:p/>
    <w:p>
      <w:pPr>
        <w:spacing w:line="360" w:lineRule="auto"/>
      </w:pPr>
    </w:p>
    <w:p>
      <w:pPr>
        <w:spacing w:line="360" w:lineRule="auto"/>
        <w:jc w:val="center"/>
        <w:rPr>
          <w:rFonts w:hint="eastAsia" w:ascii="DFKai-SB" w:hAnsi="DFKai-SB" w:eastAsia="DFKai-SB" w:cs="DFKai-SB"/>
          <w:sz w:val="36"/>
          <w:szCs w:val="36"/>
          <w:lang w:eastAsia="zh-TW"/>
        </w:rPr>
      </w:pPr>
      <w:r>
        <w:rPr>
          <w:rFonts w:hint="eastAsia" w:ascii="DFKai-SB" w:hAnsi="DFKai-SB" w:eastAsia="DFKai-SB" w:cs="DFKai-SB"/>
          <w:sz w:val="36"/>
          <w:szCs w:val="36"/>
          <w:lang w:eastAsia="zh-TW"/>
        </w:rPr>
        <w:t>背誦內容</w:t>
      </w:r>
    </w:p>
    <w:p>
      <w:pPr>
        <w:spacing w:line="360" w:lineRule="auto"/>
        <w:jc w:val="center"/>
        <w:rPr>
          <w:rFonts w:hint="eastAsia" w:ascii="DFKai-SB" w:hAnsi="DFKai-SB" w:eastAsia="DFKai-SB" w:cs="DFKai-SB"/>
          <w:sz w:val="36"/>
          <w:szCs w:val="36"/>
          <w:lang w:eastAsia="zh-TW"/>
        </w:rPr>
      </w:pPr>
    </w:p>
    <w:p>
      <w:pPr>
        <w:spacing w:line="360" w:lineRule="auto"/>
        <w:rPr>
          <w:rFonts w:hint="eastAsia" w:ascii="PMingLiU" w:hAnsi="PMingLiU" w:eastAsia="PMingLiU" w:cs="PMingLiU"/>
          <w:b w:val="0"/>
          <w:bCs w:val="0"/>
          <w:sz w:val="28"/>
          <w:szCs w:val="28"/>
          <w:lang w:val="en-US" w:eastAsia="zh-CN"/>
        </w:rPr>
      </w:pPr>
      <w:r>
        <w:rPr>
          <w:rFonts w:hint="eastAsia" w:ascii="PMingLiU" w:hAnsi="PMingLiU" w:eastAsia="PMingLiU" w:cs="PMingLiU"/>
          <w:b w:val="0"/>
          <w:bCs w:val="0"/>
          <w:sz w:val="28"/>
          <w:szCs w:val="28"/>
          <w:lang w:val="en-US" w:eastAsia="zh-CN"/>
        </w:rPr>
        <w:t>注：</w:t>
      </w:r>
    </w:p>
    <w:p>
      <w:pPr>
        <w:spacing w:line="360" w:lineRule="auto"/>
        <w:rPr>
          <w:rFonts w:hint="eastAsia" w:ascii="PMingLiU" w:hAnsi="PMingLiU" w:eastAsia="PMingLiU" w:cs="PMingLiU"/>
          <w:b w:val="0"/>
          <w:bCs w:val="0"/>
          <w:sz w:val="28"/>
          <w:szCs w:val="28"/>
          <w:highlight w:val="red"/>
          <w:lang w:val="en-US" w:eastAsia="zh-CN"/>
        </w:rPr>
      </w:pPr>
      <w:r>
        <w:rPr>
          <w:rFonts w:hint="eastAsia" w:ascii="PMingLiU" w:hAnsi="PMingLiU" w:eastAsia="PMingLiU" w:cs="PMingLiU"/>
          <w:b w:val="0"/>
          <w:bCs w:val="0"/>
          <w:sz w:val="28"/>
          <w:szCs w:val="28"/>
          <w:highlight w:val="red"/>
          <w:lang w:val="en-US" w:eastAsia="zh-CN"/>
        </w:rPr>
        <w:t>紅色：背錯</w:t>
      </w:r>
    </w:p>
    <w:p>
      <w:pPr>
        <w:spacing w:line="360" w:lineRule="auto"/>
        <w:rPr>
          <w:rFonts w:hint="eastAsia" w:ascii="PMingLiU" w:hAnsi="PMingLiU" w:eastAsia="PMingLiU" w:cs="PMingLiU"/>
          <w:b w:val="0"/>
          <w:bCs w:val="0"/>
          <w:sz w:val="28"/>
          <w:szCs w:val="28"/>
          <w:highlight w:val="green"/>
          <w:lang w:val="en-US" w:eastAsia="zh-CN"/>
        </w:rPr>
      </w:pPr>
      <w:r>
        <w:rPr>
          <w:rFonts w:hint="eastAsia" w:ascii="PMingLiU" w:hAnsi="PMingLiU" w:eastAsia="PMingLiU" w:cs="PMingLiU"/>
          <w:b w:val="0"/>
          <w:bCs w:val="0"/>
          <w:sz w:val="28"/>
          <w:szCs w:val="28"/>
          <w:highlight w:val="green"/>
          <w:lang w:val="en-US" w:eastAsia="zh-CN"/>
        </w:rPr>
        <w:t>綠色：背漏</w:t>
      </w:r>
    </w:p>
    <w:p>
      <w:pPr>
        <w:spacing w:line="360" w:lineRule="auto"/>
        <w:jc w:val="left"/>
        <w:rPr>
          <w:rFonts w:hint="eastAsia" w:ascii="PMingLiU" w:hAnsi="PMingLiU" w:eastAsia="PMingLiU" w:cs="PMingLiU"/>
          <w:b w:val="0"/>
          <w:bCs w:val="0"/>
          <w:sz w:val="28"/>
          <w:szCs w:val="28"/>
          <w:highlight w:val="yellow"/>
          <w:lang w:val="en-US" w:eastAsia="zh-CN"/>
        </w:rPr>
      </w:pPr>
      <w:r>
        <w:rPr>
          <w:rFonts w:hint="eastAsia" w:ascii="PMingLiU" w:hAnsi="PMingLiU" w:eastAsia="PMingLiU" w:cs="PMingLiU"/>
          <w:b w:val="0"/>
          <w:bCs w:val="0"/>
          <w:sz w:val="28"/>
          <w:szCs w:val="28"/>
          <w:highlight w:val="yellow"/>
          <w:lang w:val="en-US" w:eastAsia="zh-CN"/>
        </w:rPr>
        <w:t>黃色：卡頓</w:t>
      </w:r>
    </w:p>
    <w:p>
      <w:pPr>
        <w:spacing w:line="360" w:lineRule="auto"/>
        <w:jc w:val="left"/>
        <w:rPr>
          <w:rFonts w:hint="eastAsia" w:ascii="PMingLiU" w:hAnsi="PMingLiU" w:eastAsia="PMingLiU" w:cs="PMingLiU"/>
          <w:b w:val="0"/>
          <w:bCs w:val="0"/>
          <w:sz w:val="28"/>
          <w:szCs w:val="28"/>
          <w:highlight w:val="magenta"/>
          <w:lang w:val="en-US" w:eastAsia="zh-CN"/>
        </w:rPr>
      </w:pPr>
      <w:r>
        <w:rPr>
          <w:rFonts w:hint="eastAsia" w:ascii="PMingLiU" w:hAnsi="PMingLiU" w:eastAsia="PMingLiU" w:cs="PMingLiU"/>
          <w:b w:val="0"/>
          <w:bCs w:val="0"/>
          <w:sz w:val="28"/>
          <w:szCs w:val="28"/>
          <w:highlight w:val="magenta"/>
          <w:lang w:val="en-US" w:eastAsia="zh-CN"/>
        </w:rPr>
        <w:t>紫色：漏了未改正</w:t>
      </w:r>
    </w:p>
    <w:p>
      <w:pPr>
        <w:spacing w:line="360" w:lineRule="auto"/>
        <w:jc w:val="left"/>
        <w:rPr>
          <w:rFonts w:hint="eastAsia" w:ascii="PMingLiU" w:hAnsi="PMingLiU" w:eastAsia="PMingLiU" w:cs="PMingLiU"/>
          <w:b w:val="0"/>
          <w:bCs w:val="0"/>
          <w:sz w:val="28"/>
          <w:szCs w:val="28"/>
          <w:highlight w:val="magenta"/>
          <w:lang w:val="en-US" w:eastAsia="zh-TW"/>
        </w:rPr>
      </w:pPr>
    </w:p>
    <w:p>
      <w:pPr>
        <w:spacing w:line="360" w:lineRule="auto"/>
        <w:rPr>
          <w:rFonts w:hint="eastAsia" w:ascii="PMingLiU" w:hAnsi="PMingLiU" w:eastAsia="PMingLiU" w:cs="PMingLiU"/>
          <w:sz w:val="28"/>
          <w:szCs w:val="28"/>
          <w:lang w:eastAsia="zh-TW"/>
        </w:rPr>
      </w:pPr>
      <w:r>
        <w:rPr>
          <w:rFonts w:hint="eastAsia" w:ascii="PMingLiU" w:hAnsi="PMingLiU" w:eastAsia="PMingLiU" w:cs="PMingLiU"/>
          <w:sz w:val="28"/>
          <w:szCs w:val="28"/>
          <w:lang w:eastAsia="zh-TW"/>
        </w:rPr>
        <w:t>《大學》背誦：</w:t>
      </w:r>
    </w:p>
    <w:p>
      <w:pPr>
        <w:spacing w:line="360" w:lineRule="auto"/>
        <w:rPr>
          <w:rFonts w:hint="eastAsia" w:ascii="DFKai-SB" w:hAnsi="DFKai-SB" w:eastAsia="DFKai-SB" w:cs="DFKai-SB"/>
          <w:sz w:val="28"/>
          <w:szCs w:val="28"/>
          <w:lang w:val="en-US" w:eastAsia="zh-CN"/>
        </w:rPr>
      </w:pPr>
      <w:r>
        <w:rPr>
          <w:rFonts w:hint="eastAsia" w:ascii="DFKai-SB" w:hAnsi="DFKai-SB" w:eastAsia="DFKai-SB" w:cs="DFKai-SB"/>
          <w:sz w:val="28"/>
          <w:szCs w:val="28"/>
          <w:lang w:val="en-US" w:eastAsia="zh-CN"/>
        </w:rPr>
        <w:t>1、大學之道，在明明德，在親民，在止於至善。知止而后有定，定而后能靜，靜而后能安，安而后能慮，慮而后能得。物有本末，事有終始，知所先後，則近道矣。</w:t>
      </w:r>
    </w:p>
    <w:p>
      <w:pPr>
        <w:spacing w:line="360" w:lineRule="auto"/>
        <w:ind w:firstLine="560" w:firstLineChars="200"/>
        <w:rPr>
          <w:rFonts w:hint="eastAsia" w:ascii="DFKai-SB" w:hAnsi="DFKai-SB" w:eastAsia="DFKai-SB" w:cs="DFKai-SB"/>
          <w:sz w:val="28"/>
          <w:szCs w:val="28"/>
          <w:lang w:val="en-US" w:eastAsia="zh-CN"/>
        </w:rPr>
      </w:pPr>
      <w:r>
        <w:rPr>
          <w:rFonts w:hint="eastAsia" w:ascii="DFKai-SB" w:hAnsi="DFKai-SB" w:eastAsia="DFKai-SB" w:cs="DFKai-SB"/>
          <w:sz w:val="28"/>
          <w:szCs w:val="28"/>
          <w:lang w:val="en-US" w:eastAsia="zh-CN"/>
        </w:rPr>
        <w:t>古之欲明明德於天下者，先治其國；欲治其國者，先齊其家；欲齊其家者，先脩其身；欲脩其身者，先正其心；欲正其心者，先誠其意；欲誠其意者，先致其知，致知在格物。</w:t>
      </w:r>
    </w:p>
    <w:p>
      <w:pPr>
        <w:spacing w:line="360" w:lineRule="auto"/>
        <w:ind w:firstLine="560" w:firstLineChars="200"/>
        <w:rPr>
          <w:rFonts w:hint="eastAsia" w:ascii="DFKai-SB" w:hAnsi="DFKai-SB" w:eastAsia="DFKai-SB" w:cs="DFKai-SB"/>
          <w:sz w:val="28"/>
          <w:szCs w:val="28"/>
          <w:lang w:val="en-US" w:eastAsia="zh-CN"/>
        </w:rPr>
      </w:pPr>
      <w:r>
        <w:rPr>
          <w:rFonts w:hint="eastAsia" w:ascii="DFKai-SB" w:hAnsi="DFKai-SB" w:eastAsia="DFKai-SB" w:cs="DFKai-SB"/>
          <w:sz w:val="28"/>
          <w:szCs w:val="28"/>
          <w:lang w:val="en-US" w:eastAsia="zh-CN"/>
        </w:rPr>
        <w:t>物格而后知至，知至而后意誠，意誠而后心正，心正而后身脩，身脩而后家齊，家齊而后國治，國治而后天下平。</w:t>
      </w:r>
    </w:p>
    <w:p>
      <w:pPr>
        <w:spacing w:line="360" w:lineRule="auto"/>
        <w:ind w:firstLine="560" w:firstLineChars="200"/>
        <w:rPr>
          <w:rFonts w:hint="eastAsia" w:ascii="DFKai-SB" w:hAnsi="DFKai-SB" w:eastAsia="DFKai-SB" w:cs="DFKai-SB"/>
          <w:sz w:val="28"/>
          <w:szCs w:val="28"/>
          <w:lang w:val="en-US" w:eastAsia="zh-CN"/>
        </w:rPr>
      </w:pPr>
      <w:r>
        <w:rPr>
          <w:rFonts w:hint="eastAsia" w:ascii="DFKai-SB" w:hAnsi="DFKai-SB" w:eastAsia="DFKai-SB" w:cs="DFKai-SB"/>
          <w:sz w:val="28"/>
          <w:szCs w:val="28"/>
          <w:lang w:val="en-US" w:eastAsia="zh-CN"/>
        </w:rPr>
        <w:t>自天子以至於庶人，壹是皆以脩身為本。其本亂而末治者，否矣；其所厚者薄，而其所薄者厚，未之有也。此謂知本，此謂知之至也。</w:t>
      </w:r>
    </w:p>
    <w:p>
      <w:pPr>
        <w:spacing w:line="360" w:lineRule="auto"/>
        <w:ind w:firstLine="560" w:firstLineChars="200"/>
        <w:rPr>
          <w:rFonts w:hint="eastAsia" w:ascii="DFKai-SB" w:hAnsi="DFKai-SB" w:eastAsia="DFKai-SB" w:cs="DFKai-SB"/>
          <w:sz w:val="28"/>
          <w:szCs w:val="28"/>
          <w:lang w:val="en-US" w:eastAsia="zh-CN"/>
        </w:rPr>
      </w:pPr>
    </w:p>
    <w:p>
      <w:pPr>
        <w:numPr>
          <w:ilvl w:val="0"/>
          <w:numId w:val="1"/>
        </w:numPr>
        <w:spacing w:line="360" w:lineRule="auto"/>
        <w:rPr>
          <w:rFonts w:hint="eastAsia" w:ascii="DFKai-SB" w:hAnsi="DFKai-SB" w:eastAsia="DFKai-SB" w:cs="DFKai-SB"/>
          <w:sz w:val="28"/>
          <w:szCs w:val="28"/>
          <w:lang w:val="en-US" w:eastAsia="zh-CN"/>
        </w:rPr>
      </w:pPr>
      <w:r>
        <w:rPr>
          <w:rFonts w:hint="eastAsia" w:ascii="DFKai-SB" w:hAnsi="DFKai-SB" w:eastAsia="DFKai-SB" w:cs="DFKai-SB"/>
          <w:sz w:val="28"/>
          <w:szCs w:val="28"/>
          <w:lang w:val="en-US" w:eastAsia="zh-CN"/>
        </w:rPr>
        <w:t>所謂修身在正其心者：身有所忿懥，則不得其正；有所恐懼，則不得其正；有所好樂，則不得其正；有所憂患，則不得其正。心不在焉，視而不見，聽而不聞，食而不知其味。此謂修身在</w:t>
      </w:r>
      <w:r>
        <w:rPr>
          <w:rFonts w:hint="eastAsia" w:ascii="DFKai-SB" w:hAnsi="DFKai-SB" w:eastAsia="DFKai-SB" w:cs="DFKai-SB"/>
          <w:sz w:val="28"/>
          <w:szCs w:val="28"/>
          <w:highlight w:val="red"/>
          <w:lang w:val="en-US" w:eastAsia="zh-CN"/>
        </w:rPr>
        <w:t>正其心</w:t>
      </w:r>
      <w:r>
        <w:rPr>
          <w:rFonts w:hint="eastAsia" w:ascii="DFKai-SB" w:hAnsi="DFKai-SB" w:eastAsia="DFKai-SB" w:cs="DFKai-SB"/>
          <w:sz w:val="28"/>
          <w:szCs w:val="28"/>
          <w:lang w:val="en-US" w:eastAsia="zh-CN"/>
        </w:rPr>
        <w:t>。</w:t>
      </w:r>
    </w:p>
    <w:p>
      <w:pPr>
        <w:numPr>
          <w:ilvl w:val="0"/>
          <w:numId w:val="0"/>
        </w:numPr>
        <w:spacing w:line="360" w:lineRule="auto"/>
        <w:ind w:firstLine="560" w:firstLineChars="200"/>
        <w:rPr>
          <w:rFonts w:hint="eastAsia" w:ascii="DFKai-SB" w:hAnsi="DFKai-SB" w:eastAsia="DFKai-SB" w:cs="DFKai-SB"/>
          <w:sz w:val="28"/>
          <w:szCs w:val="28"/>
          <w:highlight w:val="magenta"/>
          <w:lang w:val="en-US" w:eastAsia="zh-CN"/>
        </w:rPr>
      </w:pPr>
      <w:r>
        <w:rPr>
          <w:rFonts w:hint="eastAsia" w:ascii="DFKai-SB" w:hAnsi="DFKai-SB" w:eastAsia="DFKai-SB" w:cs="DFKai-SB"/>
          <w:sz w:val="28"/>
          <w:szCs w:val="28"/>
          <w:highlight w:val="magenta"/>
          <w:lang w:val="en-US" w:eastAsia="zh-CN"/>
        </w:rPr>
        <w:t>所謂齊其家在修其身者：人之其所親愛而辟焉，之其所賤惡而辟焉，之其所畏敬而辟焉，之其所哀矜而辟焉，之其所敖惰而辟焉。故好而知其惡，惡而知其美者，天下鮮矣！故諺有之曰：「人莫知其子之惡，莫知其苗之碩。」此謂身不修不可以齊其家。</w:t>
      </w:r>
    </w:p>
    <w:p>
      <w:pPr>
        <w:numPr>
          <w:ilvl w:val="0"/>
          <w:numId w:val="0"/>
        </w:numPr>
        <w:spacing w:line="360" w:lineRule="auto"/>
        <w:ind w:firstLine="560" w:firstLineChars="200"/>
        <w:rPr>
          <w:rFonts w:hint="eastAsia" w:ascii="DFKai-SB" w:hAnsi="DFKai-SB" w:eastAsia="DFKai-SB" w:cs="DFKai-SB"/>
          <w:sz w:val="28"/>
          <w:szCs w:val="28"/>
          <w:lang w:val="en-US" w:eastAsia="zh-CN"/>
        </w:rPr>
      </w:pPr>
    </w:p>
    <w:p>
      <w:pPr>
        <w:numPr>
          <w:ilvl w:val="0"/>
          <w:numId w:val="1"/>
        </w:numPr>
        <w:spacing w:line="360" w:lineRule="auto"/>
        <w:ind w:left="0" w:leftChars="0" w:firstLine="0" w:firstLineChars="0"/>
        <w:rPr>
          <w:rFonts w:hint="eastAsia" w:ascii="DFKai-SB" w:hAnsi="DFKai-SB" w:eastAsia="DFKai-SB" w:cs="DFKai-SB"/>
          <w:sz w:val="28"/>
          <w:szCs w:val="28"/>
          <w:lang w:val="en-US" w:eastAsia="zh-CN"/>
        </w:rPr>
      </w:pPr>
      <w:r>
        <w:rPr>
          <w:rFonts w:hint="eastAsia" w:ascii="DFKai-SB" w:hAnsi="DFKai-SB" w:eastAsia="DFKai-SB" w:cs="DFKai-SB"/>
          <w:sz w:val="28"/>
          <w:szCs w:val="28"/>
          <w:lang w:val="en-US" w:eastAsia="zh-CN"/>
        </w:rPr>
        <w:t>所謂平天下在治其國者：上老老，而民興孝；上長長，而民興弟；上恤孤，而民不倍。是以君子有絜矩之道也。所惡於上，毋以使下；所惡於下，毋以事上；所惡於前，毋以先後；所惡於後，毋以從前；所惡於右，毋以交於左；所惡於左，毋以交於右。此之謂絜矩之道。</w:t>
      </w:r>
    </w:p>
    <w:p>
      <w:pPr>
        <w:numPr>
          <w:ilvl w:val="0"/>
          <w:numId w:val="0"/>
        </w:numPr>
        <w:spacing w:line="360" w:lineRule="auto"/>
        <w:ind w:leftChars="0" w:firstLine="560" w:firstLineChars="200"/>
        <w:rPr>
          <w:rFonts w:hint="eastAsia" w:ascii="DFKai-SB" w:hAnsi="DFKai-SB" w:eastAsia="DFKai-SB" w:cs="DFKai-SB"/>
          <w:sz w:val="28"/>
          <w:szCs w:val="28"/>
          <w:lang w:val="en-US" w:eastAsia="zh-CN"/>
        </w:rPr>
      </w:pPr>
      <w:r>
        <w:rPr>
          <w:rFonts w:hint="eastAsia" w:ascii="DFKai-SB" w:hAnsi="DFKai-SB" w:eastAsia="DFKai-SB" w:cs="DFKai-SB"/>
          <w:sz w:val="28"/>
          <w:szCs w:val="28"/>
          <w:lang w:val="en-US" w:eastAsia="zh-CN"/>
        </w:rPr>
        <w:t>《詩》云：「樂只君子，民之父母。」民之所好好之，民之所惡惡之，此之謂民之父母。《詩》云：「節彼南山，維石巖巖。赫赫師尹，民具爾瞻。」有國者不可以不慎；辟，則為天下僇矣。</w:t>
      </w:r>
    </w:p>
    <w:p>
      <w:pPr>
        <w:numPr>
          <w:ilvl w:val="0"/>
          <w:numId w:val="0"/>
        </w:numPr>
        <w:spacing w:line="360" w:lineRule="auto"/>
        <w:ind w:leftChars="0" w:firstLine="560" w:firstLineChars="200"/>
        <w:rPr>
          <w:rFonts w:hint="eastAsia" w:ascii="DFKai-SB" w:hAnsi="DFKai-SB" w:eastAsia="DFKai-SB" w:cs="DFKai-SB"/>
          <w:sz w:val="28"/>
          <w:szCs w:val="28"/>
          <w:lang w:val="en-US" w:eastAsia="zh-CN"/>
        </w:rPr>
      </w:pPr>
    </w:p>
    <w:p>
      <w:pPr>
        <w:spacing w:line="360" w:lineRule="auto"/>
        <w:rPr>
          <w:rFonts w:hint="eastAsia" w:ascii="PMingLiU" w:hAnsi="PMingLiU" w:eastAsia="PMingLiU" w:cs="PMingLiU"/>
          <w:color w:val="000000"/>
          <w:sz w:val="28"/>
          <w:szCs w:val="28"/>
          <w:shd w:val="clear" w:color="auto" w:fill="FFFFFF"/>
        </w:rPr>
      </w:pPr>
      <w:r>
        <w:rPr>
          <w:rFonts w:hint="eastAsia" w:ascii="PMingLiU" w:hAnsi="PMingLiU" w:eastAsia="PMingLiU" w:cs="PMingLiU"/>
          <w:color w:val="000000"/>
          <w:sz w:val="28"/>
          <w:szCs w:val="28"/>
          <w:shd w:val="clear" w:color="auto" w:fill="FFFFFF"/>
        </w:rPr>
        <w:t>《中庸》背誦：</w:t>
      </w:r>
    </w:p>
    <w:p>
      <w:pPr>
        <w:numPr>
          <w:ilvl w:val="0"/>
          <w:numId w:val="2"/>
        </w:numPr>
        <w:spacing w:line="360" w:lineRule="auto"/>
        <w:rPr>
          <w:rFonts w:hint="eastAsia" w:ascii="DFKai-SB" w:hAnsi="DFKai-SB" w:eastAsia="DFKai-SB" w:cs="DFKai-SB"/>
          <w:sz w:val="28"/>
          <w:szCs w:val="28"/>
          <w:lang w:val="en-US" w:eastAsia="zh-CN"/>
        </w:rPr>
      </w:pPr>
      <w:r>
        <w:rPr>
          <w:rFonts w:hint="eastAsia" w:ascii="DFKai-SB" w:hAnsi="DFKai-SB" w:eastAsia="DFKai-SB" w:cs="DFKai-SB"/>
          <w:sz w:val="28"/>
          <w:szCs w:val="28"/>
          <w:lang w:val="en-US" w:eastAsia="zh-CN"/>
        </w:rPr>
        <w:t>至誠之道，可以前知。國家將興，必有禎祥；國家將亡，必有妖孽；見乎蓍龜，動乎四體。禍福將至，善，必先知之；不善，必先知之。故至誠如神。</w:t>
      </w:r>
    </w:p>
    <w:p>
      <w:pPr>
        <w:numPr>
          <w:ilvl w:val="0"/>
          <w:numId w:val="0"/>
        </w:numPr>
        <w:spacing w:line="360" w:lineRule="auto"/>
        <w:rPr>
          <w:rFonts w:hint="eastAsia" w:ascii="DFKai-SB" w:hAnsi="DFKai-SB" w:eastAsia="DFKai-SB" w:cs="DFKai-SB"/>
          <w:sz w:val="28"/>
          <w:szCs w:val="28"/>
          <w:lang w:val="en-US" w:eastAsia="zh-CN"/>
        </w:rPr>
      </w:pPr>
      <w:r>
        <w:rPr>
          <w:rFonts w:hint="eastAsia" w:ascii="DFKai-SB" w:hAnsi="DFKai-SB" w:eastAsia="DFKai-SB" w:cs="DFKai-SB"/>
          <w:sz w:val="28"/>
          <w:szCs w:val="28"/>
          <w:lang w:val="en-US" w:eastAsia="zh-CN"/>
        </w:rPr>
        <w:t xml:space="preserve">    誠者，自成也；而道，自道也。誠者，物之終始；不誠，無物。是故君子誠之為貴。誠者，非自成己而已也，所以成物也。成己，仁也；成物，知也。性之德也，合內外之道也，故時措之宜也。</w:t>
      </w:r>
    </w:p>
    <w:p>
      <w:pPr>
        <w:numPr>
          <w:ilvl w:val="0"/>
          <w:numId w:val="0"/>
        </w:numPr>
        <w:spacing w:line="360" w:lineRule="auto"/>
        <w:rPr>
          <w:rFonts w:hint="eastAsia" w:ascii="DFKai-SB" w:hAnsi="DFKai-SB" w:eastAsia="宋体" w:cs="DFKai-SB"/>
          <w:color w:val="000000"/>
          <w:sz w:val="28"/>
          <w:szCs w:val="28"/>
          <w:shd w:val="clear" w:color="auto" w:fill="FFFFFF"/>
          <w:lang w:val="en-US" w:eastAsia="zh-CN"/>
        </w:rPr>
      </w:pPr>
    </w:p>
    <w:p>
      <w:pPr>
        <w:numPr>
          <w:ilvl w:val="0"/>
          <w:numId w:val="0"/>
        </w:numPr>
        <w:spacing w:line="360" w:lineRule="auto"/>
        <w:rPr>
          <w:rFonts w:hint="eastAsia" w:ascii="DFKai-SB" w:hAnsi="DFKai-SB" w:eastAsia="DFKai-SB" w:cs="DFKai-SB"/>
          <w:color w:val="000000"/>
          <w:sz w:val="28"/>
          <w:szCs w:val="28"/>
          <w:shd w:val="clear" w:color="auto" w:fill="FFFFFF"/>
        </w:rPr>
      </w:pPr>
      <w:r>
        <w:rPr>
          <w:rFonts w:hint="eastAsia" w:ascii="DFKai-SB" w:hAnsi="DFKai-SB" w:eastAsia="宋体" w:cs="DFKai-SB"/>
          <w:color w:val="000000"/>
          <w:sz w:val="28"/>
          <w:szCs w:val="28"/>
          <w:shd w:val="clear" w:color="auto" w:fill="FFFFFF"/>
          <w:lang w:val="en-US" w:eastAsia="zh-CN"/>
        </w:rPr>
        <w:t>2、</w:t>
      </w:r>
      <w:r>
        <w:rPr>
          <w:rFonts w:hint="eastAsia" w:ascii="DFKai-SB" w:hAnsi="DFKai-SB" w:eastAsia="DFKai-SB" w:cs="DFKai-SB"/>
          <w:color w:val="000000"/>
          <w:sz w:val="28"/>
          <w:szCs w:val="28"/>
          <w:shd w:val="clear" w:color="auto" w:fill="FFFFFF"/>
          <w:lang w:eastAsia="zh-TW"/>
        </w:rPr>
        <w:t>自誠明，謂之性；自明誠，謂之教。</w:t>
      </w:r>
      <w:r>
        <w:rPr>
          <w:rFonts w:hint="eastAsia" w:ascii="DFKai-SB" w:hAnsi="DFKai-SB" w:eastAsia="DFKai-SB" w:cs="DFKai-SB"/>
          <w:color w:val="000000"/>
          <w:sz w:val="28"/>
          <w:szCs w:val="28"/>
          <w:shd w:val="clear" w:color="auto" w:fill="FFFFFF"/>
        </w:rPr>
        <w:t>誠則明矣，明則誠矣。</w:t>
      </w:r>
    </w:p>
    <w:p>
      <w:pPr>
        <w:spacing w:line="360" w:lineRule="auto"/>
        <w:ind w:firstLine="560" w:firstLineChars="200"/>
        <w:rPr>
          <w:rFonts w:hint="eastAsia" w:ascii="DFKai-SB" w:hAnsi="DFKai-SB" w:eastAsia="DFKai-SB" w:cs="DFKai-SB"/>
          <w:color w:val="000000"/>
          <w:sz w:val="28"/>
          <w:szCs w:val="28"/>
          <w:shd w:val="clear" w:color="auto" w:fill="FFFFFF"/>
          <w:lang w:eastAsia="zh-TW"/>
        </w:rPr>
      </w:pPr>
      <w:r>
        <w:rPr>
          <w:rFonts w:hint="eastAsia" w:ascii="DFKai-SB" w:hAnsi="DFKai-SB" w:eastAsia="DFKai-SB" w:cs="DFKai-SB"/>
          <w:color w:val="000000"/>
          <w:sz w:val="28"/>
          <w:szCs w:val="28"/>
          <w:shd w:val="clear" w:color="auto" w:fill="FFFFFF"/>
          <w:lang w:eastAsia="zh-TW"/>
        </w:rPr>
        <w:t>唯天下至誠，為能盡其性；能盡其性，則能盡人之性；能盡人之性，</w:t>
      </w:r>
      <w:r>
        <w:rPr>
          <w:rFonts w:hint="eastAsia" w:ascii="DFKai-SB" w:hAnsi="DFKai-SB" w:eastAsia="DFKai-SB" w:cs="DFKai-SB"/>
          <w:color w:val="000000"/>
          <w:sz w:val="28"/>
          <w:szCs w:val="28"/>
          <w:highlight w:val="none"/>
          <w:shd w:val="clear" w:color="auto" w:fill="FFFFFF"/>
          <w:lang w:eastAsia="zh-TW"/>
        </w:rPr>
        <w:t>則</w:t>
      </w:r>
      <w:r>
        <w:rPr>
          <w:rFonts w:hint="eastAsia" w:ascii="DFKai-SB" w:hAnsi="DFKai-SB" w:eastAsia="DFKai-SB" w:cs="DFKai-SB"/>
          <w:color w:val="000000"/>
          <w:sz w:val="28"/>
          <w:szCs w:val="28"/>
          <w:highlight w:val="none"/>
          <w:shd w:val="clear" w:color="auto" w:fill="FFFFFF"/>
          <w:lang w:eastAsia="zh-CN"/>
        </w:rPr>
        <w:t>能</w:t>
      </w:r>
      <w:r>
        <w:rPr>
          <w:rFonts w:hint="eastAsia" w:ascii="DFKai-SB" w:hAnsi="DFKai-SB" w:eastAsia="DFKai-SB" w:cs="DFKai-SB"/>
          <w:color w:val="000000"/>
          <w:sz w:val="28"/>
          <w:szCs w:val="28"/>
          <w:highlight w:val="none"/>
          <w:shd w:val="clear" w:color="auto" w:fill="FFFFFF"/>
          <w:lang w:eastAsia="zh-TW"/>
        </w:rPr>
        <w:t>盡物之性；能盡物之性，則可以贊</w:t>
      </w:r>
      <w:r>
        <w:rPr>
          <w:rFonts w:hint="eastAsia" w:ascii="DFKai-SB" w:hAnsi="DFKai-SB" w:eastAsia="DFKai-SB" w:cs="DFKai-SB"/>
          <w:color w:val="000000"/>
          <w:sz w:val="28"/>
          <w:szCs w:val="28"/>
          <w:shd w:val="clear" w:color="auto" w:fill="FFFFFF"/>
          <w:lang w:eastAsia="zh-TW"/>
        </w:rPr>
        <w:t>天地之化育；可以贊天地之化育，則可以與天地參矣。</w:t>
      </w:r>
    </w:p>
    <w:p>
      <w:pPr>
        <w:spacing w:line="360" w:lineRule="auto"/>
        <w:ind w:firstLine="560" w:firstLineChars="200"/>
        <w:rPr>
          <w:rFonts w:hint="eastAsia" w:ascii="DFKai-SB" w:hAnsi="DFKai-SB" w:eastAsia="DFKai-SB" w:cs="DFKai-SB"/>
          <w:color w:val="000000"/>
          <w:sz w:val="28"/>
          <w:szCs w:val="28"/>
          <w:shd w:val="clear" w:color="auto" w:fill="FFFFFF"/>
          <w:lang w:eastAsia="zh-TW"/>
        </w:rPr>
      </w:pPr>
    </w:p>
    <w:p>
      <w:pPr>
        <w:spacing w:line="360" w:lineRule="auto"/>
        <w:ind w:firstLine="560" w:firstLineChars="200"/>
        <w:rPr>
          <w:rFonts w:hint="eastAsia" w:ascii="DFKai-SB" w:hAnsi="DFKai-SB" w:eastAsia="DFKai-SB" w:cs="DFKai-SB"/>
          <w:color w:val="000000"/>
          <w:sz w:val="28"/>
          <w:szCs w:val="28"/>
          <w:shd w:val="clear" w:color="auto" w:fill="FFFFFF"/>
          <w:lang w:eastAsia="zh-TW"/>
        </w:rPr>
      </w:pPr>
    </w:p>
    <w:p>
      <w:pPr>
        <w:numPr>
          <w:ilvl w:val="0"/>
          <w:numId w:val="0"/>
        </w:numPr>
        <w:spacing w:line="360" w:lineRule="auto"/>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3、凡事豫則立，不豫則廢。言前定則不跲，事前定則不困，行前定則不疚，道前定則不窮。在下位不獲乎上，民不可得而治矣；獲乎上有道：不信乎朋友，不獲乎上矣；信乎朋友有道：不順乎親，不信乎朋友矣；順乎親有道：反諸身不誠，不順乎親矣；誠身有道：不明乎善，不誠乎身矣。誠者，天之道也；誠之者，人之道也。誠者不勉而中，不思而得，從容中道，聖人也。誠之者，擇善而固執之者也。</w:t>
      </w:r>
    </w:p>
    <w:p>
      <w:pPr>
        <w:numPr>
          <w:ilvl w:val="0"/>
          <w:numId w:val="0"/>
        </w:numPr>
        <w:spacing w:line="360" w:lineRule="auto"/>
        <w:ind w:leftChars="0"/>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 xml:space="preserve">    博學之，審問之，慎思之，明辨之，篤行之。有弗學，學之弗能，弗措也；有弗問，問之弗知，弗措也；有弗思，思之弗得，弗措也；有弗辨，辨之弗明，弗措也，有弗行，行之弗篤，弗措也。人一能之己百之，人十能之己千之。果能此道矣，雖愚必明，雖柔必強。</w:t>
      </w:r>
    </w:p>
    <w:p>
      <w:pPr>
        <w:numPr>
          <w:ilvl w:val="0"/>
          <w:numId w:val="0"/>
        </w:numPr>
        <w:spacing w:line="360" w:lineRule="auto"/>
        <w:ind w:leftChars="0"/>
        <w:rPr>
          <w:rFonts w:hint="eastAsia" w:ascii="DFKai-SB" w:hAnsi="DFKai-SB" w:eastAsia="DFKai-SB" w:cs="DFKai-SB"/>
          <w:color w:val="000000"/>
          <w:sz w:val="28"/>
          <w:szCs w:val="28"/>
          <w:shd w:val="clear" w:color="auto" w:fill="FFFFFF"/>
          <w:lang w:val="en-US" w:eastAsia="zh-CN"/>
        </w:rPr>
      </w:pPr>
    </w:p>
    <w:p>
      <w:pPr>
        <w:numPr>
          <w:ilvl w:val="0"/>
          <w:numId w:val="1"/>
        </w:numPr>
        <w:spacing w:line="360" w:lineRule="auto"/>
        <w:ind w:left="0" w:leftChars="0" w:firstLine="0" w:firstLineChars="0"/>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天命之謂性，率性之謂道，修道之謂教。道</w:t>
      </w:r>
      <w:r>
        <w:rPr>
          <w:rFonts w:hint="eastAsia" w:ascii="DFKai-SB" w:hAnsi="DFKai-SB" w:eastAsia="DFKai-SB" w:cs="DFKai-SB"/>
          <w:color w:val="000000"/>
          <w:sz w:val="28"/>
          <w:szCs w:val="28"/>
          <w:highlight w:val="green"/>
          <w:shd w:val="clear" w:color="auto" w:fill="FFFFFF"/>
          <w:lang w:val="en-US" w:eastAsia="zh-CN"/>
        </w:rPr>
        <w:t>也</w:t>
      </w:r>
      <w:r>
        <w:rPr>
          <w:rFonts w:hint="eastAsia" w:ascii="DFKai-SB" w:hAnsi="DFKai-SB" w:eastAsia="DFKai-SB" w:cs="DFKai-SB"/>
          <w:color w:val="000000"/>
          <w:sz w:val="28"/>
          <w:szCs w:val="28"/>
          <w:shd w:val="clear" w:color="auto" w:fill="FFFFFF"/>
          <w:lang w:val="en-US" w:eastAsia="zh-CN"/>
        </w:rPr>
        <w:t>者，不可須臾離也，可離非道也。是故君子戒慎乎其所不睹，恐懼乎其所不聞。莫見乎隱，莫顯乎微。故君子慎其獨也。喜怒哀樂之未發，謂之中；發而皆中節，謂之和；中也者，天下之大本也；和也者，天下之達道也。致中和，天地位焉，萬物育焉。</w:t>
      </w:r>
    </w:p>
    <w:p>
      <w:pPr>
        <w:numPr>
          <w:ilvl w:val="0"/>
          <w:numId w:val="0"/>
        </w:numPr>
        <w:spacing w:line="360" w:lineRule="auto"/>
        <w:ind w:leftChars="0"/>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 xml:space="preserve">    仲尼曰：「君子中庸，小人反中庸。君子之中庸也，君子而時中；小人之反中庸也，小人而無忌憚也。」</w:t>
      </w:r>
    </w:p>
    <w:p>
      <w:pPr>
        <w:spacing w:line="360" w:lineRule="auto"/>
        <w:rPr>
          <w:rFonts w:hint="eastAsia" w:ascii="PMingLiU" w:hAnsi="PMingLiU" w:eastAsia="PMingLiU" w:cs="PMingLiU"/>
          <w:color w:val="000000"/>
          <w:sz w:val="28"/>
          <w:szCs w:val="28"/>
          <w:shd w:val="clear" w:color="auto" w:fill="FFFFFF"/>
        </w:rPr>
      </w:pPr>
    </w:p>
    <w:p>
      <w:pPr>
        <w:spacing w:line="360" w:lineRule="auto"/>
        <w:rPr>
          <w:rFonts w:hint="eastAsia" w:ascii="PMingLiU" w:hAnsi="PMingLiU" w:eastAsia="PMingLiU" w:cs="PMingLiU"/>
          <w:color w:val="000000"/>
          <w:sz w:val="28"/>
          <w:szCs w:val="28"/>
          <w:shd w:val="clear" w:color="auto" w:fill="FFFFFF"/>
        </w:rPr>
      </w:pPr>
      <w:r>
        <w:rPr>
          <w:rFonts w:hint="eastAsia" w:ascii="PMingLiU" w:hAnsi="PMingLiU" w:eastAsia="PMingLiU" w:cs="PMingLiU"/>
          <w:color w:val="000000"/>
          <w:sz w:val="28"/>
          <w:szCs w:val="28"/>
          <w:shd w:val="clear" w:color="auto" w:fill="FFFFFF"/>
        </w:rPr>
        <w:t>《論語》背誦：</w:t>
      </w:r>
    </w:p>
    <w:p>
      <w:pPr>
        <w:numPr>
          <w:ilvl w:val="0"/>
          <w:numId w:val="3"/>
        </w:numPr>
        <w:spacing w:line="360" w:lineRule="auto"/>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&lt;泰伯第八&gt;</w:t>
      </w:r>
    </w:p>
    <w:p>
      <w:pPr>
        <w:numPr>
          <w:ilvl w:val="0"/>
          <w:numId w:val="0"/>
        </w:numPr>
        <w:spacing w:line="360" w:lineRule="auto"/>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曾子有疾，孟敬子問之。曾子言曰：「鳥之將死，其鳴也哀。人之將死，其言也善。君子所貴乎道者三：動容貌，斯遠暴慢矣；正顏色，斯近信矣；出辭氣，斯遠鄙倍矣。籩豆之事，則有司存。」</w:t>
      </w:r>
    </w:p>
    <w:p>
      <w:pPr>
        <w:numPr>
          <w:ilvl w:val="0"/>
          <w:numId w:val="0"/>
        </w:numPr>
        <w:spacing w:line="360" w:lineRule="auto"/>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曾子曰：「以能問於不能；以多問於寡；有若無，實若虛，犯而不校；昔者吾友，嘗從事於斯矣。」</w:t>
      </w:r>
    </w:p>
    <w:p>
      <w:pPr>
        <w:numPr>
          <w:ilvl w:val="0"/>
          <w:numId w:val="0"/>
        </w:numPr>
        <w:spacing w:line="360" w:lineRule="auto"/>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曾子曰：「可以託六尺之孤，可以寄百里之命，臨大節，而不可奪也；君子人與？君子人也。」</w:t>
      </w:r>
    </w:p>
    <w:p>
      <w:pPr>
        <w:numPr>
          <w:ilvl w:val="0"/>
          <w:numId w:val="0"/>
        </w:numPr>
        <w:spacing w:line="360" w:lineRule="auto"/>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曾子曰：「士不可以不弘毅，任重而道遠，仁以為己任，不亦重乎。死而後已，不亦遠乎？」</w:t>
      </w:r>
    </w:p>
    <w:p>
      <w:pPr>
        <w:numPr>
          <w:ilvl w:val="0"/>
          <w:numId w:val="0"/>
        </w:numPr>
        <w:spacing w:line="360" w:lineRule="auto"/>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highlight w:val="green"/>
          <w:shd w:val="clear" w:color="auto" w:fill="FFFFFF"/>
          <w:lang w:val="en-US" w:eastAsia="zh-CN"/>
        </w:rPr>
        <w:t>子曰：「</w:t>
      </w:r>
      <w:r>
        <w:rPr>
          <w:rFonts w:hint="eastAsia" w:ascii="DFKai-SB" w:hAnsi="DFKai-SB" w:eastAsia="DFKai-SB" w:cs="DFKai-SB"/>
          <w:color w:val="000000"/>
          <w:sz w:val="28"/>
          <w:szCs w:val="28"/>
          <w:shd w:val="clear" w:color="auto" w:fill="FFFFFF"/>
          <w:lang w:val="en-US" w:eastAsia="zh-CN"/>
        </w:rPr>
        <w:t>興於詩，立於禮，成於樂。」</w:t>
      </w:r>
    </w:p>
    <w:p>
      <w:pPr>
        <w:numPr>
          <w:ilvl w:val="0"/>
          <w:numId w:val="0"/>
        </w:numPr>
        <w:spacing w:line="360" w:lineRule="auto"/>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子曰：「民可使由之，不可使知之。 」</w:t>
      </w:r>
    </w:p>
    <w:p>
      <w:pPr>
        <w:numPr>
          <w:ilvl w:val="0"/>
          <w:numId w:val="0"/>
        </w:numPr>
        <w:spacing w:line="360" w:lineRule="auto"/>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子曰：「好勇疾貧，亂也；人而不仁，疾之已甚，亂也。」</w:t>
      </w:r>
    </w:p>
    <w:p>
      <w:pPr>
        <w:numPr>
          <w:ilvl w:val="0"/>
          <w:numId w:val="0"/>
        </w:numPr>
        <w:spacing w:line="360" w:lineRule="auto"/>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子曰：「如有周公之才之美，使驕且吝，其餘不足觀也已。」</w:t>
      </w:r>
    </w:p>
    <w:p>
      <w:pPr>
        <w:numPr>
          <w:ilvl w:val="0"/>
          <w:numId w:val="0"/>
        </w:numPr>
        <w:spacing w:line="360" w:lineRule="auto"/>
        <w:rPr>
          <w:rFonts w:hint="eastAsia" w:ascii="DFKai-SB" w:hAnsi="DFKai-SB" w:eastAsia="DFKai-SB" w:cs="DFKai-SB"/>
          <w:color w:val="000000"/>
          <w:sz w:val="28"/>
          <w:szCs w:val="28"/>
          <w:shd w:val="clear" w:color="auto" w:fill="FFFFFF"/>
          <w:lang w:val="en-US" w:eastAsia="zh-CN"/>
        </w:rPr>
      </w:pPr>
    </w:p>
    <w:p>
      <w:pPr>
        <w:numPr>
          <w:ilvl w:val="0"/>
          <w:numId w:val="3"/>
        </w:numPr>
        <w:spacing w:line="360" w:lineRule="auto"/>
        <w:ind w:left="0" w:leftChars="0" w:firstLine="0" w:firstLineChars="0"/>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&lt;衛靈公第十五&gt;</w:t>
      </w:r>
    </w:p>
    <w:p>
      <w:pPr>
        <w:numPr>
          <w:ilvl w:val="0"/>
          <w:numId w:val="0"/>
        </w:numPr>
        <w:spacing w:line="360" w:lineRule="auto"/>
        <w:ind w:leftChars="0"/>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子曰：「人無遠慮，必有近憂。」</w:t>
      </w:r>
    </w:p>
    <w:p>
      <w:pPr>
        <w:numPr>
          <w:ilvl w:val="0"/>
          <w:numId w:val="0"/>
        </w:numPr>
        <w:spacing w:line="360" w:lineRule="auto"/>
        <w:ind w:leftChars="0"/>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子曰：「已矣乎。吾未見好德如好色者也。」</w:t>
      </w:r>
    </w:p>
    <w:p>
      <w:pPr>
        <w:numPr>
          <w:ilvl w:val="0"/>
          <w:numId w:val="0"/>
        </w:numPr>
        <w:spacing w:line="360" w:lineRule="auto"/>
        <w:ind w:leftChars="0"/>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子曰：「臧文仲，其竊位者與。知柳下惠之賢，而不與立也。」</w:t>
      </w:r>
    </w:p>
    <w:p>
      <w:pPr>
        <w:numPr>
          <w:ilvl w:val="0"/>
          <w:numId w:val="0"/>
        </w:numPr>
        <w:spacing w:line="360" w:lineRule="auto"/>
        <w:ind w:leftChars="0"/>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子曰：「躬自厚而薄責於人，則遠怨矣。」</w:t>
      </w:r>
    </w:p>
    <w:p>
      <w:pPr>
        <w:numPr>
          <w:ilvl w:val="0"/>
          <w:numId w:val="0"/>
        </w:numPr>
        <w:spacing w:line="360" w:lineRule="auto"/>
        <w:ind w:leftChars="0"/>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子曰：「不曰如之何如之何者，吾末如之何也已矣。」</w:t>
      </w:r>
    </w:p>
    <w:p>
      <w:pPr>
        <w:numPr>
          <w:ilvl w:val="0"/>
          <w:numId w:val="0"/>
        </w:numPr>
        <w:spacing w:line="360" w:lineRule="auto"/>
        <w:ind w:leftChars="0"/>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子曰：「群居終日，言不及義，好行小慧，難矣哉。」</w:t>
      </w:r>
    </w:p>
    <w:p>
      <w:pPr>
        <w:numPr>
          <w:ilvl w:val="0"/>
          <w:numId w:val="0"/>
        </w:numPr>
        <w:spacing w:line="360" w:lineRule="auto"/>
        <w:ind w:leftChars="0"/>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子曰：「君子義以為質，禮以行之，孫以出之，信以成之，君子哉！」子曰：「君子病無能焉，不病人之</w:t>
      </w:r>
      <w:r>
        <w:rPr>
          <w:rFonts w:hint="eastAsia" w:ascii="DFKai-SB" w:hAnsi="DFKai-SB" w:eastAsia="DFKai-SB" w:cs="DFKai-SB"/>
          <w:color w:val="000000"/>
          <w:sz w:val="28"/>
          <w:szCs w:val="28"/>
          <w:highlight w:val="red"/>
          <w:shd w:val="clear" w:color="auto" w:fill="FFFFFF"/>
          <w:lang w:val="en-US" w:eastAsia="zh-CN"/>
        </w:rPr>
        <w:t>不</w:t>
      </w:r>
      <w:r>
        <w:rPr>
          <w:rFonts w:hint="eastAsia" w:ascii="DFKai-SB" w:hAnsi="DFKai-SB" w:eastAsia="DFKai-SB" w:cs="DFKai-SB"/>
          <w:color w:val="000000"/>
          <w:sz w:val="28"/>
          <w:szCs w:val="28"/>
          <w:shd w:val="clear" w:color="auto" w:fill="FFFFFF"/>
          <w:lang w:val="en-US" w:eastAsia="zh-CN"/>
        </w:rPr>
        <w:t>己知也。」</w:t>
      </w:r>
    </w:p>
    <w:p>
      <w:pPr>
        <w:numPr>
          <w:ilvl w:val="0"/>
          <w:numId w:val="0"/>
        </w:numPr>
        <w:spacing w:line="360" w:lineRule="auto"/>
        <w:ind w:leftChars="0"/>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子曰：「君子疾沒世而名不稱焉。」</w:t>
      </w:r>
    </w:p>
    <w:p>
      <w:pPr>
        <w:numPr>
          <w:ilvl w:val="0"/>
          <w:numId w:val="0"/>
        </w:numPr>
        <w:spacing w:line="360" w:lineRule="auto"/>
        <w:ind w:leftChars="0"/>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子曰：「君子求諸己，小人求諸人。」</w:t>
      </w:r>
    </w:p>
    <w:p>
      <w:pPr>
        <w:numPr>
          <w:ilvl w:val="0"/>
          <w:numId w:val="0"/>
        </w:numPr>
        <w:spacing w:line="360" w:lineRule="auto"/>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子曰：「君子矜而不爭，群而不黨。」</w:t>
      </w:r>
    </w:p>
    <w:p>
      <w:pPr>
        <w:numPr>
          <w:ilvl w:val="0"/>
          <w:numId w:val="0"/>
        </w:numPr>
        <w:spacing w:line="360" w:lineRule="auto"/>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子曰：「君子不以言舉人，不以人廢言。」</w:t>
      </w:r>
    </w:p>
    <w:p>
      <w:pPr>
        <w:numPr>
          <w:ilvl w:val="0"/>
          <w:numId w:val="0"/>
        </w:numPr>
        <w:spacing w:line="360" w:lineRule="auto"/>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子貢問曰：「有一言而可以終身行之者乎。」子曰：「其恕乎。己所不欲，勿施於人。」</w:t>
      </w:r>
    </w:p>
    <w:p>
      <w:pPr>
        <w:numPr>
          <w:ilvl w:val="0"/>
          <w:numId w:val="0"/>
        </w:numPr>
        <w:spacing w:line="360" w:lineRule="auto"/>
        <w:ind w:leftChars="0" w:firstLine="280" w:firstLineChars="100"/>
        <w:rPr>
          <w:rFonts w:hint="eastAsia" w:ascii="PMingLiU" w:hAnsi="PMingLiU" w:eastAsia="宋体" w:cs="PMingLiU"/>
          <w:color w:val="000000"/>
          <w:sz w:val="28"/>
          <w:szCs w:val="28"/>
          <w:shd w:val="clear" w:color="auto" w:fill="FFFFFF"/>
          <w:lang w:val="en-US" w:eastAsia="zh-CN"/>
        </w:rPr>
      </w:pPr>
    </w:p>
    <w:p>
      <w:pPr>
        <w:spacing w:line="360" w:lineRule="auto"/>
        <w:rPr>
          <w:rFonts w:ascii="PMingLiU" w:hAnsi="PMingLiU" w:eastAsia="PMingLiU" w:cs="PMingLiU"/>
          <w:color w:val="000000"/>
          <w:sz w:val="28"/>
          <w:szCs w:val="28"/>
          <w:shd w:val="clear" w:color="auto" w:fill="FFFFFF"/>
        </w:rPr>
      </w:pPr>
      <w:r>
        <w:rPr>
          <w:rFonts w:hint="eastAsia" w:ascii="PMingLiU" w:hAnsi="PMingLiU" w:eastAsia="PMingLiU" w:cs="PMingLiU"/>
          <w:color w:val="000000"/>
          <w:sz w:val="28"/>
          <w:szCs w:val="28"/>
          <w:shd w:val="clear" w:color="auto" w:fill="FFFFFF"/>
        </w:rPr>
        <w:t>《孟子》背誦：</w:t>
      </w:r>
    </w:p>
    <w:p>
      <w:pPr>
        <w:spacing w:line="360" w:lineRule="auto"/>
        <w:rPr>
          <w:rFonts w:hint="eastAsia" w:ascii="DFKai-SB" w:hAnsi="DFKai-SB" w:eastAsia="DFKai-SB" w:cs="DFKai-SB"/>
          <w:color w:val="000000"/>
          <w:sz w:val="28"/>
          <w:szCs w:val="28"/>
          <w:shd w:val="clear" w:color="auto" w:fill="FFFFFF"/>
          <w:lang w:val="en-US" w:eastAsia="zh-CN"/>
        </w:rPr>
      </w:pPr>
      <w:r>
        <w:rPr>
          <w:rFonts w:hint="eastAsia" w:ascii="PMingLiU" w:hAnsi="PMingLiU" w:eastAsia="宋体" w:cs="PMingLiU"/>
          <w:color w:val="000000"/>
          <w:sz w:val="28"/>
          <w:szCs w:val="28"/>
          <w:shd w:val="clear" w:color="auto" w:fill="FFFFFF"/>
          <w:lang w:val="en-US" w:eastAsia="zh-CN"/>
        </w:rPr>
        <w:t>1</w:t>
      </w:r>
      <w:r>
        <w:rPr>
          <w:rFonts w:hint="eastAsia" w:ascii="DFKai-SB" w:hAnsi="DFKai-SB" w:eastAsia="DFKai-SB" w:cs="DFKai-SB"/>
          <w:color w:val="000000"/>
          <w:sz w:val="28"/>
          <w:szCs w:val="28"/>
          <w:shd w:val="clear" w:color="auto" w:fill="FFFFFF"/>
          <w:lang w:val="en-US" w:eastAsia="zh-CN"/>
        </w:rPr>
        <w:t>、&lt;盡心</w:t>
      </w:r>
      <w:bookmarkStart w:id="6" w:name="_GoBack"/>
      <w:bookmarkEnd w:id="6"/>
      <w:r>
        <w:rPr>
          <w:rFonts w:hint="eastAsia" w:ascii="DFKai-SB" w:hAnsi="DFKai-SB" w:eastAsia="DFKai-SB" w:cs="DFKai-SB"/>
          <w:color w:val="000000"/>
          <w:sz w:val="28"/>
          <w:szCs w:val="28"/>
          <w:shd w:val="clear" w:color="auto" w:fill="FFFFFF"/>
          <w:lang w:val="en-US" w:eastAsia="zh-CN"/>
        </w:rPr>
        <w:t>章句上&gt;</w:t>
      </w:r>
    </w:p>
    <w:p>
      <w:pPr>
        <w:spacing w:line="360" w:lineRule="auto"/>
        <w:ind w:firstLine="560" w:firstLineChars="200"/>
        <w:rPr>
          <w:rFonts w:hint="eastAsia" w:ascii="DFKai-SB" w:hAnsi="DFKai-SB" w:eastAsia="DFKai-SB" w:cs="DFKai-SB"/>
          <w:sz w:val="28"/>
          <w:szCs w:val="28"/>
        </w:rPr>
      </w:pPr>
      <w:r>
        <w:rPr>
          <w:rFonts w:hint="eastAsia" w:ascii="DFKai-SB" w:hAnsi="DFKai-SB" w:eastAsia="DFKai-SB" w:cs="DFKai-SB"/>
          <w:sz w:val="28"/>
          <w:szCs w:val="28"/>
          <w:shd w:val="clear" w:color="auto" w:fill="FFFFFF"/>
        </w:rPr>
        <w:t>孟子曰：「孔子登東山而小魯，登</w:t>
      </w:r>
      <w:r>
        <w:rPr>
          <w:rFonts w:hint="eastAsia" w:ascii="DFKai-SB" w:hAnsi="DFKai-SB" w:eastAsia="DFKai-SB" w:cs="DFKai-SB"/>
          <w:sz w:val="28"/>
          <w:szCs w:val="28"/>
          <w:shd w:val="clear" w:color="auto" w:fill="FFFFFF"/>
          <w:lang w:val="en-US" w:eastAsia="zh-CN"/>
        </w:rPr>
        <w:t>泰</w:t>
      </w:r>
      <w:r>
        <w:rPr>
          <w:rFonts w:hint="eastAsia" w:ascii="DFKai-SB" w:hAnsi="DFKai-SB" w:eastAsia="DFKai-SB" w:cs="DFKai-SB"/>
          <w:sz w:val="28"/>
          <w:szCs w:val="28"/>
          <w:shd w:val="clear" w:color="auto" w:fill="FFFFFF"/>
        </w:rPr>
        <w:t>山而小天下。故觀於海者難為水，遊於聖人之門者難為言。觀水有術，必觀其瀾。日月有明，容光必照焉。流水之為物也，不盈科不行；君子之志於道也，不成章不達。」</w:t>
      </w:r>
    </w:p>
    <w:p>
      <w:pPr>
        <w:spacing w:line="360" w:lineRule="auto"/>
        <w:rPr>
          <w:rFonts w:hint="eastAsia" w:ascii="DFKai-SB" w:hAnsi="DFKai-SB" w:eastAsia="DFKai-SB" w:cs="DFKai-SB"/>
          <w:sz w:val="28"/>
          <w:szCs w:val="28"/>
        </w:rPr>
      </w:pPr>
    </w:p>
    <w:p>
      <w:pPr>
        <w:numPr>
          <w:ilvl w:val="0"/>
          <w:numId w:val="0"/>
        </w:numPr>
        <w:spacing w:line="360" w:lineRule="auto"/>
        <w:ind w:leftChars="0"/>
        <w:rPr>
          <w:rFonts w:hint="eastAsia" w:ascii="DFKai-SB" w:hAnsi="DFKai-SB" w:eastAsia="DFKai-SB" w:cs="DFKai-SB"/>
          <w:sz w:val="28"/>
          <w:szCs w:val="28"/>
          <w:shd w:val="clear" w:color="auto" w:fill="FFFFFF"/>
          <w:lang w:val="en-US" w:eastAsia="zh-CN"/>
        </w:rPr>
      </w:pPr>
      <w:r>
        <w:rPr>
          <w:rFonts w:hint="eastAsia" w:ascii="DFKai-SB" w:hAnsi="DFKai-SB" w:eastAsia="DFKai-SB" w:cs="DFKai-SB"/>
          <w:sz w:val="28"/>
          <w:szCs w:val="28"/>
          <w:shd w:val="clear" w:color="auto" w:fill="FFFFFF"/>
          <w:lang w:val="en-US" w:eastAsia="zh-CN"/>
        </w:rPr>
        <w:t>2、&lt;告子章句上&gt;</w:t>
      </w:r>
    </w:p>
    <w:p>
      <w:pPr>
        <w:numPr>
          <w:ilvl w:val="0"/>
          <w:numId w:val="0"/>
        </w:numPr>
        <w:spacing w:line="360" w:lineRule="auto"/>
        <w:ind w:leftChars="0" w:firstLine="560" w:firstLineChars="200"/>
        <w:rPr>
          <w:rFonts w:hint="eastAsia" w:ascii="DFKai-SB" w:hAnsi="DFKai-SB" w:eastAsia="DFKai-SB" w:cs="DFKai-SB"/>
          <w:sz w:val="28"/>
          <w:szCs w:val="28"/>
          <w:shd w:val="clear" w:color="auto" w:fill="FFFFFF"/>
        </w:rPr>
      </w:pPr>
      <w:r>
        <w:rPr>
          <w:rFonts w:hint="eastAsia" w:ascii="DFKai-SB" w:hAnsi="DFKai-SB" w:eastAsia="DFKai-SB" w:cs="DFKai-SB"/>
          <w:sz w:val="28"/>
          <w:szCs w:val="28"/>
          <w:shd w:val="clear" w:color="auto" w:fill="FFFFFF"/>
        </w:rPr>
        <w:t>孟子曰：「舜發於畎畝之中，傅說舉於版築之閒，膠鬲舉於魚鹽之中，管夷吾舉於士，孫叔敖舉於海，百里奚舉於市。故天將降大任於是人也，必先苦其心志，勞其筋骨，餓其體膚，空乏其身，行拂亂其所為，所以動心忍性，曾益其所不能。人恆過，然後能改；困於心，衡於慮，而後作；徵於色，發於聲，而後喻。入則無法家拂士，出則無敵國外患者，國恆亡。然後知生於憂患</w:t>
      </w:r>
      <w:r>
        <w:rPr>
          <w:rFonts w:hint="eastAsia" w:ascii="DFKai-SB" w:hAnsi="DFKai-SB" w:eastAsia="DFKai-SB" w:cs="DFKai-SB"/>
          <w:sz w:val="28"/>
          <w:szCs w:val="28"/>
          <w:shd w:val="clear" w:color="auto" w:fill="FFFFFF"/>
          <w:lang w:eastAsia="zh-CN"/>
        </w:rPr>
        <w:t>，</w:t>
      </w:r>
      <w:r>
        <w:rPr>
          <w:rFonts w:hint="eastAsia" w:ascii="DFKai-SB" w:hAnsi="DFKai-SB" w:eastAsia="DFKai-SB" w:cs="DFKai-SB"/>
          <w:sz w:val="28"/>
          <w:szCs w:val="28"/>
          <w:shd w:val="clear" w:color="auto" w:fill="FFFFFF"/>
        </w:rPr>
        <w:t>而死於安樂也。」</w:t>
      </w:r>
    </w:p>
    <w:p>
      <w:pPr>
        <w:numPr>
          <w:ilvl w:val="0"/>
          <w:numId w:val="0"/>
        </w:numPr>
        <w:spacing w:line="360" w:lineRule="auto"/>
        <w:ind w:leftChars="0"/>
        <w:rPr>
          <w:rFonts w:hint="eastAsia" w:ascii="DFKai-SB" w:hAnsi="DFKai-SB" w:eastAsia="DFKai-SB" w:cs="DFKai-SB"/>
          <w:sz w:val="28"/>
          <w:szCs w:val="28"/>
          <w:shd w:val="clear" w:color="auto" w:fill="FFFFFF"/>
          <w:lang w:val="en-US" w:eastAsia="zh-CN"/>
        </w:rPr>
      </w:pPr>
    </w:p>
    <w:p>
      <w:pPr>
        <w:spacing w:line="360" w:lineRule="auto"/>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3、&lt;滕文公章句上&gt;</w:t>
      </w:r>
    </w:p>
    <w:p>
      <w:pPr>
        <w:spacing w:line="360" w:lineRule="auto"/>
        <w:ind w:firstLine="560" w:firstLineChars="200"/>
        <w:rPr>
          <w:rFonts w:hint="eastAsia" w:ascii="DFKai-SB" w:hAnsi="DFKai-SB" w:eastAsia="DFKai-SB" w:cs="DFKai-SB"/>
          <w:sz w:val="28"/>
          <w:szCs w:val="28"/>
          <w:shd w:val="clear" w:color="auto" w:fill="FFFFFF"/>
        </w:rPr>
      </w:pPr>
      <w:r>
        <w:rPr>
          <w:rFonts w:hint="eastAsia" w:ascii="DFKai-SB" w:hAnsi="DFKai-SB" w:eastAsia="DFKai-SB" w:cs="DFKai-SB"/>
          <w:sz w:val="28"/>
          <w:szCs w:val="28"/>
          <w:shd w:val="clear" w:color="auto" w:fill="FFFFFF"/>
        </w:rPr>
        <w:t>堯以不得舜為己憂，舜以不得禹、皋陶為己憂。夫以百畝之不易為己憂者，農夫也。分人以財謂之惠，教人以善謂之忠，為天下得人者謂之仁。是故以天下與人易，為天下得人難。孔子曰：「大哉</w:t>
      </w:r>
      <w:r>
        <w:rPr>
          <w:rFonts w:hint="eastAsia" w:ascii="DFKai-SB" w:hAnsi="DFKai-SB" w:eastAsia="DFKai-SB" w:cs="DFKai-SB"/>
          <w:sz w:val="28"/>
          <w:szCs w:val="28"/>
          <w:shd w:val="clear" w:color="auto" w:fill="FFFFFF"/>
          <w:lang w:eastAsia="zh-CN"/>
        </w:rPr>
        <w:t>，</w:t>
      </w:r>
      <w:r>
        <w:rPr>
          <w:rFonts w:hint="eastAsia" w:ascii="DFKai-SB" w:hAnsi="DFKai-SB" w:eastAsia="DFKai-SB" w:cs="DFKai-SB"/>
          <w:sz w:val="28"/>
          <w:szCs w:val="28"/>
          <w:shd w:val="clear" w:color="auto" w:fill="FFFFFF"/>
        </w:rPr>
        <w:t>堯之為君！惟天為大，惟堯則之，蕩蕩乎民無能名焉</w:t>
      </w:r>
      <w:r>
        <w:rPr>
          <w:rFonts w:hint="eastAsia" w:ascii="DFKai-SB" w:hAnsi="DFKai-SB" w:eastAsia="DFKai-SB" w:cs="DFKai-SB"/>
          <w:sz w:val="28"/>
          <w:szCs w:val="28"/>
          <w:shd w:val="clear" w:color="auto" w:fill="FFFFFF"/>
          <w:lang w:eastAsia="zh-CN"/>
        </w:rPr>
        <w:t>。</w:t>
      </w:r>
      <w:r>
        <w:rPr>
          <w:rFonts w:hint="eastAsia" w:ascii="DFKai-SB" w:hAnsi="DFKai-SB" w:eastAsia="DFKai-SB" w:cs="DFKai-SB"/>
          <w:sz w:val="28"/>
          <w:szCs w:val="28"/>
          <w:shd w:val="clear" w:color="auto" w:fill="FFFFFF"/>
        </w:rPr>
        <w:t>君哉舜也！巍巍乎有天下而不與焉！」堯舜之治天下，豈無所用其心哉？亦不用於耕耳。</w:t>
      </w:r>
    </w:p>
    <w:p>
      <w:pPr>
        <w:numPr>
          <w:ilvl w:val="0"/>
          <w:numId w:val="0"/>
        </w:numPr>
        <w:spacing w:line="360" w:lineRule="auto"/>
        <w:ind w:leftChars="0"/>
        <w:rPr>
          <w:rFonts w:hint="eastAsia" w:ascii="DFKai-SB" w:hAnsi="DFKai-SB" w:eastAsia="DFKai-SB" w:cs="DFKai-SB"/>
          <w:color w:val="000000"/>
          <w:sz w:val="28"/>
          <w:szCs w:val="28"/>
          <w:shd w:val="clear" w:color="auto" w:fill="FFFFFF"/>
          <w:lang w:val="en-US" w:eastAsia="zh-CN"/>
        </w:rPr>
      </w:pPr>
    </w:p>
    <w:p>
      <w:pPr>
        <w:spacing w:line="360" w:lineRule="auto"/>
        <w:rPr>
          <w:rFonts w:hint="eastAsia" w:ascii="DFKai-SB" w:hAnsi="DFKai-SB" w:eastAsia="DFKai-SB" w:cs="DFKai-SB"/>
          <w:color w:val="000000"/>
          <w:sz w:val="28"/>
          <w:szCs w:val="28"/>
          <w:shd w:val="clear" w:color="auto" w:fill="FFFFFF"/>
          <w:lang w:val="en-US" w:eastAsia="zh-CN"/>
        </w:rPr>
      </w:pPr>
      <w:r>
        <w:rPr>
          <w:rFonts w:hint="eastAsia" w:ascii="DFKai-SB" w:hAnsi="DFKai-SB" w:eastAsia="DFKai-SB" w:cs="DFKai-SB"/>
          <w:color w:val="000000"/>
          <w:sz w:val="28"/>
          <w:szCs w:val="28"/>
          <w:shd w:val="clear" w:color="auto" w:fill="FFFFFF"/>
          <w:lang w:val="en-US" w:eastAsia="zh-CN"/>
        </w:rPr>
        <w:t>4、&lt;公孫醜章句上&gt;</w:t>
      </w:r>
    </w:p>
    <w:p>
      <w:pPr>
        <w:spacing w:line="360" w:lineRule="auto"/>
        <w:ind w:firstLine="560" w:firstLineChars="200"/>
        <w:rPr>
          <w:rFonts w:hint="eastAsia" w:ascii="DFKai-SB" w:hAnsi="DFKai-SB" w:eastAsia="DFKai-SB" w:cs="DFKai-SB"/>
          <w:sz w:val="28"/>
          <w:szCs w:val="28"/>
          <w:shd w:val="clear" w:color="auto" w:fill="FFFFFF"/>
        </w:rPr>
      </w:pPr>
      <w:r>
        <w:rPr>
          <w:rFonts w:hint="eastAsia" w:ascii="DFKai-SB" w:hAnsi="DFKai-SB" w:eastAsia="DFKai-SB" w:cs="DFKai-SB"/>
          <w:sz w:val="28"/>
          <w:szCs w:val="28"/>
          <w:shd w:val="clear" w:color="auto" w:fill="FFFFFF"/>
        </w:rPr>
        <w:t>孟子曰：「人皆有不忍人之心。先王有不忍人之心，斯有不忍人之政矣。以不忍人之心，行不忍人之政，治天下可運之掌上。</w:t>
      </w:r>
    </w:p>
    <w:p>
      <w:pPr>
        <w:spacing w:line="360" w:lineRule="auto"/>
        <w:ind w:firstLine="560" w:firstLineChars="200"/>
        <w:rPr>
          <w:rFonts w:hint="eastAsia" w:ascii="DFKai-SB" w:hAnsi="DFKai-SB" w:eastAsia="DFKai-SB" w:cs="DFKai-SB"/>
          <w:sz w:val="28"/>
          <w:szCs w:val="28"/>
          <w:shd w:val="clear" w:color="auto" w:fill="FFFFFF"/>
        </w:rPr>
      </w:pPr>
      <w:r>
        <w:rPr>
          <w:rFonts w:hint="eastAsia" w:ascii="DFKai-SB" w:hAnsi="DFKai-SB" w:eastAsia="DFKai-SB" w:cs="DFKai-SB"/>
          <w:sz w:val="28"/>
          <w:szCs w:val="28"/>
          <w:shd w:val="clear" w:color="auto" w:fill="FFFFFF"/>
        </w:rPr>
        <w:t>所以謂人皆有不忍人之心者，今人乍見孺子將入於井，皆有怵惕惻隱之心。非所以內交於孺子之父母也，非所以要譽於鄉黨朋友也，非惡其聲而然也。由是觀之，無惻隱之心，非人也；無羞惡之心，非人也；無辭讓之心，非人也；無是非之心，非人也。惻隱之心，仁之端也；羞惡之心，義之端也；辭讓之心，禮之端也；是非之心，智之端也。人之有是四端也，猶其有四體也。有是四端</w:t>
      </w:r>
      <w:r>
        <w:rPr>
          <w:rFonts w:hint="eastAsia" w:ascii="DFKai-SB" w:hAnsi="DFKai-SB" w:eastAsia="宋体" w:cs="DFKai-SB"/>
          <w:sz w:val="28"/>
          <w:szCs w:val="28"/>
          <w:shd w:val="clear" w:color="auto" w:fill="FFFFFF"/>
          <w:lang w:eastAsia="zh-CN"/>
        </w:rPr>
        <w:t>，</w:t>
      </w:r>
      <w:r>
        <w:rPr>
          <w:rFonts w:hint="eastAsia" w:ascii="DFKai-SB" w:hAnsi="DFKai-SB" w:eastAsia="DFKai-SB" w:cs="DFKai-SB"/>
          <w:sz w:val="28"/>
          <w:szCs w:val="28"/>
          <w:shd w:val="clear" w:color="auto" w:fill="FFFFFF"/>
        </w:rPr>
        <w:t>而自謂不能者，自賊者也；謂其君不能者，賊其君者也。」</w:t>
      </w:r>
    </w:p>
    <w:p>
      <w:pPr>
        <w:spacing w:line="360" w:lineRule="auto"/>
        <w:rPr>
          <w:rFonts w:hint="eastAsia" w:ascii="Verdana" w:hAnsi="Verdana"/>
          <w:sz w:val="36"/>
          <w:szCs w:val="36"/>
          <w:shd w:val="clear" w:color="auto" w:fill="FFFFFF"/>
        </w:rPr>
      </w:pPr>
    </w:p>
    <w:p>
      <w:pPr>
        <w:spacing w:line="360" w:lineRule="auto"/>
        <w:jc w:val="center"/>
        <w:rPr>
          <w:rFonts w:hint="eastAsia" w:ascii="DFKai-SB" w:hAnsi="DFKai-SB" w:eastAsia="DFKai-SB" w:cs="DFKai-SB"/>
          <w:color w:val="000000"/>
          <w:sz w:val="36"/>
          <w:szCs w:val="36"/>
          <w:shd w:val="clear" w:color="auto" w:fill="FFFFFF"/>
          <w:lang w:eastAsia="zh-TW"/>
        </w:rPr>
      </w:pPr>
      <w:r>
        <w:rPr>
          <w:rFonts w:hint="eastAsia" w:ascii="DFKai-SB" w:hAnsi="DFKai-SB" w:eastAsia="DFKai-SB" w:cs="DFKai-SB"/>
          <w:color w:val="000000"/>
          <w:sz w:val="36"/>
          <w:szCs w:val="36"/>
          <w:shd w:val="clear" w:color="auto" w:fill="FFFFFF"/>
          <w:lang w:eastAsia="zh-TW"/>
        </w:rPr>
        <w:t>經文淺釋</w:t>
      </w:r>
    </w:p>
    <w:p>
      <w:pPr>
        <w:spacing w:line="360" w:lineRule="auto"/>
        <w:rPr>
          <w:rFonts w:hint="eastAsia" w:ascii="Verdana" w:hAnsi="Verdana"/>
          <w:sz w:val="36"/>
          <w:szCs w:val="36"/>
          <w:shd w:val="clear" w:color="auto" w:fill="FFFFFF"/>
        </w:rPr>
      </w:pPr>
    </w:p>
    <w:p>
      <w:pPr>
        <w:spacing w:line="360" w:lineRule="auto"/>
        <w:rPr>
          <w:rFonts w:ascii="PMingLiU" w:hAnsi="PMingLiU" w:eastAsia="PMingLiU" w:cs="PMingLiU"/>
          <w:color w:val="000000"/>
          <w:sz w:val="28"/>
          <w:szCs w:val="28"/>
          <w:shd w:val="clear" w:color="auto" w:fill="FFFFFF"/>
          <w:lang w:eastAsia="zh-TW"/>
        </w:rPr>
      </w:pPr>
      <w:r>
        <w:rPr>
          <w:rFonts w:hint="eastAsia" w:ascii="PMingLiU" w:hAnsi="PMingLiU" w:eastAsia="PMingLiU" w:cs="PMingLiU"/>
          <w:color w:val="000000"/>
          <w:sz w:val="28"/>
          <w:szCs w:val="28"/>
          <w:shd w:val="clear" w:color="auto" w:fill="FFFFFF"/>
          <w:lang w:eastAsia="zh-TW"/>
        </w:rPr>
        <w:t>經文：</w:t>
      </w:r>
    </w:p>
    <w:p>
      <w:pPr>
        <w:spacing w:line="360" w:lineRule="auto"/>
        <w:rPr>
          <w:rFonts w:hint="eastAsia" w:ascii="DFKai-SB" w:hAnsi="DFKai-SB" w:eastAsia="DFKai-SB" w:cs="DFKai-SB"/>
          <w:sz w:val="28"/>
          <w:szCs w:val="28"/>
          <w:shd w:val="clear" w:color="auto" w:fill="FFFFFF"/>
          <w:lang w:val="en-US" w:eastAsia="zh-CN"/>
        </w:rPr>
      </w:pPr>
      <w:r>
        <w:rPr>
          <w:rFonts w:hint="eastAsia" w:ascii="DFKai-SB" w:hAnsi="DFKai-SB" w:eastAsia="DFKai-SB" w:cs="DFKai-SB"/>
          <w:sz w:val="28"/>
          <w:szCs w:val="28"/>
          <w:shd w:val="clear" w:color="auto" w:fill="FFFFFF"/>
          <w:lang w:val="en-US" w:eastAsia="zh-CN"/>
        </w:rPr>
        <w:t xml:space="preserve">    曾子曰：「士不可以不弘毅，任重而道遠，仁以為己任，不亦重乎？死而後已，不亦遠乎？」</w:t>
      </w:r>
    </w:p>
    <w:p>
      <w:pPr>
        <w:spacing w:line="360" w:lineRule="auto"/>
        <w:rPr>
          <w:rFonts w:hint="eastAsia" w:ascii="Verdana" w:hAnsi="Verdana"/>
          <w:sz w:val="36"/>
          <w:szCs w:val="36"/>
          <w:shd w:val="clear" w:color="auto" w:fill="FFFFFF"/>
          <w:lang w:val="en-US" w:eastAsia="zh-CN"/>
        </w:rPr>
      </w:pPr>
    </w:p>
    <w:p>
      <w:pPr>
        <w:spacing w:line="360" w:lineRule="auto"/>
        <w:rPr>
          <w:rFonts w:ascii="PMingLiU" w:hAnsi="PMingLiU" w:eastAsia="PMingLiU" w:cs="PMingLiU"/>
          <w:color w:val="000000"/>
          <w:sz w:val="28"/>
          <w:szCs w:val="28"/>
          <w:shd w:val="clear" w:color="auto" w:fill="FFFFFF"/>
          <w:lang w:eastAsia="zh-TW"/>
        </w:rPr>
      </w:pPr>
      <w:r>
        <w:rPr>
          <w:rFonts w:hint="eastAsia" w:ascii="PMingLiU" w:hAnsi="PMingLiU" w:eastAsia="PMingLiU" w:cs="PMingLiU"/>
          <w:color w:val="000000"/>
          <w:sz w:val="28"/>
          <w:szCs w:val="28"/>
          <w:shd w:val="clear" w:color="auto" w:fill="FFFFFF"/>
          <w:lang w:eastAsia="zh-TW"/>
        </w:rPr>
        <w:t>淺釋：</w:t>
      </w:r>
    </w:p>
    <w:p>
      <w:pPr>
        <w:spacing w:line="360" w:lineRule="auto"/>
        <w:rPr>
          <w:rFonts w:hint="eastAsia" w:ascii="PMingLiU" w:hAnsi="PMingLiU" w:eastAsia="PMingLiU" w:cs="PMingLiU"/>
          <w:sz w:val="28"/>
          <w:szCs w:val="28"/>
          <w:shd w:val="clear" w:color="auto" w:fill="FFFFFF"/>
          <w:lang w:val="en-US" w:eastAsia="zh-CN"/>
        </w:rPr>
      </w:pPr>
      <w:r>
        <w:rPr>
          <w:rFonts w:hint="eastAsia" w:ascii="PMingLiU" w:hAnsi="PMingLiU" w:eastAsia="PMingLiU" w:cs="PMingLiU"/>
          <w:sz w:val="28"/>
          <w:szCs w:val="28"/>
          <w:shd w:val="clear" w:color="auto" w:fill="FFFFFF"/>
          <w:lang w:val="en-US" w:eastAsia="zh-CN"/>
        </w:rPr>
        <w:t>「毅」就是宏大的意思，還有堅忍的意思。</w:t>
      </w:r>
    </w:p>
    <w:p>
      <w:pPr>
        <w:spacing w:line="360" w:lineRule="auto"/>
        <w:rPr>
          <w:rFonts w:hint="eastAsia" w:ascii="Verdana" w:hAnsi="Verdana"/>
          <w:sz w:val="36"/>
          <w:szCs w:val="36"/>
          <w:shd w:val="clear" w:color="auto" w:fill="FFFFFF"/>
          <w:lang w:val="en-US" w:eastAsia="zh-CN"/>
        </w:rPr>
      </w:pPr>
    </w:p>
    <w:p>
      <w:pPr>
        <w:spacing w:line="360" w:lineRule="auto"/>
        <w:rPr>
          <w:rFonts w:hint="eastAsia" w:ascii="PMingLiU" w:hAnsi="PMingLiU" w:eastAsia="PMingLiU" w:cs="PMingLiU"/>
          <w:sz w:val="28"/>
          <w:szCs w:val="28"/>
          <w:shd w:val="clear" w:color="auto" w:fill="FFFFFF"/>
          <w:lang w:val="en-US" w:eastAsia="zh-CN"/>
        </w:rPr>
      </w:pPr>
      <w:r>
        <w:rPr>
          <w:rFonts w:hint="eastAsia" w:ascii="PMingLiU" w:hAnsi="PMingLiU" w:eastAsia="PMingLiU" w:cs="PMingLiU"/>
          <w:sz w:val="28"/>
          <w:szCs w:val="28"/>
          <w:shd w:val="clear" w:color="auto" w:fill="FFFFFF"/>
          <w:lang w:val="en-US" w:eastAsia="zh-CN"/>
        </w:rPr>
        <w:t>師問：「弘」是什麼意思？</w:t>
      </w:r>
    </w:p>
    <w:p>
      <w:pPr>
        <w:spacing w:line="360" w:lineRule="auto"/>
        <w:rPr>
          <w:rFonts w:hint="eastAsia" w:ascii="PMingLiU" w:hAnsi="PMingLiU" w:eastAsia="PMingLiU" w:cs="PMingLiU"/>
          <w:sz w:val="28"/>
          <w:szCs w:val="28"/>
          <w:shd w:val="clear" w:color="auto" w:fill="FFFFFF"/>
          <w:lang w:val="en-US" w:eastAsia="zh-CN"/>
        </w:rPr>
      </w:pPr>
      <w:r>
        <w:rPr>
          <w:rFonts w:hint="eastAsia" w:ascii="PMingLiU" w:hAnsi="PMingLiU" w:eastAsia="PMingLiU" w:cs="PMingLiU"/>
          <w:sz w:val="28"/>
          <w:szCs w:val="28"/>
          <w:shd w:val="clear" w:color="auto" w:fill="FFFFFF"/>
          <w:lang w:val="en-US" w:eastAsia="zh-CN"/>
        </w:rPr>
        <w:t>答：弘就是弘揚，以及宏大的意思。</w:t>
      </w:r>
    </w:p>
    <w:p>
      <w:pPr>
        <w:spacing w:line="360" w:lineRule="auto"/>
        <w:rPr>
          <w:rFonts w:hint="eastAsia" w:ascii="PMingLiU" w:hAnsi="PMingLiU" w:eastAsia="PMingLiU" w:cs="PMingLiU"/>
          <w:sz w:val="28"/>
          <w:szCs w:val="28"/>
          <w:shd w:val="clear" w:color="auto" w:fill="FFFFFF"/>
          <w:lang w:val="en-US" w:eastAsia="zh-CN"/>
        </w:rPr>
      </w:pPr>
      <w:r>
        <w:rPr>
          <w:rFonts w:hint="eastAsia" w:ascii="PMingLiU" w:hAnsi="PMingLiU" w:eastAsia="PMingLiU" w:cs="PMingLiU"/>
          <w:sz w:val="28"/>
          <w:szCs w:val="28"/>
          <w:shd w:val="clear" w:color="auto" w:fill="FFFFFF"/>
          <w:lang w:val="en-US" w:eastAsia="zh-CN"/>
        </w:rPr>
        <w:t>問：「毅」呢？</w:t>
      </w:r>
    </w:p>
    <w:p>
      <w:pPr>
        <w:spacing w:line="360" w:lineRule="auto"/>
        <w:rPr>
          <w:rFonts w:hint="eastAsia" w:ascii="PMingLiU" w:hAnsi="PMingLiU" w:eastAsia="PMingLiU" w:cs="PMingLiU"/>
          <w:sz w:val="28"/>
          <w:szCs w:val="28"/>
          <w:shd w:val="clear" w:color="auto" w:fill="FFFFFF"/>
          <w:lang w:val="en-US" w:eastAsia="zh-CN"/>
        </w:rPr>
      </w:pPr>
      <w:r>
        <w:rPr>
          <w:rFonts w:hint="eastAsia" w:ascii="PMingLiU" w:hAnsi="PMingLiU" w:eastAsia="PMingLiU" w:cs="PMingLiU"/>
          <w:sz w:val="28"/>
          <w:szCs w:val="28"/>
          <w:shd w:val="clear" w:color="auto" w:fill="FFFFFF"/>
          <w:lang w:val="en-US" w:eastAsia="zh-CN"/>
        </w:rPr>
        <w:t>答；堅忍的意思。</w:t>
      </w:r>
    </w:p>
    <w:p>
      <w:pPr>
        <w:spacing w:line="360" w:lineRule="auto"/>
        <w:rPr>
          <w:rFonts w:hint="eastAsia" w:ascii="PMingLiU" w:hAnsi="PMingLiU" w:eastAsia="PMingLiU" w:cs="PMingLiU"/>
          <w:sz w:val="28"/>
          <w:szCs w:val="28"/>
          <w:shd w:val="clear" w:color="auto" w:fill="FFFFFF"/>
          <w:lang w:val="en-US" w:eastAsia="zh-CN"/>
        </w:rPr>
      </w:pPr>
    </w:p>
    <w:p>
      <w:pPr>
        <w:spacing w:line="360" w:lineRule="auto"/>
        <w:ind w:firstLine="560" w:firstLineChars="200"/>
        <w:rPr>
          <w:rFonts w:hint="eastAsia" w:ascii="PMingLiU" w:hAnsi="PMingLiU" w:eastAsia="PMingLiU" w:cs="PMingLiU"/>
          <w:sz w:val="28"/>
          <w:szCs w:val="28"/>
          <w:shd w:val="clear" w:color="auto" w:fill="FFFFFF"/>
          <w:lang w:val="en-US" w:eastAsia="zh-CN"/>
        </w:rPr>
      </w:pPr>
      <w:r>
        <w:rPr>
          <w:rFonts w:hint="eastAsia" w:ascii="PMingLiU" w:hAnsi="PMingLiU" w:eastAsia="PMingLiU" w:cs="PMingLiU"/>
          <w:sz w:val="28"/>
          <w:szCs w:val="28"/>
          <w:shd w:val="clear" w:color="auto" w:fill="FFFFFF"/>
          <w:lang w:val="en-US" w:eastAsia="zh-CN"/>
        </w:rPr>
        <w:t>一個真正的讀書人，他的心胸不能夠不寬廣，不能不具備堅忍的這種性格。</w:t>
      </w:r>
      <w:r>
        <w:rPr>
          <w:rFonts w:hint="eastAsia" w:ascii="DFKai-SB" w:hAnsi="DFKai-SB" w:eastAsia="DFKai-SB" w:cs="DFKai-SB"/>
          <w:sz w:val="28"/>
          <w:szCs w:val="28"/>
          <w:shd w:val="clear" w:color="auto" w:fill="FFFFFF"/>
          <w:lang w:val="en-US" w:eastAsia="zh-CN"/>
        </w:rPr>
        <w:t>「任重而道遠」</w:t>
      </w:r>
      <w:r>
        <w:rPr>
          <w:rFonts w:hint="eastAsia" w:ascii="PMingLiU" w:hAnsi="PMingLiU" w:eastAsia="PMingLiU" w:cs="PMingLiU"/>
          <w:sz w:val="28"/>
          <w:szCs w:val="28"/>
          <w:shd w:val="clear" w:color="auto" w:fill="FFFFFF"/>
          <w:lang w:val="en-US" w:eastAsia="zh-CN"/>
        </w:rPr>
        <w:t>，他的使命和責任也是非常重大、重要的。他弘法的道路也是非常遙遠的。</w:t>
      </w:r>
      <w:r>
        <w:rPr>
          <w:rFonts w:hint="eastAsia" w:ascii="DFKai-SB" w:hAnsi="DFKai-SB" w:eastAsia="DFKai-SB" w:cs="DFKai-SB"/>
          <w:sz w:val="28"/>
          <w:szCs w:val="28"/>
          <w:shd w:val="clear" w:color="auto" w:fill="FFFFFF"/>
          <w:lang w:val="en-US" w:eastAsia="zh-CN"/>
        </w:rPr>
        <w:t>「仁以為己任」</w:t>
      </w:r>
      <w:r>
        <w:rPr>
          <w:rFonts w:hint="eastAsia" w:ascii="PMingLiU" w:hAnsi="PMingLiU" w:eastAsia="PMingLiU" w:cs="PMingLiU"/>
          <w:sz w:val="28"/>
          <w:szCs w:val="28"/>
          <w:shd w:val="clear" w:color="auto" w:fill="FFFFFF"/>
          <w:lang w:val="en-US" w:eastAsia="zh-CN"/>
        </w:rPr>
        <w:t>，他會以仁慈的心對待一切人，並且將這件事情作為自己的責任。</w:t>
      </w:r>
      <w:r>
        <w:rPr>
          <w:rFonts w:hint="eastAsia" w:ascii="DFKai-SB" w:hAnsi="DFKai-SB" w:eastAsia="DFKai-SB" w:cs="DFKai-SB"/>
          <w:sz w:val="28"/>
          <w:szCs w:val="28"/>
          <w:shd w:val="clear" w:color="auto" w:fill="FFFFFF"/>
          <w:lang w:val="en-US" w:eastAsia="zh-CN"/>
        </w:rPr>
        <w:t>「不亦重乎」</w:t>
      </w:r>
      <w:r>
        <w:rPr>
          <w:rFonts w:hint="eastAsia" w:ascii="PMingLiU" w:hAnsi="PMingLiU" w:eastAsia="PMingLiU" w:cs="PMingLiU"/>
          <w:sz w:val="28"/>
          <w:szCs w:val="28"/>
          <w:shd w:val="clear" w:color="auto" w:fill="FFFFFF"/>
          <w:lang w:val="en-US" w:eastAsia="zh-CN"/>
        </w:rPr>
        <w:t>就是說，這責任難道不是非常重大而且重要的嗎？</w:t>
      </w:r>
      <w:r>
        <w:rPr>
          <w:rFonts w:hint="eastAsia" w:ascii="DFKai-SB" w:hAnsi="DFKai-SB" w:eastAsia="DFKai-SB" w:cs="DFKai-SB"/>
          <w:sz w:val="28"/>
          <w:szCs w:val="28"/>
          <w:shd w:val="clear" w:color="auto" w:fill="FFFFFF"/>
          <w:lang w:val="en-US" w:eastAsia="zh-CN"/>
        </w:rPr>
        <w:t>「死而後已，不亦遠乎」</w:t>
      </w:r>
      <w:r>
        <w:rPr>
          <w:rFonts w:hint="eastAsia" w:ascii="PMingLiU" w:hAnsi="PMingLiU" w:eastAsia="PMingLiU" w:cs="PMingLiU"/>
          <w:sz w:val="28"/>
          <w:szCs w:val="28"/>
          <w:shd w:val="clear" w:color="auto" w:fill="FFFFFF"/>
          <w:lang w:val="en-US" w:eastAsia="zh-CN"/>
        </w:rPr>
        <w:t>就是說，他會把這份責任進行到他生命的最後一刻，他用自己的一生來走這條行仁的道路，這難道不是很遙遠的嗎？</w:t>
      </w:r>
    </w:p>
    <w:p>
      <w:pPr>
        <w:spacing w:line="360" w:lineRule="auto"/>
        <w:rPr>
          <w:rFonts w:hint="eastAsia" w:ascii="PMingLiU" w:hAnsi="PMingLiU" w:eastAsia="PMingLiU" w:cs="PMingLiU"/>
          <w:sz w:val="28"/>
          <w:szCs w:val="28"/>
          <w:shd w:val="clear" w:color="auto" w:fill="FFFFFF"/>
          <w:lang w:val="en-US" w:eastAsia="zh-CN"/>
        </w:rPr>
      </w:pPr>
    </w:p>
    <w:p>
      <w:pPr>
        <w:spacing w:line="360" w:lineRule="auto"/>
        <w:rPr>
          <w:rFonts w:hint="eastAsia" w:ascii="PMingLiU" w:hAnsi="PMingLiU" w:eastAsia="PMingLiU" w:cs="PMingLiU"/>
          <w:sz w:val="28"/>
          <w:szCs w:val="28"/>
          <w:shd w:val="clear" w:color="auto" w:fill="FFFFFF"/>
          <w:lang w:val="en-US" w:eastAsia="zh-CN"/>
        </w:rPr>
      </w:pPr>
      <w:r>
        <w:rPr>
          <w:rFonts w:hint="eastAsia" w:ascii="PMingLiU" w:hAnsi="PMingLiU" w:eastAsia="PMingLiU" w:cs="PMingLiU"/>
          <w:sz w:val="28"/>
          <w:szCs w:val="28"/>
          <w:shd w:val="clear" w:color="auto" w:fill="FFFFFF"/>
          <w:lang w:val="en-US" w:eastAsia="zh-CN"/>
        </w:rPr>
        <w:t>師問：那你當下要怎麼做才能將自己的生活與這句經文很好的融合在一起呢？</w:t>
      </w:r>
    </w:p>
    <w:p>
      <w:pPr>
        <w:spacing w:line="360" w:lineRule="auto"/>
        <w:rPr>
          <w:rFonts w:hint="eastAsia" w:ascii="PMingLiU" w:hAnsi="PMingLiU" w:eastAsia="PMingLiU" w:cs="PMingLiU"/>
          <w:sz w:val="28"/>
          <w:szCs w:val="28"/>
          <w:shd w:val="clear" w:color="auto" w:fill="FFFFFF"/>
          <w:lang w:val="en-US" w:eastAsia="zh-CN"/>
        </w:rPr>
      </w:pPr>
      <w:r>
        <w:rPr>
          <w:rFonts w:hint="eastAsia" w:ascii="PMingLiU" w:hAnsi="PMingLiU" w:eastAsia="PMingLiU" w:cs="PMingLiU"/>
          <w:sz w:val="28"/>
          <w:szCs w:val="28"/>
          <w:shd w:val="clear" w:color="auto" w:fill="FFFFFF"/>
          <w:lang w:val="en-US" w:eastAsia="zh-CN"/>
        </w:rPr>
        <w:t>答:學生會從當下開始，比如洗碗的時候，打掃衛生的時候，盡自己的力量去幫助別人，做好自己。也會時時用這句話來勉勵自己，也算是將這一句話作為自己的志向銘記於心中。從小事情開始著手，才能慢慢地做大事，即使當下我達不到仁的境界，但就像孔老夫子說的忠恕近仁，木訥近仁，先達到這種境界以後，再從這裡面去體會仁真正的含義。</w:t>
      </w: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Trebuchet MS">
    <w:panose1 w:val="020B0603020202020204"/>
    <w:charset w:val="00"/>
    <w:family w:val="swiss"/>
    <w:pitch w:val="default"/>
    <w:sig w:usb0="00000687" w:usb1="00000000" w:usb2="00000000" w:usb3="00000000" w:csb0="2000009F" w:csb1="00000000"/>
  </w:font>
  <w:font w:name="DFKai-SB">
    <w:panose1 w:val="03000509000000000000"/>
    <w:charset w:val="88"/>
    <w:family w:val="script"/>
    <w:pitch w:val="default"/>
    <w:sig w:usb0="00000003" w:usb1="082E0000" w:usb2="00000016" w:usb3="00000000" w:csb0="00100001" w:csb1="00000000"/>
  </w:font>
  <w:font w:name="PMingLiU">
    <w:panose1 w:val="02020500000000000000"/>
    <w:charset w:val="88"/>
    <w:family w:val="roman"/>
    <w:pitch w:val="default"/>
    <w:sig w:usb0="A00002FF" w:usb1="28CFFCFA" w:usb2="00000016" w:usb3="00000000" w:csb0="00100001"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42723A9"/>
    <w:multiLevelType w:val="singleLevel"/>
    <w:tmpl w:val="E42723A9"/>
    <w:lvl w:ilvl="0" w:tentative="0">
      <w:start w:val="1"/>
      <w:numFmt w:val="decimal"/>
      <w:suff w:val="nothing"/>
      <w:lvlText w:val="%1、"/>
      <w:lvlJc w:val="left"/>
    </w:lvl>
  </w:abstractNum>
  <w:abstractNum w:abstractNumId="1">
    <w:nsid w:val="EBAD1053"/>
    <w:multiLevelType w:val="singleLevel"/>
    <w:tmpl w:val="EBAD1053"/>
    <w:lvl w:ilvl="0" w:tentative="0">
      <w:start w:val="2"/>
      <w:numFmt w:val="decimal"/>
      <w:suff w:val="nothing"/>
      <w:lvlText w:val="%1、"/>
      <w:lvlJc w:val="left"/>
    </w:lvl>
  </w:abstractNum>
  <w:abstractNum w:abstractNumId="2">
    <w:nsid w:val="28225882"/>
    <w:multiLevelType w:val="singleLevel"/>
    <w:tmpl w:val="28225882"/>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150C49"/>
    <w:rsid w:val="0D150C49"/>
    <w:rsid w:val="14066383"/>
    <w:rsid w:val="4A32052E"/>
    <w:rsid w:val="662C37CE"/>
    <w:rsid w:val="6D4E63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qFormat/>
    <w:uiPriority w:val="0"/>
    <w:pPr>
      <w:keepNext/>
      <w:ind w:left="720"/>
      <w:outlineLvl w:val="2"/>
    </w:pPr>
    <w:rPr>
      <w:rFonts w:ascii="Tahoma" w:hAnsi="Tahoma" w:cs="Tahoma"/>
      <w:b/>
      <w:bCs/>
      <w:sz w:val="20"/>
      <w:szCs w:val="20"/>
    </w:rPr>
  </w:style>
  <w:style w:type="character" w:default="1" w:styleId="6">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Autospacing="1" w:after="0"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Office_11.1.0.8236_F1E327BC-269C-435d-A152-05C5408002CA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2019-01-09T11:02:00Z</dcterms:created>
  <dc:creator>可否</dc:creator>
  <cp:lastModifiedBy>曾思瑶</cp:lastModifiedBy>
  <dcterms:modified xsi:type="dcterms:W3CDTF">2019-01-10T12:07:36Z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2052-11.1.0.8236</vt:lpwstr>
  </property>
</Properties>
</file>