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884207" w14:textId="77777777" w:rsidR="00E1338B" w:rsidRDefault="00E1338B">
      <w:pPr>
        <w:pBdr>
          <w:top w:val="nil"/>
          <w:left w:val="nil"/>
          <w:bottom w:val="nil"/>
          <w:right w:val="nil"/>
          <w:between w:val="nil"/>
        </w:pBdr>
        <w:spacing w:line="240" w:lineRule="auto"/>
        <w:rPr>
          <w:rFonts w:ascii="Arial" w:eastAsia="Arial" w:hAnsi="Arial" w:cs="Arial"/>
        </w:rPr>
      </w:pPr>
      <w:bookmarkStart w:id="0" w:name="_gjdgxs" w:colFirst="0" w:colLast="0"/>
      <w:bookmarkEnd w:id="0"/>
    </w:p>
    <w:p w14:paraId="5A5A0193" w14:textId="77777777" w:rsidR="00E1338B" w:rsidRDefault="00947E5E">
      <w:pPr>
        <w:widowControl w:val="0"/>
        <w:spacing w:before="282" w:line="240" w:lineRule="auto"/>
        <w:ind w:left="803"/>
        <w:jc w:val="center"/>
        <w:rPr>
          <w:rFonts w:ascii="Arial" w:eastAsia="Arial" w:hAnsi="Arial" w:cs="Arial"/>
        </w:rPr>
      </w:pPr>
      <w:r>
        <w:rPr>
          <w:rFonts w:ascii="Arial" w:eastAsia="Arial" w:hAnsi="Arial" w:cs="Arial"/>
          <w:noProof/>
        </w:rPr>
        <w:drawing>
          <wp:inline distT="0" distB="0" distL="0" distR="0" wp14:anchorId="38A498C8" wp14:editId="1D85F31F">
            <wp:extent cx="2972215" cy="1352739"/>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972215" cy="1352739"/>
                    </a:xfrm>
                    <a:prstGeom prst="rect">
                      <a:avLst/>
                    </a:prstGeom>
                    <a:ln w="25400">
                      <a:solidFill>
                        <a:srgbClr val="000000"/>
                      </a:solidFill>
                      <a:prstDash val="solid"/>
                    </a:ln>
                  </pic:spPr>
                </pic:pic>
              </a:graphicData>
            </a:graphic>
          </wp:inline>
        </w:drawing>
      </w:r>
    </w:p>
    <w:p w14:paraId="49FB47FB" w14:textId="77777777" w:rsidR="00E1338B" w:rsidRDefault="00E1338B">
      <w:pPr>
        <w:widowControl w:val="0"/>
        <w:spacing w:before="282" w:line="240" w:lineRule="auto"/>
        <w:jc w:val="left"/>
        <w:rPr>
          <w:rFonts w:ascii="Arial" w:eastAsia="Arial" w:hAnsi="Arial" w:cs="Arial"/>
        </w:rPr>
      </w:pPr>
    </w:p>
    <w:p w14:paraId="48055162" w14:textId="77777777" w:rsidR="00E1338B" w:rsidRDefault="00947E5E">
      <w:pPr>
        <w:widowControl w:val="0"/>
        <w:spacing w:before="282" w:line="240" w:lineRule="auto"/>
        <w:ind w:left="803"/>
        <w:jc w:val="center"/>
        <w:rPr>
          <w:rFonts w:ascii="Arial" w:eastAsia="Arial" w:hAnsi="Arial" w:cs="Arial"/>
          <w:b/>
          <w:sz w:val="32"/>
          <w:szCs w:val="32"/>
        </w:rPr>
      </w:pPr>
      <w:r>
        <w:rPr>
          <w:rFonts w:ascii="Arial" w:eastAsia="Arial" w:hAnsi="Arial" w:cs="Arial"/>
          <w:b/>
          <w:sz w:val="32"/>
          <w:szCs w:val="32"/>
        </w:rPr>
        <w:t>Academic Discipline of Hospitality and Tourism Management</w:t>
      </w:r>
    </w:p>
    <w:p w14:paraId="0F0FF758" w14:textId="77777777" w:rsidR="00E1338B" w:rsidRDefault="00947E5E">
      <w:pPr>
        <w:widowControl w:val="0"/>
        <w:spacing w:before="282" w:line="240" w:lineRule="auto"/>
        <w:ind w:left="803"/>
        <w:jc w:val="center"/>
        <w:rPr>
          <w:rFonts w:ascii="Arial" w:eastAsia="Arial" w:hAnsi="Arial" w:cs="Arial"/>
          <w:b/>
          <w:sz w:val="32"/>
          <w:szCs w:val="32"/>
        </w:rPr>
      </w:pPr>
      <w:r>
        <w:rPr>
          <w:rFonts w:ascii="Arial" w:eastAsia="Arial" w:hAnsi="Arial" w:cs="Arial"/>
          <w:b/>
          <w:sz w:val="32"/>
          <w:szCs w:val="32"/>
        </w:rPr>
        <w:t xml:space="preserve">International Hotel Management  </w:t>
      </w:r>
    </w:p>
    <w:p w14:paraId="72909D2B" w14:textId="0D9EF4B7" w:rsidR="00E1338B" w:rsidRDefault="00947E5E">
      <w:pPr>
        <w:widowControl w:val="0"/>
        <w:spacing w:before="282" w:line="240" w:lineRule="auto"/>
        <w:ind w:left="803"/>
        <w:jc w:val="center"/>
        <w:rPr>
          <w:rFonts w:ascii="Arial" w:eastAsia="Arial" w:hAnsi="Arial" w:cs="Arial"/>
        </w:rPr>
      </w:pPr>
      <w:r>
        <w:rPr>
          <w:rFonts w:ascii="Arial" w:eastAsia="Arial" w:hAnsi="Arial" w:cs="Arial"/>
        </w:rPr>
        <w:t>Module Name</w:t>
      </w:r>
      <w:r w:rsidR="004B1069">
        <w:rPr>
          <w:rFonts w:ascii="Arial" w:eastAsia="Arial" w:hAnsi="Arial" w:cs="Arial"/>
        </w:rPr>
        <w:t>:</w:t>
      </w:r>
      <w:r w:rsidR="00ED2974">
        <w:rPr>
          <w:rFonts w:ascii="Arial" w:eastAsia="Arial" w:hAnsi="Arial" w:cs="Arial"/>
        </w:rPr>
        <w:t xml:space="preserve"> Sustainable Hospitality &amp; Tourism Management</w:t>
      </w:r>
    </w:p>
    <w:p w14:paraId="30EA6F49" w14:textId="379408FD" w:rsidR="00E1338B" w:rsidRDefault="00947E5E">
      <w:pPr>
        <w:widowControl w:val="0"/>
        <w:spacing w:before="282" w:line="240" w:lineRule="auto"/>
        <w:ind w:left="803"/>
        <w:jc w:val="center"/>
        <w:rPr>
          <w:rFonts w:ascii="Arial" w:eastAsia="Arial" w:hAnsi="Arial" w:cs="Arial"/>
        </w:rPr>
      </w:pPr>
      <w:r>
        <w:rPr>
          <w:rFonts w:ascii="Arial" w:eastAsia="Arial" w:hAnsi="Arial" w:cs="Arial"/>
        </w:rPr>
        <w:t>Module Code</w:t>
      </w:r>
      <w:r w:rsidR="004B1069">
        <w:rPr>
          <w:rFonts w:ascii="Arial" w:eastAsia="Arial" w:hAnsi="Arial" w:cs="Arial"/>
        </w:rPr>
        <w:t>:</w:t>
      </w:r>
      <w:r w:rsidR="00ED2974">
        <w:rPr>
          <w:rFonts w:ascii="Arial" w:eastAsia="Arial" w:hAnsi="Arial" w:cs="Arial"/>
        </w:rPr>
        <w:t xml:space="preserve"> BMIH5006</w:t>
      </w:r>
    </w:p>
    <w:p w14:paraId="2CBC1651" w14:textId="56357479" w:rsidR="00E1338B" w:rsidRDefault="00947E5E">
      <w:pPr>
        <w:widowControl w:val="0"/>
        <w:spacing w:before="282" w:line="240" w:lineRule="auto"/>
        <w:ind w:left="803"/>
        <w:jc w:val="center"/>
        <w:rPr>
          <w:rFonts w:ascii="Arial" w:eastAsia="Arial" w:hAnsi="Arial" w:cs="Arial"/>
        </w:rPr>
      </w:pPr>
      <w:r>
        <w:rPr>
          <w:rFonts w:ascii="Arial" w:eastAsia="Arial" w:hAnsi="Arial" w:cs="Arial"/>
        </w:rPr>
        <w:t>Student Name</w:t>
      </w:r>
      <w:r w:rsidR="004B1069">
        <w:rPr>
          <w:rFonts w:ascii="Arial" w:eastAsia="Arial" w:hAnsi="Arial" w:cs="Arial"/>
        </w:rPr>
        <w:t>:</w:t>
      </w:r>
      <w:r w:rsidR="00ED2974">
        <w:rPr>
          <w:rFonts w:ascii="Arial" w:eastAsia="Arial" w:hAnsi="Arial" w:cs="Arial"/>
        </w:rPr>
        <w:t xml:space="preserve"> Mohammad Abul Kalam Ali</w:t>
      </w:r>
    </w:p>
    <w:p w14:paraId="46B0F040" w14:textId="4C61DF05" w:rsidR="00E1338B" w:rsidRDefault="00947E5E">
      <w:pPr>
        <w:widowControl w:val="0"/>
        <w:spacing w:before="282" w:line="240" w:lineRule="auto"/>
        <w:ind w:left="803"/>
        <w:jc w:val="center"/>
        <w:rPr>
          <w:rFonts w:ascii="Arial" w:eastAsia="Arial" w:hAnsi="Arial" w:cs="Arial"/>
        </w:rPr>
      </w:pPr>
      <w:r>
        <w:rPr>
          <w:rFonts w:ascii="Arial" w:eastAsia="Arial" w:hAnsi="Arial" w:cs="Arial"/>
        </w:rPr>
        <w:t>Lecturer’s Name</w:t>
      </w:r>
      <w:r w:rsidR="004B1069">
        <w:rPr>
          <w:rFonts w:ascii="Arial" w:eastAsia="Arial" w:hAnsi="Arial" w:cs="Arial"/>
        </w:rPr>
        <w:t>:</w:t>
      </w:r>
      <w:r w:rsidR="00ED2974">
        <w:rPr>
          <w:rFonts w:ascii="Arial" w:eastAsia="Arial" w:hAnsi="Arial" w:cs="Arial"/>
        </w:rPr>
        <w:t xml:space="preserve"> Lisa-Marie Bassler</w:t>
      </w:r>
    </w:p>
    <w:p w14:paraId="0CFDA464" w14:textId="77777777" w:rsidR="00E1338B" w:rsidRDefault="00E1338B">
      <w:pPr>
        <w:widowControl w:val="0"/>
        <w:spacing w:before="282" w:line="240" w:lineRule="auto"/>
        <w:ind w:left="803"/>
        <w:jc w:val="center"/>
        <w:rPr>
          <w:rFonts w:ascii="Arial" w:eastAsia="Arial" w:hAnsi="Arial" w:cs="Arial"/>
        </w:rPr>
      </w:pPr>
    </w:p>
    <w:p w14:paraId="79983B55" w14:textId="77777777" w:rsidR="00E1338B" w:rsidRDefault="00947E5E">
      <w:pPr>
        <w:rPr>
          <w:rFonts w:ascii="Arial" w:eastAsia="Arial" w:hAnsi="Arial" w:cs="Arial"/>
          <w:b/>
        </w:rPr>
      </w:pPr>
      <w:r>
        <w:br w:type="page"/>
      </w:r>
    </w:p>
    <w:p w14:paraId="6029361F" w14:textId="77777777" w:rsidR="00E1338B" w:rsidRDefault="00947E5E">
      <w:pPr>
        <w:jc w:val="center"/>
        <w:rPr>
          <w:rFonts w:ascii="Arial" w:eastAsia="Arial" w:hAnsi="Arial" w:cs="Arial"/>
          <w:b/>
        </w:rPr>
      </w:pPr>
      <w:r>
        <w:rPr>
          <w:rFonts w:ascii="Arial" w:eastAsia="Arial" w:hAnsi="Arial" w:cs="Arial"/>
          <w:b/>
        </w:rPr>
        <w:lastRenderedPageBreak/>
        <w:t>Executive Summary</w:t>
      </w:r>
    </w:p>
    <w:p w14:paraId="280E220C" w14:textId="77777777" w:rsidR="00E1338B" w:rsidRDefault="00947E5E">
      <w:pPr>
        <w:rPr>
          <w:rFonts w:ascii="Arial" w:eastAsia="Arial" w:hAnsi="Arial" w:cs="Arial"/>
        </w:rPr>
      </w:pPr>
      <w:r>
        <w:rPr>
          <w:rFonts w:ascii="Arial" w:eastAsia="Arial" w:hAnsi="Arial" w:cs="Arial"/>
        </w:rPr>
        <w:t xml:space="preserve">This report explores the prospect of integration of sustainable practices within Marriott Bonvoy Hotel in the UK, which had the focus on reducing the environmental impact through reducing green initiatives. The hospitality sector has a growing responsibility for the adoption of eco-friendly practices, and Marriott Bonvoy has aimed to address this by implementing strategies with its Serve 360 sustainability goals. Despite that, Marriott still faced challenges such as food waste, single-use plastics and non-food operational waste, that hindered its sustainability goals. </w:t>
      </w:r>
    </w:p>
    <w:p w14:paraId="413CF795" w14:textId="77777777" w:rsidR="00E1338B" w:rsidRDefault="00947E5E">
      <w:pPr>
        <w:rPr>
          <w:rFonts w:ascii="Arial" w:eastAsia="Arial" w:hAnsi="Arial" w:cs="Arial"/>
        </w:rPr>
      </w:pPr>
      <w:r>
        <w:rPr>
          <w:rFonts w:ascii="Arial" w:eastAsia="Arial" w:hAnsi="Arial" w:cs="Arial"/>
        </w:rPr>
        <w:t xml:space="preserve">To address these gaps, this report recommended Marriott adopt waste reduction and recycling initiatives that feature zero-waste kitchens and an eco-friendly packaging policy, which has a circular economy approach. All these strategies can effectively reduce waste, which in turn diminishes the emissions of greenhouse gases. This aspect extends beyond environmental impact to enhance the brand reputation and operational efficiency through resource conservation. </w:t>
      </w:r>
    </w:p>
    <w:p w14:paraId="5AF2E512" w14:textId="77777777" w:rsidR="00E1338B" w:rsidRDefault="00947E5E">
      <w:pPr>
        <w:rPr>
          <w:rFonts w:ascii="Arial" w:eastAsia="Arial" w:hAnsi="Arial" w:cs="Arial"/>
        </w:rPr>
      </w:pPr>
      <w:r>
        <w:rPr>
          <w:rFonts w:ascii="Arial" w:eastAsia="Arial" w:hAnsi="Arial" w:cs="Arial"/>
        </w:rPr>
        <w:t>All these benefits extend beyond the environmental impact, but also help to enhance the brand reputation and operational efficiency of Marriott. The recommended initiatives have the potential to support Marriott in terms of conserving natural resources, which helps with reducing pollution and lowering its carbon footprint, aligns with Marriott Bonvoy's global sustainability, and helps in meeting consumer demands for eco-friendly practices.</w:t>
      </w:r>
    </w:p>
    <w:p w14:paraId="334ACA7E" w14:textId="77777777" w:rsidR="00E1338B" w:rsidRDefault="00947E5E">
      <w:pPr>
        <w:rPr>
          <w:rFonts w:ascii="Arial" w:eastAsia="Arial" w:hAnsi="Arial" w:cs="Arial"/>
          <w:b/>
        </w:rPr>
      </w:pPr>
      <w:r>
        <w:br w:type="page"/>
      </w:r>
    </w:p>
    <w:p w14:paraId="57470D47" w14:textId="77777777" w:rsidR="00E1338B" w:rsidRDefault="00947E5E">
      <w:pPr>
        <w:jc w:val="center"/>
        <w:rPr>
          <w:rFonts w:ascii="Arial" w:eastAsia="Arial" w:hAnsi="Arial" w:cs="Arial"/>
        </w:rPr>
      </w:pPr>
      <w:r>
        <w:rPr>
          <w:rFonts w:ascii="Arial" w:eastAsia="Arial" w:hAnsi="Arial" w:cs="Arial"/>
          <w:b/>
        </w:rPr>
        <w:lastRenderedPageBreak/>
        <w:t>Table of Contents</w:t>
      </w:r>
    </w:p>
    <w:sdt>
      <w:sdtPr>
        <w:id w:val="725963764"/>
        <w:docPartObj>
          <w:docPartGallery w:val="Table of Contents"/>
          <w:docPartUnique/>
        </w:docPartObj>
      </w:sdtPr>
      <w:sdtEndPr/>
      <w:sdtContent>
        <w:p w14:paraId="5BD53DE6" w14:textId="77777777" w:rsidR="00E1338B" w:rsidRDefault="00947E5E">
          <w:pPr>
            <w:widowControl w:val="0"/>
            <w:tabs>
              <w:tab w:val="right" w:pos="9360"/>
            </w:tabs>
            <w:spacing w:before="60"/>
            <w:jc w:val="left"/>
            <w:rPr>
              <w:rFonts w:ascii="Arial" w:eastAsia="Arial" w:hAnsi="Arial" w:cs="Arial"/>
            </w:rPr>
          </w:pPr>
          <w:r>
            <w:fldChar w:fldCharType="begin"/>
          </w:r>
          <w:r>
            <w:instrText xml:space="preserve"> TOC \h \u \z \t "Heading 1,1,Heading 2,2,Heading 3,3,Heading 4,4,Heading 5,5,Heading 6,6,"</w:instrText>
          </w:r>
          <w:r>
            <w:fldChar w:fldCharType="separate"/>
          </w:r>
          <w:r>
            <w:fldChar w:fldCharType="begin"/>
          </w:r>
          <w:r>
            <w:instrText xml:space="preserve"> HYPERLINK \l "_30j0zll" </w:instrText>
          </w:r>
          <w:r>
            <w:fldChar w:fldCharType="separate"/>
          </w:r>
          <w:r>
            <w:rPr>
              <w:rFonts w:ascii="Arial" w:eastAsia="Arial" w:hAnsi="Arial" w:cs="Arial"/>
            </w:rPr>
            <w:t>Introduction</w:t>
          </w:r>
          <w:r>
            <w:rPr>
              <w:rFonts w:ascii="Arial" w:eastAsia="Arial" w:hAnsi="Arial" w:cs="Arial"/>
            </w:rPr>
            <w:tab/>
            <w:t>4</w:t>
          </w:r>
        </w:p>
        <w:p w14:paraId="1EB489FB" w14:textId="77777777" w:rsidR="00E1338B" w:rsidRDefault="00947E5E">
          <w:pPr>
            <w:widowControl w:val="0"/>
            <w:tabs>
              <w:tab w:val="right" w:pos="9360"/>
            </w:tabs>
            <w:spacing w:before="60"/>
            <w:jc w:val="left"/>
            <w:rPr>
              <w:rFonts w:ascii="Arial" w:eastAsia="Arial" w:hAnsi="Arial" w:cs="Arial"/>
            </w:rPr>
          </w:pPr>
          <w:r>
            <w:fldChar w:fldCharType="end"/>
          </w:r>
          <w:r>
            <w:fldChar w:fldCharType="begin"/>
          </w:r>
          <w:r>
            <w:instrText xml:space="preserve"> HYPERLINK \l "_1fob9te" </w:instrText>
          </w:r>
          <w:r>
            <w:fldChar w:fldCharType="separate"/>
          </w:r>
          <w:r>
            <w:rPr>
              <w:rFonts w:ascii="Arial" w:eastAsia="Arial" w:hAnsi="Arial" w:cs="Arial"/>
            </w:rPr>
            <w:t>Main Findings</w:t>
          </w:r>
          <w:r>
            <w:rPr>
              <w:rFonts w:ascii="Arial" w:eastAsia="Arial" w:hAnsi="Arial" w:cs="Arial"/>
            </w:rPr>
            <w:tab/>
            <w:t>4</w:t>
          </w:r>
        </w:p>
        <w:p w14:paraId="0F1E2B77" w14:textId="77777777" w:rsidR="00E1338B" w:rsidRDefault="00947E5E">
          <w:pPr>
            <w:widowControl w:val="0"/>
            <w:tabs>
              <w:tab w:val="right" w:pos="9360"/>
            </w:tabs>
            <w:spacing w:before="60"/>
            <w:ind w:left="360"/>
            <w:jc w:val="left"/>
            <w:rPr>
              <w:rFonts w:ascii="Arial" w:eastAsia="Arial" w:hAnsi="Arial" w:cs="Arial"/>
            </w:rPr>
          </w:pPr>
          <w:r>
            <w:fldChar w:fldCharType="end"/>
          </w:r>
          <w:r>
            <w:fldChar w:fldCharType="begin"/>
          </w:r>
          <w:r>
            <w:instrText xml:space="preserve"> HYPERLINK \l "_3znysh7" </w:instrText>
          </w:r>
          <w:r>
            <w:fldChar w:fldCharType="separate"/>
          </w:r>
          <w:r>
            <w:rPr>
              <w:rFonts w:ascii="Arial" w:eastAsia="Arial" w:hAnsi="Arial" w:cs="Arial"/>
            </w:rPr>
            <w:t>Sustainability Gap of Marriott Bonvey</w:t>
          </w:r>
          <w:r>
            <w:rPr>
              <w:rFonts w:ascii="Arial" w:eastAsia="Arial" w:hAnsi="Arial" w:cs="Arial"/>
            </w:rPr>
            <w:tab/>
            <w:t>4</w:t>
          </w:r>
        </w:p>
        <w:p w14:paraId="13764070" w14:textId="77777777" w:rsidR="00E1338B" w:rsidRDefault="00947E5E">
          <w:pPr>
            <w:widowControl w:val="0"/>
            <w:tabs>
              <w:tab w:val="right" w:pos="9360"/>
            </w:tabs>
            <w:spacing w:before="60"/>
            <w:ind w:left="720"/>
            <w:jc w:val="left"/>
            <w:rPr>
              <w:rFonts w:ascii="Arial" w:eastAsia="Arial" w:hAnsi="Arial" w:cs="Arial"/>
            </w:rPr>
          </w:pPr>
          <w:r>
            <w:fldChar w:fldCharType="end"/>
          </w:r>
          <w:r>
            <w:fldChar w:fldCharType="begin"/>
          </w:r>
          <w:r>
            <w:instrText xml:space="preserve"> HYPERLINK \l "_2et92p0" </w:instrText>
          </w:r>
          <w:r>
            <w:fldChar w:fldCharType="separate"/>
          </w:r>
          <w:r>
            <w:rPr>
              <w:rFonts w:ascii="Arial" w:eastAsia="Arial" w:hAnsi="Arial" w:cs="Arial"/>
            </w:rPr>
            <w:t>Greener Practice Initiative</w:t>
          </w:r>
          <w:r>
            <w:rPr>
              <w:rFonts w:ascii="Arial" w:eastAsia="Arial" w:hAnsi="Arial" w:cs="Arial"/>
            </w:rPr>
            <w:tab/>
            <w:t>5</w:t>
          </w:r>
        </w:p>
        <w:p w14:paraId="3A92B1C0" w14:textId="77777777" w:rsidR="00E1338B" w:rsidRDefault="00947E5E">
          <w:pPr>
            <w:widowControl w:val="0"/>
            <w:tabs>
              <w:tab w:val="right" w:pos="9360"/>
            </w:tabs>
            <w:spacing w:before="60"/>
            <w:ind w:left="360"/>
            <w:jc w:val="left"/>
            <w:rPr>
              <w:rFonts w:ascii="Arial" w:eastAsia="Arial" w:hAnsi="Arial" w:cs="Arial"/>
            </w:rPr>
          </w:pPr>
          <w:r>
            <w:fldChar w:fldCharType="end"/>
          </w:r>
          <w:r>
            <w:fldChar w:fldCharType="begin"/>
          </w:r>
          <w:r>
            <w:instrText xml:space="preserve"> HYPERLINK \l "_tyjcwt" </w:instrText>
          </w:r>
          <w:r>
            <w:fldChar w:fldCharType="separate"/>
          </w:r>
          <w:r>
            <w:rPr>
              <w:rFonts w:ascii="Arial" w:eastAsia="Arial" w:hAnsi="Arial" w:cs="Arial"/>
            </w:rPr>
            <w:t>Potential challenges by Green Biz Eco-logistic Initiative for the Marriott Bonvoy</w:t>
          </w:r>
          <w:r>
            <w:rPr>
              <w:rFonts w:ascii="Arial" w:eastAsia="Arial" w:hAnsi="Arial" w:cs="Arial"/>
            </w:rPr>
            <w:tab/>
            <w:t>6</w:t>
          </w:r>
        </w:p>
        <w:p w14:paraId="28B9DAE8" w14:textId="77777777" w:rsidR="00E1338B" w:rsidRDefault="00947E5E">
          <w:pPr>
            <w:widowControl w:val="0"/>
            <w:tabs>
              <w:tab w:val="right" w:pos="9360"/>
            </w:tabs>
            <w:spacing w:before="60"/>
            <w:ind w:left="360"/>
            <w:jc w:val="left"/>
            <w:rPr>
              <w:rFonts w:ascii="Arial" w:eastAsia="Arial" w:hAnsi="Arial" w:cs="Arial"/>
            </w:rPr>
          </w:pPr>
          <w:r>
            <w:fldChar w:fldCharType="end"/>
          </w:r>
          <w:r>
            <w:fldChar w:fldCharType="begin"/>
          </w:r>
          <w:r>
            <w:instrText xml:space="preserve"> HYPERLINK \l "_3dy6vkm" </w:instrText>
          </w:r>
          <w:r>
            <w:fldChar w:fldCharType="separate"/>
          </w:r>
          <w:r>
            <w:rPr>
              <w:rFonts w:ascii="Arial" w:eastAsia="Arial" w:hAnsi="Arial" w:cs="Arial"/>
            </w:rPr>
            <w:t>Green Biz Eco-logistic Initiative benefit the environment.</w:t>
          </w:r>
          <w:r>
            <w:rPr>
              <w:rFonts w:ascii="Arial" w:eastAsia="Arial" w:hAnsi="Arial" w:cs="Arial"/>
            </w:rPr>
            <w:tab/>
            <w:t>7</w:t>
          </w:r>
        </w:p>
        <w:p w14:paraId="7D0FCD0B" w14:textId="77777777" w:rsidR="00E1338B" w:rsidRDefault="00947E5E">
          <w:pPr>
            <w:widowControl w:val="0"/>
            <w:tabs>
              <w:tab w:val="right" w:pos="9360"/>
            </w:tabs>
            <w:spacing w:before="60"/>
            <w:ind w:left="720"/>
            <w:jc w:val="left"/>
            <w:rPr>
              <w:rFonts w:ascii="Arial" w:eastAsia="Arial" w:hAnsi="Arial" w:cs="Arial"/>
            </w:rPr>
          </w:pPr>
          <w:r>
            <w:fldChar w:fldCharType="end"/>
          </w:r>
          <w:r>
            <w:fldChar w:fldCharType="begin"/>
          </w:r>
          <w:r>
            <w:instrText xml:space="preserve"> HYPERLINK \l "_1t3h5sf" </w:instrText>
          </w:r>
          <w:r>
            <w:fldChar w:fldCharType="separate"/>
          </w:r>
          <w:r>
            <w:rPr>
              <w:rFonts w:ascii="Arial" w:eastAsia="Arial" w:hAnsi="Arial" w:cs="Arial"/>
            </w:rPr>
            <w:t>Conserving Natural Resources</w:t>
          </w:r>
          <w:r>
            <w:rPr>
              <w:rFonts w:ascii="Arial" w:eastAsia="Arial" w:hAnsi="Arial" w:cs="Arial"/>
            </w:rPr>
            <w:tab/>
            <w:t>7</w:t>
          </w:r>
        </w:p>
        <w:p w14:paraId="623A2C3C" w14:textId="77777777" w:rsidR="00E1338B" w:rsidRDefault="00947E5E">
          <w:pPr>
            <w:widowControl w:val="0"/>
            <w:tabs>
              <w:tab w:val="right" w:pos="9360"/>
            </w:tabs>
            <w:spacing w:before="60"/>
            <w:ind w:left="720"/>
            <w:jc w:val="left"/>
            <w:rPr>
              <w:rFonts w:ascii="Arial" w:eastAsia="Arial" w:hAnsi="Arial" w:cs="Arial"/>
            </w:rPr>
          </w:pPr>
          <w:r>
            <w:fldChar w:fldCharType="end"/>
          </w:r>
          <w:r>
            <w:fldChar w:fldCharType="begin"/>
          </w:r>
          <w:r>
            <w:instrText xml:space="preserve"> HYPERLINK \l "_4d34og8" </w:instrText>
          </w:r>
          <w:r>
            <w:fldChar w:fldCharType="separate"/>
          </w:r>
          <w:r>
            <w:rPr>
              <w:rFonts w:ascii="Arial" w:eastAsia="Arial" w:hAnsi="Arial" w:cs="Arial"/>
            </w:rPr>
            <w:t>Reducing Pollution</w:t>
          </w:r>
          <w:r>
            <w:rPr>
              <w:rFonts w:ascii="Arial" w:eastAsia="Arial" w:hAnsi="Arial" w:cs="Arial"/>
            </w:rPr>
            <w:tab/>
            <w:t>8</w:t>
          </w:r>
        </w:p>
        <w:p w14:paraId="6CBFE2C5" w14:textId="77777777" w:rsidR="00E1338B" w:rsidRDefault="00947E5E">
          <w:pPr>
            <w:widowControl w:val="0"/>
            <w:tabs>
              <w:tab w:val="right" w:pos="9360"/>
            </w:tabs>
            <w:spacing w:before="60"/>
            <w:ind w:left="720"/>
            <w:jc w:val="left"/>
            <w:rPr>
              <w:rFonts w:ascii="Arial" w:eastAsia="Arial" w:hAnsi="Arial" w:cs="Arial"/>
            </w:rPr>
          </w:pPr>
          <w:r>
            <w:fldChar w:fldCharType="end"/>
          </w:r>
          <w:r>
            <w:fldChar w:fldCharType="begin"/>
          </w:r>
          <w:r>
            <w:instrText xml:space="preserve"> HYPERLINK \l "_2s8eyo1" </w:instrText>
          </w:r>
          <w:r>
            <w:fldChar w:fldCharType="separate"/>
          </w:r>
          <w:r>
            <w:rPr>
              <w:rFonts w:ascii="Arial" w:eastAsia="Arial" w:hAnsi="Arial" w:cs="Arial"/>
            </w:rPr>
            <w:t>Lowering Carbon Footprint</w:t>
          </w:r>
          <w:r>
            <w:rPr>
              <w:rFonts w:ascii="Arial" w:eastAsia="Arial" w:hAnsi="Arial" w:cs="Arial"/>
            </w:rPr>
            <w:tab/>
            <w:t>8</w:t>
          </w:r>
        </w:p>
        <w:p w14:paraId="186B8BC4" w14:textId="77777777" w:rsidR="00E1338B" w:rsidRDefault="00947E5E">
          <w:pPr>
            <w:widowControl w:val="0"/>
            <w:tabs>
              <w:tab w:val="right" w:pos="9360"/>
            </w:tabs>
            <w:spacing w:before="60"/>
            <w:ind w:left="720"/>
            <w:jc w:val="left"/>
            <w:rPr>
              <w:rFonts w:ascii="Arial" w:eastAsia="Arial" w:hAnsi="Arial" w:cs="Arial"/>
            </w:rPr>
          </w:pPr>
          <w:r>
            <w:fldChar w:fldCharType="end"/>
          </w:r>
          <w:r>
            <w:fldChar w:fldCharType="begin"/>
          </w:r>
          <w:r>
            <w:instrText xml:space="preserve"> HYPERLINK \l "_17dp8vu" </w:instrText>
          </w:r>
          <w:r>
            <w:fldChar w:fldCharType="separate"/>
          </w:r>
          <w:r>
            <w:rPr>
              <w:rFonts w:ascii="Arial" w:eastAsia="Arial" w:hAnsi="Arial" w:cs="Arial"/>
            </w:rPr>
            <w:t>Reducing Water Usage</w:t>
          </w:r>
          <w:r>
            <w:rPr>
              <w:rFonts w:ascii="Arial" w:eastAsia="Arial" w:hAnsi="Arial" w:cs="Arial"/>
            </w:rPr>
            <w:tab/>
            <w:t>8</w:t>
          </w:r>
        </w:p>
        <w:p w14:paraId="70DD9CC4" w14:textId="77777777" w:rsidR="00E1338B" w:rsidRDefault="00947E5E">
          <w:pPr>
            <w:widowControl w:val="0"/>
            <w:tabs>
              <w:tab w:val="right" w:pos="9360"/>
            </w:tabs>
            <w:spacing w:before="60"/>
            <w:jc w:val="left"/>
            <w:rPr>
              <w:rFonts w:ascii="Arial" w:eastAsia="Arial" w:hAnsi="Arial" w:cs="Arial"/>
            </w:rPr>
          </w:pPr>
          <w:r>
            <w:fldChar w:fldCharType="end"/>
          </w:r>
          <w:r>
            <w:fldChar w:fldCharType="begin"/>
          </w:r>
          <w:r>
            <w:instrText xml:space="preserve"> HYPERLINK \l "_3rdcrjn" </w:instrText>
          </w:r>
          <w:r>
            <w:fldChar w:fldCharType="separate"/>
          </w:r>
          <w:r>
            <w:rPr>
              <w:rFonts w:ascii="Arial" w:eastAsia="Arial" w:hAnsi="Arial" w:cs="Arial"/>
            </w:rPr>
            <w:t>Conclusion and Recommendation</w:t>
          </w:r>
          <w:r>
            <w:rPr>
              <w:rFonts w:ascii="Arial" w:eastAsia="Arial" w:hAnsi="Arial" w:cs="Arial"/>
            </w:rPr>
            <w:tab/>
            <w:t>9</w:t>
          </w:r>
        </w:p>
        <w:p w14:paraId="00D3FEBF" w14:textId="77777777" w:rsidR="00E1338B" w:rsidRDefault="00947E5E">
          <w:pPr>
            <w:widowControl w:val="0"/>
            <w:tabs>
              <w:tab w:val="right" w:pos="9360"/>
            </w:tabs>
            <w:spacing w:before="60"/>
            <w:ind w:left="360"/>
            <w:jc w:val="left"/>
            <w:rPr>
              <w:rFonts w:ascii="Arial" w:eastAsia="Arial" w:hAnsi="Arial" w:cs="Arial"/>
            </w:rPr>
          </w:pPr>
          <w:r>
            <w:fldChar w:fldCharType="end"/>
          </w:r>
          <w:r>
            <w:fldChar w:fldCharType="begin"/>
          </w:r>
          <w:r>
            <w:instrText xml:space="preserve"> HYPERLINK \l "_26in1rg" </w:instrText>
          </w:r>
          <w:r>
            <w:fldChar w:fldCharType="separate"/>
          </w:r>
          <w:r>
            <w:rPr>
              <w:rFonts w:ascii="Arial" w:eastAsia="Arial" w:hAnsi="Arial" w:cs="Arial"/>
            </w:rPr>
            <w:t>Conclusion</w:t>
          </w:r>
          <w:r>
            <w:rPr>
              <w:rFonts w:ascii="Arial" w:eastAsia="Arial" w:hAnsi="Arial" w:cs="Arial"/>
            </w:rPr>
            <w:tab/>
            <w:t>9</w:t>
          </w:r>
        </w:p>
        <w:p w14:paraId="5FE09C4F" w14:textId="77777777" w:rsidR="00E1338B" w:rsidRDefault="00947E5E">
          <w:pPr>
            <w:widowControl w:val="0"/>
            <w:tabs>
              <w:tab w:val="right" w:pos="9360"/>
            </w:tabs>
            <w:spacing w:before="60"/>
            <w:ind w:left="360"/>
            <w:jc w:val="left"/>
            <w:rPr>
              <w:rFonts w:ascii="Arial" w:eastAsia="Arial" w:hAnsi="Arial" w:cs="Arial"/>
            </w:rPr>
          </w:pPr>
          <w:r>
            <w:fldChar w:fldCharType="end"/>
          </w:r>
          <w:r>
            <w:fldChar w:fldCharType="begin"/>
          </w:r>
          <w:r>
            <w:instrText xml:space="preserve"> HYPERLINK \l "_lnxbz9" </w:instrText>
          </w:r>
          <w:r>
            <w:fldChar w:fldCharType="separate"/>
          </w:r>
          <w:r>
            <w:rPr>
              <w:rFonts w:ascii="Arial" w:eastAsia="Arial" w:hAnsi="Arial" w:cs="Arial"/>
            </w:rPr>
            <w:t>Recommendations</w:t>
          </w:r>
          <w:r>
            <w:rPr>
              <w:rFonts w:ascii="Arial" w:eastAsia="Arial" w:hAnsi="Arial" w:cs="Arial"/>
            </w:rPr>
            <w:tab/>
            <w:t>9</w:t>
          </w:r>
        </w:p>
        <w:p w14:paraId="46D96202" w14:textId="77777777" w:rsidR="00E1338B" w:rsidRDefault="00947E5E">
          <w:pPr>
            <w:widowControl w:val="0"/>
            <w:tabs>
              <w:tab w:val="right" w:pos="9360"/>
            </w:tabs>
            <w:spacing w:before="60"/>
            <w:jc w:val="left"/>
            <w:rPr>
              <w:rFonts w:ascii="Arial" w:eastAsia="Arial" w:hAnsi="Arial" w:cs="Arial"/>
            </w:rPr>
          </w:pPr>
          <w:r>
            <w:fldChar w:fldCharType="end"/>
          </w:r>
          <w:hyperlink w:anchor="_35nkun2">
            <w:r>
              <w:rPr>
                <w:rFonts w:ascii="Arial" w:eastAsia="Arial" w:hAnsi="Arial" w:cs="Arial"/>
              </w:rPr>
              <w:t>References</w:t>
            </w:r>
            <w:r>
              <w:rPr>
                <w:rFonts w:ascii="Arial" w:eastAsia="Arial" w:hAnsi="Arial" w:cs="Arial"/>
              </w:rPr>
              <w:tab/>
              <w:t>11</w:t>
            </w:r>
          </w:hyperlink>
          <w:r>
            <w:fldChar w:fldCharType="end"/>
          </w:r>
        </w:p>
      </w:sdtContent>
    </w:sdt>
    <w:p w14:paraId="1C91CDD5" w14:textId="77777777" w:rsidR="00E1338B" w:rsidRDefault="00947E5E">
      <w:pPr>
        <w:rPr>
          <w:rFonts w:ascii="Arial" w:eastAsia="Arial" w:hAnsi="Arial" w:cs="Arial"/>
        </w:rPr>
      </w:pPr>
      <w:r>
        <w:br w:type="page"/>
      </w:r>
    </w:p>
    <w:p w14:paraId="20921576" w14:textId="77777777" w:rsidR="00E1338B" w:rsidRDefault="00947E5E">
      <w:pPr>
        <w:pStyle w:val="Heading1"/>
      </w:pPr>
      <w:bookmarkStart w:id="1" w:name="_30j0zll" w:colFirst="0" w:colLast="0"/>
      <w:bookmarkEnd w:id="1"/>
      <w:r>
        <w:lastRenderedPageBreak/>
        <w:t xml:space="preserve">Introduction </w:t>
      </w:r>
    </w:p>
    <w:p w14:paraId="1F4E025F" w14:textId="77777777" w:rsidR="00E1338B" w:rsidRDefault="00947E5E">
      <w:pPr>
        <w:rPr>
          <w:rFonts w:ascii="Arial" w:eastAsia="Arial" w:hAnsi="Arial" w:cs="Arial"/>
        </w:rPr>
      </w:pPr>
      <w:r>
        <w:rPr>
          <w:rFonts w:ascii="Arial" w:eastAsia="Arial" w:hAnsi="Arial" w:cs="Arial"/>
        </w:rPr>
        <w:t xml:space="preserve">The greener practices refer to the development of environmentally responsible processes and structures throughout the entire recycling process (Hasek, 2024). Green practices are typically the set of actions that help to prevent poor environmental practices and promote </w:t>
      </w:r>
      <w:r w:rsidR="004B1069">
        <w:rPr>
          <w:rFonts w:ascii="Arial" w:eastAsia="Arial" w:hAnsi="Arial" w:cs="Arial"/>
        </w:rPr>
        <w:t>sustainability</w:t>
      </w:r>
      <w:r>
        <w:rPr>
          <w:rFonts w:ascii="Arial" w:eastAsia="Arial" w:hAnsi="Arial" w:cs="Arial"/>
        </w:rPr>
        <w:t xml:space="preserve"> (Sandra </w:t>
      </w:r>
      <w:proofErr w:type="spellStart"/>
      <w:r>
        <w:rPr>
          <w:rFonts w:ascii="Arial" w:eastAsia="Arial" w:hAnsi="Arial" w:cs="Arial"/>
        </w:rPr>
        <w:t>Marcelline</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2022). These practices include reducing waste and carbon emissions that help to prevent environmental impact through practices like manufacturing, sourcing and logistics (</w:t>
      </w:r>
      <w:proofErr w:type="spellStart"/>
      <w:r>
        <w:rPr>
          <w:rFonts w:ascii="Arial" w:eastAsia="Arial" w:hAnsi="Arial" w:cs="Arial"/>
        </w:rPr>
        <w:t>Agbelusi</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2024). Furthermore, greener practices also include utilising renewable energy, like using hydroelectric dams, wind turbines and solar panels. </w:t>
      </w:r>
    </w:p>
    <w:p w14:paraId="0EBDBA53" w14:textId="77777777" w:rsidR="00E1338B" w:rsidRDefault="00947E5E">
      <w:pPr>
        <w:rPr>
          <w:rFonts w:ascii="Arial" w:eastAsia="Arial" w:hAnsi="Arial" w:cs="Arial"/>
        </w:rPr>
      </w:pPr>
      <w:r>
        <w:rPr>
          <w:rFonts w:ascii="Arial" w:eastAsia="Arial" w:hAnsi="Arial" w:cs="Arial"/>
        </w:rPr>
        <w:t xml:space="preserve">The </w:t>
      </w:r>
      <w:proofErr w:type="spellStart"/>
      <w:r>
        <w:rPr>
          <w:rFonts w:ascii="Arial" w:eastAsia="Arial" w:hAnsi="Arial" w:cs="Arial"/>
        </w:rPr>
        <w:t>Zetter</w:t>
      </w:r>
      <w:proofErr w:type="spellEnd"/>
      <w:r>
        <w:rPr>
          <w:rFonts w:ascii="Arial" w:eastAsia="Arial" w:hAnsi="Arial" w:cs="Arial"/>
        </w:rPr>
        <w:t xml:space="preserve"> Hotel is considered an essential example of eco-friendly hospitality practices in the UK (</w:t>
      </w:r>
      <w:proofErr w:type="spellStart"/>
      <w:r>
        <w:rPr>
          <w:rFonts w:ascii="Arial" w:eastAsia="Arial" w:hAnsi="Arial" w:cs="Arial"/>
        </w:rPr>
        <w:t>Zetter</w:t>
      </w:r>
      <w:proofErr w:type="spellEnd"/>
      <w:r>
        <w:rPr>
          <w:rFonts w:ascii="Arial" w:eastAsia="Arial" w:hAnsi="Arial" w:cs="Arial"/>
        </w:rPr>
        <w:t xml:space="preserve">, 2024). This hotel utilises environmentally conscious materials, water-saving fixtures and renewable energy in their operation design and business practices (Sandra </w:t>
      </w:r>
      <w:proofErr w:type="spellStart"/>
      <w:r>
        <w:rPr>
          <w:rFonts w:ascii="Arial" w:eastAsia="Arial" w:hAnsi="Arial" w:cs="Arial"/>
        </w:rPr>
        <w:t>Marcelline</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2022). This report will focus on the significant greener practices of the sustainable practices of Marriot Bonvoy Hotel in the United Kingdom. The hotel chain Marriott is leading worldwide in terms of ranking towards other large hotel chains and revenue structure (Statista Research Department, 2024). As a global hotel giant, in 2023, Marriott generated revenue of approximately 23.72 billion U.S. dollars, increased from 20.77 billion U.S. dollars in 2022 (Statista Research Department, 2024). </w:t>
      </w:r>
    </w:p>
    <w:p w14:paraId="1FA1C464" w14:textId="77777777" w:rsidR="00E1338B" w:rsidRDefault="00947E5E">
      <w:pPr>
        <w:pStyle w:val="Heading1"/>
      </w:pPr>
      <w:bookmarkStart w:id="2" w:name="_1fob9te" w:colFirst="0" w:colLast="0"/>
      <w:bookmarkEnd w:id="2"/>
      <w:r>
        <w:t xml:space="preserve">Main Findings </w:t>
      </w:r>
    </w:p>
    <w:p w14:paraId="1BF7F9AF" w14:textId="77777777" w:rsidR="00E1338B" w:rsidRDefault="00947E5E">
      <w:pPr>
        <w:pStyle w:val="Heading2"/>
      </w:pPr>
      <w:bookmarkStart w:id="3" w:name="_3znysh7" w:colFirst="0" w:colLast="0"/>
      <w:bookmarkEnd w:id="3"/>
      <w:r>
        <w:t xml:space="preserve">Sustainability Gap of Marriott </w:t>
      </w:r>
      <w:proofErr w:type="spellStart"/>
      <w:r>
        <w:t>Bonvey</w:t>
      </w:r>
      <w:proofErr w:type="spellEnd"/>
      <w:r>
        <w:t xml:space="preserve"> </w:t>
      </w:r>
    </w:p>
    <w:p w14:paraId="133281BF" w14:textId="77777777" w:rsidR="00E1338B" w:rsidRDefault="00947E5E">
      <w:pPr>
        <w:rPr>
          <w:rFonts w:ascii="Arial" w:eastAsia="Arial" w:hAnsi="Arial" w:cs="Arial"/>
        </w:rPr>
      </w:pPr>
      <w:r>
        <w:rPr>
          <w:rFonts w:ascii="Arial" w:eastAsia="Arial" w:hAnsi="Arial" w:cs="Arial"/>
        </w:rPr>
        <w:t xml:space="preserve">The Marriott </w:t>
      </w:r>
      <w:proofErr w:type="spellStart"/>
      <w:r>
        <w:rPr>
          <w:rFonts w:ascii="Arial" w:eastAsia="Arial" w:hAnsi="Arial" w:cs="Arial"/>
        </w:rPr>
        <w:t>Bonvey</w:t>
      </w:r>
      <w:proofErr w:type="spellEnd"/>
      <w:r>
        <w:rPr>
          <w:rFonts w:ascii="Arial" w:eastAsia="Arial" w:hAnsi="Arial" w:cs="Arial"/>
        </w:rPr>
        <w:t xml:space="preserve"> event introduced Marriott’s Serves 360 sustainability efforts and their initiatives towards 2025 goals (Marriott Bonvoy, 2024). In this Meeting, Marriott </w:t>
      </w:r>
      <w:proofErr w:type="spellStart"/>
      <w:r>
        <w:rPr>
          <w:rFonts w:ascii="Arial" w:eastAsia="Arial" w:hAnsi="Arial" w:cs="Arial"/>
        </w:rPr>
        <w:t>Bonvey</w:t>
      </w:r>
      <w:proofErr w:type="spellEnd"/>
      <w:r>
        <w:rPr>
          <w:rFonts w:ascii="Arial" w:eastAsia="Arial" w:hAnsi="Arial" w:cs="Arial"/>
        </w:rPr>
        <w:t xml:space="preserve"> introduced significant strides towards social impact targets and sustainability practices, though there are various sustainable gaps present. The major sustainable gap of Marriott </w:t>
      </w:r>
      <w:proofErr w:type="spellStart"/>
      <w:r>
        <w:rPr>
          <w:rFonts w:ascii="Arial" w:eastAsia="Arial" w:hAnsi="Arial" w:cs="Arial"/>
        </w:rPr>
        <w:t>Bonvey</w:t>
      </w:r>
      <w:proofErr w:type="spellEnd"/>
      <w:r>
        <w:rPr>
          <w:rFonts w:ascii="Arial" w:eastAsia="Arial" w:hAnsi="Arial" w:cs="Arial"/>
        </w:rPr>
        <w:t xml:space="preserve"> is they are lacking in meeting their </w:t>
      </w:r>
      <w:r>
        <w:rPr>
          <w:rFonts w:ascii="Arial" w:eastAsia="Arial" w:hAnsi="Arial" w:cs="Arial"/>
          <w:b/>
          <w:i/>
        </w:rPr>
        <w:t>Serve 360</w:t>
      </w:r>
      <w:r>
        <w:rPr>
          <w:rFonts w:ascii="Arial" w:eastAsia="Arial" w:hAnsi="Arial" w:cs="Arial"/>
        </w:rPr>
        <w:t xml:space="preserve"> sustainability (BW Hotelier, 2024). These are three reasons such as food waste, single-use plastics and operational waste related to non-food that structured this gap which need significant greener practices. </w:t>
      </w:r>
    </w:p>
    <w:p w14:paraId="13A847B1" w14:textId="77777777" w:rsidR="00E1338B" w:rsidRDefault="00947E5E">
      <w:pPr>
        <w:rPr>
          <w:rFonts w:ascii="Arial" w:eastAsia="Arial" w:hAnsi="Arial" w:cs="Arial"/>
        </w:rPr>
      </w:pPr>
      <w:r>
        <w:rPr>
          <w:rFonts w:ascii="Arial" w:eastAsia="Arial" w:hAnsi="Arial" w:cs="Arial"/>
        </w:rPr>
        <w:t xml:space="preserve">The </w:t>
      </w:r>
      <w:r>
        <w:rPr>
          <w:rFonts w:ascii="Arial" w:eastAsia="Arial" w:hAnsi="Arial" w:cs="Arial"/>
          <w:b/>
          <w:i/>
        </w:rPr>
        <w:t>waste food materials</w:t>
      </w:r>
      <w:r>
        <w:rPr>
          <w:rFonts w:ascii="Arial" w:eastAsia="Arial" w:hAnsi="Arial" w:cs="Arial"/>
        </w:rPr>
        <w:t xml:space="preserve"> contribute to the emission of various greenhouse gases, particularly Methane. The</w:t>
      </w:r>
      <w:r>
        <w:rPr>
          <w:rFonts w:ascii="Arial" w:eastAsia="Arial" w:hAnsi="Arial" w:cs="Arial"/>
          <w:b/>
          <w:i/>
        </w:rPr>
        <w:t xml:space="preserve"> use of a single plastic</w:t>
      </w:r>
      <w:r>
        <w:rPr>
          <w:rFonts w:ascii="Arial" w:eastAsia="Arial" w:hAnsi="Arial" w:cs="Arial"/>
        </w:rPr>
        <w:t xml:space="preserve"> contributes to various environmental issues, such as air and soil pollution when it goes to landfill (Hossain </w:t>
      </w:r>
      <w:r>
        <w:rPr>
          <w:rFonts w:ascii="Arial" w:eastAsia="Arial" w:hAnsi="Arial" w:cs="Arial"/>
          <w:i/>
        </w:rPr>
        <w:t>et al</w:t>
      </w:r>
      <w:r>
        <w:rPr>
          <w:rFonts w:ascii="Arial" w:eastAsia="Arial" w:hAnsi="Arial" w:cs="Arial"/>
        </w:rPr>
        <w:t xml:space="preserve">. 2021). The Marriott </w:t>
      </w:r>
      <w:proofErr w:type="spellStart"/>
      <w:r>
        <w:rPr>
          <w:rFonts w:ascii="Arial" w:eastAsia="Arial" w:hAnsi="Arial" w:cs="Arial"/>
        </w:rPr>
        <w:t>Bonvey</w:t>
      </w:r>
      <w:proofErr w:type="spellEnd"/>
      <w:r>
        <w:rPr>
          <w:rFonts w:ascii="Arial" w:eastAsia="Arial" w:hAnsi="Arial" w:cs="Arial"/>
        </w:rPr>
        <w:t xml:space="preserve"> has yet to eliminate single-use plastics such as plastic bottles and straws </w:t>
      </w:r>
      <w:r>
        <w:rPr>
          <w:rFonts w:ascii="Arial" w:eastAsia="Arial" w:hAnsi="Arial" w:cs="Arial"/>
        </w:rPr>
        <w:lastRenderedPageBreak/>
        <w:t xml:space="preserve">(BW Hotelier, 2024). Furthermore, </w:t>
      </w:r>
      <w:r>
        <w:rPr>
          <w:rFonts w:ascii="Arial" w:eastAsia="Arial" w:hAnsi="Arial" w:cs="Arial"/>
          <w:b/>
          <w:i/>
        </w:rPr>
        <w:t>operational waste</w:t>
      </w:r>
      <w:r>
        <w:rPr>
          <w:rFonts w:ascii="Arial" w:eastAsia="Arial" w:hAnsi="Arial" w:cs="Arial"/>
        </w:rPr>
        <w:t xml:space="preserve"> or non-food waste such as electronics, textiles and paper are not fully comprehensive enough to prevent poor environmental impact on a large scale (Marriott Bonvoy, 2024). </w:t>
      </w:r>
    </w:p>
    <w:p w14:paraId="39D319D5" w14:textId="77777777" w:rsidR="00E1338B" w:rsidRDefault="00947E5E">
      <w:pPr>
        <w:pStyle w:val="Heading3"/>
      </w:pPr>
      <w:bookmarkStart w:id="4" w:name="_2et92p0" w:colFirst="0" w:colLast="0"/>
      <w:bookmarkEnd w:id="4"/>
      <w:r>
        <w:t xml:space="preserve">Greener Practice Initiative </w:t>
      </w:r>
    </w:p>
    <w:p w14:paraId="7292D39F" w14:textId="77777777" w:rsidR="00E1338B" w:rsidRDefault="00947E5E">
      <w:pPr>
        <w:rPr>
          <w:rFonts w:ascii="Arial" w:eastAsia="Arial" w:hAnsi="Arial" w:cs="Arial"/>
        </w:rPr>
      </w:pPr>
      <w:r>
        <w:rPr>
          <w:rFonts w:ascii="Arial" w:eastAsia="Arial" w:hAnsi="Arial" w:cs="Arial"/>
        </w:rPr>
        <w:t xml:space="preserve">In terms of reducing these sustainability gaps, this hotel should follow the </w:t>
      </w:r>
      <w:r>
        <w:rPr>
          <w:rFonts w:ascii="Arial" w:eastAsia="Arial" w:hAnsi="Arial" w:cs="Arial"/>
          <w:b/>
          <w:i/>
        </w:rPr>
        <w:t>Green Biz Eco-</w:t>
      </w:r>
      <w:r w:rsidR="004B1069">
        <w:rPr>
          <w:rFonts w:ascii="Arial" w:eastAsia="Arial" w:hAnsi="Arial" w:cs="Arial"/>
          <w:b/>
          <w:i/>
        </w:rPr>
        <w:t>Logistic</w:t>
      </w:r>
      <w:r>
        <w:rPr>
          <w:rFonts w:ascii="Arial" w:eastAsia="Arial" w:hAnsi="Arial" w:cs="Arial"/>
          <w:b/>
          <w:i/>
        </w:rPr>
        <w:t xml:space="preserve"> Initiative</w:t>
      </w:r>
      <w:r>
        <w:rPr>
          <w:rFonts w:ascii="Arial" w:eastAsia="Arial" w:hAnsi="Arial" w:cs="Arial"/>
        </w:rPr>
        <w:t xml:space="preserve">. In this initiative, the </w:t>
      </w:r>
      <w:r>
        <w:rPr>
          <w:rFonts w:ascii="Arial" w:eastAsia="Arial" w:hAnsi="Arial" w:cs="Arial"/>
          <w:b/>
          <w:i/>
        </w:rPr>
        <w:t>Waste Reduction and Recycling Initiative</w:t>
      </w:r>
      <w:r>
        <w:rPr>
          <w:rFonts w:ascii="Arial" w:eastAsia="Arial" w:hAnsi="Arial" w:cs="Arial"/>
        </w:rPr>
        <w:t xml:space="preserve"> will be essential to be implemented on the part of Marriott </w:t>
      </w:r>
      <w:proofErr w:type="spellStart"/>
      <w:r>
        <w:rPr>
          <w:rFonts w:ascii="Arial" w:eastAsia="Arial" w:hAnsi="Arial" w:cs="Arial"/>
        </w:rPr>
        <w:t>Bonvey</w:t>
      </w:r>
      <w:proofErr w:type="spellEnd"/>
      <w:r>
        <w:rPr>
          <w:rFonts w:ascii="Arial" w:eastAsia="Arial" w:hAnsi="Arial" w:cs="Arial"/>
        </w:rPr>
        <w:t xml:space="preserve">. The </w:t>
      </w:r>
      <w:r>
        <w:rPr>
          <w:rFonts w:ascii="Arial" w:eastAsia="Arial" w:hAnsi="Arial" w:cs="Arial"/>
          <w:b/>
          <w:i/>
        </w:rPr>
        <w:t>waste reduction and recycling initiative</w:t>
      </w:r>
      <w:r>
        <w:rPr>
          <w:rFonts w:ascii="Arial" w:eastAsia="Arial" w:hAnsi="Arial" w:cs="Arial"/>
        </w:rPr>
        <w:t xml:space="preserve"> refers to the practices of preventing the level of waste materials and turning them into new products (Kurniawan </w:t>
      </w:r>
      <w:r>
        <w:rPr>
          <w:rFonts w:ascii="Arial" w:eastAsia="Arial" w:hAnsi="Arial" w:cs="Arial"/>
          <w:i/>
        </w:rPr>
        <w:t>et al.</w:t>
      </w:r>
      <w:r>
        <w:rPr>
          <w:rFonts w:ascii="Arial" w:eastAsia="Arial" w:hAnsi="Arial" w:cs="Arial"/>
        </w:rPr>
        <w:t xml:space="preserve"> 2021). By lowering pollutants and greenhouse gas emissions and conserving energy and resources, waste reduction and recycling techniques greatly advance sustainability. This green practice project includes strategies like the Circular Economy, </w:t>
      </w:r>
      <w:r>
        <w:rPr>
          <w:rFonts w:ascii="Arial" w:eastAsia="Arial" w:hAnsi="Arial" w:cs="Arial"/>
          <w:b/>
          <w:i/>
        </w:rPr>
        <w:t>Eco-Friendly Packaging Policy, and Zero-Waste Kitchens</w:t>
      </w:r>
      <w:r>
        <w:rPr>
          <w:rFonts w:ascii="Arial" w:eastAsia="Arial" w:hAnsi="Arial" w:cs="Arial"/>
        </w:rPr>
        <w:t xml:space="preserve">. The methods used to avoid and eradicate food waste in the kitchen are referred to as the </w:t>
      </w:r>
      <w:r>
        <w:rPr>
          <w:rFonts w:ascii="Arial" w:eastAsia="Arial" w:hAnsi="Arial" w:cs="Arial"/>
          <w:b/>
          <w:i/>
        </w:rPr>
        <w:t>Zero-Waste Kitchens</w:t>
      </w:r>
      <w:r>
        <w:rPr>
          <w:rFonts w:ascii="Arial" w:eastAsia="Arial" w:hAnsi="Arial" w:cs="Arial"/>
        </w:rPr>
        <w:t xml:space="preserve"> approach (Das and Gurung, 2021). There are no waste materials left behind after meals are prepared using this method. Marriott Bonvoy can reduce the use of unnecessary ingredients and prepare meals with fewer ingredients. With the help of reuse and r</w:t>
      </w:r>
      <w:r w:rsidR="004B1069">
        <w:rPr>
          <w:rFonts w:ascii="Arial" w:eastAsia="Arial" w:hAnsi="Arial" w:cs="Arial"/>
        </w:rPr>
        <w:t>ecycling strategies, Marriott Bo</w:t>
      </w:r>
      <w:r>
        <w:rPr>
          <w:rFonts w:ascii="Arial" w:eastAsia="Arial" w:hAnsi="Arial" w:cs="Arial"/>
        </w:rPr>
        <w:t xml:space="preserve">nvoy will be able to reduce the food leftovers significantly. For example, The Hilton London Bankside Hotel implemented Zero-Waste kitchen initiatives for hotels in the UK (Bates, 2024). Implementing this approach of the Waste Reduction and Recycling Initiative helped them to reduce food waste materials across their hotels. Hilton London Bankside Hotel suggested that they have experienced a 62% reduction in food waste materials in just a few months from their 13 hotels (Bates, 2024). </w:t>
      </w:r>
    </w:p>
    <w:p w14:paraId="05CD7366" w14:textId="77777777" w:rsidR="00E1338B" w:rsidRDefault="00947E5E">
      <w:pPr>
        <w:rPr>
          <w:rFonts w:ascii="Arial" w:eastAsia="Arial" w:hAnsi="Arial" w:cs="Arial"/>
        </w:rPr>
      </w:pPr>
      <w:r>
        <w:rPr>
          <w:rFonts w:ascii="Arial" w:eastAsia="Arial" w:hAnsi="Arial" w:cs="Arial"/>
        </w:rPr>
        <w:t xml:space="preserve">According to </w:t>
      </w:r>
      <w:proofErr w:type="spellStart"/>
      <w:r>
        <w:rPr>
          <w:rFonts w:ascii="Arial" w:eastAsia="Arial" w:hAnsi="Arial" w:cs="Arial"/>
        </w:rPr>
        <w:t>Agbelusi</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(2024), these methods contribute to the reduction of waste-generated materials, the prevention of pollution, and the improvement of environmental health. There are a few efficient, greener strategies that may be used to increase the hotel environment's operational efficiency to lessen Marriott </w:t>
      </w:r>
      <w:proofErr w:type="spellStart"/>
      <w:r>
        <w:rPr>
          <w:rFonts w:ascii="Arial" w:eastAsia="Arial" w:hAnsi="Arial" w:cs="Arial"/>
        </w:rPr>
        <w:t>Bonvey's</w:t>
      </w:r>
      <w:proofErr w:type="spellEnd"/>
      <w:r>
        <w:rPr>
          <w:rFonts w:ascii="Arial" w:eastAsia="Arial" w:hAnsi="Arial" w:cs="Arial"/>
        </w:rPr>
        <w:t xml:space="preserve"> sustainability gaps (Kim </w:t>
      </w:r>
      <w:r>
        <w:rPr>
          <w:rFonts w:ascii="Arial" w:eastAsia="Arial" w:hAnsi="Arial" w:cs="Arial"/>
          <w:i/>
        </w:rPr>
        <w:t>et al.</w:t>
      </w:r>
      <w:r>
        <w:rPr>
          <w:rFonts w:ascii="Arial" w:eastAsia="Arial" w:hAnsi="Arial" w:cs="Arial"/>
        </w:rPr>
        <w:t xml:space="preserve"> 2024). </w:t>
      </w:r>
    </w:p>
    <w:p w14:paraId="35D0D477" w14:textId="77777777" w:rsidR="00E1338B" w:rsidRDefault="00947E5E">
      <w:pPr>
        <w:rPr>
          <w:rFonts w:ascii="Arial" w:eastAsia="Arial" w:hAnsi="Arial" w:cs="Arial"/>
        </w:rPr>
      </w:pPr>
      <w:r>
        <w:rPr>
          <w:rFonts w:ascii="Arial" w:eastAsia="Arial" w:hAnsi="Arial" w:cs="Arial"/>
        </w:rPr>
        <w:t xml:space="preserve">Implementing Zero- Waste Kitchen methods will lead towards reducing Marriott </w:t>
      </w:r>
      <w:proofErr w:type="spellStart"/>
      <w:r>
        <w:rPr>
          <w:rFonts w:ascii="Arial" w:eastAsia="Arial" w:hAnsi="Arial" w:cs="Arial"/>
        </w:rPr>
        <w:t>Bonvovey’s</w:t>
      </w:r>
      <w:proofErr w:type="spellEnd"/>
      <w:r>
        <w:rPr>
          <w:rFonts w:ascii="Arial" w:eastAsia="Arial" w:hAnsi="Arial" w:cs="Arial"/>
        </w:rPr>
        <w:t xml:space="preserve"> food waste. The utilisation of Eco- Friendly Packaging will help to reduce the single - use of plastics. (</w:t>
      </w:r>
      <w:proofErr w:type="spellStart"/>
      <w:r>
        <w:rPr>
          <w:rFonts w:ascii="Arial" w:eastAsia="Arial" w:hAnsi="Arial" w:cs="Arial"/>
        </w:rPr>
        <w:t>Shimul</w:t>
      </w:r>
      <w:proofErr w:type="spellEnd"/>
      <w:r>
        <w:rPr>
          <w:rFonts w:ascii="Arial" w:eastAsia="Arial" w:hAnsi="Arial" w:cs="Arial"/>
        </w:rPr>
        <w:t xml:space="preserve"> and Cheah, 2023). The Eco-Friendly Packaging policy </w:t>
      </w:r>
      <w:r>
        <w:rPr>
          <w:rFonts w:ascii="Arial" w:eastAsia="Arial" w:hAnsi="Arial" w:cs="Arial"/>
        </w:rPr>
        <w:lastRenderedPageBreak/>
        <w:t xml:space="preserve">will help the Marriott Bonvoy to reduce the impact of plastic on the environment through using organic goods. This policy helps the company produce materials that are easy to recycle and lowers the energy and natural resources use (Celestin </w:t>
      </w:r>
      <w:r>
        <w:rPr>
          <w:rFonts w:ascii="Arial" w:eastAsia="Arial" w:hAnsi="Arial" w:cs="Arial"/>
          <w:i/>
        </w:rPr>
        <w:t>et al.</w:t>
      </w:r>
      <w:r>
        <w:rPr>
          <w:rFonts w:ascii="Arial" w:eastAsia="Arial" w:hAnsi="Arial" w:cs="Arial"/>
        </w:rPr>
        <w:t xml:space="preserve"> 2024). </w:t>
      </w:r>
    </w:p>
    <w:p w14:paraId="2773ACDA" w14:textId="77777777" w:rsidR="00E1338B" w:rsidRDefault="00947E5E">
      <w:pPr>
        <w:rPr>
          <w:rFonts w:ascii="Arial" w:eastAsia="Arial" w:hAnsi="Arial" w:cs="Arial"/>
        </w:rPr>
      </w:pPr>
      <w:r>
        <w:rPr>
          <w:rFonts w:ascii="Arial" w:eastAsia="Arial" w:hAnsi="Arial" w:cs="Arial"/>
        </w:rPr>
        <w:t xml:space="preserve">in order to reduce waste and recycle textiles and furniture items the utilisation of the Circular Economy Approach helps in lowering the operational waste-related components (Barreiro-Gen and Lozano, 2020). according to the Circular economy approach, items such as textiles and furniture are required to extend their life cycle by recycling, reuse and refurbishment. By reducing the futurities and textiles with long uses the circular economy strategies will benefit Marriott </w:t>
      </w:r>
      <w:proofErr w:type="spellStart"/>
      <w:r>
        <w:rPr>
          <w:rFonts w:ascii="Arial" w:eastAsia="Arial" w:hAnsi="Arial" w:cs="Arial"/>
        </w:rPr>
        <w:t>Bonvey’s</w:t>
      </w:r>
      <w:proofErr w:type="spellEnd"/>
      <w:r>
        <w:rPr>
          <w:rFonts w:ascii="Arial" w:eastAsia="Arial" w:hAnsi="Arial" w:cs="Arial"/>
        </w:rPr>
        <w:t xml:space="preserve"> sustainability policies. (Rodríguez-</w:t>
      </w:r>
      <w:proofErr w:type="spellStart"/>
      <w:r>
        <w:rPr>
          <w:rFonts w:ascii="Arial" w:eastAsia="Arial" w:hAnsi="Arial" w:cs="Arial"/>
        </w:rPr>
        <w:t>Espíndola</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2022). The Green House Hotel, for example, applied the circular economy approach to upcycling the products and sustainability in their furniture. (Sault, 2024).</w:t>
      </w:r>
    </w:p>
    <w:p w14:paraId="1BBAF5F3" w14:textId="77777777" w:rsidR="00E1338B" w:rsidRDefault="00947E5E">
      <w:pPr>
        <w:rPr>
          <w:rFonts w:ascii="Arial" w:eastAsia="Arial" w:hAnsi="Arial" w:cs="Arial"/>
        </w:rPr>
      </w:pPr>
      <w:r>
        <w:rPr>
          <w:rFonts w:ascii="Arial" w:eastAsia="Arial" w:hAnsi="Arial" w:cs="Arial"/>
        </w:rPr>
        <w:t>To tackle the amount of plastic used in their commercial operations, the Radisson Blu Hotel has implemented an eco-friendly packaging policy (Radisson Hotel Group, 2021). It has been evidenced that by using greener techniques, the company has been able to reduce waste, lessen its influence on the environment, and encourage sustainability (Radisson Hotel Group, 2021).</w:t>
      </w:r>
    </w:p>
    <w:p w14:paraId="6E7A1B14" w14:textId="77777777" w:rsidR="00E1338B" w:rsidRDefault="00947E5E">
      <w:pPr>
        <w:pStyle w:val="Heading2"/>
      </w:pPr>
      <w:bookmarkStart w:id="5" w:name="_tyjcwt" w:colFirst="0" w:colLast="0"/>
      <w:bookmarkEnd w:id="5"/>
      <w:r>
        <w:t>Potential challenges by Green Biz Eco-</w:t>
      </w:r>
      <w:r w:rsidR="004B1069">
        <w:t>Logistic</w:t>
      </w:r>
      <w:r>
        <w:t xml:space="preserve"> Initiative for the Marriott Bonvoy</w:t>
      </w:r>
    </w:p>
    <w:p w14:paraId="5D6DCA1F" w14:textId="77777777" w:rsidR="00E1338B" w:rsidRDefault="00947E5E">
      <w:pPr>
        <w:rPr>
          <w:rFonts w:ascii="Arial" w:eastAsia="Arial" w:hAnsi="Arial" w:cs="Arial"/>
        </w:rPr>
      </w:pPr>
      <w:r>
        <w:rPr>
          <w:rFonts w:ascii="Arial" w:eastAsia="Arial" w:hAnsi="Arial" w:cs="Arial"/>
        </w:rPr>
        <w:t xml:space="preserve">The recommended </w:t>
      </w:r>
      <w:r>
        <w:rPr>
          <w:rFonts w:ascii="Arial" w:eastAsia="Arial" w:hAnsi="Arial" w:cs="Arial"/>
          <w:b/>
          <w:i/>
        </w:rPr>
        <w:t>Green Biz Eco-</w:t>
      </w:r>
      <w:r w:rsidR="004B1069">
        <w:rPr>
          <w:rFonts w:ascii="Arial" w:eastAsia="Arial" w:hAnsi="Arial" w:cs="Arial"/>
          <w:b/>
          <w:i/>
        </w:rPr>
        <w:t>Logistic</w:t>
      </w:r>
      <w:r>
        <w:rPr>
          <w:rFonts w:ascii="Arial" w:eastAsia="Arial" w:hAnsi="Arial" w:cs="Arial"/>
          <w:b/>
          <w:i/>
        </w:rPr>
        <w:t xml:space="preserve"> Initiative</w:t>
      </w:r>
      <w:r>
        <w:rPr>
          <w:rFonts w:ascii="Arial" w:eastAsia="Arial" w:hAnsi="Arial" w:cs="Arial"/>
        </w:rPr>
        <w:t xml:space="preserve"> can deliver various challenges in terms of implementing it within Marriott Bonvoy. The lack of shortening waste properly is considered the primary reason for challenges in implementing a reduction and recycling approach within Marriott Bonvoy.</w:t>
      </w:r>
    </w:p>
    <w:p w14:paraId="57EFEAD7" w14:textId="77777777" w:rsidR="00E1338B" w:rsidRDefault="00947E5E">
      <w:pPr>
        <w:rPr>
          <w:rFonts w:ascii="Arial" w:eastAsia="Arial" w:hAnsi="Arial" w:cs="Arial"/>
        </w:rPr>
      </w:pPr>
      <w:r>
        <w:rPr>
          <w:rFonts w:ascii="Arial" w:eastAsia="Arial" w:hAnsi="Arial" w:cs="Arial"/>
        </w:rPr>
        <w:t xml:space="preserve">Adopting the </w:t>
      </w:r>
      <w:r>
        <w:rPr>
          <w:rFonts w:ascii="Arial" w:eastAsia="Arial" w:hAnsi="Arial" w:cs="Arial"/>
          <w:b/>
          <w:i/>
        </w:rPr>
        <w:t>Waste Reduction and Recycling approach and Zero-Waste Kitchens approach</w:t>
      </w:r>
      <w:r>
        <w:rPr>
          <w:rFonts w:ascii="Arial" w:eastAsia="Arial" w:hAnsi="Arial" w:cs="Arial"/>
        </w:rPr>
        <w:t xml:space="preserve"> can also pose significant financial constraints, such as high training costs, seasonal costs, and operational costs can make the implementation process difficult (Das and Gurung, 2021). Furthermore, the use of food scraps for the dishes, storing the meals in reusable containers and composting the overload food scraps need adequate costing (</w:t>
      </w:r>
      <w:proofErr w:type="spellStart"/>
      <w:r>
        <w:rPr>
          <w:rFonts w:ascii="Arial" w:eastAsia="Arial" w:hAnsi="Arial" w:cs="Arial"/>
        </w:rPr>
        <w:t>Tchonkouang</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2023). This can affect Marriott in terms of increasing service costs, as it takes a significant amount of resources to implement these strategies and regularise them. </w:t>
      </w:r>
    </w:p>
    <w:p w14:paraId="2A11234E" w14:textId="77777777" w:rsidR="00E1338B" w:rsidRDefault="00947E5E">
      <w:pPr>
        <w:rPr>
          <w:rFonts w:ascii="Arial" w:eastAsia="Arial" w:hAnsi="Arial" w:cs="Arial"/>
        </w:rPr>
      </w:pPr>
      <w:r>
        <w:rPr>
          <w:rFonts w:ascii="Arial" w:eastAsia="Arial" w:hAnsi="Arial" w:cs="Arial"/>
        </w:rPr>
        <w:lastRenderedPageBreak/>
        <w:t xml:space="preserve">Despite its effective impact while implementing the </w:t>
      </w:r>
      <w:r>
        <w:rPr>
          <w:rFonts w:ascii="Arial" w:eastAsia="Arial" w:hAnsi="Arial" w:cs="Arial"/>
          <w:b/>
          <w:i/>
        </w:rPr>
        <w:t>Eco-Friendly Packaging Policy</w:t>
      </w:r>
      <w:r>
        <w:rPr>
          <w:rFonts w:ascii="Arial" w:eastAsia="Arial" w:hAnsi="Arial" w:cs="Arial"/>
        </w:rPr>
        <w:t xml:space="preserve"> few challenges can occur due to a lack of awareness and change resistance. Furthermore, a large amount of budget is required for recyclable packaging and biodegradable products for their disposable items (</w:t>
      </w:r>
      <w:proofErr w:type="spellStart"/>
      <w:r>
        <w:rPr>
          <w:rFonts w:ascii="Arial" w:eastAsia="Arial" w:hAnsi="Arial" w:cs="Arial"/>
        </w:rPr>
        <w:t>Shimul</w:t>
      </w:r>
      <w:proofErr w:type="spellEnd"/>
      <w:r>
        <w:rPr>
          <w:rFonts w:ascii="Arial" w:eastAsia="Arial" w:hAnsi="Arial" w:cs="Arial"/>
        </w:rPr>
        <w:t xml:space="preserve"> and Cheah, 2023). Organic products made with natural ingredients also need adequate investment in implementing eco-friendly packaging practices in the Marriott Bonvoy. </w:t>
      </w:r>
    </w:p>
    <w:p w14:paraId="6E844212" w14:textId="77777777" w:rsidR="00E1338B" w:rsidRDefault="00947E5E">
      <w:pPr>
        <w:rPr>
          <w:rFonts w:ascii="Arial" w:eastAsia="Arial" w:hAnsi="Arial" w:cs="Arial"/>
        </w:rPr>
      </w:pPr>
      <w:r>
        <w:rPr>
          <w:rFonts w:ascii="Arial" w:eastAsia="Arial" w:hAnsi="Arial" w:cs="Arial"/>
        </w:rPr>
        <w:t xml:space="preserve">Adopting the </w:t>
      </w:r>
      <w:r>
        <w:rPr>
          <w:rFonts w:ascii="Arial" w:eastAsia="Arial" w:hAnsi="Arial" w:cs="Arial"/>
          <w:b/>
          <w:i/>
        </w:rPr>
        <w:t>Circular Economy Approach</w:t>
      </w:r>
      <w:r>
        <w:rPr>
          <w:rFonts w:ascii="Arial" w:eastAsia="Arial" w:hAnsi="Arial" w:cs="Arial"/>
        </w:rPr>
        <w:t xml:space="preserve"> in Marriott Bonvoy will pose challenges related to extensive investment costs and lack of infrastructure. Replacing the legacy system of textiles and furniture within Marriott Bonvoy can be expensive and require adequate investment (</w:t>
      </w:r>
      <w:proofErr w:type="spellStart"/>
      <w:r>
        <w:rPr>
          <w:rFonts w:ascii="Arial" w:eastAsia="Arial" w:hAnsi="Arial" w:cs="Arial"/>
        </w:rPr>
        <w:t>Sassanelli</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2020). Utilising a circular economy for textile and furniture products within the Marriott Bonvoy in terms of reusing and recycling different materials requires proper infrastructure. Building a circularity infrastructure necessitates a business to undertake a series of measurements, such as using renewable materials for construction, designing to reuse, using modular design and others, which requires a significant amount of time (Rodríguez-</w:t>
      </w:r>
      <w:proofErr w:type="spellStart"/>
      <w:r>
        <w:rPr>
          <w:rFonts w:ascii="Arial" w:eastAsia="Arial" w:hAnsi="Arial" w:cs="Arial"/>
        </w:rPr>
        <w:t>Espíndola</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2022). This can be a big problem for Marriott besides serving a series of quality customers regularly, which is a challenging prospect. </w:t>
      </w:r>
    </w:p>
    <w:p w14:paraId="62E7AB77" w14:textId="77777777" w:rsidR="00E1338B" w:rsidRDefault="00947E5E">
      <w:pPr>
        <w:pStyle w:val="Heading2"/>
      </w:pPr>
      <w:bookmarkStart w:id="6" w:name="_3dy6vkm" w:colFirst="0" w:colLast="0"/>
      <w:bookmarkEnd w:id="6"/>
      <w:r>
        <w:t>Green Biz Eco-</w:t>
      </w:r>
      <w:r w:rsidR="004B1069">
        <w:t>Logistic</w:t>
      </w:r>
      <w:r>
        <w:t xml:space="preserve"> Initiative benefit the environment.</w:t>
      </w:r>
    </w:p>
    <w:p w14:paraId="6CA9E8E4" w14:textId="77777777" w:rsidR="00E1338B" w:rsidRDefault="00947E5E">
      <w:pPr>
        <w:rPr>
          <w:rFonts w:ascii="Arial" w:eastAsia="Arial" w:hAnsi="Arial" w:cs="Arial"/>
        </w:rPr>
      </w:pPr>
      <w:r>
        <w:rPr>
          <w:rFonts w:ascii="Arial" w:eastAsia="Arial" w:hAnsi="Arial" w:cs="Arial"/>
        </w:rPr>
        <w:t>The Green Biz Eco-</w:t>
      </w:r>
      <w:r w:rsidR="004B1069">
        <w:rPr>
          <w:rFonts w:ascii="Arial" w:eastAsia="Arial" w:hAnsi="Arial" w:cs="Arial"/>
        </w:rPr>
        <w:t>Logistic</w:t>
      </w:r>
      <w:r>
        <w:rPr>
          <w:rFonts w:ascii="Arial" w:eastAsia="Arial" w:hAnsi="Arial" w:cs="Arial"/>
        </w:rPr>
        <w:t xml:space="preserve"> Initiative can significantly benefit the environment by conserving natural resources, reducing pollution, lowering carbon footprint, and reducing water usage. </w:t>
      </w:r>
    </w:p>
    <w:p w14:paraId="4D586BE9" w14:textId="77777777" w:rsidR="00E1338B" w:rsidRDefault="00947E5E">
      <w:pPr>
        <w:pStyle w:val="Heading3"/>
      </w:pPr>
      <w:bookmarkStart w:id="7" w:name="_1t3h5sf" w:colFirst="0" w:colLast="0"/>
      <w:bookmarkEnd w:id="7"/>
      <w:r>
        <w:t>Conserving Natural Resources</w:t>
      </w:r>
    </w:p>
    <w:p w14:paraId="5430B7DD" w14:textId="77777777" w:rsidR="00E1338B" w:rsidRDefault="00947E5E">
      <w:pPr>
        <w:rPr>
          <w:rFonts w:ascii="Arial" w:eastAsia="Arial" w:hAnsi="Arial" w:cs="Arial"/>
        </w:rPr>
      </w:pPr>
      <w:r>
        <w:rPr>
          <w:rFonts w:ascii="Arial" w:eastAsia="Arial" w:hAnsi="Arial" w:cs="Arial"/>
        </w:rPr>
        <w:t>Conserving Natural Resources typically refers to the process of taking care of the natural resources of the Earth, such as water, air, minerals, soil and plants (</w:t>
      </w:r>
      <w:proofErr w:type="spellStart"/>
      <w:r>
        <w:rPr>
          <w:rFonts w:ascii="Arial" w:eastAsia="Arial" w:hAnsi="Arial" w:cs="Arial"/>
        </w:rPr>
        <w:t>Wassie</w:t>
      </w:r>
      <w:proofErr w:type="spellEnd"/>
      <w:r>
        <w:rPr>
          <w:rFonts w:ascii="Arial" w:eastAsia="Arial" w:hAnsi="Arial" w:cs="Arial"/>
        </w:rPr>
        <w:t xml:space="preserve">, 2020). In terms of improving the environmental condition, greener practices like the Waste Reduction and Recycling Initiative help to conserve these natural resources. This initiative benefits the environment by maintaining ecological balance and reducing waste materials (Kurniawan </w:t>
      </w:r>
      <w:r>
        <w:rPr>
          <w:rFonts w:ascii="Arial" w:eastAsia="Arial" w:hAnsi="Arial" w:cs="Arial"/>
          <w:i/>
        </w:rPr>
        <w:t>et al</w:t>
      </w:r>
      <w:r>
        <w:rPr>
          <w:rFonts w:ascii="Arial" w:eastAsia="Arial" w:hAnsi="Arial" w:cs="Arial"/>
        </w:rPr>
        <w:t xml:space="preserve">. 2022). For example, recycling one ton of paper saves 410 kWh of energy, 7,000 gallons of water, and 17 trees (MIT Facilities, 2024). The aspect of recycling significantly helps in terms of reducing the need for raw materials, and recycling programs also help to divert waste from landfills and incinerators, which reduces pollution and </w:t>
      </w:r>
      <w:r>
        <w:rPr>
          <w:rFonts w:ascii="Arial" w:eastAsia="Arial" w:hAnsi="Arial" w:cs="Arial"/>
        </w:rPr>
        <w:lastRenderedPageBreak/>
        <w:t xml:space="preserve">greenhouse emissions. Thus, the Eco-Friendly Packaging Policy can reduce the loss of natural resources. </w:t>
      </w:r>
    </w:p>
    <w:p w14:paraId="6C0A7A8A" w14:textId="77777777" w:rsidR="00E1338B" w:rsidRDefault="00947E5E">
      <w:pPr>
        <w:pStyle w:val="Heading3"/>
      </w:pPr>
      <w:bookmarkStart w:id="8" w:name="_4d34og8" w:colFirst="0" w:colLast="0"/>
      <w:bookmarkEnd w:id="8"/>
      <w:r>
        <w:t>Reducing Pollution</w:t>
      </w:r>
    </w:p>
    <w:p w14:paraId="690BF77E" w14:textId="77777777" w:rsidR="00E1338B" w:rsidRDefault="00947E5E">
      <w:pPr>
        <w:rPr>
          <w:rFonts w:ascii="Arial" w:eastAsia="Arial" w:hAnsi="Arial" w:cs="Arial"/>
        </w:rPr>
      </w:pPr>
      <w:r>
        <w:rPr>
          <w:rFonts w:ascii="Arial" w:eastAsia="Arial" w:hAnsi="Arial" w:cs="Arial"/>
        </w:rPr>
        <w:t xml:space="preserve">Reducing Pollution indicates the process of preventing the release of harmful materials into the environment (Sofia </w:t>
      </w:r>
      <w:r>
        <w:rPr>
          <w:rFonts w:ascii="Arial" w:eastAsia="Arial" w:hAnsi="Arial" w:cs="Arial"/>
          <w:i/>
        </w:rPr>
        <w:t>et al</w:t>
      </w:r>
      <w:r>
        <w:rPr>
          <w:rFonts w:ascii="Arial" w:eastAsia="Arial" w:hAnsi="Arial" w:cs="Arial"/>
        </w:rPr>
        <w:t xml:space="preserve">. 2020). Waste Reduction and Recycling Initiative effectively reduces the release the pollution substances into the environment. Furthermore, this also prevents landfill waste and greenhouse emissions (Velis </w:t>
      </w:r>
      <w:r>
        <w:rPr>
          <w:rFonts w:ascii="Arial" w:eastAsia="Arial" w:hAnsi="Arial" w:cs="Arial"/>
          <w:i/>
        </w:rPr>
        <w:t>et al</w:t>
      </w:r>
      <w:r>
        <w:rPr>
          <w:rFonts w:ascii="Arial" w:eastAsia="Arial" w:hAnsi="Arial" w:cs="Arial"/>
        </w:rPr>
        <w:t xml:space="preserve">. 2022). As mentioned in the report of “The Environmental Protection Agency (EPA)”, the reusing and recycling process for landfill waste prevented approximately 94 million tons of water in 2028 from landfills in the United States (Environmental Protection Agency, 2024). Recycling waste reduction initiatives effectively divert the aspect of waste from landfills, which is important for reducing pollution. As landfills are a significant source of methane, which is one of the primary reasons for climate change, this aspect is vital for the mitigation of climate change. </w:t>
      </w:r>
    </w:p>
    <w:p w14:paraId="0B228441" w14:textId="77777777" w:rsidR="00E1338B" w:rsidRDefault="00947E5E">
      <w:pPr>
        <w:pStyle w:val="Heading3"/>
      </w:pPr>
      <w:bookmarkStart w:id="9" w:name="_2s8eyo1" w:colFirst="0" w:colLast="0"/>
      <w:bookmarkEnd w:id="9"/>
      <w:r>
        <w:t xml:space="preserve">Lowering Carbon Footprint   </w:t>
      </w:r>
    </w:p>
    <w:p w14:paraId="46385F2B" w14:textId="77777777" w:rsidR="00E1338B" w:rsidRDefault="00947E5E">
      <w:pPr>
        <w:rPr>
          <w:rFonts w:ascii="Arial" w:eastAsia="Arial" w:hAnsi="Arial" w:cs="Arial"/>
        </w:rPr>
      </w:pPr>
      <w:r>
        <w:rPr>
          <w:rFonts w:ascii="Arial" w:eastAsia="Arial" w:hAnsi="Arial" w:cs="Arial"/>
        </w:rPr>
        <w:t>Carbon footprints can be reduced by changing purchasing habits and lifestyles and enhancing energy efficiency (</w:t>
      </w:r>
      <w:proofErr w:type="spellStart"/>
      <w:r>
        <w:rPr>
          <w:rFonts w:ascii="Arial" w:eastAsia="Arial" w:hAnsi="Arial" w:cs="Arial"/>
        </w:rPr>
        <w:t>Holka</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2022). Waste Reduction and Recycling Initiative can help to lower the number of carbon footprints by preventing the use of energy and recycling manufacturing products from raw materials (Razzaq </w:t>
      </w:r>
      <w:r>
        <w:rPr>
          <w:rFonts w:ascii="Arial" w:eastAsia="Arial" w:hAnsi="Arial" w:cs="Arial"/>
          <w:i/>
        </w:rPr>
        <w:t>et al</w:t>
      </w:r>
      <w:r>
        <w:rPr>
          <w:rFonts w:ascii="Arial" w:eastAsia="Arial" w:hAnsi="Arial" w:cs="Arial"/>
        </w:rPr>
        <w:t>. 2021). EPA report suggested that recycling Aluminium from raw materials can save approximately 95% of energy rather than making it (Environmental Protection Agency, 2024).</w:t>
      </w:r>
    </w:p>
    <w:p w14:paraId="7BA7DF3E" w14:textId="77777777" w:rsidR="00E1338B" w:rsidRDefault="00947E5E">
      <w:pPr>
        <w:pStyle w:val="Heading3"/>
      </w:pPr>
      <w:bookmarkStart w:id="10" w:name="_17dp8vu" w:colFirst="0" w:colLast="0"/>
      <w:bookmarkEnd w:id="10"/>
      <w:r>
        <w:t>Reducing Water Usage</w:t>
      </w:r>
    </w:p>
    <w:p w14:paraId="722C3991" w14:textId="77777777" w:rsidR="00E1338B" w:rsidRDefault="00947E5E">
      <w:pPr>
        <w:rPr>
          <w:rFonts w:ascii="Arial" w:eastAsia="Arial" w:hAnsi="Arial" w:cs="Arial"/>
        </w:rPr>
      </w:pPr>
      <w:r>
        <w:rPr>
          <w:rFonts w:ascii="Arial" w:eastAsia="Arial" w:hAnsi="Arial" w:cs="Arial"/>
        </w:rPr>
        <w:t>Reducing Water Usage involves the process of lowering water consumption and waste by wisely using water sources (</w:t>
      </w:r>
      <w:proofErr w:type="spellStart"/>
      <w:r>
        <w:rPr>
          <w:rFonts w:ascii="Arial" w:eastAsia="Arial" w:hAnsi="Arial" w:cs="Arial"/>
        </w:rPr>
        <w:t>Abduraimova</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2022). Reducing water usage can benefit the environment by preventing scarcity and protecting water suppliers (</w:t>
      </w:r>
      <w:proofErr w:type="spellStart"/>
      <w:r>
        <w:rPr>
          <w:rFonts w:ascii="Arial" w:eastAsia="Arial" w:hAnsi="Arial" w:cs="Arial"/>
        </w:rPr>
        <w:t>Kılıç</w:t>
      </w:r>
      <w:proofErr w:type="spellEnd"/>
      <w:r>
        <w:rPr>
          <w:rFonts w:ascii="Arial" w:eastAsia="Arial" w:hAnsi="Arial" w:cs="Arial"/>
        </w:rPr>
        <w:t xml:space="preserve">, 2020). Reducing water usage helps to improve environmental impact by saving water, and reducing its usage protects human health and supports biodiversity and ecosystems. The Public Utilities Board (PUB) of Singapore successfully implemented a rainwater harvesting system to reduce water usage across the country (Public Utilities Board, 2024).  This effort helped to save water usage of approximately 400 million gallons in a year, which positively benefited the environment (Public Utilities Board, 2024). </w:t>
      </w:r>
    </w:p>
    <w:p w14:paraId="25A96D08" w14:textId="77777777" w:rsidR="00E1338B" w:rsidRDefault="00947E5E">
      <w:pPr>
        <w:pStyle w:val="Heading1"/>
      </w:pPr>
      <w:bookmarkStart w:id="11" w:name="_3rdcrjn" w:colFirst="0" w:colLast="0"/>
      <w:bookmarkEnd w:id="11"/>
      <w:r>
        <w:lastRenderedPageBreak/>
        <w:t xml:space="preserve">Conclusion and Recommendation </w:t>
      </w:r>
    </w:p>
    <w:p w14:paraId="6FC8A166" w14:textId="77777777" w:rsidR="00E1338B" w:rsidRDefault="00947E5E">
      <w:pPr>
        <w:pStyle w:val="Heading2"/>
      </w:pPr>
      <w:bookmarkStart w:id="12" w:name="_26in1rg" w:colFirst="0" w:colLast="0"/>
      <w:bookmarkEnd w:id="12"/>
      <w:r>
        <w:t>Conclusion</w:t>
      </w:r>
    </w:p>
    <w:p w14:paraId="7EE4A98E" w14:textId="77777777" w:rsidR="00E1338B" w:rsidRDefault="00947E5E">
      <w:pPr>
        <w:rPr>
          <w:rFonts w:ascii="Arial" w:eastAsia="Arial" w:hAnsi="Arial" w:cs="Arial"/>
        </w:rPr>
      </w:pPr>
      <w:r>
        <w:rPr>
          <w:rFonts w:ascii="Arial" w:eastAsia="Arial" w:hAnsi="Arial" w:cs="Arial"/>
        </w:rPr>
        <w:t>This report focused on effective greener practices in the Marriott Bonvoy Hotel in the improvement of their sustainable practices. Furthermore, this report also analysed the sustainability gap of Marriott Bonvoy, like the lack of meeting their Serve 360 sustainability. It has also been analysed in this report that significant greener practices initiatives like the Green Biz Eco-</w:t>
      </w:r>
      <w:r w:rsidR="004B1069">
        <w:rPr>
          <w:rFonts w:ascii="Arial" w:eastAsia="Arial" w:hAnsi="Arial" w:cs="Arial"/>
        </w:rPr>
        <w:t>Logistic</w:t>
      </w:r>
      <w:r>
        <w:rPr>
          <w:rFonts w:ascii="Arial" w:eastAsia="Arial" w:hAnsi="Arial" w:cs="Arial"/>
        </w:rPr>
        <w:t xml:space="preserve"> Initiative significantly help to mitigate the sustainability gap of Marriott Bonvoy. Promoting a zero-waste kitchen approach, eco-friendly packaging, and a circular economy can effectively mitigate this gap. Additionally, potential challenges of Green Biz Eco-</w:t>
      </w:r>
      <w:r w:rsidR="004B1069">
        <w:rPr>
          <w:rFonts w:ascii="Arial" w:eastAsia="Arial" w:hAnsi="Arial" w:cs="Arial"/>
        </w:rPr>
        <w:t>Logistic</w:t>
      </w:r>
      <w:r>
        <w:rPr>
          <w:rFonts w:ascii="Arial" w:eastAsia="Arial" w:hAnsi="Arial" w:cs="Arial"/>
        </w:rPr>
        <w:t xml:space="preserve"> Initiative, such as saving natural resources, reducing pollution and lowering carbon footprints also added to this report. </w:t>
      </w:r>
    </w:p>
    <w:p w14:paraId="2549B52F" w14:textId="77777777" w:rsidR="00E1338B" w:rsidRDefault="00947E5E">
      <w:pPr>
        <w:pStyle w:val="Heading2"/>
      </w:pPr>
      <w:bookmarkStart w:id="13" w:name="_lnxbz9" w:colFirst="0" w:colLast="0"/>
      <w:bookmarkEnd w:id="13"/>
      <w:r>
        <w:t>Recommendations</w:t>
      </w:r>
    </w:p>
    <w:p w14:paraId="17B884A6" w14:textId="77777777" w:rsidR="00E1338B" w:rsidRDefault="00947E5E">
      <w:pPr>
        <w:rPr>
          <w:rFonts w:ascii="Arial" w:eastAsia="Arial" w:hAnsi="Arial" w:cs="Arial"/>
          <w:b/>
        </w:rPr>
      </w:pPr>
      <w:r>
        <w:rPr>
          <w:rFonts w:ascii="Arial" w:eastAsia="Arial" w:hAnsi="Arial" w:cs="Arial"/>
          <w:b/>
        </w:rPr>
        <w:t xml:space="preserve">Provide Training </w:t>
      </w:r>
    </w:p>
    <w:p w14:paraId="1CC58D1A" w14:textId="77777777" w:rsidR="00E1338B" w:rsidRDefault="00947E5E">
      <w:pPr>
        <w:rPr>
          <w:rFonts w:ascii="Arial" w:eastAsia="Arial" w:hAnsi="Arial" w:cs="Arial"/>
        </w:rPr>
      </w:pPr>
      <w:r>
        <w:rPr>
          <w:rFonts w:ascii="Arial" w:eastAsia="Arial" w:hAnsi="Arial" w:cs="Arial"/>
        </w:rPr>
        <w:t>The Marriott Bonvoy should invest in providing a training programme related to sustainability practices to improve the understanding of sustainability practices among their employee. This approach will help Marriott Bonvoy to identify its sustainability gaps and provide insights to mitigate them and also benefit its production efficiency (Van der Oord and Tripp, 2020).</w:t>
      </w:r>
    </w:p>
    <w:p w14:paraId="61C2EC25" w14:textId="77777777" w:rsidR="00E1338B" w:rsidRDefault="00947E5E">
      <w:pPr>
        <w:rPr>
          <w:rFonts w:ascii="Arial" w:eastAsia="Arial" w:hAnsi="Arial" w:cs="Arial"/>
          <w:b/>
        </w:rPr>
      </w:pPr>
      <w:r>
        <w:rPr>
          <w:rFonts w:ascii="Arial" w:eastAsia="Arial" w:hAnsi="Arial" w:cs="Arial"/>
          <w:b/>
        </w:rPr>
        <w:t>Upgrading Infrastructure</w:t>
      </w:r>
    </w:p>
    <w:p w14:paraId="0DEA2F25" w14:textId="77777777" w:rsidR="004B1069" w:rsidRDefault="00947E5E">
      <w:pPr>
        <w:rPr>
          <w:rFonts w:ascii="Arial" w:eastAsia="Arial" w:hAnsi="Arial" w:cs="Arial"/>
        </w:rPr>
      </w:pPr>
      <w:r>
        <w:rPr>
          <w:rFonts w:ascii="Arial" w:eastAsia="Arial" w:hAnsi="Arial" w:cs="Arial"/>
        </w:rPr>
        <w:t xml:space="preserve">In terms of implementing sustainability initiatives, Marriott Bonvoy should upgrade the existing infrastructure across the hotel property. This approach will significantly benefit Marriott Bonvoy in terms of improving waste reduction and energy efficiency. </w:t>
      </w:r>
    </w:p>
    <w:p w14:paraId="6C1F60E7" w14:textId="77777777" w:rsidR="00E1338B" w:rsidRDefault="004B1069">
      <w:pPr>
        <w:rPr>
          <w:rFonts w:ascii="Arial" w:eastAsia="Arial" w:hAnsi="Arial" w:cs="Arial"/>
        </w:rPr>
      </w:pPr>
      <w:r>
        <w:rPr>
          <w:rFonts w:ascii="Arial" w:eastAsia="Arial" w:hAnsi="Arial" w:cs="Arial"/>
        </w:rPr>
        <w:br w:type="page"/>
      </w:r>
    </w:p>
    <w:p w14:paraId="0AD55C2E" w14:textId="77777777" w:rsidR="00E1338B" w:rsidRDefault="00947E5E">
      <w:pPr>
        <w:pStyle w:val="Heading1"/>
      </w:pPr>
      <w:bookmarkStart w:id="14" w:name="_35nkun2" w:colFirst="0" w:colLast="0"/>
      <w:bookmarkEnd w:id="14"/>
      <w:r>
        <w:lastRenderedPageBreak/>
        <w:t>References</w:t>
      </w:r>
    </w:p>
    <w:p w14:paraId="363E1785" w14:textId="77777777" w:rsidR="00E1338B" w:rsidRDefault="00947E5E">
      <w:pPr>
        <w:rPr>
          <w:rFonts w:ascii="Arial" w:eastAsia="Arial" w:hAnsi="Arial" w:cs="Arial"/>
        </w:rPr>
      </w:pPr>
      <w:proofErr w:type="spellStart"/>
      <w:r>
        <w:rPr>
          <w:rFonts w:ascii="Arial" w:eastAsia="Arial" w:hAnsi="Arial" w:cs="Arial"/>
        </w:rPr>
        <w:t>Abduraimova</w:t>
      </w:r>
      <w:proofErr w:type="spellEnd"/>
      <w:r>
        <w:rPr>
          <w:rFonts w:ascii="Arial" w:eastAsia="Arial" w:hAnsi="Arial" w:cs="Arial"/>
        </w:rPr>
        <w:t xml:space="preserve">, D., </w:t>
      </w:r>
      <w:proofErr w:type="spellStart"/>
      <w:r>
        <w:rPr>
          <w:rFonts w:ascii="Arial" w:eastAsia="Arial" w:hAnsi="Arial" w:cs="Arial"/>
        </w:rPr>
        <w:t>Rakhmonov</w:t>
      </w:r>
      <w:proofErr w:type="spellEnd"/>
      <w:r>
        <w:rPr>
          <w:rFonts w:ascii="Arial" w:eastAsia="Arial" w:hAnsi="Arial" w:cs="Arial"/>
        </w:rPr>
        <w:t xml:space="preserve">, R., Akhmedov, I., </w:t>
      </w:r>
      <w:proofErr w:type="spellStart"/>
      <w:r>
        <w:rPr>
          <w:rFonts w:ascii="Arial" w:eastAsia="Arial" w:hAnsi="Arial" w:cs="Arial"/>
        </w:rPr>
        <w:t>Хoshimov</w:t>
      </w:r>
      <w:proofErr w:type="spellEnd"/>
      <w:r>
        <w:rPr>
          <w:rFonts w:ascii="Arial" w:eastAsia="Arial" w:hAnsi="Arial" w:cs="Arial"/>
        </w:rPr>
        <w:t xml:space="preserve">, S. and </w:t>
      </w:r>
      <w:proofErr w:type="spellStart"/>
      <w:r>
        <w:rPr>
          <w:rFonts w:ascii="Arial" w:eastAsia="Arial" w:hAnsi="Arial" w:cs="Arial"/>
        </w:rPr>
        <w:t>Eshmatova</w:t>
      </w:r>
      <w:proofErr w:type="spellEnd"/>
      <w:r>
        <w:rPr>
          <w:rFonts w:ascii="Arial" w:eastAsia="Arial" w:hAnsi="Arial" w:cs="Arial"/>
        </w:rPr>
        <w:t xml:space="preserve">, B., 2022, June. Efficiency of use of resource-saving technology in reducing irrigation erosion. In </w:t>
      </w:r>
      <w:r>
        <w:rPr>
          <w:rFonts w:ascii="Arial" w:eastAsia="Arial" w:hAnsi="Arial" w:cs="Arial"/>
          <w:i/>
        </w:rPr>
        <w:t>AIP Conference Proceedings</w:t>
      </w:r>
      <w:r>
        <w:rPr>
          <w:rFonts w:ascii="Arial" w:eastAsia="Arial" w:hAnsi="Arial" w:cs="Arial"/>
        </w:rPr>
        <w:t xml:space="preserve"> (Vol. 2432, No. 1). AIP Publishing. Available at: </w:t>
      </w:r>
      <w:hyperlink r:id="rId7">
        <w:r>
          <w:rPr>
            <w:rFonts w:ascii="Arial" w:eastAsia="Arial" w:hAnsi="Arial" w:cs="Arial"/>
            <w:u w:val="single"/>
          </w:rPr>
          <w:t>https://doi.org/10.1063/5.0089645</w:t>
        </w:r>
      </w:hyperlink>
    </w:p>
    <w:p w14:paraId="071915BF" w14:textId="77777777" w:rsidR="00E1338B" w:rsidRDefault="00947E5E">
      <w:pPr>
        <w:rPr>
          <w:rFonts w:ascii="Arial" w:eastAsia="Arial" w:hAnsi="Arial" w:cs="Arial"/>
        </w:rPr>
      </w:pPr>
      <w:proofErr w:type="spellStart"/>
      <w:r>
        <w:rPr>
          <w:rFonts w:ascii="Arial" w:eastAsia="Arial" w:hAnsi="Arial" w:cs="Arial"/>
        </w:rPr>
        <w:t>Agbelusi</w:t>
      </w:r>
      <w:proofErr w:type="spellEnd"/>
      <w:r>
        <w:rPr>
          <w:rFonts w:ascii="Arial" w:eastAsia="Arial" w:hAnsi="Arial" w:cs="Arial"/>
        </w:rPr>
        <w:t xml:space="preserve">, J., </w:t>
      </w:r>
      <w:proofErr w:type="spellStart"/>
      <w:r>
        <w:rPr>
          <w:rFonts w:ascii="Arial" w:eastAsia="Arial" w:hAnsi="Arial" w:cs="Arial"/>
        </w:rPr>
        <w:t>Arowosegbe</w:t>
      </w:r>
      <w:proofErr w:type="spellEnd"/>
      <w:r>
        <w:rPr>
          <w:rFonts w:ascii="Arial" w:eastAsia="Arial" w:hAnsi="Arial" w:cs="Arial"/>
        </w:rPr>
        <w:t xml:space="preserve">, O.B., </w:t>
      </w:r>
      <w:proofErr w:type="spellStart"/>
      <w:r>
        <w:rPr>
          <w:rFonts w:ascii="Arial" w:eastAsia="Arial" w:hAnsi="Arial" w:cs="Arial"/>
        </w:rPr>
        <w:t>Alomaja</w:t>
      </w:r>
      <w:proofErr w:type="spellEnd"/>
      <w:r>
        <w:rPr>
          <w:rFonts w:ascii="Arial" w:eastAsia="Arial" w:hAnsi="Arial" w:cs="Arial"/>
        </w:rPr>
        <w:t xml:space="preserve">, O.A., </w:t>
      </w:r>
      <w:proofErr w:type="spellStart"/>
      <w:r>
        <w:rPr>
          <w:rFonts w:ascii="Arial" w:eastAsia="Arial" w:hAnsi="Arial" w:cs="Arial"/>
        </w:rPr>
        <w:t>Odunfa</w:t>
      </w:r>
      <w:proofErr w:type="spellEnd"/>
      <w:r>
        <w:rPr>
          <w:rFonts w:ascii="Arial" w:eastAsia="Arial" w:hAnsi="Arial" w:cs="Arial"/>
        </w:rPr>
        <w:t xml:space="preserve">, O.A. and </w:t>
      </w:r>
      <w:proofErr w:type="spellStart"/>
      <w:r>
        <w:rPr>
          <w:rFonts w:ascii="Arial" w:eastAsia="Arial" w:hAnsi="Arial" w:cs="Arial"/>
        </w:rPr>
        <w:t>Ballali</w:t>
      </w:r>
      <w:proofErr w:type="spellEnd"/>
      <w:r>
        <w:rPr>
          <w:rFonts w:ascii="Arial" w:eastAsia="Arial" w:hAnsi="Arial" w:cs="Arial"/>
        </w:rPr>
        <w:t xml:space="preserve">, C., 2024. Strategies for minimizing carbon footprint in the agricultural supply chain: leveraging sustainable practices and emerging technologies. </w:t>
      </w:r>
      <w:r>
        <w:rPr>
          <w:rFonts w:ascii="Arial" w:eastAsia="Arial" w:hAnsi="Arial" w:cs="Arial"/>
          <w:i/>
        </w:rPr>
        <w:t>World Journal of Advanced Research and Reviews</w:t>
      </w:r>
      <w:r>
        <w:rPr>
          <w:rFonts w:ascii="Arial" w:eastAsia="Arial" w:hAnsi="Arial" w:cs="Arial"/>
        </w:rPr>
        <w:t xml:space="preserve">, </w:t>
      </w:r>
      <w:r>
        <w:rPr>
          <w:rFonts w:ascii="Arial" w:eastAsia="Arial" w:hAnsi="Arial" w:cs="Arial"/>
          <w:i/>
        </w:rPr>
        <w:t>23</w:t>
      </w:r>
      <w:r>
        <w:rPr>
          <w:rFonts w:ascii="Arial" w:eastAsia="Arial" w:hAnsi="Arial" w:cs="Arial"/>
        </w:rPr>
        <w:t>(3), pp.2625-2646. Available at: https://doi.org/10.30574/wjarr.2024.23.3.2954</w:t>
      </w:r>
    </w:p>
    <w:p w14:paraId="6863FE5A" w14:textId="77777777" w:rsidR="00E1338B" w:rsidRDefault="00947E5E">
      <w:pPr>
        <w:rPr>
          <w:rFonts w:ascii="Arial" w:eastAsia="Arial" w:hAnsi="Arial" w:cs="Arial"/>
        </w:rPr>
      </w:pPr>
      <w:r>
        <w:rPr>
          <w:rFonts w:ascii="Arial" w:eastAsia="Arial" w:hAnsi="Arial" w:cs="Arial"/>
        </w:rPr>
        <w:t>Barreiro</w:t>
      </w:r>
      <w:r>
        <w:rPr>
          <w:rFonts w:ascii="Cambria Math" w:eastAsia="Cambria Math" w:hAnsi="Cambria Math" w:cs="Cambria Math"/>
        </w:rPr>
        <w:t>‐</w:t>
      </w:r>
      <w:r>
        <w:rPr>
          <w:rFonts w:ascii="Arial" w:eastAsia="Arial" w:hAnsi="Arial" w:cs="Arial"/>
        </w:rPr>
        <w:t xml:space="preserve">Gen, M. and Lozano, R., 2020. How circular is the circular economy? Analysing the implementation of circular economy in organisations. </w:t>
      </w:r>
      <w:r>
        <w:rPr>
          <w:rFonts w:ascii="Arial" w:eastAsia="Arial" w:hAnsi="Arial" w:cs="Arial"/>
          <w:i/>
        </w:rPr>
        <w:t>Business Strategy and the Environment</w:t>
      </w:r>
      <w:r>
        <w:rPr>
          <w:rFonts w:ascii="Arial" w:eastAsia="Arial" w:hAnsi="Arial" w:cs="Arial"/>
        </w:rPr>
        <w:t xml:space="preserve">, </w:t>
      </w:r>
      <w:r>
        <w:rPr>
          <w:rFonts w:ascii="Arial" w:eastAsia="Arial" w:hAnsi="Arial" w:cs="Arial"/>
          <w:i/>
        </w:rPr>
        <w:t>29</w:t>
      </w:r>
      <w:r>
        <w:rPr>
          <w:rFonts w:ascii="Arial" w:eastAsia="Arial" w:hAnsi="Arial" w:cs="Arial"/>
        </w:rPr>
        <w:t xml:space="preserve">(8), pp.3484-3494. Available at: </w:t>
      </w:r>
      <w:hyperlink r:id="rId8">
        <w:r>
          <w:rPr>
            <w:rFonts w:ascii="Arial" w:eastAsia="Arial" w:hAnsi="Arial" w:cs="Arial"/>
            <w:u w:val="single"/>
          </w:rPr>
          <w:t>https://doi.org/10.1002/bse.2590</w:t>
        </w:r>
      </w:hyperlink>
    </w:p>
    <w:p w14:paraId="5F21A4DA" w14:textId="77777777" w:rsidR="00E1338B" w:rsidRDefault="00947E5E">
      <w:pPr>
        <w:rPr>
          <w:rFonts w:ascii="Arial" w:eastAsia="Arial" w:hAnsi="Arial" w:cs="Arial"/>
        </w:rPr>
      </w:pPr>
      <w:r>
        <w:rPr>
          <w:rFonts w:ascii="Arial" w:eastAsia="Arial" w:hAnsi="Arial" w:cs="Arial"/>
        </w:rPr>
        <w:t xml:space="preserve">Bates, P. (2024) </w:t>
      </w:r>
      <w:r>
        <w:rPr>
          <w:rFonts w:ascii="Arial" w:eastAsia="Arial" w:hAnsi="Arial" w:cs="Arial"/>
          <w:i/>
        </w:rPr>
        <w:t>Hilton Launches Zero Waste menus across flagship UK Hotels: Stories from Hilton</w:t>
      </w:r>
      <w:r>
        <w:rPr>
          <w:rFonts w:ascii="Arial" w:eastAsia="Arial" w:hAnsi="Arial" w:cs="Arial"/>
        </w:rPr>
        <w:t xml:space="preserve">, </w:t>
      </w:r>
      <w:r>
        <w:rPr>
          <w:rFonts w:ascii="Arial" w:eastAsia="Arial" w:hAnsi="Arial" w:cs="Arial"/>
          <w:i/>
        </w:rPr>
        <w:t>Stories From Hilton - EMEA</w:t>
      </w:r>
      <w:r>
        <w:rPr>
          <w:rFonts w:ascii="Arial" w:eastAsia="Arial" w:hAnsi="Arial" w:cs="Arial"/>
        </w:rPr>
        <w:t xml:space="preserve">. Available at: https://stories.hilton.com/emea/sustainability/hilton-launches-zero-waste-menus-across-flagship-uk-hotels (Accessed: 05 November 2024). </w:t>
      </w:r>
    </w:p>
    <w:p w14:paraId="28BE1717" w14:textId="77777777" w:rsidR="00E1338B" w:rsidRDefault="00947E5E">
      <w:pPr>
        <w:rPr>
          <w:rFonts w:ascii="Arial" w:eastAsia="Arial" w:hAnsi="Arial" w:cs="Arial"/>
        </w:rPr>
      </w:pPr>
      <w:r>
        <w:rPr>
          <w:rFonts w:ascii="Arial" w:eastAsia="Arial" w:hAnsi="Arial" w:cs="Arial"/>
        </w:rPr>
        <w:t xml:space="preserve">BW Hotelier (2024) </w:t>
      </w:r>
      <w:r>
        <w:rPr>
          <w:rFonts w:ascii="Arial" w:eastAsia="Arial" w:hAnsi="Arial" w:cs="Arial"/>
          <w:i/>
        </w:rPr>
        <w:t>Marriott Bonvoy events introduces ‘connect responsibly’ to promote sustainable meetings</w:t>
      </w:r>
      <w:r>
        <w:rPr>
          <w:rFonts w:ascii="Arial" w:eastAsia="Arial" w:hAnsi="Arial" w:cs="Arial"/>
        </w:rPr>
        <w:t xml:space="preserve">. Available at: https://bwhotelier.com/article/marriott-bonvoy-events-introduces-connect-responsibly-to-promote-sustainable-meetings-538374 (Accessed: 07 November 2024). </w:t>
      </w:r>
    </w:p>
    <w:p w14:paraId="1F88834E" w14:textId="77777777" w:rsidR="00E1338B" w:rsidRDefault="00947E5E">
      <w:pPr>
        <w:rPr>
          <w:rFonts w:ascii="Arial" w:eastAsia="Arial" w:hAnsi="Arial" w:cs="Arial"/>
        </w:rPr>
      </w:pPr>
      <w:r>
        <w:rPr>
          <w:rFonts w:ascii="Arial" w:eastAsia="Arial" w:hAnsi="Arial" w:cs="Arial"/>
        </w:rPr>
        <w:t xml:space="preserve">Celestin, M., Vasuki, M., Sujatha, S. and Kumar, A.D., 2024. Implementing Green Technologies to Reduce Environmental Impact: Economic and Competitive Advantages of Eco-Friendly Practices. </w:t>
      </w:r>
      <w:r>
        <w:rPr>
          <w:rFonts w:ascii="Arial" w:eastAsia="Arial" w:hAnsi="Arial" w:cs="Arial"/>
          <w:i/>
        </w:rPr>
        <w:t>International Journal of Scientific Research and Modern Education</w:t>
      </w:r>
      <w:r>
        <w:rPr>
          <w:rFonts w:ascii="Arial" w:eastAsia="Arial" w:hAnsi="Arial" w:cs="Arial"/>
        </w:rPr>
        <w:t xml:space="preserve">, </w:t>
      </w:r>
      <w:r>
        <w:rPr>
          <w:rFonts w:ascii="Arial" w:eastAsia="Arial" w:hAnsi="Arial" w:cs="Arial"/>
          <w:i/>
        </w:rPr>
        <w:t>9</w:t>
      </w:r>
      <w:r>
        <w:rPr>
          <w:rFonts w:ascii="Arial" w:eastAsia="Arial" w:hAnsi="Arial" w:cs="Arial"/>
        </w:rPr>
        <w:t xml:space="preserve">(2), pp.33-39. Available at: </w:t>
      </w:r>
      <w:hyperlink r:id="rId9">
        <w:r>
          <w:rPr>
            <w:rFonts w:ascii="Arial" w:eastAsia="Arial" w:hAnsi="Arial" w:cs="Arial"/>
            <w:u w:val="single"/>
          </w:rPr>
          <w:t>https://doi.org/10.5281/zenodo.13879990</w:t>
        </w:r>
      </w:hyperlink>
    </w:p>
    <w:p w14:paraId="532218C8" w14:textId="77777777" w:rsidR="00E1338B" w:rsidRDefault="00947E5E">
      <w:pPr>
        <w:rPr>
          <w:rFonts w:ascii="Arial" w:eastAsia="Arial" w:hAnsi="Arial" w:cs="Arial"/>
        </w:rPr>
      </w:pPr>
      <w:r>
        <w:rPr>
          <w:rFonts w:ascii="Arial" w:eastAsia="Arial" w:hAnsi="Arial" w:cs="Arial"/>
        </w:rPr>
        <w:t xml:space="preserve">Das, A.B. and Gurung, C.A., 2021. Zero Waste Domestic Solid Waste Management Strategies Proposed for Siliguri Municipal Corporation, West Bengal, India. </w:t>
      </w:r>
      <w:r>
        <w:rPr>
          <w:rFonts w:ascii="Arial" w:eastAsia="Arial" w:hAnsi="Arial" w:cs="Arial"/>
          <w:i/>
        </w:rPr>
        <w:t>Appl. Ecol. Environ. Sci</w:t>
      </w:r>
      <w:r>
        <w:rPr>
          <w:rFonts w:ascii="Arial" w:eastAsia="Arial" w:hAnsi="Arial" w:cs="Arial"/>
        </w:rPr>
        <w:t xml:space="preserve">, </w:t>
      </w:r>
      <w:r>
        <w:rPr>
          <w:rFonts w:ascii="Arial" w:eastAsia="Arial" w:hAnsi="Arial" w:cs="Arial"/>
          <w:i/>
        </w:rPr>
        <w:t>9</w:t>
      </w:r>
      <w:r>
        <w:rPr>
          <w:rFonts w:ascii="Arial" w:eastAsia="Arial" w:hAnsi="Arial" w:cs="Arial"/>
        </w:rPr>
        <w:t>, pp.988-997. Available at: DOI:10.12691/aees-9-12-1</w:t>
      </w:r>
    </w:p>
    <w:p w14:paraId="5E1D9B81" w14:textId="77777777" w:rsidR="00E1338B" w:rsidRDefault="00947E5E">
      <w:pPr>
        <w:rPr>
          <w:rFonts w:ascii="Arial" w:eastAsia="Arial" w:hAnsi="Arial" w:cs="Arial"/>
        </w:rPr>
      </w:pPr>
      <w:r>
        <w:rPr>
          <w:rFonts w:ascii="Arial" w:eastAsia="Arial" w:hAnsi="Arial" w:cs="Arial"/>
        </w:rPr>
        <w:t xml:space="preserve">Environmental Protection Agency (2024) </w:t>
      </w:r>
      <w:r>
        <w:rPr>
          <w:rFonts w:ascii="Arial" w:eastAsia="Arial" w:hAnsi="Arial" w:cs="Arial"/>
          <w:i/>
        </w:rPr>
        <w:t>National Overview: Facts and Figures on Materials, Wastes and Recycling</w:t>
      </w:r>
      <w:r>
        <w:rPr>
          <w:rFonts w:ascii="Arial" w:eastAsia="Arial" w:hAnsi="Arial" w:cs="Arial"/>
        </w:rPr>
        <w:t>. Available at: https://www.epa.gov/facts-and-figures-</w:t>
      </w:r>
      <w:r>
        <w:rPr>
          <w:rFonts w:ascii="Arial" w:eastAsia="Arial" w:hAnsi="Arial" w:cs="Arial"/>
        </w:rPr>
        <w:lastRenderedPageBreak/>
        <w:t xml:space="preserve">about-materials-waste-and-recycling/national-overview-facts-and-figures-materials (Accessed: 10 November 2024). </w:t>
      </w:r>
    </w:p>
    <w:p w14:paraId="30E37E74" w14:textId="77777777" w:rsidR="00E1338B" w:rsidRDefault="00947E5E">
      <w:pPr>
        <w:rPr>
          <w:rFonts w:ascii="Arial" w:eastAsia="Arial" w:hAnsi="Arial" w:cs="Arial"/>
        </w:rPr>
      </w:pPr>
      <w:r>
        <w:rPr>
          <w:rFonts w:ascii="Arial" w:eastAsia="Arial" w:hAnsi="Arial" w:cs="Arial"/>
        </w:rPr>
        <w:t xml:space="preserve">Hasek, G. (2024) </w:t>
      </w:r>
      <w:r>
        <w:rPr>
          <w:rFonts w:ascii="Arial" w:eastAsia="Arial" w:hAnsi="Arial" w:cs="Arial"/>
          <w:i/>
        </w:rPr>
        <w:t>Glenn Hasek</w:t>
      </w:r>
      <w:r>
        <w:rPr>
          <w:rFonts w:ascii="Arial" w:eastAsia="Arial" w:hAnsi="Arial" w:cs="Arial"/>
        </w:rPr>
        <w:t xml:space="preserve">, </w:t>
      </w:r>
      <w:r>
        <w:rPr>
          <w:rFonts w:ascii="Arial" w:eastAsia="Arial" w:hAnsi="Arial" w:cs="Arial"/>
          <w:i/>
        </w:rPr>
        <w:t>Green Lodging News</w:t>
      </w:r>
      <w:r>
        <w:rPr>
          <w:rFonts w:ascii="Arial" w:eastAsia="Arial" w:hAnsi="Arial" w:cs="Arial"/>
        </w:rPr>
        <w:t xml:space="preserve">. Available at: https://www.greenlodgingnews.com/marriott-makes-much-progress-toward-2025-serve-360-goals/ (Accessed: 09 November 2024). </w:t>
      </w:r>
    </w:p>
    <w:p w14:paraId="2276F2C5" w14:textId="77777777" w:rsidR="00E1338B" w:rsidRDefault="00947E5E">
      <w:pPr>
        <w:rPr>
          <w:rFonts w:ascii="Arial" w:eastAsia="Arial" w:hAnsi="Arial" w:cs="Arial"/>
        </w:rPr>
      </w:pPr>
      <w:proofErr w:type="spellStart"/>
      <w:r>
        <w:rPr>
          <w:rFonts w:ascii="Arial" w:eastAsia="Arial" w:hAnsi="Arial" w:cs="Arial"/>
        </w:rPr>
        <w:t>Holka</w:t>
      </w:r>
      <w:proofErr w:type="spellEnd"/>
      <w:r>
        <w:rPr>
          <w:rFonts w:ascii="Arial" w:eastAsia="Arial" w:hAnsi="Arial" w:cs="Arial"/>
        </w:rPr>
        <w:t xml:space="preserve">, M., </w:t>
      </w:r>
      <w:proofErr w:type="spellStart"/>
      <w:r>
        <w:rPr>
          <w:rFonts w:ascii="Arial" w:eastAsia="Arial" w:hAnsi="Arial" w:cs="Arial"/>
        </w:rPr>
        <w:t>Kowalska</w:t>
      </w:r>
      <w:proofErr w:type="spellEnd"/>
      <w:r>
        <w:rPr>
          <w:rFonts w:ascii="Arial" w:eastAsia="Arial" w:hAnsi="Arial" w:cs="Arial"/>
        </w:rPr>
        <w:t xml:space="preserve">, J. and </w:t>
      </w:r>
      <w:proofErr w:type="spellStart"/>
      <w:r>
        <w:rPr>
          <w:rFonts w:ascii="Arial" w:eastAsia="Arial" w:hAnsi="Arial" w:cs="Arial"/>
        </w:rPr>
        <w:t>Jakubowska</w:t>
      </w:r>
      <w:proofErr w:type="spellEnd"/>
      <w:r>
        <w:rPr>
          <w:rFonts w:ascii="Arial" w:eastAsia="Arial" w:hAnsi="Arial" w:cs="Arial"/>
        </w:rPr>
        <w:t xml:space="preserve">, M., 2022. Reducing carbon footprint of agriculture—can organic farming help to mitigate climate change?. </w:t>
      </w:r>
      <w:r>
        <w:rPr>
          <w:rFonts w:ascii="Arial" w:eastAsia="Arial" w:hAnsi="Arial" w:cs="Arial"/>
          <w:i/>
        </w:rPr>
        <w:t>Agriculture</w:t>
      </w:r>
      <w:r>
        <w:rPr>
          <w:rFonts w:ascii="Arial" w:eastAsia="Arial" w:hAnsi="Arial" w:cs="Arial"/>
        </w:rPr>
        <w:t xml:space="preserve">, </w:t>
      </w:r>
      <w:r>
        <w:rPr>
          <w:rFonts w:ascii="Arial" w:eastAsia="Arial" w:hAnsi="Arial" w:cs="Arial"/>
          <w:i/>
        </w:rPr>
        <w:t>12</w:t>
      </w:r>
      <w:r>
        <w:rPr>
          <w:rFonts w:ascii="Arial" w:eastAsia="Arial" w:hAnsi="Arial" w:cs="Arial"/>
        </w:rPr>
        <w:t xml:space="preserve">(9), p.1383. Available at: </w:t>
      </w:r>
      <w:hyperlink r:id="rId10">
        <w:r>
          <w:rPr>
            <w:rFonts w:ascii="Arial" w:eastAsia="Arial" w:hAnsi="Arial" w:cs="Arial"/>
            <w:u w:val="single"/>
          </w:rPr>
          <w:t>https://doi.org/10.3390/</w:t>
        </w:r>
      </w:hyperlink>
    </w:p>
    <w:p w14:paraId="484C461C" w14:textId="77777777" w:rsidR="00E1338B" w:rsidRDefault="00947E5E">
      <w:pPr>
        <w:rPr>
          <w:rFonts w:ascii="Arial" w:eastAsia="Arial" w:hAnsi="Arial" w:cs="Arial"/>
        </w:rPr>
      </w:pPr>
      <w:r>
        <w:rPr>
          <w:rFonts w:ascii="Arial" w:eastAsia="Arial" w:hAnsi="Arial" w:cs="Arial"/>
        </w:rPr>
        <w:t xml:space="preserve">Hossain, S., Rahman, M.A., Chowdhury, M.A. and </w:t>
      </w:r>
      <w:proofErr w:type="spellStart"/>
      <w:r>
        <w:rPr>
          <w:rFonts w:ascii="Arial" w:eastAsia="Arial" w:hAnsi="Arial" w:cs="Arial"/>
        </w:rPr>
        <w:t>Mohonta</w:t>
      </w:r>
      <w:proofErr w:type="spellEnd"/>
      <w:r>
        <w:rPr>
          <w:rFonts w:ascii="Arial" w:eastAsia="Arial" w:hAnsi="Arial" w:cs="Arial"/>
        </w:rPr>
        <w:t xml:space="preserve">, S.K., 2021. Plastic pollution in Bangladesh: A review on current status emphasizing the impacts on environment and public health. </w:t>
      </w:r>
      <w:r>
        <w:rPr>
          <w:rFonts w:ascii="Arial" w:eastAsia="Arial" w:hAnsi="Arial" w:cs="Arial"/>
          <w:i/>
        </w:rPr>
        <w:t>Environmental Engineering Research</w:t>
      </w:r>
      <w:r>
        <w:rPr>
          <w:rFonts w:ascii="Arial" w:eastAsia="Arial" w:hAnsi="Arial" w:cs="Arial"/>
        </w:rPr>
        <w:t xml:space="preserve">, </w:t>
      </w:r>
      <w:r>
        <w:rPr>
          <w:rFonts w:ascii="Arial" w:eastAsia="Arial" w:hAnsi="Arial" w:cs="Arial"/>
          <w:i/>
        </w:rPr>
        <w:t>26</w:t>
      </w:r>
      <w:r>
        <w:rPr>
          <w:rFonts w:ascii="Arial" w:eastAsia="Arial" w:hAnsi="Arial" w:cs="Arial"/>
        </w:rPr>
        <w:t>(6). Available at: https://doi.org/10.4491/eer.2020.535</w:t>
      </w:r>
    </w:p>
    <w:p w14:paraId="312A7225" w14:textId="77777777" w:rsidR="00E1338B" w:rsidRDefault="00947E5E">
      <w:pPr>
        <w:rPr>
          <w:rFonts w:ascii="Arial" w:eastAsia="Arial" w:hAnsi="Arial" w:cs="Arial"/>
        </w:rPr>
      </w:pPr>
      <w:proofErr w:type="spellStart"/>
      <w:r>
        <w:rPr>
          <w:rFonts w:ascii="Arial" w:eastAsia="Arial" w:hAnsi="Arial" w:cs="Arial"/>
        </w:rPr>
        <w:t>Kapologwe</w:t>
      </w:r>
      <w:proofErr w:type="spellEnd"/>
      <w:r>
        <w:rPr>
          <w:rFonts w:ascii="Arial" w:eastAsia="Arial" w:hAnsi="Arial" w:cs="Arial"/>
        </w:rPr>
        <w:t xml:space="preserve">, N.A., Meara, J.G., </w:t>
      </w:r>
      <w:proofErr w:type="spellStart"/>
      <w:r>
        <w:rPr>
          <w:rFonts w:ascii="Arial" w:eastAsia="Arial" w:hAnsi="Arial" w:cs="Arial"/>
        </w:rPr>
        <w:t>Kengia</w:t>
      </w:r>
      <w:proofErr w:type="spellEnd"/>
      <w:r>
        <w:rPr>
          <w:rFonts w:ascii="Arial" w:eastAsia="Arial" w:hAnsi="Arial" w:cs="Arial"/>
        </w:rPr>
        <w:t xml:space="preserve">, J.T., </w:t>
      </w:r>
      <w:proofErr w:type="spellStart"/>
      <w:r>
        <w:rPr>
          <w:rFonts w:ascii="Arial" w:eastAsia="Arial" w:hAnsi="Arial" w:cs="Arial"/>
        </w:rPr>
        <w:t>Sonda</w:t>
      </w:r>
      <w:proofErr w:type="spellEnd"/>
      <w:r>
        <w:rPr>
          <w:rFonts w:ascii="Arial" w:eastAsia="Arial" w:hAnsi="Arial" w:cs="Arial"/>
        </w:rPr>
        <w:t xml:space="preserve">, Y., </w:t>
      </w:r>
      <w:proofErr w:type="spellStart"/>
      <w:r>
        <w:rPr>
          <w:rFonts w:ascii="Arial" w:eastAsia="Arial" w:hAnsi="Arial" w:cs="Arial"/>
        </w:rPr>
        <w:t>Gwajima</w:t>
      </w:r>
      <w:proofErr w:type="spellEnd"/>
      <w:r>
        <w:rPr>
          <w:rFonts w:ascii="Arial" w:eastAsia="Arial" w:hAnsi="Arial" w:cs="Arial"/>
        </w:rPr>
        <w:t xml:space="preserve">, D., </w:t>
      </w:r>
      <w:proofErr w:type="spellStart"/>
      <w:r>
        <w:rPr>
          <w:rFonts w:ascii="Arial" w:eastAsia="Arial" w:hAnsi="Arial" w:cs="Arial"/>
        </w:rPr>
        <w:t>Alidina</w:t>
      </w:r>
      <w:proofErr w:type="spellEnd"/>
      <w:r>
        <w:rPr>
          <w:rFonts w:ascii="Arial" w:eastAsia="Arial" w:hAnsi="Arial" w:cs="Arial"/>
        </w:rPr>
        <w:t xml:space="preserve">, S. and </w:t>
      </w:r>
      <w:proofErr w:type="spellStart"/>
      <w:r>
        <w:rPr>
          <w:rFonts w:ascii="Arial" w:eastAsia="Arial" w:hAnsi="Arial" w:cs="Arial"/>
        </w:rPr>
        <w:t>Kalolo</w:t>
      </w:r>
      <w:proofErr w:type="spellEnd"/>
      <w:r>
        <w:rPr>
          <w:rFonts w:ascii="Arial" w:eastAsia="Arial" w:hAnsi="Arial" w:cs="Arial"/>
        </w:rPr>
        <w:t xml:space="preserve">, A., 2020. Development and upgrading of public primary healthcare facilities with essential surgical services infrastructure: a strategy towards achieving universal health coverage in Tanzania. </w:t>
      </w:r>
      <w:r>
        <w:rPr>
          <w:rFonts w:ascii="Arial" w:eastAsia="Arial" w:hAnsi="Arial" w:cs="Arial"/>
          <w:i/>
        </w:rPr>
        <w:t>BMC health services research</w:t>
      </w:r>
      <w:r>
        <w:rPr>
          <w:rFonts w:ascii="Arial" w:eastAsia="Arial" w:hAnsi="Arial" w:cs="Arial"/>
        </w:rPr>
        <w:t xml:space="preserve">, </w:t>
      </w:r>
      <w:r>
        <w:rPr>
          <w:rFonts w:ascii="Arial" w:eastAsia="Arial" w:hAnsi="Arial" w:cs="Arial"/>
          <w:i/>
        </w:rPr>
        <w:t>20</w:t>
      </w:r>
      <w:r>
        <w:rPr>
          <w:rFonts w:ascii="Arial" w:eastAsia="Arial" w:hAnsi="Arial" w:cs="Arial"/>
        </w:rPr>
        <w:t xml:space="preserve">, pp.1-14. Available at: </w:t>
      </w:r>
      <w:hyperlink r:id="rId11">
        <w:r>
          <w:rPr>
            <w:rFonts w:ascii="Arial" w:eastAsia="Arial" w:hAnsi="Arial" w:cs="Arial"/>
            <w:u w:val="single"/>
          </w:rPr>
          <w:t>https://doi.org/10.1186/s12913-020-5057-2</w:t>
        </w:r>
      </w:hyperlink>
    </w:p>
    <w:p w14:paraId="4469C457" w14:textId="77777777" w:rsidR="00E1338B" w:rsidRDefault="00947E5E">
      <w:pPr>
        <w:rPr>
          <w:rFonts w:ascii="Arial" w:eastAsia="Arial" w:hAnsi="Arial" w:cs="Arial"/>
        </w:rPr>
      </w:pPr>
      <w:proofErr w:type="spellStart"/>
      <w:r>
        <w:rPr>
          <w:rFonts w:ascii="Arial" w:eastAsia="Arial" w:hAnsi="Arial" w:cs="Arial"/>
        </w:rPr>
        <w:t>Kılıç</w:t>
      </w:r>
      <w:proofErr w:type="spellEnd"/>
      <w:r>
        <w:rPr>
          <w:rFonts w:ascii="Arial" w:eastAsia="Arial" w:hAnsi="Arial" w:cs="Arial"/>
        </w:rPr>
        <w:t xml:space="preserve">, Z., 2020. The importance of water and conscious use of water. </w:t>
      </w:r>
      <w:r>
        <w:rPr>
          <w:rFonts w:ascii="Arial" w:eastAsia="Arial" w:hAnsi="Arial" w:cs="Arial"/>
          <w:i/>
        </w:rPr>
        <w:t>International Journal of Hydrology</w:t>
      </w:r>
      <w:r>
        <w:rPr>
          <w:rFonts w:ascii="Arial" w:eastAsia="Arial" w:hAnsi="Arial" w:cs="Arial"/>
        </w:rPr>
        <w:t xml:space="preserve">, </w:t>
      </w:r>
      <w:r>
        <w:rPr>
          <w:rFonts w:ascii="Arial" w:eastAsia="Arial" w:hAnsi="Arial" w:cs="Arial"/>
          <w:i/>
        </w:rPr>
        <w:t>4</w:t>
      </w:r>
      <w:r>
        <w:rPr>
          <w:rFonts w:ascii="Arial" w:eastAsia="Arial" w:hAnsi="Arial" w:cs="Arial"/>
        </w:rPr>
        <w:t xml:space="preserve">(5), pp.239-241. Available at: </w:t>
      </w:r>
      <w:hyperlink r:id="rId12">
        <w:r>
          <w:rPr>
            <w:rFonts w:ascii="Arial" w:eastAsia="Arial" w:hAnsi="Arial" w:cs="Arial"/>
            <w:u w:val="single"/>
          </w:rPr>
          <w:t>http://dx.doi.org/10.15406/ijh.2020.04.00250</w:t>
        </w:r>
      </w:hyperlink>
    </w:p>
    <w:p w14:paraId="289E21B6" w14:textId="77777777" w:rsidR="00E1338B" w:rsidRDefault="00947E5E">
      <w:pPr>
        <w:rPr>
          <w:rFonts w:ascii="Arial" w:eastAsia="Arial" w:hAnsi="Arial" w:cs="Arial"/>
        </w:rPr>
      </w:pPr>
      <w:r>
        <w:rPr>
          <w:rFonts w:ascii="Arial" w:eastAsia="Arial" w:hAnsi="Arial" w:cs="Arial"/>
        </w:rPr>
        <w:t>Kim, K.S., Lee, D.H., Jeon, Y.W., Han, S. and Seo, D.C., 2024. Developing a Centralized Automatic Biomass Recovery System for Zero-Food Waste in High-Rise Apartment.  Available at: DOI: 10.5772/intechopen.1006735</w:t>
      </w:r>
    </w:p>
    <w:p w14:paraId="5580105E" w14:textId="77777777" w:rsidR="00E1338B" w:rsidRDefault="00947E5E">
      <w:pPr>
        <w:rPr>
          <w:rFonts w:ascii="Arial" w:eastAsia="Arial" w:hAnsi="Arial" w:cs="Arial"/>
          <w:b/>
        </w:rPr>
      </w:pPr>
      <w:r>
        <w:rPr>
          <w:rFonts w:ascii="Arial" w:eastAsia="Arial" w:hAnsi="Arial" w:cs="Arial"/>
        </w:rPr>
        <w:t xml:space="preserve">Kurniawan, T.A., Lo, W., Singh, D., Othman, M.H.D., Avtar, R., Hwang, G.H., </w:t>
      </w:r>
      <w:proofErr w:type="spellStart"/>
      <w:r>
        <w:rPr>
          <w:rFonts w:ascii="Arial" w:eastAsia="Arial" w:hAnsi="Arial" w:cs="Arial"/>
        </w:rPr>
        <w:t>Albadarin</w:t>
      </w:r>
      <w:proofErr w:type="spellEnd"/>
      <w:r>
        <w:rPr>
          <w:rFonts w:ascii="Arial" w:eastAsia="Arial" w:hAnsi="Arial" w:cs="Arial"/>
        </w:rPr>
        <w:t xml:space="preserve">, A.B., Kern, A.O. and </w:t>
      </w:r>
      <w:proofErr w:type="spellStart"/>
      <w:r>
        <w:rPr>
          <w:rFonts w:ascii="Arial" w:eastAsia="Arial" w:hAnsi="Arial" w:cs="Arial"/>
        </w:rPr>
        <w:t>Shirazian</w:t>
      </w:r>
      <w:proofErr w:type="spellEnd"/>
      <w:r>
        <w:rPr>
          <w:rFonts w:ascii="Arial" w:eastAsia="Arial" w:hAnsi="Arial" w:cs="Arial"/>
        </w:rPr>
        <w:t xml:space="preserve">, S., 2021. A societal transition of MSW management in Xiamen (China) toward a circular economy through integrated waste recycling and technological digitization. </w:t>
      </w:r>
      <w:r>
        <w:rPr>
          <w:rFonts w:ascii="Arial" w:eastAsia="Arial" w:hAnsi="Arial" w:cs="Arial"/>
          <w:i/>
        </w:rPr>
        <w:t>Environmental pollution</w:t>
      </w:r>
      <w:r>
        <w:rPr>
          <w:rFonts w:ascii="Arial" w:eastAsia="Arial" w:hAnsi="Arial" w:cs="Arial"/>
        </w:rPr>
        <w:t xml:space="preserve">, </w:t>
      </w:r>
      <w:r>
        <w:rPr>
          <w:rFonts w:ascii="Arial" w:eastAsia="Arial" w:hAnsi="Arial" w:cs="Arial"/>
          <w:i/>
        </w:rPr>
        <w:t>277</w:t>
      </w:r>
      <w:r>
        <w:rPr>
          <w:rFonts w:ascii="Arial" w:eastAsia="Arial" w:hAnsi="Arial" w:cs="Arial"/>
        </w:rPr>
        <w:t>, p.116741. Available at: https://drive.google.com/file/d/1MdL6R5IXbg5MjfywPURFkXI5b1D2X8pH/view</w:t>
      </w:r>
    </w:p>
    <w:p w14:paraId="2D00CA67" w14:textId="77777777" w:rsidR="00E1338B" w:rsidRDefault="00947E5E">
      <w:pPr>
        <w:rPr>
          <w:rFonts w:ascii="Arial" w:eastAsia="Arial" w:hAnsi="Arial" w:cs="Arial"/>
        </w:rPr>
      </w:pPr>
      <w:r>
        <w:rPr>
          <w:rFonts w:ascii="Arial" w:eastAsia="Arial" w:hAnsi="Arial" w:cs="Arial"/>
        </w:rPr>
        <w:t xml:space="preserve">Kurniawan, T.A., </w:t>
      </w:r>
      <w:proofErr w:type="spellStart"/>
      <w:r>
        <w:rPr>
          <w:rFonts w:ascii="Arial" w:eastAsia="Arial" w:hAnsi="Arial" w:cs="Arial"/>
        </w:rPr>
        <w:t>Maiurova</w:t>
      </w:r>
      <w:proofErr w:type="spellEnd"/>
      <w:r>
        <w:rPr>
          <w:rFonts w:ascii="Arial" w:eastAsia="Arial" w:hAnsi="Arial" w:cs="Arial"/>
        </w:rPr>
        <w:t xml:space="preserve">, A., </w:t>
      </w:r>
      <w:proofErr w:type="spellStart"/>
      <w:r>
        <w:rPr>
          <w:rFonts w:ascii="Arial" w:eastAsia="Arial" w:hAnsi="Arial" w:cs="Arial"/>
        </w:rPr>
        <w:t>Kustikova</w:t>
      </w:r>
      <w:proofErr w:type="spellEnd"/>
      <w:r>
        <w:rPr>
          <w:rFonts w:ascii="Arial" w:eastAsia="Arial" w:hAnsi="Arial" w:cs="Arial"/>
        </w:rPr>
        <w:t xml:space="preserve">, M., </w:t>
      </w:r>
      <w:proofErr w:type="spellStart"/>
      <w:r>
        <w:rPr>
          <w:rFonts w:ascii="Arial" w:eastAsia="Arial" w:hAnsi="Arial" w:cs="Arial"/>
        </w:rPr>
        <w:t>Bykovskaia</w:t>
      </w:r>
      <w:proofErr w:type="spellEnd"/>
      <w:r>
        <w:rPr>
          <w:rFonts w:ascii="Arial" w:eastAsia="Arial" w:hAnsi="Arial" w:cs="Arial"/>
        </w:rPr>
        <w:t xml:space="preserve">, E., Othman, M.H.D. and Goh, H.H., 2022. Accelerating sustainability transition in St. Petersburg (Russia) through digitalization-based circular economy in waste recycling industry: A strategy to promote </w:t>
      </w:r>
      <w:r>
        <w:rPr>
          <w:rFonts w:ascii="Arial" w:eastAsia="Arial" w:hAnsi="Arial" w:cs="Arial"/>
        </w:rPr>
        <w:lastRenderedPageBreak/>
        <w:t xml:space="preserve">carbon neutrality in era of Industry 4.0. </w:t>
      </w:r>
      <w:r>
        <w:rPr>
          <w:rFonts w:ascii="Arial" w:eastAsia="Arial" w:hAnsi="Arial" w:cs="Arial"/>
          <w:i/>
        </w:rPr>
        <w:t>Journal of cleaner production</w:t>
      </w:r>
      <w:r>
        <w:rPr>
          <w:rFonts w:ascii="Arial" w:eastAsia="Arial" w:hAnsi="Arial" w:cs="Arial"/>
        </w:rPr>
        <w:t xml:space="preserve">, </w:t>
      </w:r>
      <w:r>
        <w:rPr>
          <w:rFonts w:ascii="Arial" w:eastAsia="Arial" w:hAnsi="Arial" w:cs="Arial"/>
          <w:i/>
        </w:rPr>
        <w:t>363</w:t>
      </w:r>
      <w:r>
        <w:rPr>
          <w:rFonts w:ascii="Arial" w:eastAsia="Arial" w:hAnsi="Arial" w:cs="Arial"/>
        </w:rPr>
        <w:t xml:space="preserve">, p.132452. Available at: </w:t>
      </w:r>
      <w:hyperlink r:id="rId13">
        <w:r>
          <w:rPr>
            <w:rFonts w:ascii="Arial" w:eastAsia="Arial" w:hAnsi="Arial" w:cs="Arial"/>
            <w:u w:val="single"/>
          </w:rPr>
          <w:t>https://doi.org/10.1016/j.jclepro.2022.132452</w:t>
        </w:r>
      </w:hyperlink>
    </w:p>
    <w:p w14:paraId="1261AC9C" w14:textId="77777777" w:rsidR="00E1338B" w:rsidRDefault="00947E5E">
      <w:pPr>
        <w:rPr>
          <w:rFonts w:ascii="Arial" w:eastAsia="Arial" w:hAnsi="Arial" w:cs="Arial"/>
        </w:rPr>
      </w:pPr>
      <w:r>
        <w:rPr>
          <w:rFonts w:ascii="Arial" w:eastAsia="Arial" w:hAnsi="Arial" w:cs="Arial"/>
        </w:rPr>
        <w:t xml:space="preserve">Marriott Bonvoy (2024) </w:t>
      </w:r>
      <w:r>
        <w:rPr>
          <w:rFonts w:ascii="Arial" w:eastAsia="Arial" w:hAnsi="Arial" w:cs="Arial"/>
          <w:i/>
        </w:rPr>
        <w:t>Sustainable Meetings | Plan Green Events | Sustainability &amp; Social Impact</w:t>
      </w:r>
      <w:r>
        <w:rPr>
          <w:rFonts w:ascii="Arial" w:eastAsia="Arial" w:hAnsi="Arial" w:cs="Arial"/>
        </w:rPr>
        <w:t xml:space="preserve">. Available at: https://www.marriott.com/meeting-event-hotels/sustainable-meetings.mi (Accessed: 06 November 2024). </w:t>
      </w:r>
    </w:p>
    <w:p w14:paraId="48279252" w14:textId="77777777" w:rsidR="00E1338B" w:rsidRDefault="00947E5E">
      <w:pPr>
        <w:rPr>
          <w:rFonts w:ascii="Arial" w:eastAsia="Arial" w:hAnsi="Arial" w:cs="Arial"/>
        </w:rPr>
      </w:pPr>
      <w:r>
        <w:rPr>
          <w:rFonts w:ascii="Arial" w:eastAsia="Arial" w:hAnsi="Arial" w:cs="Arial"/>
        </w:rPr>
        <w:t xml:space="preserve">MIT Facilities (2024) </w:t>
      </w:r>
      <w:r>
        <w:rPr>
          <w:rFonts w:ascii="Arial" w:eastAsia="Arial" w:hAnsi="Arial" w:cs="Arial"/>
          <w:i/>
        </w:rPr>
        <w:t>Recycling facts - Sustainability</w:t>
      </w:r>
      <w:r>
        <w:rPr>
          <w:rFonts w:ascii="Arial" w:eastAsia="Arial" w:hAnsi="Arial" w:cs="Arial"/>
        </w:rPr>
        <w:t xml:space="preserve">. Available at: https://web.mit.edu/facilities/environmental/recyc-facts.html (Accessed: 08 November 2024). </w:t>
      </w:r>
    </w:p>
    <w:p w14:paraId="31252FBA" w14:textId="77777777" w:rsidR="00E1338B" w:rsidRDefault="00947E5E">
      <w:pPr>
        <w:rPr>
          <w:rFonts w:ascii="Arial" w:eastAsia="Arial" w:hAnsi="Arial" w:cs="Arial"/>
        </w:rPr>
      </w:pPr>
      <w:r>
        <w:rPr>
          <w:rFonts w:ascii="Arial" w:eastAsia="Arial" w:hAnsi="Arial" w:cs="Arial"/>
        </w:rPr>
        <w:t xml:space="preserve">Public Utilities Board (2024) </w:t>
      </w:r>
      <w:r>
        <w:rPr>
          <w:rFonts w:ascii="Arial" w:eastAsia="Arial" w:hAnsi="Arial" w:cs="Arial"/>
          <w:i/>
        </w:rPr>
        <w:t>Drainage, Singapore’s National Water Agency</w:t>
      </w:r>
      <w:r>
        <w:rPr>
          <w:rFonts w:ascii="Arial" w:eastAsia="Arial" w:hAnsi="Arial" w:cs="Arial"/>
        </w:rPr>
        <w:t xml:space="preserve">. Available at: https://www.pub.gov.sg/Public/WaterLoop/Drainage#:~:text=Singapore%20uses%20two%20separate%20systems,treated%20for%20drinking%20water%20supply. (Accessed: 09 November 2024). </w:t>
      </w:r>
    </w:p>
    <w:p w14:paraId="7AA4C789" w14:textId="77777777" w:rsidR="00E1338B" w:rsidRDefault="00947E5E">
      <w:pPr>
        <w:rPr>
          <w:rFonts w:ascii="Arial" w:eastAsia="Arial" w:hAnsi="Arial" w:cs="Arial"/>
        </w:rPr>
      </w:pPr>
      <w:r>
        <w:rPr>
          <w:rFonts w:ascii="Arial" w:eastAsia="Arial" w:hAnsi="Arial" w:cs="Arial"/>
        </w:rPr>
        <w:t xml:space="preserve">Radisson Hotel Group (2021) </w:t>
      </w:r>
      <w:r>
        <w:rPr>
          <w:rFonts w:ascii="Arial" w:eastAsia="Arial" w:hAnsi="Arial" w:cs="Arial"/>
          <w:i/>
        </w:rPr>
        <w:t>RHG Responsible Business Report 2021</w:t>
      </w:r>
      <w:r>
        <w:rPr>
          <w:rFonts w:ascii="Arial" w:eastAsia="Arial" w:hAnsi="Arial" w:cs="Arial"/>
        </w:rPr>
        <w:t xml:space="preserve">. Available at: https://media.radissonhotels.net/image/responsible-business--corporate-use-only/miscellaneous/16256-142211-m24124161.pdf (Accessed: 09 November 2024). </w:t>
      </w:r>
    </w:p>
    <w:p w14:paraId="1E87D23A" w14:textId="77777777" w:rsidR="00E1338B" w:rsidRDefault="00947E5E">
      <w:pPr>
        <w:rPr>
          <w:rFonts w:ascii="Arial" w:eastAsia="Arial" w:hAnsi="Arial" w:cs="Arial"/>
        </w:rPr>
      </w:pPr>
      <w:r>
        <w:rPr>
          <w:rFonts w:ascii="Arial" w:eastAsia="Arial" w:hAnsi="Arial" w:cs="Arial"/>
        </w:rPr>
        <w:t xml:space="preserve">Razzaq, A., Sharif, A., </w:t>
      </w:r>
      <w:proofErr w:type="spellStart"/>
      <w:r>
        <w:rPr>
          <w:rFonts w:ascii="Arial" w:eastAsia="Arial" w:hAnsi="Arial" w:cs="Arial"/>
        </w:rPr>
        <w:t>Najmi</w:t>
      </w:r>
      <w:proofErr w:type="spellEnd"/>
      <w:r>
        <w:rPr>
          <w:rFonts w:ascii="Arial" w:eastAsia="Arial" w:hAnsi="Arial" w:cs="Arial"/>
        </w:rPr>
        <w:t xml:space="preserve">, A., Tseng, M.L. and Lim, M.K., 2021. Dynamic and causality interrelationships from municipal solid waste recycling to economic growth, carbon emissions and energy efficiency using a novel bootstrapping autoregressive distributed lag. </w:t>
      </w:r>
      <w:r>
        <w:rPr>
          <w:rFonts w:ascii="Arial" w:eastAsia="Arial" w:hAnsi="Arial" w:cs="Arial"/>
          <w:i/>
        </w:rPr>
        <w:t>Resources, Conservation and Recycling</w:t>
      </w:r>
      <w:r>
        <w:rPr>
          <w:rFonts w:ascii="Arial" w:eastAsia="Arial" w:hAnsi="Arial" w:cs="Arial"/>
        </w:rPr>
        <w:t xml:space="preserve">, </w:t>
      </w:r>
      <w:r>
        <w:rPr>
          <w:rFonts w:ascii="Arial" w:eastAsia="Arial" w:hAnsi="Arial" w:cs="Arial"/>
          <w:i/>
        </w:rPr>
        <w:t>166</w:t>
      </w:r>
      <w:r>
        <w:rPr>
          <w:rFonts w:ascii="Arial" w:eastAsia="Arial" w:hAnsi="Arial" w:cs="Arial"/>
        </w:rPr>
        <w:t xml:space="preserve">, p.105372. Available at: </w:t>
      </w:r>
      <w:hyperlink r:id="rId14">
        <w:r>
          <w:rPr>
            <w:rFonts w:ascii="Arial" w:eastAsia="Arial" w:hAnsi="Arial" w:cs="Arial"/>
            <w:u w:val="single"/>
          </w:rPr>
          <w:t>https://dx.doi.org/10.1016/j.resconrec.2020.105372</w:t>
        </w:r>
      </w:hyperlink>
    </w:p>
    <w:p w14:paraId="5B98AD7F" w14:textId="77777777" w:rsidR="00E1338B" w:rsidRDefault="00947E5E">
      <w:pPr>
        <w:rPr>
          <w:rFonts w:ascii="Arial" w:eastAsia="Arial" w:hAnsi="Arial" w:cs="Arial"/>
        </w:rPr>
      </w:pPr>
      <w:r>
        <w:rPr>
          <w:rFonts w:ascii="Arial" w:eastAsia="Arial" w:hAnsi="Arial" w:cs="Arial"/>
        </w:rPr>
        <w:t>Rodríguez-</w:t>
      </w:r>
      <w:proofErr w:type="spellStart"/>
      <w:r>
        <w:rPr>
          <w:rFonts w:ascii="Arial" w:eastAsia="Arial" w:hAnsi="Arial" w:cs="Arial"/>
        </w:rPr>
        <w:t>Espíndola</w:t>
      </w:r>
      <w:proofErr w:type="spellEnd"/>
      <w:r>
        <w:rPr>
          <w:rFonts w:ascii="Arial" w:eastAsia="Arial" w:hAnsi="Arial" w:cs="Arial"/>
        </w:rPr>
        <w:t xml:space="preserve">, O., Cuevas-Romo, A., Chowdhury, S., Díaz-Acevedo, N., </w:t>
      </w:r>
      <w:proofErr w:type="spellStart"/>
      <w:r>
        <w:rPr>
          <w:rFonts w:ascii="Arial" w:eastAsia="Arial" w:hAnsi="Arial" w:cs="Arial"/>
        </w:rPr>
        <w:t>Albores</w:t>
      </w:r>
      <w:proofErr w:type="spellEnd"/>
      <w:r>
        <w:rPr>
          <w:rFonts w:ascii="Arial" w:eastAsia="Arial" w:hAnsi="Arial" w:cs="Arial"/>
        </w:rPr>
        <w:t xml:space="preserve">, P., </w:t>
      </w:r>
      <w:proofErr w:type="spellStart"/>
      <w:r>
        <w:rPr>
          <w:rFonts w:ascii="Arial" w:eastAsia="Arial" w:hAnsi="Arial" w:cs="Arial"/>
        </w:rPr>
        <w:t>Despoudi</w:t>
      </w:r>
      <w:proofErr w:type="spellEnd"/>
      <w:r>
        <w:rPr>
          <w:rFonts w:ascii="Arial" w:eastAsia="Arial" w:hAnsi="Arial" w:cs="Arial"/>
        </w:rPr>
        <w:t xml:space="preserve">, S., </w:t>
      </w:r>
      <w:proofErr w:type="spellStart"/>
      <w:r>
        <w:rPr>
          <w:rFonts w:ascii="Arial" w:eastAsia="Arial" w:hAnsi="Arial" w:cs="Arial"/>
        </w:rPr>
        <w:t>Malesios</w:t>
      </w:r>
      <w:proofErr w:type="spellEnd"/>
      <w:r>
        <w:rPr>
          <w:rFonts w:ascii="Arial" w:eastAsia="Arial" w:hAnsi="Arial" w:cs="Arial"/>
        </w:rPr>
        <w:t xml:space="preserve">, C. and Dey, P., 2022. The role of circular economy principles and sustainable-oriented innovation to enhance social, economic and environmental performance: Evidence from Mexican SMEs. </w:t>
      </w:r>
      <w:r>
        <w:rPr>
          <w:rFonts w:ascii="Arial" w:eastAsia="Arial" w:hAnsi="Arial" w:cs="Arial"/>
          <w:i/>
        </w:rPr>
        <w:t>International Journal of Production Economics</w:t>
      </w:r>
      <w:r>
        <w:rPr>
          <w:rFonts w:ascii="Arial" w:eastAsia="Arial" w:hAnsi="Arial" w:cs="Arial"/>
        </w:rPr>
        <w:t xml:space="preserve">, </w:t>
      </w:r>
      <w:r>
        <w:rPr>
          <w:rFonts w:ascii="Arial" w:eastAsia="Arial" w:hAnsi="Arial" w:cs="Arial"/>
          <w:i/>
        </w:rPr>
        <w:t>248</w:t>
      </w:r>
      <w:r>
        <w:rPr>
          <w:rFonts w:ascii="Arial" w:eastAsia="Arial" w:hAnsi="Arial" w:cs="Arial"/>
        </w:rPr>
        <w:t xml:space="preserve">, p.108495. Available at: </w:t>
      </w:r>
      <w:hyperlink r:id="rId15">
        <w:r>
          <w:rPr>
            <w:rFonts w:ascii="Arial" w:eastAsia="Arial" w:hAnsi="Arial" w:cs="Arial"/>
            <w:u w:val="single"/>
          </w:rPr>
          <w:t>https://doi.org/10.1016/j.ijpe.2022.108495</w:t>
        </w:r>
      </w:hyperlink>
    </w:p>
    <w:p w14:paraId="0B44C458" w14:textId="77777777" w:rsidR="00E1338B" w:rsidRDefault="00947E5E">
      <w:pPr>
        <w:rPr>
          <w:rFonts w:ascii="Arial" w:eastAsia="Arial" w:hAnsi="Arial" w:cs="Arial"/>
        </w:rPr>
      </w:pPr>
      <w:r>
        <w:rPr>
          <w:rFonts w:ascii="Arial" w:eastAsia="Arial" w:hAnsi="Arial" w:cs="Arial"/>
        </w:rPr>
        <w:t xml:space="preserve">Sandra </w:t>
      </w:r>
      <w:proofErr w:type="spellStart"/>
      <w:r>
        <w:rPr>
          <w:rFonts w:ascii="Arial" w:eastAsia="Arial" w:hAnsi="Arial" w:cs="Arial"/>
        </w:rPr>
        <w:t>Marcelline</w:t>
      </w:r>
      <w:proofErr w:type="spellEnd"/>
      <w:r>
        <w:rPr>
          <w:rFonts w:ascii="Arial" w:eastAsia="Arial" w:hAnsi="Arial" w:cs="Arial"/>
        </w:rPr>
        <w:t xml:space="preserve">, T.R., </w:t>
      </w:r>
      <w:proofErr w:type="spellStart"/>
      <w:r>
        <w:rPr>
          <w:rFonts w:ascii="Arial" w:eastAsia="Arial" w:hAnsi="Arial" w:cs="Arial"/>
        </w:rPr>
        <w:t>Chengang</w:t>
      </w:r>
      <w:proofErr w:type="spellEnd"/>
      <w:r>
        <w:rPr>
          <w:rFonts w:ascii="Arial" w:eastAsia="Arial" w:hAnsi="Arial" w:cs="Arial"/>
        </w:rPr>
        <w:t xml:space="preserve">, Y., </w:t>
      </w:r>
      <w:proofErr w:type="spellStart"/>
      <w:r>
        <w:rPr>
          <w:rFonts w:ascii="Arial" w:eastAsia="Arial" w:hAnsi="Arial" w:cs="Arial"/>
        </w:rPr>
        <w:t>Ralison</w:t>
      </w:r>
      <w:proofErr w:type="spellEnd"/>
      <w:r>
        <w:rPr>
          <w:rFonts w:ascii="Arial" w:eastAsia="Arial" w:hAnsi="Arial" w:cs="Arial"/>
        </w:rPr>
        <w:t xml:space="preserve"> Ny </w:t>
      </w:r>
      <w:proofErr w:type="spellStart"/>
      <w:r>
        <w:rPr>
          <w:rFonts w:ascii="Arial" w:eastAsia="Arial" w:hAnsi="Arial" w:cs="Arial"/>
        </w:rPr>
        <w:t>Avotra</w:t>
      </w:r>
      <w:proofErr w:type="spellEnd"/>
      <w:r>
        <w:rPr>
          <w:rFonts w:ascii="Arial" w:eastAsia="Arial" w:hAnsi="Arial" w:cs="Arial"/>
        </w:rPr>
        <w:t xml:space="preserve">, A.A., Hussain, Z., Zonia, J.E. and Nawaz, A., 2022. Impact of green construction procurement on achieving sustainable economic growth influencing green logistic services management and innovation practices. </w:t>
      </w:r>
      <w:r>
        <w:rPr>
          <w:rFonts w:ascii="Arial" w:eastAsia="Arial" w:hAnsi="Arial" w:cs="Arial"/>
          <w:i/>
        </w:rPr>
        <w:t>Frontiers in Environmental Science</w:t>
      </w:r>
      <w:r>
        <w:rPr>
          <w:rFonts w:ascii="Arial" w:eastAsia="Arial" w:hAnsi="Arial" w:cs="Arial"/>
        </w:rPr>
        <w:t xml:space="preserve">, </w:t>
      </w:r>
      <w:r>
        <w:rPr>
          <w:rFonts w:ascii="Arial" w:eastAsia="Arial" w:hAnsi="Arial" w:cs="Arial"/>
          <w:i/>
        </w:rPr>
        <w:t>9</w:t>
      </w:r>
      <w:r>
        <w:rPr>
          <w:rFonts w:ascii="Arial" w:eastAsia="Arial" w:hAnsi="Arial" w:cs="Arial"/>
        </w:rPr>
        <w:t>, p.815928. Available at: https://doi.org/10.3389/fenvs.2021.815928</w:t>
      </w:r>
    </w:p>
    <w:p w14:paraId="682D2A53" w14:textId="77777777" w:rsidR="00E1338B" w:rsidRDefault="00947E5E">
      <w:pPr>
        <w:rPr>
          <w:rFonts w:ascii="Arial" w:eastAsia="Arial" w:hAnsi="Arial" w:cs="Arial"/>
        </w:rPr>
      </w:pPr>
      <w:proofErr w:type="spellStart"/>
      <w:r>
        <w:rPr>
          <w:rFonts w:ascii="Arial" w:eastAsia="Arial" w:hAnsi="Arial" w:cs="Arial"/>
        </w:rPr>
        <w:lastRenderedPageBreak/>
        <w:t>Sassanelli</w:t>
      </w:r>
      <w:proofErr w:type="spellEnd"/>
      <w:r>
        <w:rPr>
          <w:rFonts w:ascii="Arial" w:eastAsia="Arial" w:hAnsi="Arial" w:cs="Arial"/>
        </w:rPr>
        <w:t xml:space="preserve">, C., Urbinati, A., Rosa, P., </w:t>
      </w:r>
      <w:proofErr w:type="spellStart"/>
      <w:r>
        <w:rPr>
          <w:rFonts w:ascii="Arial" w:eastAsia="Arial" w:hAnsi="Arial" w:cs="Arial"/>
        </w:rPr>
        <w:t>Chiaroni</w:t>
      </w:r>
      <w:proofErr w:type="spellEnd"/>
      <w:r>
        <w:rPr>
          <w:rFonts w:ascii="Arial" w:eastAsia="Arial" w:hAnsi="Arial" w:cs="Arial"/>
        </w:rPr>
        <w:t xml:space="preserve">, D. and Terzi, S., 2020. Addressing circular economy through design for X approaches: A systematic literature review. </w:t>
      </w:r>
      <w:r>
        <w:rPr>
          <w:rFonts w:ascii="Arial" w:eastAsia="Arial" w:hAnsi="Arial" w:cs="Arial"/>
          <w:i/>
        </w:rPr>
        <w:t>Computers in industry</w:t>
      </w:r>
      <w:r>
        <w:rPr>
          <w:rFonts w:ascii="Arial" w:eastAsia="Arial" w:hAnsi="Arial" w:cs="Arial"/>
        </w:rPr>
        <w:t xml:space="preserve">, </w:t>
      </w:r>
      <w:r>
        <w:rPr>
          <w:rFonts w:ascii="Arial" w:eastAsia="Arial" w:hAnsi="Arial" w:cs="Arial"/>
          <w:i/>
        </w:rPr>
        <w:t>120</w:t>
      </w:r>
      <w:r>
        <w:rPr>
          <w:rFonts w:ascii="Arial" w:eastAsia="Arial" w:hAnsi="Arial" w:cs="Arial"/>
        </w:rPr>
        <w:t xml:space="preserve">, p.103245. Available at: </w:t>
      </w:r>
      <w:hyperlink r:id="rId16">
        <w:r>
          <w:rPr>
            <w:rFonts w:ascii="Arial" w:eastAsia="Arial" w:hAnsi="Arial" w:cs="Arial"/>
            <w:u w:val="single"/>
          </w:rPr>
          <w:t>https://doi.org/10.1016/j.compind.2020.103245</w:t>
        </w:r>
      </w:hyperlink>
    </w:p>
    <w:p w14:paraId="27BDA17F" w14:textId="77777777" w:rsidR="00E1338B" w:rsidRDefault="00947E5E">
      <w:pPr>
        <w:rPr>
          <w:rFonts w:ascii="Arial" w:eastAsia="Arial" w:hAnsi="Arial" w:cs="Arial"/>
        </w:rPr>
      </w:pPr>
      <w:r>
        <w:rPr>
          <w:rFonts w:ascii="Arial" w:eastAsia="Arial" w:hAnsi="Arial" w:cs="Arial"/>
        </w:rPr>
        <w:t xml:space="preserve">Sault, E. (2024) </w:t>
      </w:r>
      <w:r>
        <w:rPr>
          <w:rFonts w:ascii="Arial" w:eastAsia="Arial" w:hAnsi="Arial" w:cs="Arial"/>
          <w:i/>
        </w:rPr>
        <w:t>Bournemouth Hotel aims for Greener stays</w:t>
      </w:r>
      <w:r>
        <w:rPr>
          <w:rFonts w:ascii="Arial" w:eastAsia="Arial" w:hAnsi="Arial" w:cs="Arial"/>
        </w:rPr>
        <w:t xml:space="preserve">, </w:t>
      </w:r>
      <w:r>
        <w:rPr>
          <w:rFonts w:ascii="Arial" w:eastAsia="Arial" w:hAnsi="Arial" w:cs="Arial"/>
          <w:i/>
        </w:rPr>
        <w:t>BBC News</w:t>
      </w:r>
      <w:r>
        <w:rPr>
          <w:rFonts w:ascii="Arial" w:eastAsia="Arial" w:hAnsi="Arial" w:cs="Arial"/>
        </w:rPr>
        <w:t xml:space="preserve">. Available at: https://www.bbc.com/news/uk-england-dorset-68875766 (Accessed: 09 November 2024). </w:t>
      </w:r>
    </w:p>
    <w:p w14:paraId="30E95BD4" w14:textId="77777777" w:rsidR="00E1338B" w:rsidRDefault="00947E5E">
      <w:pPr>
        <w:rPr>
          <w:rFonts w:ascii="Arial" w:eastAsia="Arial" w:hAnsi="Arial" w:cs="Arial"/>
        </w:rPr>
      </w:pPr>
      <w:proofErr w:type="spellStart"/>
      <w:r>
        <w:rPr>
          <w:rFonts w:ascii="Arial" w:eastAsia="Arial" w:hAnsi="Arial" w:cs="Arial"/>
        </w:rPr>
        <w:t>Shimul</w:t>
      </w:r>
      <w:proofErr w:type="spellEnd"/>
      <w:r>
        <w:rPr>
          <w:rFonts w:ascii="Arial" w:eastAsia="Arial" w:hAnsi="Arial" w:cs="Arial"/>
        </w:rPr>
        <w:t xml:space="preserve">, A.S. and Cheah, I., 2023. Consumers' preference for eco-friendly packaged products: pride vs guilt appeal. </w:t>
      </w:r>
      <w:r>
        <w:rPr>
          <w:rFonts w:ascii="Arial" w:eastAsia="Arial" w:hAnsi="Arial" w:cs="Arial"/>
          <w:i/>
        </w:rPr>
        <w:t>Marketing Intelligence &amp; Planning</w:t>
      </w:r>
      <w:r>
        <w:rPr>
          <w:rFonts w:ascii="Arial" w:eastAsia="Arial" w:hAnsi="Arial" w:cs="Arial"/>
        </w:rPr>
        <w:t xml:space="preserve">, </w:t>
      </w:r>
      <w:r>
        <w:rPr>
          <w:rFonts w:ascii="Arial" w:eastAsia="Arial" w:hAnsi="Arial" w:cs="Arial"/>
          <w:i/>
        </w:rPr>
        <w:t>41</w:t>
      </w:r>
      <w:r>
        <w:rPr>
          <w:rFonts w:ascii="Arial" w:eastAsia="Arial" w:hAnsi="Arial" w:cs="Arial"/>
        </w:rPr>
        <w:t xml:space="preserve">(2), pp.186-198.  Available at: </w:t>
      </w:r>
      <w:hyperlink r:id="rId17">
        <w:r>
          <w:rPr>
            <w:rFonts w:ascii="Arial" w:eastAsia="Arial" w:hAnsi="Arial" w:cs="Arial"/>
            <w:u w:val="single"/>
          </w:rPr>
          <w:t>https://doi.org/10.1108/MIP-05-2022-0197</w:t>
        </w:r>
      </w:hyperlink>
    </w:p>
    <w:p w14:paraId="0374B3EE" w14:textId="77777777" w:rsidR="00E1338B" w:rsidRDefault="00947E5E">
      <w:pPr>
        <w:rPr>
          <w:rFonts w:ascii="Arial" w:eastAsia="Arial" w:hAnsi="Arial" w:cs="Arial"/>
        </w:rPr>
      </w:pPr>
      <w:r>
        <w:rPr>
          <w:rFonts w:ascii="Arial" w:eastAsia="Arial" w:hAnsi="Arial" w:cs="Arial"/>
        </w:rPr>
        <w:t xml:space="preserve">Sofia, D., </w:t>
      </w:r>
      <w:proofErr w:type="spellStart"/>
      <w:r>
        <w:rPr>
          <w:rFonts w:ascii="Arial" w:eastAsia="Arial" w:hAnsi="Arial" w:cs="Arial"/>
        </w:rPr>
        <w:t>Gioiella</w:t>
      </w:r>
      <w:proofErr w:type="spellEnd"/>
      <w:r>
        <w:rPr>
          <w:rFonts w:ascii="Arial" w:eastAsia="Arial" w:hAnsi="Arial" w:cs="Arial"/>
        </w:rPr>
        <w:t xml:space="preserve">, F., </w:t>
      </w:r>
      <w:proofErr w:type="spellStart"/>
      <w:r>
        <w:rPr>
          <w:rFonts w:ascii="Arial" w:eastAsia="Arial" w:hAnsi="Arial" w:cs="Arial"/>
        </w:rPr>
        <w:t>Lotrecchiano</w:t>
      </w:r>
      <w:proofErr w:type="spellEnd"/>
      <w:r>
        <w:rPr>
          <w:rFonts w:ascii="Arial" w:eastAsia="Arial" w:hAnsi="Arial" w:cs="Arial"/>
        </w:rPr>
        <w:t xml:space="preserve">, N. and Giuliano, A., 2020. Mitigation strategies for reducing air pollution. </w:t>
      </w:r>
      <w:r>
        <w:rPr>
          <w:rFonts w:ascii="Arial" w:eastAsia="Arial" w:hAnsi="Arial" w:cs="Arial"/>
          <w:i/>
        </w:rPr>
        <w:t>Environmental Science and Pollution Research</w:t>
      </w:r>
      <w:r>
        <w:rPr>
          <w:rFonts w:ascii="Arial" w:eastAsia="Arial" w:hAnsi="Arial" w:cs="Arial"/>
        </w:rPr>
        <w:t xml:space="preserve">, </w:t>
      </w:r>
      <w:r>
        <w:rPr>
          <w:rFonts w:ascii="Arial" w:eastAsia="Arial" w:hAnsi="Arial" w:cs="Arial"/>
          <w:i/>
        </w:rPr>
        <w:t>27</w:t>
      </w:r>
      <w:r>
        <w:rPr>
          <w:rFonts w:ascii="Arial" w:eastAsia="Arial" w:hAnsi="Arial" w:cs="Arial"/>
        </w:rPr>
        <w:t xml:space="preserve">(16), pp.19226-19235. Available at: </w:t>
      </w:r>
      <w:hyperlink r:id="rId18">
        <w:r>
          <w:rPr>
            <w:rFonts w:ascii="Arial" w:eastAsia="Arial" w:hAnsi="Arial" w:cs="Arial"/>
            <w:u w:val="single"/>
          </w:rPr>
          <w:t>https://doi.org/10.1007/s11356-020-08647-x</w:t>
        </w:r>
      </w:hyperlink>
    </w:p>
    <w:p w14:paraId="2F2751C2" w14:textId="77777777" w:rsidR="00E1338B" w:rsidRDefault="00947E5E">
      <w:pPr>
        <w:rPr>
          <w:rFonts w:ascii="Arial" w:eastAsia="Arial" w:hAnsi="Arial" w:cs="Arial"/>
        </w:rPr>
      </w:pPr>
      <w:r>
        <w:rPr>
          <w:rFonts w:ascii="Arial" w:eastAsia="Arial" w:hAnsi="Arial" w:cs="Arial"/>
        </w:rPr>
        <w:t xml:space="preserve">Statista Research Department (2024) </w:t>
      </w:r>
      <w:r>
        <w:rPr>
          <w:rFonts w:ascii="Arial" w:eastAsia="Arial" w:hAnsi="Arial" w:cs="Arial"/>
          <w:i/>
        </w:rPr>
        <w:t>Marriott Revenue 2023</w:t>
      </w:r>
      <w:r>
        <w:rPr>
          <w:rFonts w:ascii="Arial" w:eastAsia="Arial" w:hAnsi="Arial" w:cs="Arial"/>
        </w:rPr>
        <w:t xml:space="preserve">, </w:t>
      </w:r>
      <w:r>
        <w:rPr>
          <w:rFonts w:ascii="Arial" w:eastAsia="Arial" w:hAnsi="Arial" w:cs="Arial"/>
          <w:i/>
        </w:rPr>
        <w:t>Statista</w:t>
      </w:r>
      <w:r>
        <w:rPr>
          <w:rFonts w:ascii="Arial" w:eastAsia="Arial" w:hAnsi="Arial" w:cs="Arial"/>
        </w:rPr>
        <w:t xml:space="preserve">. Available at: https://www.statista.com/statistics/266279/revenue-of-the-marriott-international-inc-hotel-chain/ (Accessed: 05 November 2024). </w:t>
      </w:r>
    </w:p>
    <w:p w14:paraId="12783DF8" w14:textId="77777777" w:rsidR="00E1338B" w:rsidRDefault="00947E5E">
      <w:pPr>
        <w:rPr>
          <w:rFonts w:ascii="Arial" w:eastAsia="Arial" w:hAnsi="Arial" w:cs="Arial"/>
        </w:rPr>
      </w:pPr>
      <w:proofErr w:type="spellStart"/>
      <w:r>
        <w:rPr>
          <w:rFonts w:ascii="Arial" w:eastAsia="Arial" w:hAnsi="Arial" w:cs="Arial"/>
        </w:rPr>
        <w:t>Tchonkouang</w:t>
      </w:r>
      <w:proofErr w:type="spellEnd"/>
      <w:r>
        <w:rPr>
          <w:rFonts w:ascii="Arial" w:eastAsia="Arial" w:hAnsi="Arial" w:cs="Arial"/>
        </w:rPr>
        <w:t xml:space="preserve">, R.D., </w:t>
      </w:r>
      <w:proofErr w:type="spellStart"/>
      <w:r>
        <w:rPr>
          <w:rFonts w:ascii="Arial" w:eastAsia="Arial" w:hAnsi="Arial" w:cs="Arial"/>
        </w:rPr>
        <w:t>Onyeaka</w:t>
      </w:r>
      <w:proofErr w:type="spellEnd"/>
      <w:r>
        <w:rPr>
          <w:rFonts w:ascii="Arial" w:eastAsia="Arial" w:hAnsi="Arial" w:cs="Arial"/>
        </w:rPr>
        <w:t xml:space="preserve">, H. and Miri, T., 2023. From waste to plate: Exploring the impact of food waste valorisation on achieving zero hunger. </w:t>
      </w:r>
      <w:r>
        <w:rPr>
          <w:rFonts w:ascii="Arial" w:eastAsia="Arial" w:hAnsi="Arial" w:cs="Arial"/>
          <w:i/>
        </w:rPr>
        <w:t>Sustainability</w:t>
      </w:r>
      <w:r>
        <w:rPr>
          <w:rFonts w:ascii="Arial" w:eastAsia="Arial" w:hAnsi="Arial" w:cs="Arial"/>
        </w:rPr>
        <w:t xml:space="preserve">, </w:t>
      </w:r>
      <w:r>
        <w:rPr>
          <w:rFonts w:ascii="Arial" w:eastAsia="Arial" w:hAnsi="Arial" w:cs="Arial"/>
          <w:i/>
        </w:rPr>
        <w:t>15</w:t>
      </w:r>
      <w:r>
        <w:rPr>
          <w:rFonts w:ascii="Arial" w:eastAsia="Arial" w:hAnsi="Arial" w:cs="Arial"/>
        </w:rPr>
        <w:t xml:space="preserve">(13), p.10571. Available at: </w:t>
      </w:r>
      <w:hyperlink r:id="rId19">
        <w:r>
          <w:rPr>
            <w:rFonts w:ascii="Arial" w:eastAsia="Arial" w:hAnsi="Arial" w:cs="Arial"/>
            <w:u w:val="single"/>
          </w:rPr>
          <w:t>https://doi.org/10.3390/su151310571</w:t>
        </w:r>
      </w:hyperlink>
    </w:p>
    <w:p w14:paraId="29EE194E" w14:textId="77777777" w:rsidR="00E1338B" w:rsidRDefault="00947E5E">
      <w:pPr>
        <w:rPr>
          <w:rFonts w:ascii="Arial" w:eastAsia="Arial" w:hAnsi="Arial" w:cs="Arial"/>
        </w:rPr>
      </w:pPr>
      <w:r>
        <w:rPr>
          <w:rFonts w:ascii="Arial" w:eastAsia="Arial" w:hAnsi="Arial" w:cs="Arial"/>
        </w:rPr>
        <w:t xml:space="preserve">Van der Oord, S. and Tripp, G., 2020. How to improve </w:t>
      </w:r>
      <w:proofErr w:type="spellStart"/>
      <w:r>
        <w:rPr>
          <w:rFonts w:ascii="Arial" w:eastAsia="Arial" w:hAnsi="Arial" w:cs="Arial"/>
        </w:rPr>
        <w:t>behavioral</w:t>
      </w:r>
      <w:proofErr w:type="spellEnd"/>
      <w:r>
        <w:rPr>
          <w:rFonts w:ascii="Arial" w:eastAsia="Arial" w:hAnsi="Arial" w:cs="Arial"/>
        </w:rPr>
        <w:t xml:space="preserve"> parent and teacher training for children with ADHD: Integrating empirical research on learning and motivation into treatment. </w:t>
      </w:r>
      <w:r>
        <w:rPr>
          <w:rFonts w:ascii="Arial" w:eastAsia="Arial" w:hAnsi="Arial" w:cs="Arial"/>
          <w:i/>
        </w:rPr>
        <w:t>Clinical child and family psychology review</w:t>
      </w:r>
      <w:r>
        <w:rPr>
          <w:rFonts w:ascii="Arial" w:eastAsia="Arial" w:hAnsi="Arial" w:cs="Arial"/>
        </w:rPr>
        <w:t xml:space="preserve">, </w:t>
      </w:r>
      <w:r>
        <w:rPr>
          <w:rFonts w:ascii="Arial" w:eastAsia="Arial" w:hAnsi="Arial" w:cs="Arial"/>
          <w:i/>
        </w:rPr>
        <w:t>23</w:t>
      </w:r>
      <w:r>
        <w:rPr>
          <w:rFonts w:ascii="Arial" w:eastAsia="Arial" w:hAnsi="Arial" w:cs="Arial"/>
        </w:rPr>
        <w:t xml:space="preserve">(4), pp.577-604. Available at: </w:t>
      </w:r>
      <w:hyperlink r:id="rId20">
        <w:r>
          <w:rPr>
            <w:rFonts w:ascii="Arial" w:eastAsia="Arial" w:hAnsi="Arial" w:cs="Arial"/>
            <w:u w:val="single"/>
          </w:rPr>
          <w:t>https://doi.org/10.1007/s10567-020-00327-z</w:t>
        </w:r>
      </w:hyperlink>
    </w:p>
    <w:p w14:paraId="2E4D8061" w14:textId="77777777" w:rsidR="00E1338B" w:rsidRDefault="00947E5E">
      <w:pPr>
        <w:rPr>
          <w:rFonts w:ascii="Arial" w:eastAsia="Arial" w:hAnsi="Arial" w:cs="Arial"/>
        </w:rPr>
      </w:pPr>
      <w:r>
        <w:rPr>
          <w:rFonts w:ascii="Arial" w:eastAsia="Arial" w:hAnsi="Arial" w:cs="Arial"/>
        </w:rPr>
        <w:t xml:space="preserve">Velis, C.A., Hardesty, B.D., Cottom, J.W. and Wilcox, C., 2022. Enabling the informal recycling sector to prevent plastic pollution and deliver an inclusive circular economy. </w:t>
      </w:r>
      <w:r>
        <w:rPr>
          <w:rFonts w:ascii="Arial" w:eastAsia="Arial" w:hAnsi="Arial" w:cs="Arial"/>
          <w:i/>
        </w:rPr>
        <w:t>Environmental Science &amp; Policy</w:t>
      </w:r>
      <w:r>
        <w:rPr>
          <w:rFonts w:ascii="Arial" w:eastAsia="Arial" w:hAnsi="Arial" w:cs="Arial"/>
        </w:rPr>
        <w:t xml:space="preserve">, </w:t>
      </w:r>
      <w:r>
        <w:rPr>
          <w:rFonts w:ascii="Arial" w:eastAsia="Arial" w:hAnsi="Arial" w:cs="Arial"/>
          <w:i/>
        </w:rPr>
        <w:t>138</w:t>
      </w:r>
      <w:r>
        <w:rPr>
          <w:rFonts w:ascii="Arial" w:eastAsia="Arial" w:hAnsi="Arial" w:cs="Arial"/>
        </w:rPr>
        <w:t xml:space="preserve">, pp.20-25.  Available at: </w:t>
      </w:r>
      <w:hyperlink r:id="rId21">
        <w:r>
          <w:rPr>
            <w:rFonts w:ascii="Arial" w:eastAsia="Arial" w:hAnsi="Arial" w:cs="Arial"/>
            <w:u w:val="single"/>
          </w:rPr>
          <w:t>https://doi.org/10.1016/j.envsci.2022.09.008</w:t>
        </w:r>
      </w:hyperlink>
    </w:p>
    <w:p w14:paraId="6E42E82C" w14:textId="77777777" w:rsidR="00E1338B" w:rsidRDefault="00947E5E">
      <w:pPr>
        <w:rPr>
          <w:rFonts w:ascii="Arial" w:eastAsia="Arial" w:hAnsi="Arial" w:cs="Arial"/>
        </w:rPr>
      </w:pPr>
      <w:proofErr w:type="spellStart"/>
      <w:r>
        <w:rPr>
          <w:rFonts w:ascii="Arial" w:eastAsia="Arial" w:hAnsi="Arial" w:cs="Arial"/>
        </w:rPr>
        <w:t>Wassie</w:t>
      </w:r>
      <w:proofErr w:type="spellEnd"/>
      <w:r>
        <w:rPr>
          <w:rFonts w:ascii="Arial" w:eastAsia="Arial" w:hAnsi="Arial" w:cs="Arial"/>
        </w:rPr>
        <w:t xml:space="preserve">, S.B., 2020. Natural resource degradation tendencies in Ethiopia: a review. </w:t>
      </w:r>
      <w:r>
        <w:rPr>
          <w:rFonts w:ascii="Arial" w:eastAsia="Arial" w:hAnsi="Arial" w:cs="Arial"/>
          <w:i/>
        </w:rPr>
        <w:t>Environmental systems research</w:t>
      </w:r>
      <w:r>
        <w:rPr>
          <w:rFonts w:ascii="Arial" w:eastAsia="Arial" w:hAnsi="Arial" w:cs="Arial"/>
        </w:rPr>
        <w:t xml:space="preserve">, </w:t>
      </w:r>
      <w:r>
        <w:rPr>
          <w:rFonts w:ascii="Arial" w:eastAsia="Arial" w:hAnsi="Arial" w:cs="Arial"/>
          <w:i/>
        </w:rPr>
        <w:t>9</w:t>
      </w:r>
      <w:r>
        <w:rPr>
          <w:rFonts w:ascii="Arial" w:eastAsia="Arial" w:hAnsi="Arial" w:cs="Arial"/>
        </w:rPr>
        <w:t xml:space="preserve">(1), pp.1-29. Available at: </w:t>
      </w:r>
      <w:hyperlink r:id="rId22">
        <w:r>
          <w:rPr>
            <w:rFonts w:ascii="Arial" w:eastAsia="Arial" w:hAnsi="Arial" w:cs="Arial"/>
            <w:u w:val="single"/>
          </w:rPr>
          <w:t>https://doi.org/10.1186/s40068-020-00194-1</w:t>
        </w:r>
      </w:hyperlink>
    </w:p>
    <w:p w14:paraId="17D1BF25" w14:textId="77777777" w:rsidR="00E1338B" w:rsidRDefault="00947E5E">
      <w:pPr>
        <w:rPr>
          <w:rFonts w:ascii="Arial" w:eastAsia="Arial" w:hAnsi="Arial" w:cs="Arial"/>
        </w:rPr>
      </w:pPr>
      <w:proofErr w:type="spellStart"/>
      <w:r>
        <w:rPr>
          <w:rFonts w:ascii="Arial" w:eastAsia="Arial" w:hAnsi="Arial" w:cs="Arial"/>
        </w:rPr>
        <w:t>Zetter</w:t>
      </w:r>
      <w:proofErr w:type="spellEnd"/>
      <w:r>
        <w:rPr>
          <w:rFonts w:ascii="Arial" w:eastAsia="Arial" w:hAnsi="Arial" w:cs="Arial"/>
        </w:rPr>
        <w:t xml:space="preserve"> (2024) </w:t>
      </w:r>
      <w:r>
        <w:rPr>
          <w:rFonts w:ascii="Arial" w:eastAsia="Arial" w:hAnsi="Arial" w:cs="Arial"/>
          <w:i/>
        </w:rPr>
        <w:t>Sustainable Hotels London</w:t>
      </w:r>
      <w:r>
        <w:rPr>
          <w:rFonts w:ascii="Arial" w:eastAsia="Arial" w:hAnsi="Arial" w:cs="Arial"/>
        </w:rPr>
        <w:t xml:space="preserve">, </w:t>
      </w:r>
      <w:r>
        <w:rPr>
          <w:rFonts w:ascii="Arial" w:eastAsia="Arial" w:hAnsi="Arial" w:cs="Arial"/>
          <w:i/>
        </w:rPr>
        <w:t xml:space="preserve">The </w:t>
      </w:r>
      <w:proofErr w:type="spellStart"/>
      <w:r>
        <w:rPr>
          <w:rFonts w:ascii="Arial" w:eastAsia="Arial" w:hAnsi="Arial" w:cs="Arial"/>
          <w:i/>
        </w:rPr>
        <w:t>Zetter</w:t>
      </w:r>
      <w:proofErr w:type="spellEnd"/>
      <w:r>
        <w:rPr>
          <w:rFonts w:ascii="Arial" w:eastAsia="Arial" w:hAnsi="Arial" w:cs="Arial"/>
          <w:i/>
        </w:rPr>
        <w:t xml:space="preserve"> Hotels &amp; Lounges</w:t>
      </w:r>
      <w:r>
        <w:rPr>
          <w:rFonts w:ascii="Arial" w:eastAsia="Arial" w:hAnsi="Arial" w:cs="Arial"/>
        </w:rPr>
        <w:t xml:space="preserve">. Available at: https://thezetter.com/sustainable-hotels/ (Accessed: 09 November 2024). </w:t>
      </w:r>
    </w:p>
    <w:p w14:paraId="649EBC24" w14:textId="77777777" w:rsidR="00E1338B" w:rsidRDefault="00E1338B">
      <w:pPr>
        <w:rPr>
          <w:rFonts w:ascii="Arial" w:eastAsia="Arial" w:hAnsi="Arial" w:cs="Arial"/>
          <w:b/>
        </w:rPr>
      </w:pPr>
    </w:p>
    <w:sectPr w:rsidR="00E1338B" w:rsidSect="004B1069">
      <w:headerReference w:type="default" r:id="rId23"/>
      <w:footerReference w:type="default" r:id="rId24"/>
      <w:footerReference w:type="first" r:id="rId25"/>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220E76" w14:textId="77777777" w:rsidR="00947E5E" w:rsidRDefault="00947E5E">
      <w:pPr>
        <w:spacing w:line="240" w:lineRule="auto"/>
      </w:pPr>
      <w:r>
        <w:separator/>
      </w:r>
    </w:p>
  </w:endnote>
  <w:endnote w:type="continuationSeparator" w:id="0">
    <w:p w14:paraId="6E21755F" w14:textId="77777777" w:rsidR="00947E5E" w:rsidRDefault="00947E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679E64" w14:textId="77777777" w:rsidR="00E1338B" w:rsidRDefault="00947E5E">
    <w:pPr>
      <w:jc w:val="right"/>
      <w:rPr>
        <w:rFonts w:ascii="Arial" w:eastAsia="Arial" w:hAnsi="Arial" w:cs="Arial"/>
      </w:rPr>
    </w:pPr>
    <w:r>
      <w:rPr>
        <w:rFonts w:ascii="Arial" w:eastAsia="Arial" w:hAnsi="Arial" w:cs="Arial"/>
      </w:rPr>
      <w:fldChar w:fldCharType="begin"/>
    </w:r>
    <w:r>
      <w:rPr>
        <w:rFonts w:ascii="Arial" w:eastAsia="Arial" w:hAnsi="Arial" w:cs="Arial"/>
      </w:rPr>
      <w:instrText>PAGE</w:instrText>
    </w:r>
    <w:r>
      <w:rPr>
        <w:rFonts w:ascii="Arial" w:eastAsia="Arial" w:hAnsi="Arial" w:cs="Arial"/>
      </w:rPr>
      <w:fldChar w:fldCharType="separate"/>
    </w:r>
    <w:r w:rsidR="004B1069">
      <w:rPr>
        <w:rFonts w:ascii="Arial" w:eastAsia="Arial" w:hAnsi="Arial" w:cs="Arial"/>
        <w:noProof/>
      </w:rPr>
      <w:t>13</w:t>
    </w:r>
    <w:r>
      <w:rPr>
        <w:rFonts w:ascii="Arial" w:eastAsia="Arial" w:hAnsi="Arial" w:cs="Arial"/>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077F16" w14:textId="77777777" w:rsidR="00E1338B" w:rsidRDefault="00E1338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C27FB3" w14:textId="77777777" w:rsidR="00947E5E" w:rsidRDefault="00947E5E">
      <w:pPr>
        <w:spacing w:line="240" w:lineRule="auto"/>
      </w:pPr>
      <w:r>
        <w:separator/>
      </w:r>
    </w:p>
  </w:footnote>
  <w:footnote w:type="continuationSeparator" w:id="0">
    <w:p w14:paraId="0C557E42" w14:textId="77777777" w:rsidR="00947E5E" w:rsidRDefault="00947E5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67AC02" w14:textId="77777777" w:rsidR="00E1338B" w:rsidRDefault="00E1338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38B"/>
    <w:rsid w:val="004B1069"/>
    <w:rsid w:val="00606E84"/>
    <w:rsid w:val="006B23A0"/>
    <w:rsid w:val="00947E5E"/>
    <w:rsid w:val="00CE3F76"/>
    <w:rsid w:val="00E1338B"/>
    <w:rsid w:val="00ED29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64BBD"/>
  <w15:docId w15:val="{91257B83-C4A3-41CD-B724-113BE2A59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rFonts w:ascii="Arial" w:eastAsia="Arial" w:hAnsi="Arial" w:cs="Arial"/>
      <w:b/>
    </w:rPr>
  </w:style>
  <w:style w:type="paragraph" w:styleId="Heading2">
    <w:name w:val="heading 2"/>
    <w:basedOn w:val="Normal"/>
    <w:next w:val="Normal"/>
    <w:pPr>
      <w:keepNext/>
      <w:keepLines/>
      <w:outlineLvl w:val="1"/>
    </w:pPr>
    <w:rPr>
      <w:rFonts w:ascii="Arial" w:eastAsia="Arial" w:hAnsi="Arial" w:cs="Arial"/>
      <w:b/>
    </w:rPr>
  </w:style>
  <w:style w:type="paragraph" w:styleId="Heading3">
    <w:name w:val="heading 3"/>
    <w:basedOn w:val="Normal"/>
    <w:next w:val="Normal"/>
    <w:pPr>
      <w:keepNext/>
      <w:keepLines/>
      <w:outlineLvl w:val="2"/>
    </w:pPr>
    <w:rPr>
      <w:rFonts w:ascii="Arial" w:eastAsia="Arial" w:hAnsi="Arial" w:cs="Arial"/>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oi.org/10.1002/bse.2590" TargetMode="External"/><Relationship Id="rId13" Type="http://schemas.openxmlformats.org/officeDocument/2006/relationships/hyperlink" Target="https://doi.org/10.1016/j.jclepro.2022.132452" TargetMode="External"/><Relationship Id="rId18" Type="http://schemas.openxmlformats.org/officeDocument/2006/relationships/hyperlink" Target="https://doi.org/10.1007/s11356-020-08647-x"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1016/j.envsci.2022.09.008" TargetMode="External"/><Relationship Id="rId7" Type="http://schemas.openxmlformats.org/officeDocument/2006/relationships/hyperlink" Target="https://doi.org/10.1063/5.0089645" TargetMode="External"/><Relationship Id="rId12" Type="http://schemas.openxmlformats.org/officeDocument/2006/relationships/hyperlink" Target="http://dx.doi.org/10.15406/ijh.2020.04.00250" TargetMode="External"/><Relationship Id="rId17" Type="http://schemas.openxmlformats.org/officeDocument/2006/relationships/hyperlink" Target="https://doi.org/10.1108/MIP-05-2022-0197"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doi.org/10.1016/j.compind.2020.103245" TargetMode="External"/><Relationship Id="rId20" Type="http://schemas.openxmlformats.org/officeDocument/2006/relationships/hyperlink" Target="https://doi.org/10.1007/s10567-020-00327-z"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86/s12913-020-5057-2"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oi.org/10.1016/j.ijpe.2022.108495" TargetMode="External"/><Relationship Id="rId23" Type="http://schemas.openxmlformats.org/officeDocument/2006/relationships/header" Target="header1.xml"/><Relationship Id="rId10" Type="http://schemas.openxmlformats.org/officeDocument/2006/relationships/hyperlink" Target="https://doi.org/10.3390/" TargetMode="External"/><Relationship Id="rId19" Type="http://schemas.openxmlformats.org/officeDocument/2006/relationships/hyperlink" Target="https://doi.org/10.3390/su151310571" TargetMode="External"/><Relationship Id="rId4" Type="http://schemas.openxmlformats.org/officeDocument/2006/relationships/footnotes" Target="footnotes.xml"/><Relationship Id="rId9" Type="http://schemas.openxmlformats.org/officeDocument/2006/relationships/hyperlink" Target="https://doi.org/10.5281/zenodo.13879990" TargetMode="External"/><Relationship Id="rId14" Type="http://schemas.openxmlformats.org/officeDocument/2006/relationships/hyperlink" Target="https://dx.doi.org/10.1016/j.resconrec.2020.105372" TargetMode="External"/><Relationship Id="rId22" Type="http://schemas.openxmlformats.org/officeDocument/2006/relationships/hyperlink" Target="https://doi.org/10.1186/s40068-020-00194-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3888</Words>
  <Characters>22167</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Abul Kalam Ali (2234300)</cp:lastModifiedBy>
  <cp:revision>2</cp:revision>
  <dcterms:created xsi:type="dcterms:W3CDTF">2024-11-14T22:13:00Z</dcterms:created>
  <dcterms:modified xsi:type="dcterms:W3CDTF">2024-11-14T22:13:00Z</dcterms:modified>
</cp:coreProperties>
</file>