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626778" w14:textId="77777777" w:rsidR="0070544B" w:rsidRPr="00630068" w:rsidRDefault="0070544B" w:rsidP="0070544B">
      <w:pPr>
        <w:spacing w:after="0" w:line="360" w:lineRule="auto"/>
        <w:ind w:firstLine="284"/>
        <w:jc w:val="center"/>
        <w:rPr>
          <w:rFonts w:ascii="Arial" w:hAnsi="Arial" w:cs="Arial"/>
          <w:b/>
          <w:bCs/>
          <w:sz w:val="24"/>
          <w:szCs w:val="24"/>
        </w:rPr>
      </w:pPr>
      <w:r w:rsidRPr="00630068">
        <w:rPr>
          <w:rFonts w:ascii="Arial" w:hAnsi="Arial" w:cs="Arial"/>
          <w:b/>
          <w:bCs/>
          <w:sz w:val="24"/>
          <w:szCs w:val="24"/>
        </w:rPr>
        <w:t>University of Wales Trinity Saint David Birmingham</w:t>
      </w:r>
    </w:p>
    <w:p w14:paraId="4B281D97" w14:textId="77777777" w:rsidR="0070544B" w:rsidRPr="00630068" w:rsidRDefault="0070544B" w:rsidP="0070544B">
      <w:pPr>
        <w:spacing w:after="0" w:line="360" w:lineRule="auto"/>
        <w:ind w:firstLine="284"/>
        <w:jc w:val="center"/>
        <w:rPr>
          <w:rFonts w:ascii="Arial" w:hAnsi="Arial" w:cs="Arial"/>
          <w:b/>
          <w:bCs/>
          <w:sz w:val="24"/>
          <w:szCs w:val="24"/>
        </w:rPr>
      </w:pPr>
      <w:r w:rsidRPr="00630068">
        <w:rPr>
          <w:rFonts w:ascii="Arial" w:hAnsi="Arial" w:cs="Arial"/>
          <w:b/>
          <w:bCs/>
          <w:sz w:val="24"/>
          <w:szCs w:val="24"/>
        </w:rPr>
        <w:t>BA (Hons) Business Management</w:t>
      </w:r>
    </w:p>
    <w:p w14:paraId="7FEBBFDD" w14:textId="79AE3774" w:rsidR="0070544B" w:rsidRPr="00CA1B20" w:rsidRDefault="0070544B" w:rsidP="0070544B">
      <w:pPr>
        <w:spacing w:after="0" w:line="360" w:lineRule="auto"/>
        <w:ind w:firstLine="284"/>
        <w:jc w:val="center"/>
        <w:rPr>
          <w:rFonts w:ascii="Arial" w:hAnsi="Arial" w:cs="Arial"/>
          <w:b/>
          <w:bCs/>
          <w:sz w:val="24"/>
          <w:szCs w:val="24"/>
        </w:rPr>
      </w:pPr>
      <w:r w:rsidRPr="0070544B">
        <w:rPr>
          <w:rFonts w:ascii="Arial" w:hAnsi="Arial" w:cs="Arial"/>
          <w:b/>
          <w:bCs/>
          <w:sz w:val="24"/>
          <w:szCs w:val="24"/>
        </w:rPr>
        <w:t>LCBB6000_BIRM</w:t>
      </w:r>
      <w:r w:rsidRPr="00630068">
        <w:rPr>
          <w:rFonts w:ascii="Arial" w:hAnsi="Arial" w:cs="Arial"/>
          <w:b/>
          <w:bCs/>
          <w:sz w:val="24"/>
          <w:szCs w:val="24"/>
        </w:rPr>
        <w:t xml:space="preserve"> </w:t>
      </w:r>
      <w:r w:rsidRPr="0070544B">
        <w:rPr>
          <w:rFonts w:ascii="Arial" w:hAnsi="Arial" w:cs="Arial"/>
          <w:b/>
          <w:bCs/>
          <w:sz w:val="24"/>
          <w:szCs w:val="24"/>
        </w:rPr>
        <w:t>Dissertation</w:t>
      </w:r>
    </w:p>
    <w:p w14:paraId="122C877C" w14:textId="77777777" w:rsidR="0070544B" w:rsidRPr="00CA1B20" w:rsidRDefault="0070544B" w:rsidP="0070544B">
      <w:pPr>
        <w:spacing w:after="0" w:line="360" w:lineRule="auto"/>
        <w:ind w:firstLine="284"/>
        <w:jc w:val="both"/>
        <w:rPr>
          <w:rFonts w:ascii="Arial" w:hAnsi="Arial" w:cs="Arial"/>
          <w:b/>
          <w:bCs/>
          <w:sz w:val="24"/>
          <w:szCs w:val="24"/>
        </w:rPr>
      </w:pPr>
    </w:p>
    <w:p w14:paraId="51565FCF" w14:textId="77777777" w:rsidR="0070544B" w:rsidRPr="00CA1B20" w:rsidRDefault="0070544B" w:rsidP="0070544B">
      <w:pPr>
        <w:spacing w:after="0" w:line="360" w:lineRule="auto"/>
        <w:ind w:firstLine="284"/>
        <w:jc w:val="both"/>
        <w:rPr>
          <w:rFonts w:ascii="Arial" w:hAnsi="Arial" w:cs="Arial"/>
          <w:b/>
          <w:bCs/>
          <w:sz w:val="24"/>
          <w:szCs w:val="24"/>
        </w:rPr>
      </w:pPr>
    </w:p>
    <w:p w14:paraId="79A67824" w14:textId="77777777" w:rsidR="0070544B" w:rsidRPr="00CA1B20" w:rsidRDefault="0070544B" w:rsidP="0070544B">
      <w:pPr>
        <w:spacing w:after="0" w:line="360" w:lineRule="auto"/>
        <w:ind w:firstLine="284"/>
        <w:jc w:val="both"/>
        <w:rPr>
          <w:rFonts w:ascii="Arial" w:hAnsi="Arial" w:cs="Arial"/>
          <w:b/>
          <w:bCs/>
          <w:sz w:val="24"/>
          <w:szCs w:val="24"/>
        </w:rPr>
      </w:pPr>
    </w:p>
    <w:p w14:paraId="025BE528" w14:textId="77777777" w:rsidR="0070544B" w:rsidRPr="00CA1B20" w:rsidRDefault="0070544B" w:rsidP="0070544B">
      <w:pPr>
        <w:spacing w:after="0" w:line="360" w:lineRule="auto"/>
        <w:ind w:firstLine="284"/>
        <w:jc w:val="both"/>
        <w:rPr>
          <w:rFonts w:ascii="Arial" w:hAnsi="Arial" w:cs="Arial"/>
          <w:b/>
          <w:bCs/>
          <w:sz w:val="24"/>
          <w:szCs w:val="24"/>
        </w:rPr>
      </w:pPr>
    </w:p>
    <w:p w14:paraId="1A72EE8C" w14:textId="77777777" w:rsidR="0070544B" w:rsidRPr="00CA1B20" w:rsidRDefault="0070544B" w:rsidP="0070544B">
      <w:pPr>
        <w:spacing w:after="0" w:line="360" w:lineRule="auto"/>
        <w:ind w:firstLine="284"/>
        <w:jc w:val="both"/>
        <w:rPr>
          <w:rFonts w:ascii="Arial" w:hAnsi="Arial" w:cs="Arial"/>
          <w:b/>
          <w:bCs/>
          <w:sz w:val="24"/>
          <w:szCs w:val="24"/>
        </w:rPr>
      </w:pPr>
    </w:p>
    <w:p w14:paraId="4DC5F229" w14:textId="49DE335A" w:rsidR="0070544B" w:rsidRPr="0070544B" w:rsidRDefault="0070544B" w:rsidP="0070544B">
      <w:pPr>
        <w:spacing w:after="0" w:line="360" w:lineRule="auto"/>
        <w:ind w:firstLine="284"/>
        <w:jc w:val="center"/>
        <w:rPr>
          <w:rFonts w:ascii="Arial" w:hAnsi="Arial" w:cs="Arial"/>
          <w:b/>
          <w:bCs/>
          <w:color w:val="000000" w:themeColor="text1"/>
          <w:sz w:val="36"/>
          <w:szCs w:val="36"/>
        </w:rPr>
      </w:pPr>
      <w:r w:rsidRPr="0070544B">
        <w:rPr>
          <w:rFonts w:ascii="Arial" w:hAnsi="Arial" w:cs="Arial"/>
          <w:b/>
          <w:bCs/>
          <w:color w:val="000000" w:themeColor="text1"/>
          <w:sz w:val="36"/>
          <w:szCs w:val="36"/>
        </w:rPr>
        <w:t>Component 1</w:t>
      </w:r>
      <w:r w:rsidRPr="0070544B">
        <w:rPr>
          <w:rFonts w:ascii="Arial" w:hAnsi="Arial" w:cs="Arial"/>
          <w:b/>
          <w:bCs/>
          <w:color w:val="000000" w:themeColor="text1"/>
          <w:sz w:val="36"/>
          <w:szCs w:val="36"/>
        </w:rPr>
        <w:br/>
        <w:t>Research proposal</w:t>
      </w:r>
    </w:p>
    <w:p w14:paraId="71D66CBD" w14:textId="508F9AB7" w:rsidR="0070544B" w:rsidRPr="001219CA" w:rsidRDefault="0070544B" w:rsidP="0070544B">
      <w:pPr>
        <w:spacing w:after="0" w:line="360" w:lineRule="auto"/>
        <w:ind w:firstLine="284"/>
        <w:jc w:val="center"/>
        <w:rPr>
          <w:rFonts w:ascii="Arial" w:hAnsi="Arial" w:cs="Arial"/>
          <w:b/>
          <w:bCs/>
          <w:color w:val="000000" w:themeColor="text1"/>
          <w:sz w:val="28"/>
          <w:szCs w:val="28"/>
        </w:rPr>
      </w:pPr>
      <w:r w:rsidRPr="001219CA">
        <w:rPr>
          <w:rFonts w:ascii="Arial" w:hAnsi="Arial" w:cs="Arial"/>
          <w:b/>
          <w:bCs/>
          <w:color w:val="000000" w:themeColor="text1"/>
          <w:sz w:val="28"/>
          <w:szCs w:val="28"/>
        </w:rPr>
        <w:t>Research Title</w:t>
      </w:r>
      <w:r>
        <w:rPr>
          <w:rFonts w:ascii="Arial" w:hAnsi="Arial" w:cs="Arial"/>
          <w:b/>
          <w:bCs/>
          <w:color w:val="000000" w:themeColor="text1"/>
          <w:sz w:val="28"/>
          <w:szCs w:val="28"/>
        </w:rPr>
        <w:t xml:space="preserve">: </w:t>
      </w:r>
      <w:r w:rsidRPr="0070544B">
        <w:rPr>
          <w:rFonts w:ascii="Arial" w:hAnsi="Arial" w:cs="Arial"/>
          <w:b/>
          <w:bCs/>
          <w:i/>
          <w:iCs/>
          <w:color w:val="000000" w:themeColor="text1"/>
          <w:sz w:val="28"/>
          <w:szCs w:val="28"/>
        </w:rPr>
        <w:t>Hong Kong as a global business hub: How macro environment factors and regulations shape foreign business expansion</w:t>
      </w:r>
    </w:p>
    <w:p w14:paraId="3DE7FC97" w14:textId="77777777" w:rsidR="0070544B" w:rsidRPr="00CA1B20" w:rsidRDefault="0070544B" w:rsidP="0070544B">
      <w:pPr>
        <w:spacing w:after="0" w:line="360" w:lineRule="auto"/>
        <w:ind w:firstLine="284"/>
        <w:jc w:val="both"/>
        <w:rPr>
          <w:rFonts w:ascii="Arial" w:hAnsi="Arial" w:cs="Arial"/>
          <w:b/>
          <w:bCs/>
          <w:sz w:val="24"/>
          <w:szCs w:val="24"/>
        </w:rPr>
      </w:pPr>
    </w:p>
    <w:p w14:paraId="07D203B3" w14:textId="77777777" w:rsidR="0070544B" w:rsidRPr="00CA1B20" w:rsidRDefault="0070544B" w:rsidP="0070544B">
      <w:pPr>
        <w:spacing w:after="0" w:line="360" w:lineRule="auto"/>
        <w:ind w:firstLine="284"/>
        <w:jc w:val="both"/>
        <w:rPr>
          <w:rFonts w:ascii="Arial" w:hAnsi="Arial" w:cs="Arial"/>
          <w:b/>
          <w:bCs/>
          <w:sz w:val="24"/>
          <w:szCs w:val="24"/>
        </w:rPr>
      </w:pPr>
    </w:p>
    <w:p w14:paraId="1EE4B183" w14:textId="77777777" w:rsidR="0070544B" w:rsidRPr="00CA1B20" w:rsidRDefault="0070544B" w:rsidP="0070544B">
      <w:pPr>
        <w:spacing w:after="0" w:line="360" w:lineRule="auto"/>
        <w:ind w:firstLine="284"/>
        <w:jc w:val="both"/>
        <w:rPr>
          <w:rFonts w:ascii="Arial" w:hAnsi="Arial" w:cs="Arial"/>
          <w:b/>
          <w:bCs/>
          <w:sz w:val="24"/>
          <w:szCs w:val="24"/>
        </w:rPr>
      </w:pPr>
    </w:p>
    <w:p w14:paraId="467AAD01" w14:textId="77777777" w:rsidR="0070544B" w:rsidRPr="00CA1B20" w:rsidRDefault="0070544B" w:rsidP="0070544B">
      <w:pPr>
        <w:spacing w:after="0" w:line="360" w:lineRule="auto"/>
        <w:ind w:firstLine="284"/>
        <w:jc w:val="both"/>
        <w:rPr>
          <w:rFonts w:ascii="Arial" w:hAnsi="Arial" w:cs="Arial"/>
          <w:b/>
          <w:bCs/>
          <w:sz w:val="24"/>
          <w:szCs w:val="24"/>
        </w:rPr>
      </w:pPr>
    </w:p>
    <w:p w14:paraId="6B4BE4F7" w14:textId="77777777" w:rsidR="0070544B" w:rsidRPr="00CA1B20" w:rsidRDefault="0070544B" w:rsidP="0070544B">
      <w:pPr>
        <w:spacing w:after="0" w:line="360" w:lineRule="auto"/>
        <w:ind w:firstLine="284"/>
        <w:jc w:val="both"/>
        <w:rPr>
          <w:rFonts w:ascii="Arial" w:hAnsi="Arial" w:cs="Arial"/>
          <w:b/>
          <w:bCs/>
          <w:sz w:val="24"/>
          <w:szCs w:val="24"/>
        </w:rPr>
      </w:pPr>
    </w:p>
    <w:p w14:paraId="599BBD42" w14:textId="77777777" w:rsidR="0070544B" w:rsidRPr="00CA1B20" w:rsidRDefault="0070544B" w:rsidP="0070544B">
      <w:pPr>
        <w:spacing w:after="0" w:line="360" w:lineRule="auto"/>
        <w:ind w:firstLine="284"/>
        <w:jc w:val="both"/>
        <w:rPr>
          <w:rFonts w:ascii="Arial" w:hAnsi="Arial" w:cs="Arial"/>
          <w:b/>
          <w:bCs/>
          <w:sz w:val="24"/>
          <w:szCs w:val="24"/>
        </w:rPr>
      </w:pPr>
    </w:p>
    <w:p w14:paraId="46B86B9C" w14:textId="77777777" w:rsidR="0070544B" w:rsidRPr="00CA1B20" w:rsidRDefault="0070544B" w:rsidP="0070544B">
      <w:pPr>
        <w:spacing w:after="0" w:line="360" w:lineRule="auto"/>
        <w:ind w:firstLine="284"/>
        <w:jc w:val="both"/>
        <w:rPr>
          <w:rFonts w:ascii="Arial" w:hAnsi="Arial" w:cs="Arial"/>
          <w:b/>
          <w:bCs/>
          <w:sz w:val="24"/>
          <w:szCs w:val="24"/>
        </w:rPr>
      </w:pPr>
    </w:p>
    <w:p w14:paraId="2C052953" w14:textId="77777777" w:rsidR="0070544B" w:rsidRPr="00CA1B20" w:rsidRDefault="0070544B" w:rsidP="0070544B">
      <w:pPr>
        <w:spacing w:after="0" w:line="360" w:lineRule="auto"/>
        <w:ind w:firstLine="284"/>
        <w:jc w:val="both"/>
        <w:rPr>
          <w:rFonts w:ascii="Arial" w:hAnsi="Arial" w:cs="Arial"/>
          <w:b/>
          <w:bCs/>
          <w:sz w:val="24"/>
          <w:szCs w:val="24"/>
        </w:rPr>
      </w:pPr>
    </w:p>
    <w:p w14:paraId="5D0F0CF9" w14:textId="77777777" w:rsidR="0070544B" w:rsidRPr="00CA1B20" w:rsidRDefault="0070544B" w:rsidP="0070544B">
      <w:pPr>
        <w:spacing w:after="0" w:line="360" w:lineRule="auto"/>
        <w:ind w:firstLine="284"/>
        <w:jc w:val="both"/>
        <w:rPr>
          <w:rFonts w:ascii="Arial" w:hAnsi="Arial" w:cs="Arial"/>
          <w:b/>
          <w:bCs/>
          <w:sz w:val="24"/>
          <w:szCs w:val="24"/>
        </w:rPr>
      </w:pPr>
    </w:p>
    <w:p w14:paraId="257192A9" w14:textId="77777777" w:rsidR="0070544B" w:rsidRPr="00CA1B20" w:rsidRDefault="0070544B" w:rsidP="0070544B">
      <w:pPr>
        <w:spacing w:after="0" w:line="360" w:lineRule="auto"/>
        <w:ind w:firstLine="284"/>
        <w:jc w:val="both"/>
        <w:rPr>
          <w:rFonts w:ascii="Arial" w:hAnsi="Arial" w:cs="Arial"/>
          <w:b/>
          <w:bCs/>
          <w:sz w:val="24"/>
          <w:szCs w:val="24"/>
        </w:rPr>
      </w:pPr>
    </w:p>
    <w:p w14:paraId="11142DF2" w14:textId="77777777" w:rsidR="0070544B" w:rsidRPr="00CA1B20" w:rsidRDefault="0070544B" w:rsidP="0070544B">
      <w:pPr>
        <w:spacing w:after="0" w:line="360" w:lineRule="auto"/>
        <w:ind w:firstLine="284"/>
        <w:jc w:val="right"/>
        <w:rPr>
          <w:rFonts w:ascii="Arial" w:hAnsi="Arial" w:cs="Arial"/>
          <w:b/>
          <w:bCs/>
          <w:sz w:val="24"/>
          <w:szCs w:val="24"/>
        </w:rPr>
      </w:pPr>
      <w:r w:rsidRPr="00CA1B20">
        <w:rPr>
          <w:rFonts w:ascii="Arial" w:hAnsi="Arial" w:cs="Arial"/>
          <w:b/>
          <w:bCs/>
          <w:sz w:val="24"/>
          <w:szCs w:val="24"/>
        </w:rPr>
        <w:t>Author:   Elena Turcanu, Student nr 2127547</w:t>
      </w:r>
    </w:p>
    <w:p w14:paraId="4E335A81" w14:textId="77777777" w:rsidR="0070544B" w:rsidRPr="00CA1B20" w:rsidRDefault="0070544B" w:rsidP="0070544B">
      <w:pPr>
        <w:spacing w:after="0" w:line="360" w:lineRule="auto"/>
        <w:ind w:firstLine="284"/>
        <w:jc w:val="right"/>
        <w:rPr>
          <w:rFonts w:ascii="Arial" w:hAnsi="Arial" w:cs="Arial"/>
          <w:b/>
          <w:bCs/>
          <w:sz w:val="24"/>
          <w:szCs w:val="24"/>
        </w:rPr>
      </w:pPr>
      <w:r w:rsidRPr="00CA1B20">
        <w:rPr>
          <w:rFonts w:ascii="Arial" w:hAnsi="Arial" w:cs="Arial"/>
          <w:b/>
          <w:bCs/>
          <w:sz w:val="24"/>
          <w:szCs w:val="24"/>
        </w:rPr>
        <w:t>Lecturer: Dr Seyed </w:t>
      </w:r>
      <w:proofErr w:type="spellStart"/>
      <w:r w:rsidRPr="00CA1B20">
        <w:rPr>
          <w:rFonts w:ascii="Arial" w:hAnsi="Arial" w:cs="Arial"/>
          <w:b/>
          <w:bCs/>
          <w:sz w:val="24"/>
          <w:szCs w:val="24"/>
        </w:rPr>
        <w:t>Nasirpour</w:t>
      </w:r>
      <w:proofErr w:type="spellEnd"/>
    </w:p>
    <w:p w14:paraId="06527BC2" w14:textId="77777777" w:rsidR="0070544B" w:rsidRDefault="0070544B" w:rsidP="001219CA">
      <w:pPr>
        <w:spacing w:after="0" w:line="360" w:lineRule="auto"/>
        <w:ind w:firstLine="284"/>
        <w:rPr>
          <w:rFonts w:ascii="Arial" w:hAnsi="Arial" w:cs="Arial"/>
          <w:b/>
          <w:bCs/>
          <w:sz w:val="24"/>
          <w:szCs w:val="24"/>
        </w:rPr>
      </w:pPr>
    </w:p>
    <w:p w14:paraId="10014105" w14:textId="593C34DB" w:rsidR="001219CA" w:rsidRDefault="001219CA" w:rsidP="001219CA">
      <w:pPr>
        <w:spacing w:after="0" w:line="360" w:lineRule="auto"/>
        <w:ind w:firstLine="284"/>
        <w:rPr>
          <w:rFonts w:ascii="Arial" w:hAnsi="Arial" w:cs="Arial"/>
          <w:b/>
          <w:bCs/>
          <w:sz w:val="24"/>
          <w:szCs w:val="24"/>
        </w:rPr>
      </w:pPr>
    </w:p>
    <w:p w14:paraId="12B2373A" w14:textId="77777777" w:rsidR="0070544B" w:rsidRDefault="0070544B" w:rsidP="001219CA">
      <w:pPr>
        <w:spacing w:after="0" w:line="360" w:lineRule="auto"/>
        <w:ind w:firstLine="284"/>
        <w:rPr>
          <w:rFonts w:ascii="Arial" w:hAnsi="Arial" w:cs="Arial"/>
          <w:b/>
          <w:bCs/>
          <w:sz w:val="24"/>
          <w:szCs w:val="24"/>
        </w:rPr>
      </w:pPr>
    </w:p>
    <w:p w14:paraId="69FC3BDF" w14:textId="77777777" w:rsidR="0070544B" w:rsidRDefault="0070544B" w:rsidP="001219CA">
      <w:pPr>
        <w:spacing w:after="0" w:line="360" w:lineRule="auto"/>
        <w:ind w:firstLine="284"/>
        <w:rPr>
          <w:rFonts w:ascii="Arial" w:hAnsi="Arial" w:cs="Arial"/>
          <w:b/>
          <w:bCs/>
          <w:sz w:val="24"/>
          <w:szCs w:val="24"/>
        </w:rPr>
      </w:pPr>
    </w:p>
    <w:p w14:paraId="50791828" w14:textId="77777777" w:rsidR="0070544B" w:rsidRDefault="0070544B" w:rsidP="001219CA">
      <w:pPr>
        <w:spacing w:after="0" w:line="360" w:lineRule="auto"/>
        <w:ind w:firstLine="284"/>
        <w:rPr>
          <w:rFonts w:ascii="Arial" w:hAnsi="Arial" w:cs="Arial"/>
          <w:b/>
          <w:bCs/>
          <w:sz w:val="24"/>
          <w:szCs w:val="24"/>
        </w:rPr>
      </w:pPr>
    </w:p>
    <w:p w14:paraId="38F7F365" w14:textId="77777777" w:rsidR="0070544B" w:rsidRDefault="0070544B" w:rsidP="001219CA">
      <w:pPr>
        <w:spacing w:after="0" w:line="360" w:lineRule="auto"/>
        <w:ind w:firstLine="284"/>
        <w:rPr>
          <w:rFonts w:ascii="Arial" w:hAnsi="Arial" w:cs="Arial"/>
          <w:b/>
          <w:bCs/>
          <w:sz w:val="24"/>
          <w:szCs w:val="24"/>
        </w:rPr>
      </w:pPr>
    </w:p>
    <w:p w14:paraId="2F83E434" w14:textId="77777777" w:rsidR="0070544B" w:rsidRPr="001219CA" w:rsidRDefault="0070544B" w:rsidP="001219CA">
      <w:pPr>
        <w:spacing w:after="0" w:line="360" w:lineRule="auto"/>
        <w:ind w:firstLine="284"/>
        <w:rPr>
          <w:rFonts w:ascii="Arial" w:hAnsi="Arial" w:cs="Arial"/>
          <w:sz w:val="24"/>
          <w:szCs w:val="24"/>
        </w:rPr>
      </w:pPr>
    </w:p>
    <w:p w14:paraId="1B28262C" w14:textId="751B0BF7" w:rsidR="001219CA" w:rsidRPr="001219CA" w:rsidRDefault="001219CA" w:rsidP="001219CA">
      <w:pPr>
        <w:spacing w:line="360" w:lineRule="auto"/>
        <w:ind w:firstLine="284"/>
        <w:jc w:val="both"/>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952823367"/>
        <w:docPartObj>
          <w:docPartGallery w:val="Table of Contents"/>
          <w:docPartUnique/>
        </w:docPartObj>
      </w:sdtPr>
      <w:sdtEndPr>
        <w:rPr>
          <w:rFonts w:ascii="Arial" w:hAnsi="Arial" w:cs="Arial"/>
          <w:b/>
          <w:bCs/>
          <w:noProof/>
          <w:sz w:val="24"/>
          <w:szCs w:val="24"/>
        </w:rPr>
      </w:sdtEndPr>
      <w:sdtContent>
        <w:p w14:paraId="1A36FD6F" w14:textId="002A8B9D" w:rsidR="0070544B" w:rsidRPr="0070544B" w:rsidRDefault="0070544B">
          <w:pPr>
            <w:pStyle w:val="TOCHeading"/>
            <w:rPr>
              <w:rFonts w:ascii="Arial" w:hAnsi="Arial" w:cs="Arial"/>
              <w:color w:val="auto"/>
            </w:rPr>
          </w:pPr>
          <w:r w:rsidRPr="0070544B">
            <w:rPr>
              <w:rFonts w:ascii="Arial" w:hAnsi="Arial" w:cs="Arial"/>
              <w:color w:val="auto"/>
            </w:rPr>
            <w:t>Table of Contents</w:t>
          </w:r>
        </w:p>
        <w:p w14:paraId="276B0D87" w14:textId="5D1A6EAD" w:rsidR="00443AEF" w:rsidRPr="00443AEF" w:rsidRDefault="0070544B">
          <w:pPr>
            <w:pStyle w:val="TOC1"/>
            <w:tabs>
              <w:tab w:val="right" w:leader="dot" w:pos="10054"/>
            </w:tabs>
            <w:rPr>
              <w:rFonts w:ascii="Arial" w:eastAsiaTheme="minorEastAsia" w:hAnsi="Arial" w:cs="Arial"/>
              <w:noProof/>
              <w:sz w:val="28"/>
              <w:szCs w:val="28"/>
              <w:lang w:eastAsia="en-GB"/>
            </w:rPr>
          </w:pPr>
          <w:r w:rsidRPr="0070544B">
            <w:rPr>
              <w:rFonts w:ascii="Arial" w:hAnsi="Arial" w:cs="Arial"/>
              <w:sz w:val="24"/>
              <w:szCs w:val="24"/>
            </w:rPr>
            <w:fldChar w:fldCharType="begin"/>
          </w:r>
          <w:r w:rsidRPr="0070544B">
            <w:rPr>
              <w:rFonts w:ascii="Arial" w:hAnsi="Arial" w:cs="Arial"/>
              <w:sz w:val="24"/>
              <w:szCs w:val="24"/>
            </w:rPr>
            <w:instrText xml:space="preserve"> TOC \o "1-3" \h \z \u </w:instrText>
          </w:r>
          <w:r w:rsidRPr="0070544B">
            <w:rPr>
              <w:rFonts w:ascii="Arial" w:hAnsi="Arial" w:cs="Arial"/>
              <w:sz w:val="24"/>
              <w:szCs w:val="24"/>
            </w:rPr>
            <w:fldChar w:fldCharType="separate"/>
          </w:r>
          <w:hyperlink w:anchor="_Toc182945189" w:history="1">
            <w:r w:rsidR="00443AEF" w:rsidRPr="00443AEF">
              <w:rPr>
                <w:rStyle w:val="Hyperlink"/>
                <w:rFonts w:ascii="Arial" w:hAnsi="Arial" w:cs="Arial"/>
                <w:noProof/>
                <w:sz w:val="24"/>
                <w:szCs w:val="24"/>
              </w:rPr>
              <w:t>I. Introduction</w:t>
            </w:r>
            <w:r w:rsidR="00443AEF" w:rsidRPr="00443AEF">
              <w:rPr>
                <w:rFonts w:ascii="Arial" w:hAnsi="Arial" w:cs="Arial"/>
                <w:noProof/>
                <w:webHidden/>
                <w:sz w:val="24"/>
                <w:szCs w:val="24"/>
              </w:rPr>
              <w:tab/>
            </w:r>
            <w:r w:rsidR="00443AEF" w:rsidRPr="00443AEF">
              <w:rPr>
                <w:rFonts w:ascii="Arial" w:hAnsi="Arial" w:cs="Arial"/>
                <w:noProof/>
                <w:webHidden/>
                <w:sz w:val="24"/>
                <w:szCs w:val="24"/>
              </w:rPr>
              <w:fldChar w:fldCharType="begin"/>
            </w:r>
            <w:r w:rsidR="00443AEF" w:rsidRPr="00443AEF">
              <w:rPr>
                <w:rFonts w:ascii="Arial" w:hAnsi="Arial" w:cs="Arial"/>
                <w:noProof/>
                <w:webHidden/>
                <w:sz w:val="24"/>
                <w:szCs w:val="24"/>
              </w:rPr>
              <w:instrText xml:space="preserve"> PAGEREF _Toc182945189 \h </w:instrText>
            </w:r>
            <w:r w:rsidR="00443AEF" w:rsidRPr="00443AEF">
              <w:rPr>
                <w:rFonts w:ascii="Arial" w:hAnsi="Arial" w:cs="Arial"/>
                <w:noProof/>
                <w:webHidden/>
                <w:sz w:val="24"/>
                <w:szCs w:val="24"/>
              </w:rPr>
            </w:r>
            <w:r w:rsidR="00443AEF" w:rsidRPr="00443AEF">
              <w:rPr>
                <w:rFonts w:ascii="Arial" w:hAnsi="Arial" w:cs="Arial"/>
                <w:noProof/>
                <w:webHidden/>
                <w:sz w:val="24"/>
                <w:szCs w:val="24"/>
              </w:rPr>
              <w:fldChar w:fldCharType="separate"/>
            </w:r>
            <w:r w:rsidR="00443AEF" w:rsidRPr="00443AEF">
              <w:rPr>
                <w:rFonts w:ascii="Arial" w:hAnsi="Arial" w:cs="Arial"/>
                <w:noProof/>
                <w:webHidden/>
                <w:sz w:val="24"/>
                <w:szCs w:val="24"/>
              </w:rPr>
              <w:t>2</w:t>
            </w:r>
            <w:r w:rsidR="00443AEF" w:rsidRPr="00443AEF">
              <w:rPr>
                <w:rFonts w:ascii="Arial" w:hAnsi="Arial" w:cs="Arial"/>
                <w:noProof/>
                <w:webHidden/>
                <w:sz w:val="24"/>
                <w:szCs w:val="24"/>
              </w:rPr>
              <w:fldChar w:fldCharType="end"/>
            </w:r>
          </w:hyperlink>
        </w:p>
        <w:p w14:paraId="50F2BEE5" w14:textId="2C439934" w:rsidR="00443AEF" w:rsidRPr="00443AEF" w:rsidRDefault="00443AEF">
          <w:pPr>
            <w:pStyle w:val="TOC1"/>
            <w:tabs>
              <w:tab w:val="right" w:leader="dot" w:pos="10054"/>
            </w:tabs>
            <w:rPr>
              <w:rFonts w:ascii="Arial" w:eastAsiaTheme="minorEastAsia" w:hAnsi="Arial" w:cs="Arial"/>
              <w:noProof/>
              <w:sz w:val="28"/>
              <w:szCs w:val="28"/>
              <w:lang w:eastAsia="en-GB"/>
            </w:rPr>
          </w:pPr>
          <w:hyperlink w:anchor="_Toc182945190" w:history="1">
            <w:r w:rsidRPr="00443AEF">
              <w:rPr>
                <w:rStyle w:val="Hyperlink"/>
                <w:rFonts w:ascii="Arial" w:hAnsi="Arial" w:cs="Arial"/>
                <w:noProof/>
                <w:sz w:val="24"/>
                <w:szCs w:val="24"/>
              </w:rPr>
              <w:t>II. Research Objectives and Research Question</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_Toc182945190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3</w:t>
            </w:r>
            <w:r w:rsidRPr="00443AEF">
              <w:rPr>
                <w:rFonts w:ascii="Arial" w:hAnsi="Arial" w:cs="Arial"/>
                <w:noProof/>
                <w:webHidden/>
                <w:sz w:val="24"/>
                <w:szCs w:val="24"/>
              </w:rPr>
              <w:fldChar w:fldCharType="end"/>
            </w:r>
          </w:hyperlink>
        </w:p>
        <w:p w14:paraId="0B9242A4" w14:textId="38420F22" w:rsidR="00443AEF" w:rsidRPr="00443AEF" w:rsidRDefault="00443AEF">
          <w:pPr>
            <w:pStyle w:val="TOC1"/>
            <w:tabs>
              <w:tab w:val="right" w:leader="dot" w:pos="10054"/>
            </w:tabs>
            <w:rPr>
              <w:rFonts w:ascii="Arial" w:eastAsiaTheme="minorEastAsia" w:hAnsi="Arial" w:cs="Arial"/>
              <w:noProof/>
              <w:sz w:val="28"/>
              <w:szCs w:val="28"/>
              <w:lang w:eastAsia="en-GB"/>
            </w:rPr>
          </w:pPr>
          <w:hyperlink w:anchor="_Toc182945191" w:history="1">
            <w:r w:rsidRPr="00443AEF">
              <w:rPr>
                <w:rStyle w:val="Hyperlink"/>
                <w:rFonts w:ascii="Arial" w:hAnsi="Arial" w:cs="Arial"/>
                <w:noProof/>
                <w:sz w:val="24"/>
                <w:szCs w:val="24"/>
              </w:rPr>
              <w:t>III. Literature Review</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_Toc182945191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3</w:t>
            </w:r>
            <w:r w:rsidRPr="00443AEF">
              <w:rPr>
                <w:rFonts w:ascii="Arial" w:hAnsi="Arial" w:cs="Arial"/>
                <w:noProof/>
                <w:webHidden/>
                <w:sz w:val="24"/>
                <w:szCs w:val="24"/>
              </w:rPr>
              <w:fldChar w:fldCharType="end"/>
            </w:r>
          </w:hyperlink>
        </w:p>
        <w:p w14:paraId="05135331" w14:textId="12CDA2F3" w:rsidR="00443AEF" w:rsidRPr="00443AEF" w:rsidRDefault="00443AEF">
          <w:pPr>
            <w:pStyle w:val="TOC2"/>
            <w:tabs>
              <w:tab w:val="right" w:leader="dot" w:pos="10054"/>
            </w:tabs>
            <w:rPr>
              <w:rFonts w:ascii="Arial" w:eastAsiaTheme="minorEastAsia" w:hAnsi="Arial" w:cs="Arial"/>
              <w:noProof/>
              <w:sz w:val="28"/>
              <w:szCs w:val="28"/>
              <w:lang w:eastAsia="en-GB"/>
            </w:rPr>
          </w:pPr>
          <w:hyperlink w:anchor="_Toc182945192" w:history="1">
            <w:r w:rsidRPr="00443AEF">
              <w:rPr>
                <w:rStyle w:val="Hyperlink"/>
                <w:rFonts w:ascii="Arial" w:hAnsi="Arial" w:cs="Arial"/>
                <w:noProof/>
                <w:sz w:val="24"/>
                <w:szCs w:val="24"/>
              </w:rPr>
              <w:t>III. 1. Economic Transformation and Policy Framework</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_Toc182945192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3</w:t>
            </w:r>
            <w:r w:rsidRPr="00443AEF">
              <w:rPr>
                <w:rFonts w:ascii="Arial" w:hAnsi="Arial" w:cs="Arial"/>
                <w:noProof/>
                <w:webHidden/>
                <w:sz w:val="24"/>
                <w:szCs w:val="24"/>
              </w:rPr>
              <w:fldChar w:fldCharType="end"/>
            </w:r>
          </w:hyperlink>
        </w:p>
        <w:p w14:paraId="516B2876" w14:textId="6355178E" w:rsidR="00443AEF" w:rsidRPr="00443AEF" w:rsidRDefault="00443AEF">
          <w:pPr>
            <w:pStyle w:val="TOC2"/>
            <w:tabs>
              <w:tab w:val="right" w:leader="dot" w:pos="10054"/>
            </w:tabs>
            <w:rPr>
              <w:rFonts w:ascii="Arial" w:eastAsiaTheme="minorEastAsia" w:hAnsi="Arial" w:cs="Arial"/>
              <w:noProof/>
              <w:sz w:val="28"/>
              <w:szCs w:val="28"/>
              <w:lang w:eastAsia="en-GB"/>
            </w:rPr>
          </w:pPr>
          <w:hyperlink w:anchor="_Toc182945193" w:history="1">
            <w:r w:rsidRPr="00443AEF">
              <w:rPr>
                <w:rStyle w:val="Hyperlink"/>
                <w:rFonts w:ascii="Arial" w:hAnsi="Arial" w:cs="Arial"/>
                <w:noProof/>
                <w:sz w:val="24"/>
                <w:szCs w:val="24"/>
              </w:rPr>
              <w:t>III.2. Global Challenges and Economic Resilience</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_Toc182945193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4</w:t>
            </w:r>
            <w:r w:rsidRPr="00443AEF">
              <w:rPr>
                <w:rFonts w:ascii="Arial" w:hAnsi="Arial" w:cs="Arial"/>
                <w:noProof/>
                <w:webHidden/>
                <w:sz w:val="24"/>
                <w:szCs w:val="24"/>
              </w:rPr>
              <w:fldChar w:fldCharType="end"/>
            </w:r>
          </w:hyperlink>
        </w:p>
        <w:p w14:paraId="16FC1069" w14:textId="5698F513" w:rsidR="00443AEF" w:rsidRPr="00443AEF" w:rsidRDefault="00443AEF">
          <w:pPr>
            <w:pStyle w:val="TOC2"/>
            <w:tabs>
              <w:tab w:val="right" w:leader="dot" w:pos="10054"/>
            </w:tabs>
            <w:rPr>
              <w:rFonts w:ascii="Arial" w:eastAsiaTheme="minorEastAsia" w:hAnsi="Arial" w:cs="Arial"/>
              <w:noProof/>
              <w:sz w:val="28"/>
              <w:szCs w:val="28"/>
              <w:lang w:eastAsia="en-GB"/>
            </w:rPr>
          </w:pPr>
          <w:hyperlink w:anchor="_Toc182945194" w:history="1">
            <w:r w:rsidRPr="00443AEF">
              <w:rPr>
                <w:rStyle w:val="Hyperlink"/>
                <w:rFonts w:ascii="Arial" w:hAnsi="Arial" w:cs="Arial"/>
                <w:noProof/>
                <w:sz w:val="24"/>
                <w:szCs w:val="24"/>
              </w:rPr>
              <w:t>III.3. Comparative Analysis of Regulatory Environments</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_Toc182945194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4</w:t>
            </w:r>
            <w:r w:rsidRPr="00443AEF">
              <w:rPr>
                <w:rFonts w:ascii="Arial" w:hAnsi="Arial" w:cs="Arial"/>
                <w:noProof/>
                <w:webHidden/>
                <w:sz w:val="24"/>
                <w:szCs w:val="24"/>
              </w:rPr>
              <w:fldChar w:fldCharType="end"/>
            </w:r>
          </w:hyperlink>
        </w:p>
        <w:p w14:paraId="5F0E41F1" w14:textId="4F1CF259" w:rsidR="00443AEF" w:rsidRPr="00443AEF" w:rsidRDefault="00443AEF">
          <w:pPr>
            <w:pStyle w:val="TOC2"/>
            <w:tabs>
              <w:tab w:val="right" w:leader="dot" w:pos="10054"/>
            </w:tabs>
            <w:rPr>
              <w:rFonts w:ascii="Arial" w:eastAsiaTheme="minorEastAsia" w:hAnsi="Arial" w:cs="Arial"/>
              <w:noProof/>
              <w:sz w:val="28"/>
              <w:szCs w:val="28"/>
              <w:lang w:eastAsia="en-GB"/>
            </w:rPr>
          </w:pPr>
          <w:hyperlink w:anchor="_Toc182945195" w:history="1">
            <w:r w:rsidRPr="00443AEF">
              <w:rPr>
                <w:rStyle w:val="Hyperlink"/>
                <w:rFonts w:ascii="Arial" w:hAnsi="Arial" w:cs="Arial"/>
                <w:noProof/>
                <w:sz w:val="24"/>
                <w:szCs w:val="24"/>
              </w:rPr>
              <w:t>III.4. Case Studies of Foreign Business Expansion</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_Toc182945195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4</w:t>
            </w:r>
            <w:r w:rsidRPr="00443AEF">
              <w:rPr>
                <w:rFonts w:ascii="Arial" w:hAnsi="Arial" w:cs="Arial"/>
                <w:noProof/>
                <w:webHidden/>
                <w:sz w:val="24"/>
                <w:szCs w:val="24"/>
              </w:rPr>
              <w:fldChar w:fldCharType="end"/>
            </w:r>
          </w:hyperlink>
        </w:p>
        <w:p w14:paraId="4104A46D" w14:textId="0B9D702D" w:rsidR="00443AEF" w:rsidRPr="00443AEF" w:rsidRDefault="00443AEF">
          <w:pPr>
            <w:pStyle w:val="TOC2"/>
            <w:tabs>
              <w:tab w:val="right" w:leader="dot" w:pos="10054"/>
            </w:tabs>
            <w:rPr>
              <w:rFonts w:ascii="Arial" w:eastAsiaTheme="minorEastAsia" w:hAnsi="Arial" w:cs="Arial"/>
              <w:noProof/>
              <w:sz w:val="28"/>
              <w:szCs w:val="28"/>
              <w:lang w:eastAsia="en-GB"/>
            </w:rPr>
          </w:pPr>
          <w:hyperlink w:anchor="_Toc182945196" w:history="1">
            <w:r w:rsidRPr="00443AEF">
              <w:rPr>
                <w:rStyle w:val="Hyperlink"/>
                <w:rFonts w:ascii="Arial" w:hAnsi="Arial" w:cs="Arial"/>
                <w:noProof/>
                <w:sz w:val="24"/>
                <w:szCs w:val="24"/>
              </w:rPr>
              <w:t>III.5. Education and Innovation as Economic Drivers</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_Toc182945196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4</w:t>
            </w:r>
            <w:r w:rsidRPr="00443AEF">
              <w:rPr>
                <w:rFonts w:ascii="Arial" w:hAnsi="Arial" w:cs="Arial"/>
                <w:noProof/>
                <w:webHidden/>
                <w:sz w:val="24"/>
                <w:szCs w:val="24"/>
              </w:rPr>
              <w:fldChar w:fldCharType="end"/>
            </w:r>
          </w:hyperlink>
        </w:p>
        <w:p w14:paraId="6A24B652" w14:textId="25830B40" w:rsidR="00443AEF" w:rsidRPr="00443AEF" w:rsidRDefault="00443AEF">
          <w:pPr>
            <w:pStyle w:val="TOC2"/>
            <w:tabs>
              <w:tab w:val="right" w:leader="dot" w:pos="10054"/>
            </w:tabs>
            <w:rPr>
              <w:rFonts w:ascii="Arial" w:eastAsiaTheme="minorEastAsia" w:hAnsi="Arial" w:cs="Arial"/>
              <w:noProof/>
              <w:sz w:val="28"/>
              <w:szCs w:val="28"/>
              <w:lang w:eastAsia="en-GB"/>
            </w:rPr>
          </w:pPr>
          <w:hyperlink w:anchor="_Toc182945197" w:history="1">
            <w:r w:rsidRPr="00443AEF">
              <w:rPr>
                <w:rStyle w:val="Hyperlink"/>
                <w:rFonts w:ascii="Arial" w:hAnsi="Arial" w:cs="Arial"/>
                <w:noProof/>
                <w:sz w:val="24"/>
                <w:szCs w:val="24"/>
              </w:rPr>
              <w:t>III.6. Conclusion on literature review</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_Toc182945197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5</w:t>
            </w:r>
            <w:r w:rsidRPr="00443AEF">
              <w:rPr>
                <w:rFonts w:ascii="Arial" w:hAnsi="Arial" w:cs="Arial"/>
                <w:noProof/>
                <w:webHidden/>
                <w:sz w:val="24"/>
                <w:szCs w:val="24"/>
              </w:rPr>
              <w:fldChar w:fldCharType="end"/>
            </w:r>
          </w:hyperlink>
        </w:p>
        <w:p w14:paraId="1D7367FE" w14:textId="6DB17064" w:rsidR="00443AEF" w:rsidRPr="00443AEF" w:rsidRDefault="00443AEF">
          <w:pPr>
            <w:pStyle w:val="TOC1"/>
            <w:tabs>
              <w:tab w:val="right" w:leader="dot" w:pos="10054"/>
            </w:tabs>
            <w:rPr>
              <w:rFonts w:ascii="Arial" w:eastAsiaTheme="minorEastAsia" w:hAnsi="Arial" w:cs="Arial"/>
              <w:noProof/>
              <w:sz w:val="28"/>
              <w:szCs w:val="28"/>
              <w:lang w:eastAsia="en-GB"/>
            </w:rPr>
          </w:pPr>
          <w:hyperlink w:anchor="_Toc182945198" w:history="1">
            <w:r w:rsidRPr="00443AEF">
              <w:rPr>
                <w:rStyle w:val="Hyperlink"/>
                <w:rFonts w:ascii="Arial" w:hAnsi="Arial" w:cs="Arial"/>
                <w:noProof/>
                <w:sz w:val="24"/>
                <w:szCs w:val="24"/>
              </w:rPr>
              <w:t>IV. Research Methods</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_Toc182945198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5</w:t>
            </w:r>
            <w:r w:rsidRPr="00443AEF">
              <w:rPr>
                <w:rFonts w:ascii="Arial" w:hAnsi="Arial" w:cs="Arial"/>
                <w:noProof/>
                <w:webHidden/>
                <w:sz w:val="24"/>
                <w:szCs w:val="24"/>
              </w:rPr>
              <w:fldChar w:fldCharType="end"/>
            </w:r>
          </w:hyperlink>
        </w:p>
        <w:p w14:paraId="6F694CF1" w14:textId="09E81EAF" w:rsidR="00443AEF" w:rsidRPr="00443AEF" w:rsidRDefault="00443AEF">
          <w:pPr>
            <w:pStyle w:val="TOC2"/>
            <w:tabs>
              <w:tab w:val="right" w:leader="dot" w:pos="10054"/>
            </w:tabs>
            <w:rPr>
              <w:rFonts w:ascii="Arial" w:eastAsiaTheme="minorEastAsia" w:hAnsi="Arial" w:cs="Arial"/>
              <w:noProof/>
              <w:sz w:val="28"/>
              <w:szCs w:val="28"/>
              <w:lang w:eastAsia="en-GB"/>
            </w:rPr>
          </w:pPr>
          <w:hyperlink w:anchor="_Toc182945199" w:history="1">
            <w:r w:rsidRPr="00443AEF">
              <w:rPr>
                <w:rStyle w:val="Hyperlink"/>
                <w:rFonts w:ascii="Arial" w:hAnsi="Arial" w:cs="Arial"/>
                <w:noProof/>
                <w:sz w:val="24"/>
                <w:szCs w:val="24"/>
              </w:rPr>
              <w:t>IV. 1. Qualitative Secondary Research</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_Toc182945199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5</w:t>
            </w:r>
            <w:r w:rsidRPr="00443AEF">
              <w:rPr>
                <w:rFonts w:ascii="Arial" w:hAnsi="Arial" w:cs="Arial"/>
                <w:noProof/>
                <w:webHidden/>
                <w:sz w:val="24"/>
                <w:szCs w:val="24"/>
              </w:rPr>
              <w:fldChar w:fldCharType="end"/>
            </w:r>
          </w:hyperlink>
        </w:p>
        <w:p w14:paraId="35B9B94E" w14:textId="5E871E8D" w:rsidR="00443AEF" w:rsidRPr="00443AEF" w:rsidRDefault="00443AEF">
          <w:pPr>
            <w:pStyle w:val="TOC2"/>
            <w:tabs>
              <w:tab w:val="right" w:leader="dot" w:pos="10054"/>
            </w:tabs>
            <w:rPr>
              <w:rFonts w:ascii="Arial" w:eastAsiaTheme="minorEastAsia" w:hAnsi="Arial" w:cs="Arial"/>
              <w:noProof/>
              <w:sz w:val="28"/>
              <w:szCs w:val="28"/>
              <w:lang w:eastAsia="en-GB"/>
            </w:rPr>
          </w:pPr>
          <w:hyperlink w:anchor="_Toc182945200" w:history="1">
            <w:r w:rsidRPr="00443AEF">
              <w:rPr>
                <w:rStyle w:val="Hyperlink"/>
                <w:rFonts w:ascii="Arial" w:hAnsi="Arial" w:cs="Arial"/>
                <w:noProof/>
                <w:sz w:val="24"/>
                <w:szCs w:val="24"/>
              </w:rPr>
              <w:t>IV.2. Quantitative Secondary Research</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_Toc182945200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6</w:t>
            </w:r>
            <w:r w:rsidRPr="00443AEF">
              <w:rPr>
                <w:rFonts w:ascii="Arial" w:hAnsi="Arial" w:cs="Arial"/>
                <w:noProof/>
                <w:webHidden/>
                <w:sz w:val="24"/>
                <w:szCs w:val="24"/>
              </w:rPr>
              <w:fldChar w:fldCharType="end"/>
            </w:r>
          </w:hyperlink>
        </w:p>
        <w:p w14:paraId="3106B3A3" w14:textId="378446BF" w:rsidR="00443AEF" w:rsidRPr="00443AEF" w:rsidRDefault="00443AEF">
          <w:pPr>
            <w:pStyle w:val="TOC1"/>
            <w:tabs>
              <w:tab w:val="right" w:leader="dot" w:pos="10054"/>
            </w:tabs>
            <w:rPr>
              <w:rFonts w:ascii="Arial" w:eastAsiaTheme="minorEastAsia" w:hAnsi="Arial" w:cs="Arial"/>
              <w:noProof/>
              <w:sz w:val="28"/>
              <w:szCs w:val="28"/>
              <w:lang w:eastAsia="en-GB"/>
            </w:rPr>
          </w:pPr>
          <w:hyperlink w:anchor="_Toc182945201" w:history="1">
            <w:r w:rsidRPr="00443AEF">
              <w:rPr>
                <w:rStyle w:val="Hyperlink"/>
                <w:rFonts w:ascii="Arial" w:hAnsi="Arial" w:cs="Arial"/>
                <w:noProof/>
                <w:sz w:val="24"/>
                <w:szCs w:val="24"/>
              </w:rPr>
              <w:t>V. Potential Implications</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_Toc182945201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7</w:t>
            </w:r>
            <w:r w:rsidRPr="00443AEF">
              <w:rPr>
                <w:rFonts w:ascii="Arial" w:hAnsi="Arial" w:cs="Arial"/>
                <w:noProof/>
                <w:webHidden/>
                <w:sz w:val="24"/>
                <w:szCs w:val="24"/>
              </w:rPr>
              <w:fldChar w:fldCharType="end"/>
            </w:r>
          </w:hyperlink>
        </w:p>
        <w:p w14:paraId="692646EF" w14:textId="1C97C51B" w:rsidR="00443AEF" w:rsidRPr="00443AEF" w:rsidRDefault="00443AEF">
          <w:pPr>
            <w:pStyle w:val="TOC1"/>
            <w:tabs>
              <w:tab w:val="right" w:leader="dot" w:pos="10054"/>
            </w:tabs>
            <w:rPr>
              <w:rFonts w:ascii="Arial" w:eastAsiaTheme="minorEastAsia" w:hAnsi="Arial" w:cs="Arial"/>
              <w:noProof/>
              <w:sz w:val="28"/>
              <w:szCs w:val="28"/>
              <w:lang w:eastAsia="en-GB"/>
            </w:rPr>
          </w:pPr>
          <w:hyperlink w:anchor="_Toc182945202" w:history="1">
            <w:r w:rsidRPr="00443AEF">
              <w:rPr>
                <w:rStyle w:val="Hyperlink"/>
                <w:rFonts w:ascii="Arial" w:hAnsi="Arial" w:cs="Arial"/>
                <w:noProof/>
                <w:sz w:val="24"/>
                <w:szCs w:val="24"/>
              </w:rPr>
              <w:t>VI. Conclusion</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_Toc182945202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7</w:t>
            </w:r>
            <w:r w:rsidRPr="00443AEF">
              <w:rPr>
                <w:rFonts w:ascii="Arial" w:hAnsi="Arial" w:cs="Arial"/>
                <w:noProof/>
                <w:webHidden/>
                <w:sz w:val="24"/>
                <w:szCs w:val="24"/>
              </w:rPr>
              <w:fldChar w:fldCharType="end"/>
            </w:r>
          </w:hyperlink>
        </w:p>
        <w:p w14:paraId="7C7C2D0A" w14:textId="30FDBEAA" w:rsidR="00443AEF" w:rsidRPr="00443AEF" w:rsidRDefault="00443AEF">
          <w:pPr>
            <w:pStyle w:val="TOC1"/>
            <w:tabs>
              <w:tab w:val="right" w:leader="dot" w:pos="10054"/>
            </w:tabs>
            <w:rPr>
              <w:rFonts w:ascii="Arial" w:eastAsiaTheme="minorEastAsia" w:hAnsi="Arial" w:cs="Arial"/>
              <w:noProof/>
              <w:sz w:val="28"/>
              <w:szCs w:val="28"/>
              <w:lang w:eastAsia="en-GB"/>
            </w:rPr>
          </w:pPr>
          <w:hyperlink w:anchor="_Toc182945203" w:history="1">
            <w:r w:rsidRPr="00443AEF">
              <w:rPr>
                <w:rStyle w:val="Hyperlink"/>
                <w:rFonts w:ascii="Arial" w:hAnsi="Arial" w:cs="Arial"/>
                <w:noProof/>
                <w:sz w:val="24"/>
                <w:szCs w:val="24"/>
              </w:rPr>
              <w:t>VII. Reference List</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_Toc182945203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8</w:t>
            </w:r>
            <w:r w:rsidRPr="00443AEF">
              <w:rPr>
                <w:rFonts w:ascii="Arial" w:hAnsi="Arial" w:cs="Arial"/>
                <w:noProof/>
                <w:webHidden/>
                <w:sz w:val="24"/>
                <w:szCs w:val="24"/>
              </w:rPr>
              <w:fldChar w:fldCharType="end"/>
            </w:r>
          </w:hyperlink>
        </w:p>
        <w:p w14:paraId="42D8E041" w14:textId="47FF474A" w:rsidR="00443AEF" w:rsidRPr="00443AEF" w:rsidRDefault="00443AEF">
          <w:pPr>
            <w:pStyle w:val="TOC1"/>
            <w:tabs>
              <w:tab w:val="right" w:leader="dot" w:pos="10054"/>
            </w:tabs>
            <w:rPr>
              <w:rFonts w:ascii="Arial" w:eastAsiaTheme="minorEastAsia" w:hAnsi="Arial" w:cs="Arial"/>
              <w:noProof/>
              <w:sz w:val="28"/>
              <w:szCs w:val="28"/>
              <w:lang w:eastAsia="en-GB"/>
            </w:rPr>
          </w:pPr>
          <w:hyperlink w:anchor="_Toc182945204" w:history="1">
            <w:r w:rsidRPr="00443AEF">
              <w:rPr>
                <w:rStyle w:val="Hyperlink"/>
                <w:rFonts w:ascii="Arial" w:hAnsi="Arial" w:cs="Arial"/>
                <w:noProof/>
                <w:sz w:val="24"/>
                <w:szCs w:val="24"/>
              </w:rPr>
              <w:t>Appendix 1: Research timeline</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_Toc182945204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10</w:t>
            </w:r>
            <w:r w:rsidRPr="00443AEF">
              <w:rPr>
                <w:rFonts w:ascii="Arial" w:hAnsi="Arial" w:cs="Arial"/>
                <w:noProof/>
                <w:webHidden/>
                <w:sz w:val="24"/>
                <w:szCs w:val="24"/>
              </w:rPr>
              <w:fldChar w:fldCharType="end"/>
            </w:r>
          </w:hyperlink>
        </w:p>
        <w:p w14:paraId="4AA53CDA" w14:textId="151FEEC3" w:rsidR="0070544B" w:rsidRPr="0070544B" w:rsidRDefault="0070544B" w:rsidP="0070544B">
          <w:pPr>
            <w:spacing w:line="360" w:lineRule="auto"/>
            <w:rPr>
              <w:rFonts w:ascii="Arial" w:hAnsi="Arial" w:cs="Arial"/>
              <w:sz w:val="24"/>
              <w:szCs w:val="24"/>
            </w:rPr>
          </w:pPr>
          <w:r w:rsidRPr="0070544B">
            <w:rPr>
              <w:rFonts w:ascii="Arial" w:hAnsi="Arial" w:cs="Arial"/>
              <w:b/>
              <w:bCs/>
              <w:noProof/>
              <w:sz w:val="24"/>
              <w:szCs w:val="24"/>
            </w:rPr>
            <w:fldChar w:fldCharType="end"/>
          </w:r>
        </w:p>
      </w:sdtContent>
    </w:sdt>
    <w:p w14:paraId="7A444BFB" w14:textId="77777777" w:rsidR="00F53946" w:rsidRDefault="00F53946" w:rsidP="00F53946">
      <w:pPr>
        <w:rPr>
          <w:rStyle w:val="Heading1Char"/>
        </w:rPr>
      </w:pPr>
    </w:p>
    <w:p w14:paraId="5C1E9DED" w14:textId="77777777" w:rsidR="00F53946" w:rsidRDefault="00F53946" w:rsidP="00F53946">
      <w:pPr>
        <w:rPr>
          <w:rStyle w:val="Heading1Char"/>
        </w:rPr>
      </w:pPr>
    </w:p>
    <w:p w14:paraId="7F518B67" w14:textId="77777777" w:rsidR="00F53946" w:rsidRDefault="00F53946" w:rsidP="00F53946">
      <w:pPr>
        <w:rPr>
          <w:rStyle w:val="Heading1Char"/>
        </w:rPr>
      </w:pPr>
    </w:p>
    <w:p w14:paraId="0C4D5EE0" w14:textId="77777777" w:rsidR="00F53946" w:rsidRDefault="00F53946" w:rsidP="00F53946">
      <w:pPr>
        <w:rPr>
          <w:rStyle w:val="Heading1Char"/>
        </w:rPr>
      </w:pPr>
    </w:p>
    <w:p w14:paraId="42054132" w14:textId="77777777" w:rsidR="00F53946" w:rsidRDefault="00F53946" w:rsidP="00F53946">
      <w:pPr>
        <w:rPr>
          <w:rStyle w:val="Heading1Char"/>
        </w:rPr>
      </w:pPr>
    </w:p>
    <w:p w14:paraId="2C2AFE36" w14:textId="77777777" w:rsidR="00F53946" w:rsidRDefault="00F53946" w:rsidP="00F53946">
      <w:pPr>
        <w:rPr>
          <w:rStyle w:val="Heading1Char"/>
        </w:rPr>
      </w:pPr>
    </w:p>
    <w:p w14:paraId="76AB4482" w14:textId="77777777" w:rsidR="00F53946" w:rsidRDefault="00F53946" w:rsidP="00F53946">
      <w:pPr>
        <w:rPr>
          <w:rStyle w:val="Heading1Char"/>
        </w:rPr>
      </w:pPr>
    </w:p>
    <w:p w14:paraId="1DD90EC0" w14:textId="77777777" w:rsidR="00F53946" w:rsidRDefault="00F53946" w:rsidP="00F53946">
      <w:pPr>
        <w:rPr>
          <w:rStyle w:val="Heading1Char"/>
        </w:rPr>
      </w:pPr>
    </w:p>
    <w:p w14:paraId="443CFA74" w14:textId="77777777" w:rsidR="00F53946" w:rsidRDefault="00F53946" w:rsidP="00F53946">
      <w:pPr>
        <w:rPr>
          <w:rStyle w:val="Heading1Char"/>
        </w:rPr>
      </w:pPr>
    </w:p>
    <w:p w14:paraId="123C7285" w14:textId="77777777" w:rsidR="00F53946" w:rsidRDefault="00F53946" w:rsidP="00F53946">
      <w:pPr>
        <w:rPr>
          <w:rStyle w:val="Heading1Char"/>
        </w:rPr>
      </w:pPr>
    </w:p>
    <w:p w14:paraId="4F122AD4" w14:textId="77777777" w:rsidR="00F53946" w:rsidRDefault="00F53946" w:rsidP="00F53946">
      <w:pPr>
        <w:rPr>
          <w:rStyle w:val="Heading1Char"/>
        </w:rPr>
      </w:pPr>
    </w:p>
    <w:p w14:paraId="1CDF66EE" w14:textId="6DCDC53F" w:rsidR="00F53946" w:rsidRPr="00F53946" w:rsidRDefault="00F53946" w:rsidP="00F53946">
      <w:pPr>
        <w:pStyle w:val="Heading1"/>
      </w:pPr>
      <w:bookmarkStart w:id="0" w:name="_Toc182945189"/>
      <w:r w:rsidRPr="00F53946">
        <w:lastRenderedPageBreak/>
        <w:t>I. Introduction</w:t>
      </w:r>
      <w:bookmarkEnd w:id="0"/>
    </w:p>
    <w:p w14:paraId="417C71EE" w14:textId="6F3FC461" w:rsidR="00F53946" w:rsidRPr="00F53946" w:rsidRDefault="00F53946" w:rsidP="00F53946">
      <w:pPr>
        <w:spacing w:line="360" w:lineRule="auto"/>
        <w:jc w:val="both"/>
        <w:rPr>
          <w:rFonts w:ascii="Arial" w:eastAsiaTheme="majorEastAsia" w:hAnsi="Arial" w:cs="Arial"/>
          <w:sz w:val="24"/>
          <w:szCs w:val="24"/>
        </w:rPr>
      </w:pPr>
      <w:r w:rsidRPr="00F53946">
        <w:rPr>
          <w:rFonts w:ascii="Arial" w:eastAsiaTheme="majorEastAsia" w:hAnsi="Arial" w:cs="Arial"/>
          <w:sz w:val="24"/>
          <w:szCs w:val="24"/>
        </w:rPr>
        <w:t>The global business landscape is increasingly influenced by complex regulatory environments, which shape the decisions of foreign businesses seeking to expand internationally. Hong Kong, as a prominent global financial hub, has long been a key player in international trade and investment. Its unique geographic location, strong financial infrastructure, and open trade policies have contributed significantly to its status as a prime destination for foreign business expansion. However, recent geopolitical tensions, economic instability, and the impact of the COVID-19 pandemic have raised concerns about how Hong Kong’s evolving regulatory environment will affect future foreign investment (Baker et al., 2021). This dissertation seeks to examine the extent to which Hong Kong’s regulatory framework</w:t>
      </w:r>
      <w:r w:rsidR="00443AEF">
        <w:rPr>
          <w:rFonts w:ascii="Arial" w:eastAsiaTheme="majorEastAsia" w:hAnsi="Arial" w:cs="Arial"/>
          <w:sz w:val="24"/>
          <w:szCs w:val="24"/>
        </w:rPr>
        <w:t xml:space="preserve"> </w:t>
      </w:r>
      <w:r w:rsidRPr="00F53946">
        <w:rPr>
          <w:rFonts w:ascii="Arial" w:eastAsiaTheme="majorEastAsia" w:hAnsi="Arial" w:cs="Arial"/>
          <w:sz w:val="24"/>
          <w:szCs w:val="24"/>
        </w:rPr>
        <w:t>encompassing legal, tax, and financial regulations</w:t>
      </w:r>
      <w:r w:rsidR="00443AEF">
        <w:rPr>
          <w:rFonts w:ascii="Arial" w:eastAsiaTheme="majorEastAsia" w:hAnsi="Arial" w:cs="Arial"/>
          <w:sz w:val="24"/>
          <w:szCs w:val="24"/>
        </w:rPr>
        <w:t xml:space="preserve"> </w:t>
      </w:r>
      <w:r w:rsidRPr="00F53946">
        <w:rPr>
          <w:rFonts w:ascii="Arial" w:eastAsiaTheme="majorEastAsia" w:hAnsi="Arial" w:cs="Arial"/>
          <w:sz w:val="24"/>
          <w:szCs w:val="24"/>
        </w:rPr>
        <w:t>supports or hinders foreign business expansion and how macro-environmental factors influence this process.</w:t>
      </w:r>
    </w:p>
    <w:p w14:paraId="5E2B9D83" w14:textId="77777777" w:rsidR="00F53946" w:rsidRPr="00F53946" w:rsidRDefault="00F53946" w:rsidP="00F53946">
      <w:pPr>
        <w:spacing w:line="360" w:lineRule="auto"/>
        <w:jc w:val="both"/>
        <w:rPr>
          <w:rFonts w:ascii="Arial" w:eastAsiaTheme="majorEastAsia" w:hAnsi="Arial" w:cs="Arial"/>
          <w:sz w:val="24"/>
          <w:szCs w:val="24"/>
        </w:rPr>
      </w:pPr>
      <w:r w:rsidRPr="00F53946">
        <w:rPr>
          <w:rFonts w:ascii="Arial" w:eastAsiaTheme="majorEastAsia" w:hAnsi="Arial" w:cs="Arial"/>
          <w:sz w:val="24"/>
          <w:szCs w:val="24"/>
        </w:rPr>
        <w:t xml:space="preserve">This research is of particular interest because Hong Kong’s business environment is undergoing significant transformation, especially in light of recent political developments, such as the implementation of the National Security Law in 2020 (Wong &amp; Chan, 2023). While Hong Kong has traditionally been recognized for its ease of doing business, questions about its long-term viability as a business hub persist. This dissertation will explore whether the changing regulatory landscape creates new opportunities or challenges for foreign companies. By providing a comparative analysis with other global financial </w:t>
      </w:r>
      <w:proofErr w:type="spellStart"/>
      <w:r w:rsidRPr="00F53946">
        <w:rPr>
          <w:rFonts w:ascii="Arial" w:eastAsiaTheme="majorEastAsia" w:hAnsi="Arial" w:cs="Arial"/>
          <w:sz w:val="24"/>
          <w:szCs w:val="24"/>
        </w:rPr>
        <w:t>centers</w:t>
      </w:r>
      <w:proofErr w:type="spellEnd"/>
      <w:r w:rsidRPr="00F53946">
        <w:rPr>
          <w:rFonts w:ascii="Arial" w:eastAsiaTheme="majorEastAsia" w:hAnsi="Arial" w:cs="Arial"/>
          <w:sz w:val="24"/>
          <w:szCs w:val="24"/>
        </w:rPr>
        <w:t>, such as Singapore and London, the research aims to place Hong Kong’s regulatory environment in a broader context.</w:t>
      </w:r>
    </w:p>
    <w:p w14:paraId="1097E783" w14:textId="76770FFD" w:rsidR="00F53946" w:rsidRPr="00F53946" w:rsidRDefault="00F53946" w:rsidP="00F53946">
      <w:pPr>
        <w:spacing w:line="360" w:lineRule="auto"/>
        <w:jc w:val="both"/>
        <w:rPr>
          <w:rFonts w:ascii="Arial" w:eastAsiaTheme="majorEastAsia" w:hAnsi="Arial" w:cs="Arial"/>
          <w:sz w:val="24"/>
          <w:szCs w:val="24"/>
        </w:rPr>
      </w:pPr>
      <w:r w:rsidRPr="00F53946">
        <w:rPr>
          <w:rFonts w:ascii="Arial" w:eastAsiaTheme="majorEastAsia" w:hAnsi="Arial" w:cs="Arial"/>
          <w:sz w:val="24"/>
          <w:szCs w:val="24"/>
        </w:rPr>
        <w:t>The research will adopt a mixed-methods approach, combining qualitative and quantitative data analysis. Key data sources will include government publications, industry reports, and peer-reviewed articles. Additionally, case studies of foreign companies that have expanded into Hong Kong will be examined to provide practical insights into how regulations and macro-environmental factors influence business operations and decisions (Khan et al., 2023). The outcome of this research will contribute to the understanding of how regulatory factors shape the business environment in Hong Kong and offer strategic insights for companies considering expansion into this market.</w:t>
      </w:r>
    </w:p>
    <w:p w14:paraId="2E994B28" w14:textId="25FC71BB" w:rsidR="00F53946" w:rsidRPr="00F53946" w:rsidRDefault="00F53946" w:rsidP="00F53946">
      <w:pPr>
        <w:pStyle w:val="Heading1"/>
      </w:pPr>
      <w:bookmarkStart w:id="1" w:name="_Toc182945190"/>
      <w:r w:rsidRPr="00F53946">
        <w:lastRenderedPageBreak/>
        <w:t>II. Research Objectives and Research Questions</w:t>
      </w:r>
      <w:bookmarkEnd w:id="1"/>
    </w:p>
    <w:p w14:paraId="44432EA1" w14:textId="77777777" w:rsidR="00F53946" w:rsidRDefault="00F53946" w:rsidP="00F53946">
      <w:pPr>
        <w:spacing w:line="360" w:lineRule="auto"/>
        <w:jc w:val="both"/>
        <w:rPr>
          <w:rFonts w:ascii="Arial" w:eastAsiaTheme="majorEastAsia" w:hAnsi="Arial" w:cs="Arial"/>
          <w:sz w:val="24"/>
          <w:szCs w:val="24"/>
        </w:rPr>
      </w:pPr>
      <w:r w:rsidRPr="00F53946">
        <w:rPr>
          <w:rFonts w:ascii="Arial" w:eastAsiaTheme="majorEastAsia" w:hAnsi="Arial" w:cs="Arial"/>
          <w:sz w:val="24"/>
          <w:szCs w:val="24"/>
        </w:rPr>
        <w:t xml:space="preserve">This dissertation is </w:t>
      </w:r>
      <w:proofErr w:type="spellStart"/>
      <w:r w:rsidRPr="00F53946">
        <w:rPr>
          <w:rFonts w:ascii="Arial" w:eastAsiaTheme="majorEastAsia" w:hAnsi="Arial" w:cs="Arial"/>
          <w:sz w:val="24"/>
          <w:szCs w:val="24"/>
        </w:rPr>
        <w:t>centered</w:t>
      </w:r>
      <w:proofErr w:type="spellEnd"/>
      <w:r w:rsidRPr="00F53946">
        <w:rPr>
          <w:rFonts w:ascii="Arial" w:eastAsiaTheme="majorEastAsia" w:hAnsi="Arial" w:cs="Arial"/>
          <w:sz w:val="24"/>
          <w:szCs w:val="24"/>
        </w:rPr>
        <w:t xml:space="preserve"> around three clear research objectives, designed to ensure that the data collection and analysis are both feasible and realistic, utilizing authentic and reliable sources.</w:t>
      </w:r>
    </w:p>
    <w:p w14:paraId="72D89F09" w14:textId="7484DBE9" w:rsidR="00F53946" w:rsidRPr="00F53946" w:rsidRDefault="00F53946" w:rsidP="00F53946">
      <w:pPr>
        <w:pStyle w:val="ListParagraph"/>
        <w:numPr>
          <w:ilvl w:val="0"/>
          <w:numId w:val="13"/>
        </w:numPr>
        <w:spacing w:line="360" w:lineRule="auto"/>
        <w:jc w:val="both"/>
        <w:rPr>
          <w:rFonts w:ascii="Arial" w:eastAsiaTheme="majorEastAsia" w:hAnsi="Arial" w:cs="Arial"/>
          <w:sz w:val="24"/>
          <w:szCs w:val="24"/>
        </w:rPr>
      </w:pPr>
      <w:r w:rsidRPr="00F53946">
        <w:rPr>
          <w:rFonts w:ascii="Arial" w:eastAsiaTheme="majorEastAsia" w:hAnsi="Arial" w:cs="Arial"/>
          <w:sz w:val="24"/>
          <w:szCs w:val="24"/>
        </w:rPr>
        <w:t>To evaluate the regulatory environment of Hong Kong that underpins its status as a global business hub.</w:t>
      </w:r>
    </w:p>
    <w:p w14:paraId="7658A2D9" w14:textId="1E774C6C" w:rsidR="00F53946" w:rsidRDefault="00F53946" w:rsidP="00F53946">
      <w:pPr>
        <w:numPr>
          <w:ilvl w:val="0"/>
          <w:numId w:val="13"/>
        </w:numPr>
        <w:spacing w:line="360" w:lineRule="auto"/>
        <w:jc w:val="both"/>
        <w:rPr>
          <w:rFonts w:ascii="Arial" w:eastAsiaTheme="majorEastAsia" w:hAnsi="Arial" w:cs="Arial"/>
          <w:sz w:val="24"/>
          <w:szCs w:val="24"/>
        </w:rPr>
      </w:pPr>
      <w:r w:rsidRPr="00F53946">
        <w:rPr>
          <w:rFonts w:ascii="Arial" w:eastAsiaTheme="majorEastAsia" w:hAnsi="Arial" w:cs="Arial"/>
          <w:sz w:val="24"/>
          <w:szCs w:val="24"/>
        </w:rPr>
        <w:t xml:space="preserve">To perform a comparative analysis of Hong Kong’s regulatory framework and </w:t>
      </w:r>
      <w:r>
        <w:rPr>
          <w:rFonts w:ascii="Arial" w:eastAsiaTheme="majorEastAsia" w:hAnsi="Arial" w:cs="Arial"/>
          <w:sz w:val="24"/>
          <w:szCs w:val="24"/>
        </w:rPr>
        <w:t xml:space="preserve">other </w:t>
      </w:r>
      <w:r w:rsidRPr="00F53946">
        <w:rPr>
          <w:rFonts w:ascii="Arial" w:eastAsiaTheme="majorEastAsia" w:hAnsi="Arial" w:cs="Arial"/>
          <w:sz w:val="24"/>
          <w:szCs w:val="24"/>
        </w:rPr>
        <w:t xml:space="preserve">macro-environmental factors in relation to those of other major global financial </w:t>
      </w:r>
      <w:proofErr w:type="spellStart"/>
      <w:r w:rsidRPr="00F53946">
        <w:rPr>
          <w:rFonts w:ascii="Arial" w:eastAsiaTheme="majorEastAsia" w:hAnsi="Arial" w:cs="Arial"/>
          <w:sz w:val="24"/>
          <w:szCs w:val="24"/>
        </w:rPr>
        <w:t>centers</w:t>
      </w:r>
      <w:proofErr w:type="spellEnd"/>
      <w:r w:rsidRPr="00F53946">
        <w:rPr>
          <w:rFonts w:ascii="Arial" w:eastAsiaTheme="majorEastAsia" w:hAnsi="Arial" w:cs="Arial"/>
          <w:sz w:val="24"/>
          <w:szCs w:val="24"/>
        </w:rPr>
        <w:t>.</w:t>
      </w:r>
    </w:p>
    <w:p w14:paraId="4BD4F630" w14:textId="45089C15" w:rsidR="00F53946" w:rsidRPr="00F53946" w:rsidRDefault="00F53946" w:rsidP="00F53946">
      <w:pPr>
        <w:numPr>
          <w:ilvl w:val="0"/>
          <w:numId w:val="13"/>
        </w:numPr>
        <w:spacing w:line="360" w:lineRule="auto"/>
        <w:jc w:val="both"/>
        <w:rPr>
          <w:rFonts w:ascii="Arial" w:eastAsiaTheme="majorEastAsia" w:hAnsi="Arial" w:cs="Arial"/>
          <w:sz w:val="24"/>
          <w:szCs w:val="24"/>
        </w:rPr>
      </w:pPr>
      <w:r w:rsidRPr="00F53946">
        <w:rPr>
          <w:rFonts w:ascii="Arial" w:eastAsiaTheme="majorEastAsia" w:hAnsi="Arial" w:cs="Arial"/>
          <w:sz w:val="24"/>
          <w:szCs w:val="24"/>
        </w:rPr>
        <w:t xml:space="preserve">To examine case studies of foreign businesses that have expanded into Hong Kong and </w:t>
      </w:r>
      <w:proofErr w:type="spellStart"/>
      <w:r w:rsidRPr="00F53946">
        <w:rPr>
          <w:rFonts w:ascii="Arial" w:eastAsiaTheme="majorEastAsia" w:hAnsi="Arial" w:cs="Arial"/>
          <w:sz w:val="24"/>
          <w:szCs w:val="24"/>
        </w:rPr>
        <w:t>analyze</w:t>
      </w:r>
      <w:proofErr w:type="spellEnd"/>
      <w:r w:rsidRPr="00F53946">
        <w:rPr>
          <w:rFonts w:ascii="Arial" w:eastAsiaTheme="majorEastAsia" w:hAnsi="Arial" w:cs="Arial"/>
          <w:sz w:val="24"/>
          <w:szCs w:val="24"/>
        </w:rPr>
        <w:t xml:space="preserve"> the role of regulations and macro-environmental factors in their successes or challenges.</w:t>
      </w:r>
    </w:p>
    <w:p w14:paraId="43F56EF9" w14:textId="77777777" w:rsidR="00F53946" w:rsidRPr="00F53946" w:rsidRDefault="00F53946" w:rsidP="00F53946">
      <w:pPr>
        <w:spacing w:line="360" w:lineRule="auto"/>
        <w:jc w:val="both"/>
        <w:rPr>
          <w:rFonts w:ascii="Arial" w:eastAsiaTheme="majorEastAsia" w:hAnsi="Arial" w:cs="Arial"/>
          <w:sz w:val="24"/>
          <w:szCs w:val="24"/>
        </w:rPr>
      </w:pPr>
      <w:r w:rsidRPr="00F53946">
        <w:rPr>
          <w:rFonts w:ascii="Arial" w:eastAsiaTheme="majorEastAsia" w:hAnsi="Arial" w:cs="Arial"/>
          <w:sz w:val="24"/>
          <w:szCs w:val="24"/>
        </w:rPr>
        <w:t>These objectives will be achieved through a combination of secondary data analysis and case studies. Data sources will include government publications, academic articles, and reports from credible industry players such as McKinsey and PwC. This approach ensures that the data is robust and genuine, as it will be based on authoritative sources.</w:t>
      </w:r>
    </w:p>
    <w:p w14:paraId="09377F4B" w14:textId="7C5DAC34" w:rsidR="00F53946" w:rsidRPr="00443AEF" w:rsidRDefault="00F53946" w:rsidP="00443AEF">
      <w:pPr>
        <w:spacing w:line="360" w:lineRule="auto"/>
        <w:rPr>
          <w:rFonts w:ascii="Arial" w:eastAsiaTheme="majorEastAsia" w:hAnsi="Arial" w:cs="Arial"/>
          <w:sz w:val="24"/>
          <w:szCs w:val="24"/>
        </w:rPr>
      </w:pPr>
      <w:r w:rsidRPr="00F53946">
        <w:rPr>
          <w:rFonts w:ascii="Arial" w:eastAsiaTheme="majorEastAsia" w:hAnsi="Arial" w:cs="Arial"/>
          <w:sz w:val="24"/>
          <w:szCs w:val="24"/>
        </w:rPr>
        <w:t>The research question guiding this study is:</w:t>
      </w:r>
      <w:r w:rsidRPr="00F53946">
        <w:rPr>
          <w:rFonts w:ascii="Arial" w:eastAsiaTheme="majorEastAsia" w:hAnsi="Arial" w:cs="Arial"/>
          <w:sz w:val="24"/>
          <w:szCs w:val="24"/>
        </w:rPr>
        <w:br/>
        <w:t>"How do Hong Kong’s regulatory framework and macro-environmental factors impact foreign business expansion, and how does it compare with other global financial hubs?"</w:t>
      </w:r>
    </w:p>
    <w:p w14:paraId="3010EA31" w14:textId="7B0D0D5B" w:rsidR="001219CA" w:rsidRPr="001219CA" w:rsidRDefault="001219CA" w:rsidP="0070544B">
      <w:pPr>
        <w:pStyle w:val="Heading1"/>
      </w:pPr>
      <w:bookmarkStart w:id="2" w:name="_Toc182945191"/>
      <w:r w:rsidRPr="001219CA">
        <w:t>I</w:t>
      </w:r>
      <w:r w:rsidR="00F53946">
        <w:t>II</w:t>
      </w:r>
      <w:r w:rsidRPr="001219CA">
        <w:t xml:space="preserve">. </w:t>
      </w:r>
      <w:r w:rsidRPr="0070544B">
        <w:t>Literature</w:t>
      </w:r>
      <w:r w:rsidRPr="001219CA">
        <w:t xml:space="preserve"> Review</w:t>
      </w:r>
      <w:bookmarkEnd w:id="2"/>
    </w:p>
    <w:p w14:paraId="13F533B8" w14:textId="2CFDCF08" w:rsidR="001219CA" w:rsidRPr="001219CA" w:rsidRDefault="001219CA" w:rsidP="00443AEF">
      <w:pPr>
        <w:spacing w:line="360" w:lineRule="auto"/>
        <w:ind w:firstLine="142"/>
        <w:jc w:val="both"/>
        <w:rPr>
          <w:rFonts w:ascii="Arial" w:hAnsi="Arial" w:cs="Arial"/>
          <w:sz w:val="24"/>
          <w:szCs w:val="24"/>
        </w:rPr>
      </w:pPr>
      <w:r w:rsidRPr="001219CA">
        <w:rPr>
          <w:rFonts w:ascii="Arial" w:hAnsi="Arial" w:cs="Arial"/>
          <w:sz w:val="24"/>
          <w:szCs w:val="24"/>
        </w:rPr>
        <w:t>This literature review critically examines existing research on Hong Kong's regulatory environment, focusing on its role as a global business hub and its implications for foreign business expansion. This analysis identifies gaps in the current literature, particularly in comparative regulatory evaluations and specific case studies of businesses impacted by these regulations.</w:t>
      </w:r>
    </w:p>
    <w:p w14:paraId="40CDCC1F" w14:textId="71E70617" w:rsidR="001219CA" w:rsidRPr="001219CA" w:rsidRDefault="00F53946" w:rsidP="001219CA">
      <w:pPr>
        <w:spacing w:line="360" w:lineRule="auto"/>
        <w:ind w:firstLine="284"/>
        <w:rPr>
          <w:rFonts w:ascii="Arial" w:hAnsi="Arial" w:cs="Arial"/>
          <w:sz w:val="24"/>
          <w:szCs w:val="24"/>
        </w:rPr>
      </w:pPr>
      <w:bookmarkStart w:id="3" w:name="_Toc182945192"/>
      <w:r>
        <w:rPr>
          <w:rStyle w:val="Heading2Char"/>
        </w:rPr>
        <w:t>III</w:t>
      </w:r>
      <w:r w:rsidR="001219CA" w:rsidRPr="007D0B6B">
        <w:rPr>
          <w:rStyle w:val="Heading2Char"/>
        </w:rPr>
        <w:t xml:space="preserve">. 1. </w:t>
      </w:r>
      <w:r w:rsidR="001219CA" w:rsidRPr="001219CA">
        <w:rPr>
          <w:rStyle w:val="Heading2Char"/>
        </w:rPr>
        <w:t>Economic Transformation and Policy Framework</w:t>
      </w:r>
      <w:bookmarkEnd w:id="3"/>
      <w:r w:rsidR="001219CA" w:rsidRPr="001219CA">
        <w:rPr>
          <w:rFonts w:ascii="Arial" w:hAnsi="Arial" w:cs="Arial"/>
          <w:sz w:val="24"/>
          <w:szCs w:val="24"/>
        </w:rPr>
        <w:br/>
        <w:t xml:space="preserve">Yu (2004) details Hong Kong's transformation from a marginal territory to a global financial hub, attributing significant success to adaptive entrepreneurial strategies and minimal government intervention. This entrepreneurial spirit, supported by favourable policies, positions Hong Kong uniquely among global financial </w:t>
      </w:r>
      <w:proofErr w:type="spellStart"/>
      <w:r w:rsidR="001219CA" w:rsidRPr="001219CA">
        <w:rPr>
          <w:rFonts w:ascii="Arial" w:hAnsi="Arial" w:cs="Arial"/>
          <w:sz w:val="24"/>
          <w:szCs w:val="24"/>
        </w:rPr>
        <w:t>centers</w:t>
      </w:r>
      <w:proofErr w:type="spellEnd"/>
      <w:r w:rsidR="001219CA" w:rsidRPr="001219CA">
        <w:rPr>
          <w:rFonts w:ascii="Arial" w:hAnsi="Arial" w:cs="Arial"/>
          <w:sz w:val="24"/>
          <w:szCs w:val="24"/>
        </w:rPr>
        <w:t xml:space="preserve"> (Yu, 2004). Comparatively, </w:t>
      </w:r>
      <w:proofErr w:type="spellStart"/>
      <w:r w:rsidR="001219CA" w:rsidRPr="001219CA">
        <w:rPr>
          <w:rFonts w:ascii="Arial" w:hAnsi="Arial" w:cs="Arial"/>
          <w:sz w:val="24"/>
          <w:szCs w:val="24"/>
        </w:rPr>
        <w:lastRenderedPageBreak/>
        <w:t>Kalemli</w:t>
      </w:r>
      <w:proofErr w:type="spellEnd"/>
      <w:r w:rsidR="001219CA" w:rsidRPr="001219CA">
        <w:rPr>
          <w:rFonts w:ascii="Arial" w:hAnsi="Arial" w:cs="Arial"/>
          <w:sz w:val="24"/>
          <w:szCs w:val="24"/>
        </w:rPr>
        <w:t xml:space="preserve">-Ozcan, Papaioannou, and </w:t>
      </w:r>
      <w:proofErr w:type="spellStart"/>
      <w:r w:rsidR="001219CA" w:rsidRPr="001219CA">
        <w:rPr>
          <w:rFonts w:ascii="Arial" w:hAnsi="Arial" w:cs="Arial"/>
          <w:sz w:val="24"/>
          <w:szCs w:val="24"/>
        </w:rPr>
        <w:t>Peydró</w:t>
      </w:r>
      <w:proofErr w:type="spellEnd"/>
      <w:r w:rsidR="001219CA" w:rsidRPr="001219CA">
        <w:rPr>
          <w:rFonts w:ascii="Arial" w:hAnsi="Arial" w:cs="Arial"/>
          <w:sz w:val="24"/>
          <w:szCs w:val="24"/>
        </w:rPr>
        <w:t xml:space="preserve"> (2013) discuss the broader impacts of financial regulation on global economic synchronization, suggesting that Hong Kong’s regulatory frameworks might play a role in its economic interactions on a global scale.</w:t>
      </w:r>
    </w:p>
    <w:p w14:paraId="321C9688" w14:textId="268DE657" w:rsidR="001219CA" w:rsidRPr="001219CA" w:rsidRDefault="00F53946" w:rsidP="001219CA">
      <w:pPr>
        <w:spacing w:line="360" w:lineRule="auto"/>
        <w:ind w:firstLine="284"/>
        <w:rPr>
          <w:rFonts w:ascii="Arial" w:hAnsi="Arial" w:cs="Arial"/>
          <w:sz w:val="24"/>
          <w:szCs w:val="24"/>
        </w:rPr>
      </w:pPr>
      <w:bookmarkStart w:id="4" w:name="_Toc182945193"/>
      <w:r>
        <w:rPr>
          <w:rStyle w:val="Heading2Char"/>
        </w:rPr>
        <w:t>III</w:t>
      </w:r>
      <w:r w:rsidR="001219CA" w:rsidRPr="007D0B6B">
        <w:rPr>
          <w:rStyle w:val="Heading2Char"/>
        </w:rPr>
        <w:t xml:space="preserve">.2. </w:t>
      </w:r>
      <w:r w:rsidR="001219CA" w:rsidRPr="001219CA">
        <w:rPr>
          <w:rStyle w:val="Heading2Char"/>
        </w:rPr>
        <w:t>Global Challenges and Economic Resilience</w:t>
      </w:r>
      <w:bookmarkEnd w:id="4"/>
      <w:r w:rsidR="001219CA" w:rsidRPr="001219CA">
        <w:rPr>
          <w:rFonts w:ascii="Arial" w:hAnsi="Arial" w:cs="Arial"/>
          <w:sz w:val="24"/>
          <w:szCs w:val="24"/>
        </w:rPr>
        <w:br/>
        <w:t xml:space="preserve">The resilience of Hong Kong’s financial systems is tested by global crises and geopolitical tensions, as evidenced by the impacts of the </w:t>
      </w:r>
      <w:proofErr w:type="gramStart"/>
      <w:r w:rsidR="001219CA" w:rsidRPr="001219CA">
        <w:rPr>
          <w:rFonts w:ascii="Arial" w:hAnsi="Arial" w:cs="Arial"/>
          <w:sz w:val="24"/>
          <w:szCs w:val="24"/>
        </w:rPr>
        <w:t>Russian-Ukrainian</w:t>
      </w:r>
      <w:proofErr w:type="gramEnd"/>
      <w:r w:rsidR="001219CA" w:rsidRPr="001219CA">
        <w:rPr>
          <w:rFonts w:ascii="Arial" w:hAnsi="Arial" w:cs="Arial"/>
          <w:sz w:val="24"/>
          <w:szCs w:val="24"/>
        </w:rPr>
        <w:t xml:space="preserve"> war on global economies, including disruptions in digital banking networks and increased cyber threats (</w:t>
      </w:r>
      <w:proofErr w:type="spellStart"/>
      <w:r w:rsidR="001219CA" w:rsidRPr="001219CA">
        <w:rPr>
          <w:rFonts w:ascii="Arial" w:hAnsi="Arial" w:cs="Arial"/>
          <w:sz w:val="24"/>
          <w:szCs w:val="24"/>
        </w:rPr>
        <w:t>Balbaa</w:t>
      </w:r>
      <w:proofErr w:type="spellEnd"/>
      <w:r w:rsidR="001219CA" w:rsidRPr="001219CA">
        <w:rPr>
          <w:rFonts w:ascii="Arial" w:hAnsi="Arial" w:cs="Arial"/>
          <w:sz w:val="24"/>
          <w:szCs w:val="24"/>
        </w:rPr>
        <w:t xml:space="preserve">, </w:t>
      </w:r>
      <w:proofErr w:type="spellStart"/>
      <w:r w:rsidR="001219CA" w:rsidRPr="001219CA">
        <w:rPr>
          <w:rFonts w:ascii="Arial" w:hAnsi="Arial" w:cs="Arial"/>
          <w:sz w:val="24"/>
          <w:szCs w:val="24"/>
        </w:rPr>
        <w:t>Eshov</w:t>
      </w:r>
      <w:proofErr w:type="spellEnd"/>
      <w:r w:rsidR="001219CA" w:rsidRPr="001219CA">
        <w:rPr>
          <w:rFonts w:ascii="Arial" w:hAnsi="Arial" w:cs="Arial"/>
          <w:sz w:val="24"/>
          <w:szCs w:val="24"/>
        </w:rPr>
        <w:t>, and Ismailova, 2022). Furthermore, Christmann and Taylor (2001) explore environmental self-regulation in China, offering insights into how Hong Kong's firms might respond to global environmental challenges under stringent regulatory frameworks.</w:t>
      </w:r>
    </w:p>
    <w:p w14:paraId="0DC7AE02" w14:textId="537CCD07" w:rsidR="001219CA" w:rsidRPr="001219CA" w:rsidRDefault="00F53946" w:rsidP="001219CA">
      <w:pPr>
        <w:spacing w:line="360" w:lineRule="auto"/>
        <w:ind w:firstLine="284"/>
        <w:rPr>
          <w:rFonts w:ascii="Arial" w:hAnsi="Arial" w:cs="Arial"/>
          <w:sz w:val="24"/>
          <w:szCs w:val="24"/>
        </w:rPr>
      </w:pPr>
      <w:bookmarkStart w:id="5" w:name="_Toc182945194"/>
      <w:r>
        <w:rPr>
          <w:rStyle w:val="Heading2Char"/>
        </w:rPr>
        <w:t>III</w:t>
      </w:r>
      <w:r w:rsidR="001219CA" w:rsidRPr="007D0B6B">
        <w:rPr>
          <w:rStyle w:val="Heading2Char"/>
        </w:rPr>
        <w:t xml:space="preserve">.3. </w:t>
      </w:r>
      <w:r w:rsidR="001219CA" w:rsidRPr="001219CA">
        <w:rPr>
          <w:rStyle w:val="Heading2Char"/>
        </w:rPr>
        <w:t>Comparative Analysis of Regulatory Environments</w:t>
      </w:r>
      <w:bookmarkEnd w:id="5"/>
      <w:r w:rsidR="001219CA" w:rsidRPr="001219CA">
        <w:rPr>
          <w:rFonts w:ascii="Arial" w:hAnsi="Arial" w:cs="Arial"/>
          <w:sz w:val="24"/>
          <w:szCs w:val="24"/>
        </w:rPr>
        <w:br/>
        <w:t>The comparative analysis of regulatory frameworks is crucial for understanding Hong Kong's competitive edge. Wong et al. (2019) analyze the impact of China's cabotage relaxation on Hong Kong’s status as a transshipment hub, providing a direct example of how regional policy changes can affect Hong Kong’s economic landscape. This is echoed in Galpin's (2013) exploration of trade facilitation measures in Hong Kong, which highlights the territory's strategic initiatives to enhance its logistical capabilities and strengthen its role in international trade.</w:t>
      </w:r>
    </w:p>
    <w:p w14:paraId="406B4AF5" w14:textId="170C688B" w:rsidR="001219CA" w:rsidRPr="001219CA" w:rsidRDefault="00F53946" w:rsidP="001219CA">
      <w:pPr>
        <w:spacing w:line="360" w:lineRule="auto"/>
        <w:ind w:firstLine="284"/>
        <w:rPr>
          <w:rFonts w:ascii="Arial" w:hAnsi="Arial" w:cs="Arial"/>
          <w:sz w:val="24"/>
          <w:szCs w:val="24"/>
        </w:rPr>
      </w:pPr>
      <w:bookmarkStart w:id="6" w:name="_Toc182945195"/>
      <w:r>
        <w:rPr>
          <w:rStyle w:val="Heading2Char"/>
        </w:rPr>
        <w:t>III</w:t>
      </w:r>
      <w:r w:rsidR="001219CA" w:rsidRPr="007D0B6B">
        <w:rPr>
          <w:rStyle w:val="Heading2Char"/>
        </w:rPr>
        <w:t xml:space="preserve">.4. </w:t>
      </w:r>
      <w:r w:rsidR="001219CA" w:rsidRPr="001219CA">
        <w:rPr>
          <w:rStyle w:val="Heading2Char"/>
        </w:rPr>
        <w:t>Case Studies of Foreign Business Expansion</w:t>
      </w:r>
      <w:bookmarkEnd w:id="6"/>
      <w:r w:rsidR="001219CA" w:rsidRPr="001219CA">
        <w:rPr>
          <w:rStyle w:val="Heading2Char"/>
        </w:rPr>
        <w:br/>
      </w:r>
      <w:r w:rsidR="001219CA" w:rsidRPr="001219CA">
        <w:rPr>
          <w:rFonts w:ascii="Arial" w:hAnsi="Arial" w:cs="Arial"/>
          <w:sz w:val="24"/>
          <w:szCs w:val="24"/>
        </w:rPr>
        <w:t xml:space="preserve">Examining specific foreign business expansions, such as those detailed by Chen and </w:t>
      </w:r>
      <w:proofErr w:type="spellStart"/>
      <w:r w:rsidR="001219CA" w:rsidRPr="001219CA">
        <w:rPr>
          <w:rFonts w:ascii="Arial" w:hAnsi="Arial" w:cs="Arial"/>
          <w:sz w:val="24"/>
          <w:szCs w:val="24"/>
        </w:rPr>
        <w:t>Zhuansun</w:t>
      </w:r>
      <w:proofErr w:type="spellEnd"/>
      <w:r w:rsidR="001219CA" w:rsidRPr="001219CA">
        <w:rPr>
          <w:rFonts w:ascii="Arial" w:hAnsi="Arial" w:cs="Arial"/>
          <w:sz w:val="24"/>
          <w:szCs w:val="24"/>
        </w:rPr>
        <w:t xml:space="preserve"> (2022), who study the coordination between innovation and economic development in the Greater Bay Area, can offer insights into the regulatory impacts on business operations. This study aligns with the objective to analyze case studies of businesses in Hong Kong, providing a template for evaluating regulatory effectiveness.</w:t>
      </w:r>
    </w:p>
    <w:p w14:paraId="6F2776BD" w14:textId="36E9B506" w:rsidR="001219CA" w:rsidRDefault="00F53946" w:rsidP="001219CA">
      <w:pPr>
        <w:spacing w:line="360" w:lineRule="auto"/>
        <w:ind w:firstLine="284"/>
        <w:rPr>
          <w:rFonts w:ascii="Arial" w:hAnsi="Arial" w:cs="Arial"/>
          <w:sz w:val="24"/>
          <w:szCs w:val="24"/>
        </w:rPr>
      </w:pPr>
      <w:bookmarkStart w:id="7" w:name="_Toc182945196"/>
      <w:r>
        <w:rPr>
          <w:rStyle w:val="Heading2Char"/>
        </w:rPr>
        <w:t>III</w:t>
      </w:r>
      <w:r w:rsidR="001219CA" w:rsidRPr="007D0B6B">
        <w:rPr>
          <w:rStyle w:val="Heading2Char"/>
        </w:rPr>
        <w:t xml:space="preserve">.5. </w:t>
      </w:r>
      <w:r w:rsidR="001219CA" w:rsidRPr="001219CA">
        <w:rPr>
          <w:rStyle w:val="Heading2Char"/>
        </w:rPr>
        <w:t>Education and Innovation as Economic Drivers</w:t>
      </w:r>
      <w:bookmarkEnd w:id="7"/>
      <w:r w:rsidR="001219CA" w:rsidRPr="001219CA">
        <w:rPr>
          <w:rFonts w:ascii="Arial" w:hAnsi="Arial" w:cs="Arial"/>
          <w:sz w:val="24"/>
          <w:szCs w:val="24"/>
        </w:rPr>
        <w:br/>
        <w:t xml:space="preserve">The role of education in economic prosperity is </w:t>
      </w:r>
      <w:proofErr w:type="spellStart"/>
      <w:r w:rsidR="001219CA" w:rsidRPr="001219CA">
        <w:rPr>
          <w:rFonts w:ascii="Arial" w:hAnsi="Arial" w:cs="Arial"/>
          <w:sz w:val="24"/>
          <w:szCs w:val="24"/>
        </w:rPr>
        <w:t>analyzed</w:t>
      </w:r>
      <w:proofErr w:type="spellEnd"/>
      <w:r w:rsidR="001219CA" w:rsidRPr="001219CA">
        <w:rPr>
          <w:rFonts w:ascii="Arial" w:hAnsi="Arial" w:cs="Arial"/>
          <w:sz w:val="24"/>
          <w:szCs w:val="24"/>
        </w:rPr>
        <w:t xml:space="preserve"> by Beecher, </w:t>
      </w:r>
      <w:proofErr w:type="spellStart"/>
      <w:r w:rsidR="001219CA" w:rsidRPr="001219CA">
        <w:rPr>
          <w:rFonts w:ascii="Arial" w:hAnsi="Arial" w:cs="Arial"/>
          <w:sz w:val="24"/>
          <w:szCs w:val="24"/>
        </w:rPr>
        <w:t>Streitwieser</w:t>
      </w:r>
      <w:proofErr w:type="spellEnd"/>
      <w:r w:rsidR="001219CA" w:rsidRPr="001219CA">
        <w:rPr>
          <w:rFonts w:ascii="Arial" w:hAnsi="Arial" w:cs="Arial"/>
          <w:sz w:val="24"/>
          <w:szCs w:val="24"/>
        </w:rPr>
        <w:t>, and Zhou (2020), who compare policy environments in Hong Kong and South Korea. Their findings suggest that Hong Kong’s educational policies significantly contribute to its status as an innovation hub, which in turn supports its global business appeal.</w:t>
      </w:r>
    </w:p>
    <w:p w14:paraId="0D86D254" w14:textId="2F69623A" w:rsidR="007D0B6B" w:rsidRPr="001219CA" w:rsidRDefault="00F53946" w:rsidP="007D0B6B">
      <w:pPr>
        <w:pStyle w:val="Heading2"/>
      </w:pPr>
      <w:bookmarkStart w:id="8" w:name="_Toc182945197"/>
      <w:r>
        <w:lastRenderedPageBreak/>
        <w:t>III</w:t>
      </w:r>
      <w:r w:rsidR="007D0B6B">
        <w:t>.6. Conclusion on literature review</w:t>
      </w:r>
      <w:bookmarkEnd w:id="8"/>
    </w:p>
    <w:p w14:paraId="090CB2F0" w14:textId="0DD6C9F9" w:rsidR="001219CA" w:rsidRPr="001219CA" w:rsidRDefault="001219CA" w:rsidP="001219CA">
      <w:pPr>
        <w:spacing w:line="360" w:lineRule="auto"/>
        <w:ind w:firstLine="284"/>
        <w:jc w:val="both"/>
        <w:rPr>
          <w:rFonts w:ascii="Arial" w:hAnsi="Arial" w:cs="Arial"/>
          <w:sz w:val="24"/>
          <w:szCs w:val="24"/>
        </w:rPr>
      </w:pPr>
      <w:r w:rsidRPr="001219CA">
        <w:rPr>
          <w:rFonts w:ascii="Arial" w:hAnsi="Arial" w:cs="Arial"/>
          <w:sz w:val="24"/>
          <w:szCs w:val="24"/>
        </w:rPr>
        <w:t xml:space="preserve">The literature presents a comprehensive view of Hong Kong’s regulatory environment and its influence on economic dynamics and business practices. However, there remains a gap in direct comparisons with other global hubs and detailed case studies of foreign businesses operating within these regulatory frameworks. This review underscores the need for further research into how these regulations affect Hong Kong's attractiveness as a business destination, particularly </w:t>
      </w:r>
      <w:r w:rsidR="000B6CFE" w:rsidRPr="001219CA">
        <w:rPr>
          <w:rFonts w:ascii="Arial" w:hAnsi="Arial" w:cs="Arial"/>
          <w:sz w:val="24"/>
          <w:szCs w:val="24"/>
        </w:rPr>
        <w:t>considering</w:t>
      </w:r>
      <w:r w:rsidRPr="001219CA">
        <w:rPr>
          <w:rFonts w:ascii="Arial" w:hAnsi="Arial" w:cs="Arial"/>
          <w:sz w:val="24"/>
          <w:szCs w:val="24"/>
        </w:rPr>
        <w:t xml:space="preserve"> recent global economic challenges and shifting geopolitical landscapes.</w:t>
      </w:r>
    </w:p>
    <w:p w14:paraId="4739441B" w14:textId="78EA1818" w:rsidR="001219CA" w:rsidRPr="001219CA" w:rsidRDefault="00F53946" w:rsidP="0070544B">
      <w:pPr>
        <w:pStyle w:val="Heading1"/>
      </w:pPr>
      <w:bookmarkStart w:id="9" w:name="_Toc182945198"/>
      <w:r>
        <w:t>I</w:t>
      </w:r>
      <w:r w:rsidR="001219CA" w:rsidRPr="001219CA">
        <w:t>V. Research Methods</w:t>
      </w:r>
      <w:bookmarkEnd w:id="9"/>
    </w:p>
    <w:p w14:paraId="7AF68C02" w14:textId="3AF271C2" w:rsidR="001219CA" w:rsidRPr="001219CA" w:rsidRDefault="001219CA" w:rsidP="001219CA">
      <w:pPr>
        <w:spacing w:line="360" w:lineRule="auto"/>
        <w:ind w:firstLine="284"/>
        <w:jc w:val="both"/>
        <w:rPr>
          <w:rFonts w:ascii="Arial" w:hAnsi="Arial" w:cs="Arial"/>
          <w:sz w:val="24"/>
          <w:szCs w:val="24"/>
        </w:rPr>
      </w:pPr>
      <w:r w:rsidRPr="001219CA">
        <w:rPr>
          <w:rFonts w:ascii="Arial" w:hAnsi="Arial" w:cs="Arial"/>
          <w:sz w:val="24"/>
          <w:szCs w:val="24"/>
        </w:rPr>
        <w:t>This dissertation adopts a qualitative and quantitative secondary research approach to explore the influence of Hong Kong's regulatory frameworks on foreign business expansion. Utilizing existing literature, legislative texts, and secondary data sources, the study provides a comprehensive analysis while addressing the research objectives</w:t>
      </w:r>
      <w:r w:rsidR="00BE4F3F">
        <w:rPr>
          <w:rFonts w:ascii="Arial" w:hAnsi="Arial" w:cs="Arial"/>
          <w:sz w:val="24"/>
          <w:szCs w:val="24"/>
        </w:rPr>
        <w:t>.</w:t>
      </w:r>
    </w:p>
    <w:p w14:paraId="5F661E83" w14:textId="47AB466E" w:rsidR="001219CA" w:rsidRPr="007D0B6B" w:rsidRDefault="00F53946" w:rsidP="007D0B6B">
      <w:pPr>
        <w:pStyle w:val="Heading2"/>
      </w:pPr>
      <w:bookmarkStart w:id="10" w:name="_Toc182945199"/>
      <w:r>
        <w:t>I</w:t>
      </w:r>
      <w:r w:rsidR="001219CA" w:rsidRPr="007D0B6B">
        <w:t>V. 1. Qualitative Secondary Research</w:t>
      </w:r>
      <w:bookmarkEnd w:id="10"/>
    </w:p>
    <w:p w14:paraId="6BAD761B" w14:textId="42CF8C6E" w:rsidR="001219CA" w:rsidRPr="001219CA" w:rsidRDefault="001219CA" w:rsidP="001219CA">
      <w:pPr>
        <w:pStyle w:val="ListParagraph"/>
        <w:numPr>
          <w:ilvl w:val="0"/>
          <w:numId w:val="2"/>
        </w:numPr>
        <w:spacing w:line="360" w:lineRule="auto"/>
        <w:ind w:firstLine="284"/>
        <w:jc w:val="both"/>
        <w:rPr>
          <w:rFonts w:ascii="Arial" w:hAnsi="Arial" w:cs="Arial"/>
          <w:sz w:val="24"/>
          <w:szCs w:val="24"/>
        </w:rPr>
      </w:pPr>
      <w:r w:rsidRPr="001219CA">
        <w:rPr>
          <w:rFonts w:ascii="Arial" w:hAnsi="Arial" w:cs="Arial"/>
          <w:b/>
          <w:bCs/>
          <w:sz w:val="24"/>
          <w:szCs w:val="24"/>
        </w:rPr>
        <w:t>Data Collection</w:t>
      </w:r>
    </w:p>
    <w:p w14:paraId="7898E6F0" w14:textId="77777777" w:rsidR="001219CA" w:rsidRPr="001219CA" w:rsidRDefault="001219CA" w:rsidP="000B6CFE">
      <w:pPr>
        <w:numPr>
          <w:ilvl w:val="1"/>
          <w:numId w:val="6"/>
        </w:numPr>
        <w:spacing w:line="360" w:lineRule="auto"/>
        <w:jc w:val="both"/>
        <w:rPr>
          <w:rFonts w:ascii="Arial" w:hAnsi="Arial" w:cs="Arial"/>
          <w:sz w:val="24"/>
          <w:szCs w:val="24"/>
        </w:rPr>
      </w:pPr>
      <w:r w:rsidRPr="001219CA">
        <w:rPr>
          <w:rFonts w:ascii="Arial" w:hAnsi="Arial" w:cs="Arial"/>
          <w:b/>
          <w:bCs/>
          <w:sz w:val="24"/>
          <w:szCs w:val="24"/>
        </w:rPr>
        <w:t>Document Analysis</w:t>
      </w:r>
      <w:r w:rsidRPr="001219CA">
        <w:rPr>
          <w:rFonts w:ascii="Arial" w:hAnsi="Arial" w:cs="Arial"/>
          <w:sz w:val="24"/>
          <w:szCs w:val="24"/>
        </w:rPr>
        <w:t>: Examination of legislative texts, government publications, and reports related to Hong Kong’s regulatory environment, focusing on changes impacting foreign businesses (Baker et al., 2021; Tan, 2022).</w:t>
      </w:r>
    </w:p>
    <w:p w14:paraId="1CE06C37" w14:textId="77777777" w:rsidR="001219CA" w:rsidRPr="001219CA" w:rsidRDefault="001219CA" w:rsidP="000B6CFE">
      <w:pPr>
        <w:numPr>
          <w:ilvl w:val="1"/>
          <w:numId w:val="6"/>
        </w:numPr>
        <w:spacing w:line="360" w:lineRule="auto"/>
        <w:jc w:val="both"/>
        <w:rPr>
          <w:rFonts w:ascii="Arial" w:hAnsi="Arial" w:cs="Arial"/>
          <w:sz w:val="24"/>
          <w:szCs w:val="24"/>
        </w:rPr>
      </w:pPr>
      <w:r w:rsidRPr="001219CA">
        <w:rPr>
          <w:rFonts w:ascii="Arial" w:hAnsi="Arial" w:cs="Arial"/>
          <w:b/>
          <w:bCs/>
          <w:sz w:val="24"/>
          <w:szCs w:val="24"/>
        </w:rPr>
        <w:t>Literature Review</w:t>
      </w:r>
      <w:r w:rsidRPr="001219CA">
        <w:rPr>
          <w:rFonts w:ascii="Arial" w:hAnsi="Arial" w:cs="Arial"/>
          <w:sz w:val="24"/>
          <w:szCs w:val="24"/>
        </w:rPr>
        <w:t>: Analysis of peer-reviewed articles, books, industry reports, and reliable news sources discussing Hong Kong’s role as a global business hub and the challenges for foreign enterprises (Cheng, 2022).</w:t>
      </w:r>
    </w:p>
    <w:p w14:paraId="68A44A87" w14:textId="77777777" w:rsidR="001219CA" w:rsidRPr="001219CA" w:rsidRDefault="001219CA" w:rsidP="001219CA">
      <w:pPr>
        <w:numPr>
          <w:ilvl w:val="0"/>
          <w:numId w:val="2"/>
        </w:numPr>
        <w:spacing w:line="360" w:lineRule="auto"/>
        <w:ind w:firstLine="284"/>
        <w:jc w:val="both"/>
        <w:rPr>
          <w:rFonts w:ascii="Arial" w:hAnsi="Arial" w:cs="Arial"/>
          <w:sz w:val="24"/>
          <w:szCs w:val="24"/>
        </w:rPr>
      </w:pPr>
      <w:r w:rsidRPr="001219CA">
        <w:rPr>
          <w:rFonts w:ascii="Arial" w:hAnsi="Arial" w:cs="Arial"/>
          <w:b/>
          <w:bCs/>
          <w:sz w:val="24"/>
          <w:szCs w:val="24"/>
        </w:rPr>
        <w:t>Data Sources</w:t>
      </w:r>
    </w:p>
    <w:p w14:paraId="01CC0100" w14:textId="77777777" w:rsidR="001219CA" w:rsidRPr="001219CA" w:rsidRDefault="001219CA" w:rsidP="000B6CFE">
      <w:pPr>
        <w:numPr>
          <w:ilvl w:val="1"/>
          <w:numId w:val="7"/>
        </w:numPr>
        <w:spacing w:line="360" w:lineRule="auto"/>
        <w:jc w:val="both"/>
        <w:rPr>
          <w:rFonts w:ascii="Arial" w:hAnsi="Arial" w:cs="Arial"/>
          <w:sz w:val="24"/>
          <w:szCs w:val="24"/>
        </w:rPr>
      </w:pPr>
      <w:r w:rsidRPr="001219CA">
        <w:rPr>
          <w:rFonts w:ascii="Arial" w:hAnsi="Arial" w:cs="Arial"/>
          <w:b/>
          <w:bCs/>
          <w:sz w:val="24"/>
          <w:szCs w:val="24"/>
        </w:rPr>
        <w:t>Government Websites</w:t>
      </w:r>
      <w:r w:rsidRPr="001219CA">
        <w:rPr>
          <w:rFonts w:ascii="Arial" w:hAnsi="Arial" w:cs="Arial"/>
          <w:sz w:val="24"/>
          <w:szCs w:val="24"/>
        </w:rPr>
        <w:t>: Official portals and legislative databases for up-to-date business regulations (Smith &amp; Zhang, 2023).</w:t>
      </w:r>
    </w:p>
    <w:p w14:paraId="0A4F1C51" w14:textId="6C2B327C" w:rsidR="001219CA" w:rsidRPr="001219CA" w:rsidRDefault="001219CA" w:rsidP="000B6CFE">
      <w:pPr>
        <w:numPr>
          <w:ilvl w:val="1"/>
          <w:numId w:val="7"/>
        </w:numPr>
        <w:spacing w:line="360" w:lineRule="auto"/>
        <w:jc w:val="both"/>
        <w:rPr>
          <w:rFonts w:ascii="Arial" w:hAnsi="Arial" w:cs="Arial"/>
          <w:sz w:val="24"/>
          <w:szCs w:val="24"/>
        </w:rPr>
      </w:pPr>
      <w:r w:rsidRPr="001219CA">
        <w:rPr>
          <w:rFonts w:ascii="Arial" w:hAnsi="Arial" w:cs="Arial"/>
          <w:b/>
          <w:bCs/>
          <w:sz w:val="24"/>
          <w:szCs w:val="24"/>
        </w:rPr>
        <w:t>Academic and Industry Reports</w:t>
      </w:r>
      <w:r w:rsidRPr="001219CA">
        <w:rPr>
          <w:rFonts w:ascii="Arial" w:hAnsi="Arial" w:cs="Arial"/>
          <w:sz w:val="24"/>
          <w:szCs w:val="24"/>
        </w:rPr>
        <w:t>: Databases such as JSTOR, Google Scholar, and industry-specific publications</w:t>
      </w:r>
      <w:r w:rsidR="00BE4F3F">
        <w:rPr>
          <w:rFonts w:ascii="Arial" w:hAnsi="Arial" w:cs="Arial"/>
          <w:sz w:val="24"/>
          <w:szCs w:val="24"/>
        </w:rPr>
        <w:t>.</w:t>
      </w:r>
    </w:p>
    <w:p w14:paraId="17FE1590" w14:textId="77777777" w:rsidR="001219CA" w:rsidRPr="001219CA" w:rsidRDefault="001219CA" w:rsidP="000B6CFE">
      <w:pPr>
        <w:numPr>
          <w:ilvl w:val="1"/>
          <w:numId w:val="7"/>
        </w:numPr>
        <w:spacing w:line="360" w:lineRule="auto"/>
        <w:jc w:val="both"/>
        <w:rPr>
          <w:rFonts w:ascii="Arial" w:hAnsi="Arial" w:cs="Arial"/>
          <w:sz w:val="24"/>
          <w:szCs w:val="24"/>
        </w:rPr>
      </w:pPr>
      <w:r w:rsidRPr="001219CA">
        <w:rPr>
          <w:rFonts w:ascii="Arial" w:hAnsi="Arial" w:cs="Arial"/>
          <w:b/>
          <w:bCs/>
          <w:sz w:val="24"/>
          <w:szCs w:val="24"/>
        </w:rPr>
        <w:t>News Outlets</w:t>
      </w:r>
      <w:r w:rsidRPr="001219CA">
        <w:rPr>
          <w:rFonts w:ascii="Arial" w:hAnsi="Arial" w:cs="Arial"/>
          <w:sz w:val="24"/>
          <w:szCs w:val="24"/>
        </w:rPr>
        <w:t xml:space="preserve">: Reports from trusted sources like </w:t>
      </w:r>
      <w:r w:rsidRPr="001219CA">
        <w:rPr>
          <w:rFonts w:ascii="Arial" w:hAnsi="Arial" w:cs="Arial"/>
          <w:i/>
          <w:iCs/>
          <w:sz w:val="24"/>
          <w:szCs w:val="24"/>
        </w:rPr>
        <w:t>The Guardian</w:t>
      </w:r>
      <w:r w:rsidRPr="001219CA">
        <w:rPr>
          <w:rFonts w:ascii="Arial" w:hAnsi="Arial" w:cs="Arial"/>
          <w:sz w:val="24"/>
          <w:szCs w:val="24"/>
        </w:rPr>
        <w:t xml:space="preserve"> for insights on economic and regulatory developments (Hawkins, 2024).</w:t>
      </w:r>
    </w:p>
    <w:p w14:paraId="098E0063" w14:textId="77777777" w:rsidR="001219CA" w:rsidRPr="001219CA" w:rsidRDefault="001219CA" w:rsidP="001219CA">
      <w:pPr>
        <w:numPr>
          <w:ilvl w:val="0"/>
          <w:numId w:val="2"/>
        </w:numPr>
        <w:spacing w:line="360" w:lineRule="auto"/>
        <w:ind w:firstLine="284"/>
        <w:jc w:val="both"/>
        <w:rPr>
          <w:rFonts w:ascii="Arial" w:hAnsi="Arial" w:cs="Arial"/>
          <w:sz w:val="24"/>
          <w:szCs w:val="24"/>
        </w:rPr>
      </w:pPr>
      <w:r w:rsidRPr="001219CA">
        <w:rPr>
          <w:rFonts w:ascii="Arial" w:hAnsi="Arial" w:cs="Arial"/>
          <w:b/>
          <w:bCs/>
          <w:sz w:val="24"/>
          <w:szCs w:val="24"/>
        </w:rPr>
        <w:t>Data Analysis</w:t>
      </w:r>
    </w:p>
    <w:p w14:paraId="27B17A58" w14:textId="77777777" w:rsidR="001219CA" w:rsidRPr="001219CA" w:rsidRDefault="001219CA" w:rsidP="000B6CFE">
      <w:pPr>
        <w:numPr>
          <w:ilvl w:val="1"/>
          <w:numId w:val="8"/>
        </w:numPr>
        <w:spacing w:line="360" w:lineRule="auto"/>
        <w:jc w:val="both"/>
        <w:rPr>
          <w:rFonts w:ascii="Arial" w:hAnsi="Arial" w:cs="Arial"/>
          <w:sz w:val="24"/>
          <w:szCs w:val="24"/>
        </w:rPr>
      </w:pPr>
      <w:r w:rsidRPr="001219CA">
        <w:rPr>
          <w:rFonts w:ascii="Arial" w:hAnsi="Arial" w:cs="Arial"/>
          <w:b/>
          <w:bCs/>
          <w:sz w:val="24"/>
          <w:szCs w:val="24"/>
        </w:rPr>
        <w:lastRenderedPageBreak/>
        <w:t>Content Analysis</w:t>
      </w:r>
      <w:r w:rsidRPr="001219CA">
        <w:rPr>
          <w:rFonts w:ascii="Arial" w:hAnsi="Arial" w:cs="Arial"/>
          <w:sz w:val="24"/>
          <w:szCs w:val="24"/>
        </w:rPr>
        <w:t>: Identification of themes and patterns from texts related to the regulatory environment (</w:t>
      </w:r>
      <w:proofErr w:type="spellStart"/>
      <w:r w:rsidRPr="001219CA">
        <w:rPr>
          <w:rFonts w:ascii="Arial" w:hAnsi="Arial" w:cs="Arial"/>
          <w:sz w:val="24"/>
          <w:szCs w:val="24"/>
        </w:rPr>
        <w:t>Kalemli</w:t>
      </w:r>
      <w:proofErr w:type="spellEnd"/>
      <w:r w:rsidRPr="001219CA">
        <w:rPr>
          <w:rFonts w:ascii="Arial" w:hAnsi="Arial" w:cs="Arial"/>
          <w:sz w:val="24"/>
          <w:szCs w:val="24"/>
        </w:rPr>
        <w:t>-Ozcan et al., 2013).</w:t>
      </w:r>
    </w:p>
    <w:p w14:paraId="5EAF4FC8" w14:textId="77777777" w:rsidR="001219CA" w:rsidRPr="001219CA" w:rsidRDefault="001219CA" w:rsidP="000B6CFE">
      <w:pPr>
        <w:numPr>
          <w:ilvl w:val="1"/>
          <w:numId w:val="8"/>
        </w:numPr>
        <w:spacing w:line="360" w:lineRule="auto"/>
        <w:jc w:val="both"/>
        <w:rPr>
          <w:rFonts w:ascii="Arial" w:hAnsi="Arial" w:cs="Arial"/>
          <w:sz w:val="24"/>
          <w:szCs w:val="24"/>
        </w:rPr>
      </w:pPr>
      <w:r w:rsidRPr="001219CA">
        <w:rPr>
          <w:rFonts w:ascii="Arial" w:hAnsi="Arial" w:cs="Arial"/>
          <w:b/>
          <w:bCs/>
          <w:sz w:val="24"/>
          <w:szCs w:val="24"/>
        </w:rPr>
        <w:t>Comparative Analysis</w:t>
      </w:r>
      <w:r w:rsidRPr="001219CA">
        <w:rPr>
          <w:rFonts w:ascii="Arial" w:hAnsi="Arial" w:cs="Arial"/>
          <w:sz w:val="24"/>
          <w:szCs w:val="24"/>
        </w:rPr>
        <w:t>: Comparison of Hong Kong’s regulatory framework with other global hubs (e.g., Singapore, London) to highlight unique features and challenges (Wong et al., 2019).</w:t>
      </w:r>
    </w:p>
    <w:p w14:paraId="06948AA2" w14:textId="10B9D197" w:rsidR="001219CA" w:rsidRPr="007D0B6B" w:rsidRDefault="00F53946" w:rsidP="007D0B6B">
      <w:pPr>
        <w:pStyle w:val="Heading2"/>
      </w:pPr>
      <w:bookmarkStart w:id="11" w:name="_Toc182945200"/>
      <w:r>
        <w:t>I</w:t>
      </w:r>
      <w:r w:rsidR="001219CA" w:rsidRPr="007D0B6B">
        <w:t>V.2. Quantitative Secondary Research</w:t>
      </w:r>
      <w:bookmarkEnd w:id="11"/>
    </w:p>
    <w:p w14:paraId="0B9711EA" w14:textId="5FCCC39D" w:rsidR="001219CA" w:rsidRPr="001219CA" w:rsidRDefault="001219CA" w:rsidP="001219CA">
      <w:pPr>
        <w:pStyle w:val="ListParagraph"/>
        <w:numPr>
          <w:ilvl w:val="0"/>
          <w:numId w:val="3"/>
        </w:numPr>
        <w:spacing w:line="360" w:lineRule="auto"/>
        <w:ind w:firstLine="284"/>
        <w:jc w:val="both"/>
        <w:rPr>
          <w:rFonts w:ascii="Arial" w:hAnsi="Arial" w:cs="Arial"/>
          <w:sz w:val="24"/>
          <w:szCs w:val="24"/>
        </w:rPr>
      </w:pPr>
      <w:r w:rsidRPr="001219CA">
        <w:rPr>
          <w:rFonts w:ascii="Arial" w:hAnsi="Arial" w:cs="Arial"/>
          <w:b/>
          <w:bCs/>
          <w:sz w:val="24"/>
          <w:szCs w:val="24"/>
        </w:rPr>
        <w:t>Data Collection</w:t>
      </w:r>
    </w:p>
    <w:p w14:paraId="3D97062A" w14:textId="77777777" w:rsidR="001219CA" w:rsidRPr="001219CA" w:rsidRDefault="001219CA" w:rsidP="000B6CFE">
      <w:pPr>
        <w:numPr>
          <w:ilvl w:val="1"/>
          <w:numId w:val="9"/>
        </w:numPr>
        <w:spacing w:line="360" w:lineRule="auto"/>
        <w:jc w:val="both"/>
        <w:rPr>
          <w:rFonts w:ascii="Arial" w:hAnsi="Arial" w:cs="Arial"/>
          <w:sz w:val="24"/>
          <w:szCs w:val="24"/>
        </w:rPr>
      </w:pPr>
      <w:r w:rsidRPr="001219CA">
        <w:rPr>
          <w:rFonts w:ascii="Arial" w:hAnsi="Arial" w:cs="Arial"/>
          <w:b/>
          <w:bCs/>
          <w:sz w:val="24"/>
          <w:szCs w:val="24"/>
        </w:rPr>
        <w:t>Statistical Reports</w:t>
      </w:r>
      <w:r w:rsidRPr="001219CA">
        <w:rPr>
          <w:rFonts w:ascii="Arial" w:hAnsi="Arial" w:cs="Arial"/>
          <w:sz w:val="24"/>
          <w:szCs w:val="24"/>
        </w:rPr>
        <w:t>: Key data from sources such as the World Bank, Hong Kong Census and Statistics Department, and Asian Development Bank, covering:</w:t>
      </w:r>
    </w:p>
    <w:p w14:paraId="65D45006" w14:textId="77777777" w:rsidR="001219CA" w:rsidRPr="001219CA" w:rsidRDefault="001219CA" w:rsidP="001219CA">
      <w:pPr>
        <w:numPr>
          <w:ilvl w:val="2"/>
          <w:numId w:val="3"/>
        </w:numPr>
        <w:spacing w:line="360" w:lineRule="auto"/>
        <w:ind w:firstLine="284"/>
        <w:jc w:val="both"/>
        <w:rPr>
          <w:rFonts w:ascii="Arial" w:hAnsi="Arial" w:cs="Arial"/>
          <w:sz w:val="24"/>
          <w:szCs w:val="24"/>
        </w:rPr>
      </w:pPr>
      <w:r w:rsidRPr="001219CA">
        <w:rPr>
          <w:rFonts w:ascii="Arial" w:hAnsi="Arial" w:cs="Arial"/>
          <w:sz w:val="24"/>
          <w:szCs w:val="24"/>
        </w:rPr>
        <w:t>FDI inflows and outflows over the last decade (World Bank, 2023).</w:t>
      </w:r>
    </w:p>
    <w:p w14:paraId="1D0EDD0F" w14:textId="77777777" w:rsidR="001219CA" w:rsidRPr="001219CA" w:rsidRDefault="001219CA" w:rsidP="001219CA">
      <w:pPr>
        <w:numPr>
          <w:ilvl w:val="2"/>
          <w:numId w:val="3"/>
        </w:numPr>
        <w:spacing w:line="360" w:lineRule="auto"/>
        <w:ind w:firstLine="284"/>
        <w:jc w:val="both"/>
        <w:rPr>
          <w:rFonts w:ascii="Arial" w:hAnsi="Arial" w:cs="Arial"/>
          <w:sz w:val="24"/>
          <w:szCs w:val="24"/>
        </w:rPr>
      </w:pPr>
      <w:r w:rsidRPr="001219CA">
        <w:rPr>
          <w:rFonts w:ascii="Arial" w:hAnsi="Arial" w:cs="Arial"/>
          <w:sz w:val="24"/>
          <w:szCs w:val="24"/>
        </w:rPr>
        <w:t>Economic indicators like GDP growth and unemployment (Asian Development Bank, 2023).</w:t>
      </w:r>
    </w:p>
    <w:p w14:paraId="5E434AFC" w14:textId="77777777" w:rsidR="001219CA" w:rsidRPr="001219CA" w:rsidRDefault="001219CA" w:rsidP="001219CA">
      <w:pPr>
        <w:numPr>
          <w:ilvl w:val="2"/>
          <w:numId w:val="3"/>
        </w:numPr>
        <w:spacing w:line="360" w:lineRule="auto"/>
        <w:ind w:firstLine="284"/>
        <w:jc w:val="both"/>
        <w:rPr>
          <w:rFonts w:ascii="Arial" w:hAnsi="Arial" w:cs="Arial"/>
          <w:sz w:val="24"/>
          <w:szCs w:val="24"/>
        </w:rPr>
      </w:pPr>
      <w:r w:rsidRPr="001219CA">
        <w:rPr>
          <w:rFonts w:ascii="Arial" w:hAnsi="Arial" w:cs="Arial"/>
          <w:sz w:val="24"/>
          <w:szCs w:val="24"/>
        </w:rPr>
        <w:t>Business start-up statistics, including sectoral distribution of foreign businesses (Hong Kong Census and Statistics Department, 2023).</w:t>
      </w:r>
    </w:p>
    <w:p w14:paraId="56A08AC6" w14:textId="77777777" w:rsidR="001219CA" w:rsidRPr="001219CA" w:rsidRDefault="001219CA" w:rsidP="001219CA">
      <w:pPr>
        <w:numPr>
          <w:ilvl w:val="0"/>
          <w:numId w:val="3"/>
        </w:numPr>
        <w:spacing w:line="360" w:lineRule="auto"/>
        <w:ind w:firstLine="284"/>
        <w:jc w:val="both"/>
        <w:rPr>
          <w:rFonts w:ascii="Arial" w:hAnsi="Arial" w:cs="Arial"/>
          <w:sz w:val="24"/>
          <w:szCs w:val="24"/>
        </w:rPr>
      </w:pPr>
      <w:r w:rsidRPr="001219CA">
        <w:rPr>
          <w:rFonts w:ascii="Arial" w:hAnsi="Arial" w:cs="Arial"/>
          <w:b/>
          <w:bCs/>
          <w:sz w:val="24"/>
          <w:szCs w:val="24"/>
        </w:rPr>
        <w:t>Data Sources</w:t>
      </w:r>
    </w:p>
    <w:p w14:paraId="67F8B6FA" w14:textId="77777777" w:rsidR="001219CA" w:rsidRPr="001219CA" w:rsidRDefault="001219CA" w:rsidP="000B6CFE">
      <w:pPr>
        <w:numPr>
          <w:ilvl w:val="1"/>
          <w:numId w:val="10"/>
        </w:numPr>
        <w:spacing w:line="360" w:lineRule="auto"/>
        <w:jc w:val="both"/>
        <w:rPr>
          <w:rFonts w:ascii="Arial" w:hAnsi="Arial" w:cs="Arial"/>
          <w:sz w:val="24"/>
          <w:szCs w:val="24"/>
        </w:rPr>
      </w:pPr>
      <w:r w:rsidRPr="001219CA">
        <w:rPr>
          <w:rFonts w:ascii="Arial" w:hAnsi="Arial" w:cs="Arial"/>
          <w:b/>
          <w:bCs/>
          <w:sz w:val="24"/>
          <w:szCs w:val="24"/>
        </w:rPr>
        <w:t>Government Publications</w:t>
      </w:r>
      <w:r w:rsidRPr="001219CA">
        <w:rPr>
          <w:rFonts w:ascii="Arial" w:hAnsi="Arial" w:cs="Arial"/>
          <w:sz w:val="24"/>
          <w:szCs w:val="24"/>
        </w:rPr>
        <w:t>: Reports on business trends and FDI from Hong Kong’s Census and Statistics Department (UNCTAD, 2023).</w:t>
      </w:r>
    </w:p>
    <w:p w14:paraId="4B9087FC" w14:textId="77777777" w:rsidR="001219CA" w:rsidRPr="001219CA" w:rsidRDefault="001219CA" w:rsidP="000B6CFE">
      <w:pPr>
        <w:numPr>
          <w:ilvl w:val="1"/>
          <w:numId w:val="10"/>
        </w:numPr>
        <w:spacing w:line="360" w:lineRule="auto"/>
        <w:jc w:val="both"/>
        <w:rPr>
          <w:rFonts w:ascii="Arial" w:hAnsi="Arial" w:cs="Arial"/>
          <w:sz w:val="24"/>
          <w:szCs w:val="24"/>
        </w:rPr>
      </w:pPr>
      <w:r w:rsidRPr="001219CA">
        <w:rPr>
          <w:rFonts w:ascii="Arial" w:hAnsi="Arial" w:cs="Arial"/>
          <w:b/>
          <w:bCs/>
          <w:sz w:val="24"/>
          <w:szCs w:val="24"/>
        </w:rPr>
        <w:t>International Organizations</w:t>
      </w:r>
      <w:r w:rsidRPr="001219CA">
        <w:rPr>
          <w:rFonts w:ascii="Arial" w:hAnsi="Arial" w:cs="Arial"/>
          <w:sz w:val="24"/>
          <w:szCs w:val="24"/>
        </w:rPr>
        <w:t>: Publications by WTO, UNCTAD, and similar bodies for comparative data (WTO, 2023).</w:t>
      </w:r>
    </w:p>
    <w:p w14:paraId="02BDAF5C" w14:textId="77777777" w:rsidR="001219CA" w:rsidRPr="001219CA" w:rsidRDefault="001219CA" w:rsidP="000B6CFE">
      <w:pPr>
        <w:numPr>
          <w:ilvl w:val="1"/>
          <w:numId w:val="10"/>
        </w:numPr>
        <w:spacing w:line="360" w:lineRule="auto"/>
        <w:jc w:val="both"/>
        <w:rPr>
          <w:rFonts w:ascii="Arial" w:hAnsi="Arial" w:cs="Arial"/>
          <w:sz w:val="24"/>
          <w:szCs w:val="24"/>
        </w:rPr>
      </w:pPr>
      <w:r w:rsidRPr="001219CA">
        <w:rPr>
          <w:rFonts w:ascii="Arial" w:hAnsi="Arial" w:cs="Arial"/>
          <w:b/>
          <w:bCs/>
          <w:sz w:val="24"/>
          <w:szCs w:val="24"/>
        </w:rPr>
        <w:t>Industry Surveys</w:t>
      </w:r>
      <w:r w:rsidRPr="001219CA">
        <w:rPr>
          <w:rFonts w:ascii="Arial" w:hAnsi="Arial" w:cs="Arial"/>
          <w:sz w:val="24"/>
          <w:szCs w:val="24"/>
        </w:rPr>
        <w:t>: Data from financial institutions and market research agencies on business perceptions of Hong Kong’s regulatory frameworks (KPMG, 2023).</w:t>
      </w:r>
    </w:p>
    <w:p w14:paraId="41FD039C" w14:textId="77777777" w:rsidR="001219CA" w:rsidRPr="001219CA" w:rsidRDefault="001219CA" w:rsidP="001219CA">
      <w:pPr>
        <w:numPr>
          <w:ilvl w:val="0"/>
          <w:numId w:val="3"/>
        </w:numPr>
        <w:spacing w:line="360" w:lineRule="auto"/>
        <w:ind w:firstLine="284"/>
        <w:jc w:val="both"/>
        <w:rPr>
          <w:rFonts w:ascii="Arial" w:hAnsi="Arial" w:cs="Arial"/>
          <w:sz w:val="24"/>
          <w:szCs w:val="24"/>
        </w:rPr>
      </w:pPr>
      <w:r w:rsidRPr="001219CA">
        <w:rPr>
          <w:rFonts w:ascii="Arial" w:hAnsi="Arial" w:cs="Arial"/>
          <w:b/>
          <w:bCs/>
          <w:sz w:val="24"/>
          <w:szCs w:val="24"/>
        </w:rPr>
        <w:t>Data Analysis</w:t>
      </w:r>
    </w:p>
    <w:p w14:paraId="22805171" w14:textId="77777777" w:rsidR="001219CA" w:rsidRPr="001219CA" w:rsidRDefault="001219CA" w:rsidP="000B6CFE">
      <w:pPr>
        <w:numPr>
          <w:ilvl w:val="1"/>
          <w:numId w:val="11"/>
        </w:numPr>
        <w:spacing w:line="360" w:lineRule="auto"/>
        <w:jc w:val="both"/>
        <w:rPr>
          <w:rFonts w:ascii="Arial" w:hAnsi="Arial" w:cs="Arial"/>
          <w:sz w:val="24"/>
          <w:szCs w:val="24"/>
        </w:rPr>
      </w:pPr>
      <w:r w:rsidRPr="001219CA">
        <w:rPr>
          <w:rFonts w:ascii="Arial" w:hAnsi="Arial" w:cs="Arial"/>
          <w:b/>
          <w:bCs/>
          <w:sz w:val="24"/>
          <w:szCs w:val="24"/>
        </w:rPr>
        <w:t>Descriptive Statistics</w:t>
      </w:r>
      <w:r w:rsidRPr="001219CA">
        <w:rPr>
          <w:rFonts w:ascii="Arial" w:hAnsi="Arial" w:cs="Arial"/>
          <w:sz w:val="24"/>
          <w:szCs w:val="24"/>
        </w:rPr>
        <w:t>: Analysis of trends in FDI, economic performance, and business establishment rates using averages, percentages, and growth rates (Galpin, 2013).</w:t>
      </w:r>
    </w:p>
    <w:p w14:paraId="1DAB5223" w14:textId="71753377" w:rsidR="001219CA" w:rsidRPr="001219CA" w:rsidRDefault="001219CA" w:rsidP="000B6CFE">
      <w:pPr>
        <w:numPr>
          <w:ilvl w:val="1"/>
          <w:numId w:val="11"/>
        </w:numPr>
        <w:spacing w:line="360" w:lineRule="auto"/>
        <w:jc w:val="both"/>
        <w:rPr>
          <w:rFonts w:ascii="Arial" w:hAnsi="Arial" w:cs="Arial"/>
          <w:sz w:val="24"/>
          <w:szCs w:val="24"/>
        </w:rPr>
      </w:pPr>
      <w:r w:rsidRPr="001219CA">
        <w:rPr>
          <w:rFonts w:ascii="Arial" w:hAnsi="Arial" w:cs="Arial"/>
          <w:b/>
          <w:bCs/>
          <w:sz w:val="24"/>
          <w:szCs w:val="24"/>
        </w:rPr>
        <w:t>Correlation Analysis</w:t>
      </w:r>
      <w:r w:rsidRPr="001219CA">
        <w:rPr>
          <w:rFonts w:ascii="Arial" w:hAnsi="Arial" w:cs="Arial"/>
          <w:sz w:val="24"/>
          <w:szCs w:val="24"/>
        </w:rPr>
        <w:t>: Assessing relationships between regulatory reforms and business performance indicators to quantify impacts (Liu, 2022).</w:t>
      </w:r>
    </w:p>
    <w:p w14:paraId="507AD764" w14:textId="43AA4959" w:rsidR="001219CA" w:rsidRPr="001219CA" w:rsidRDefault="001219CA" w:rsidP="0070544B">
      <w:pPr>
        <w:pStyle w:val="Heading1"/>
      </w:pPr>
      <w:bookmarkStart w:id="12" w:name="_Toc182945201"/>
      <w:r w:rsidRPr="001219CA">
        <w:lastRenderedPageBreak/>
        <w:t>V. Potential Implications</w:t>
      </w:r>
      <w:bookmarkEnd w:id="12"/>
    </w:p>
    <w:p w14:paraId="13A5E688" w14:textId="77777777" w:rsidR="001219CA" w:rsidRPr="001219CA" w:rsidRDefault="001219CA" w:rsidP="001219CA">
      <w:pPr>
        <w:spacing w:line="360" w:lineRule="auto"/>
        <w:ind w:firstLine="284"/>
        <w:jc w:val="both"/>
        <w:rPr>
          <w:rFonts w:ascii="Arial" w:hAnsi="Arial" w:cs="Arial"/>
          <w:sz w:val="24"/>
          <w:szCs w:val="24"/>
        </w:rPr>
      </w:pPr>
      <w:r w:rsidRPr="001219CA">
        <w:rPr>
          <w:rFonts w:ascii="Arial" w:hAnsi="Arial" w:cs="Arial"/>
          <w:sz w:val="24"/>
          <w:szCs w:val="24"/>
        </w:rPr>
        <w:t xml:space="preserve">The research is expected to reveal valuable insights into how Hong Kong’s regulatory framework shapes its role as a global business hub and impacts foreign business expansion. By examining Hong Kong’s legal, economic, and institutional environments, the study aims to uncover the specific regulatory advantages and constraints that influence international business decisions, potentially serving as a model for other financial </w:t>
      </w:r>
      <w:proofErr w:type="spellStart"/>
      <w:r w:rsidRPr="001219CA">
        <w:rPr>
          <w:rFonts w:ascii="Arial" w:hAnsi="Arial" w:cs="Arial"/>
          <w:sz w:val="24"/>
          <w:szCs w:val="24"/>
        </w:rPr>
        <w:t>centers</w:t>
      </w:r>
      <w:proofErr w:type="spellEnd"/>
      <w:r w:rsidRPr="001219CA">
        <w:rPr>
          <w:rFonts w:ascii="Arial" w:hAnsi="Arial" w:cs="Arial"/>
          <w:sz w:val="24"/>
          <w:szCs w:val="24"/>
        </w:rPr>
        <w:t xml:space="preserve"> (Baker et al., 2021; Tan, 2022).</w:t>
      </w:r>
    </w:p>
    <w:p w14:paraId="5E89A2A8" w14:textId="77777777" w:rsidR="001219CA" w:rsidRPr="001219CA" w:rsidRDefault="001219CA" w:rsidP="001219CA">
      <w:pPr>
        <w:spacing w:line="360" w:lineRule="auto"/>
        <w:ind w:firstLine="284"/>
        <w:jc w:val="both"/>
        <w:rPr>
          <w:rFonts w:ascii="Arial" w:hAnsi="Arial" w:cs="Arial"/>
          <w:sz w:val="24"/>
          <w:szCs w:val="24"/>
        </w:rPr>
      </w:pPr>
      <w:r w:rsidRPr="001219CA">
        <w:rPr>
          <w:rFonts w:ascii="Arial" w:hAnsi="Arial" w:cs="Arial"/>
          <w:sz w:val="24"/>
          <w:szCs w:val="24"/>
        </w:rPr>
        <w:t>Findings may highlight how Hong Kong’s policies create a business-friendly yet robust regulatory environment that balances economic freedom with governance, offering lessons for policymakers aiming to enhance their city’s global attractiveness (Desai, 2023). Additionally, the research may identify areas where regulations inadvertently hinder foreign businesses, providing actionable insights for regulatory reform (Smith &amp; Zhang, 2023).</w:t>
      </w:r>
    </w:p>
    <w:p w14:paraId="6131EA29" w14:textId="4B068DA4" w:rsidR="001219CA" w:rsidRPr="001219CA" w:rsidRDefault="001219CA" w:rsidP="001219CA">
      <w:pPr>
        <w:spacing w:line="360" w:lineRule="auto"/>
        <w:ind w:firstLine="284"/>
        <w:jc w:val="both"/>
        <w:rPr>
          <w:rFonts w:ascii="Arial" w:hAnsi="Arial" w:cs="Arial"/>
          <w:sz w:val="24"/>
          <w:szCs w:val="24"/>
        </w:rPr>
      </w:pPr>
      <w:r w:rsidRPr="001219CA">
        <w:rPr>
          <w:rFonts w:ascii="Arial" w:hAnsi="Arial" w:cs="Arial"/>
          <w:sz w:val="24"/>
          <w:szCs w:val="24"/>
        </w:rPr>
        <w:t>The implications of this study extend to multiple stakeholders. For policymakers, it offers guidance on creating regulations that foster a stable and competitive business environment</w:t>
      </w:r>
      <w:r w:rsidR="00BE4F3F">
        <w:rPr>
          <w:rFonts w:ascii="Arial" w:hAnsi="Arial" w:cs="Arial"/>
          <w:sz w:val="24"/>
          <w:szCs w:val="24"/>
        </w:rPr>
        <w:t xml:space="preserve">. </w:t>
      </w:r>
      <w:r w:rsidRPr="001219CA">
        <w:rPr>
          <w:rFonts w:ascii="Arial" w:hAnsi="Arial" w:cs="Arial"/>
          <w:sz w:val="24"/>
          <w:szCs w:val="24"/>
        </w:rPr>
        <w:t>For the business community, it clarifies potential challenges and advantages when operating in Hong Kong, helping firms make informed expansion decisions (</w:t>
      </w:r>
      <w:proofErr w:type="spellStart"/>
      <w:r w:rsidRPr="001219CA">
        <w:rPr>
          <w:rFonts w:ascii="Arial" w:hAnsi="Arial" w:cs="Arial"/>
          <w:sz w:val="24"/>
          <w:szCs w:val="24"/>
        </w:rPr>
        <w:t>Kalemli</w:t>
      </w:r>
      <w:proofErr w:type="spellEnd"/>
      <w:r w:rsidRPr="001219CA">
        <w:rPr>
          <w:rFonts w:ascii="Arial" w:hAnsi="Arial" w:cs="Arial"/>
          <w:sz w:val="24"/>
          <w:szCs w:val="24"/>
        </w:rPr>
        <w:t>-Ozcan et al., 2013). On a broader scale, understanding the interaction between regulations and foreign investment could foster economic resilience, stimulate job creation, and support Hong Kong’s role as a gateway between East and West, benefiting both local communities and the broader economy (Yu, 2004).</w:t>
      </w:r>
    </w:p>
    <w:p w14:paraId="047F0969" w14:textId="76CCBDB6" w:rsidR="001219CA" w:rsidRPr="001219CA" w:rsidRDefault="001219CA" w:rsidP="0070544B">
      <w:pPr>
        <w:pStyle w:val="Heading1"/>
      </w:pPr>
      <w:bookmarkStart w:id="13" w:name="_Toc182945202"/>
      <w:r w:rsidRPr="001219CA">
        <w:t>VI. Conclusion</w:t>
      </w:r>
      <w:bookmarkEnd w:id="13"/>
    </w:p>
    <w:p w14:paraId="1898B11A" w14:textId="5010E277" w:rsidR="001219CA" w:rsidRPr="001219CA" w:rsidRDefault="001219CA" w:rsidP="001219CA">
      <w:pPr>
        <w:spacing w:line="360" w:lineRule="auto"/>
        <w:ind w:firstLine="284"/>
        <w:jc w:val="both"/>
        <w:rPr>
          <w:rFonts w:ascii="Arial" w:hAnsi="Arial" w:cs="Arial"/>
          <w:sz w:val="24"/>
          <w:szCs w:val="24"/>
        </w:rPr>
      </w:pPr>
      <w:r w:rsidRPr="001219CA">
        <w:rPr>
          <w:rFonts w:ascii="Arial" w:hAnsi="Arial" w:cs="Arial"/>
          <w:sz w:val="24"/>
          <w:szCs w:val="24"/>
        </w:rPr>
        <w:t>This dissertation proposal outlines a study on how Hong Kong’s regulatory framework influences foreign business expansion, positioning the city as a global business hub. Through a qualitative analysis of government legislation, available statistics, and existing literature, the study will assess the advantages and challenges within Hong Kong’s regulatory environment</w:t>
      </w:r>
      <w:r w:rsidR="007D0B6B">
        <w:rPr>
          <w:rFonts w:ascii="Arial" w:hAnsi="Arial" w:cs="Arial"/>
          <w:sz w:val="24"/>
          <w:szCs w:val="24"/>
        </w:rPr>
        <w:t xml:space="preserve">. </w:t>
      </w:r>
      <w:r w:rsidRPr="001219CA">
        <w:rPr>
          <w:rFonts w:ascii="Arial" w:hAnsi="Arial" w:cs="Arial"/>
          <w:sz w:val="24"/>
          <w:szCs w:val="24"/>
        </w:rPr>
        <w:t>Using theories such as the Eclectic Paradigm, Institutional Theory, and PEST analysis, the research aims to provide insights for policymakers on fostering economic growth (Tan, 2022). The findings will offer guidance to businesses considering Hong Kong for expansion and contribute to a broader understanding of regulatory impact on global business strategies (Cheng, 2022; Wong &amp; Chan, 2023).</w:t>
      </w:r>
    </w:p>
    <w:p w14:paraId="3DE39C65" w14:textId="77777777" w:rsidR="0070544B" w:rsidRPr="001219CA" w:rsidRDefault="0070544B" w:rsidP="00F53946">
      <w:pPr>
        <w:spacing w:line="360" w:lineRule="auto"/>
        <w:jc w:val="both"/>
        <w:rPr>
          <w:rFonts w:ascii="Arial" w:hAnsi="Arial" w:cs="Arial"/>
          <w:sz w:val="24"/>
          <w:szCs w:val="24"/>
        </w:rPr>
      </w:pPr>
    </w:p>
    <w:p w14:paraId="01C74FDB" w14:textId="2796DBEA" w:rsidR="001219CA" w:rsidRPr="0070544B" w:rsidRDefault="001219CA" w:rsidP="0070544B">
      <w:pPr>
        <w:pStyle w:val="Heading1"/>
      </w:pPr>
      <w:bookmarkStart w:id="14" w:name="_Toc182945203"/>
      <w:r w:rsidRPr="0070544B">
        <w:lastRenderedPageBreak/>
        <w:t>VII. Reference List</w:t>
      </w:r>
      <w:bookmarkEnd w:id="14"/>
    </w:p>
    <w:p w14:paraId="4886E43E"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Baker, T., Smith, J., &amp; Lee, A. (2021). </w:t>
      </w:r>
      <w:r w:rsidRPr="00BE4F3F">
        <w:rPr>
          <w:rFonts w:ascii="Arial" w:hAnsi="Arial" w:cs="Arial"/>
          <w:i/>
          <w:iCs/>
          <w:sz w:val="24"/>
          <w:szCs w:val="24"/>
        </w:rPr>
        <w:t>The impact of geopolitical tensions on global business operations</w:t>
      </w:r>
      <w:r w:rsidRPr="00BE4F3F">
        <w:rPr>
          <w:rFonts w:ascii="Arial" w:hAnsi="Arial" w:cs="Arial"/>
          <w:sz w:val="24"/>
          <w:szCs w:val="24"/>
        </w:rPr>
        <w:t>. International Journal of Business Studies, 28(4), pp. 345-362.</w:t>
      </w:r>
    </w:p>
    <w:p w14:paraId="79EEF570" w14:textId="17A5E398" w:rsidR="00BE4F3F" w:rsidRPr="00BE4F3F" w:rsidRDefault="00BE4F3F" w:rsidP="00BE4F3F">
      <w:pPr>
        <w:numPr>
          <w:ilvl w:val="0"/>
          <w:numId w:val="5"/>
        </w:numPr>
        <w:spacing w:line="360" w:lineRule="auto"/>
        <w:jc w:val="both"/>
        <w:rPr>
          <w:rFonts w:ascii="Arial" w:hAnsi="Arial" w:cs="Arial"/>
          <w:sz w:val="24"/>
          <w:szCs w:val="24"/>
        </w:rPr>
      </w:pPr>
      <w:proofErr w:type="spellStart"/>
      <w:r w:rsidRPr="00BE4F3F">
        <w:rPr>
          <w:rFonts w:ascii="Arial" w:hAnsi="Arial" w:cs="Arial"/>
          <w:sz w:val="24"/>
          <w:szCs w:val="24"/>
        </w:rPr>
        <w:t>Balbaa</w:t>
      </w:r>
      <w:proofErr w:type="spellEnd"/>
      <w:r w:rsidRPr="00BE4F3F">
        <w:rPr>
          <w:rFonts w:ascii="Arial" w:hAnsi="Arial" w:cs="Arial"/>
          <w:sz w:val="24"/>
          <w:szCs w:val="24"/>
        </w:rPr>
        <w:t xml:space="preserve">, M.E., </w:t>
      </w:r>
      <w:proofErr w:type="spellStart"/>
      <w:r w:rsidRPr="00BE4F3F">
        <w:rPr>
          <w:rFonts w:ascii="Arial" w:hAnsi="Arial" w:cs="Arial"/>
          <w:sz w:val="24"/>
          <w:szCs w:val="24"/>
        </w:rPr>
        <w:t>Eshov</w:t>
      </w:r>
      <w:proofErr w:type="spellEnd"/>
      <w:r w:rsidRPr="00BE4F3F">
        <w:rPr>
          <w:rFonts w:ascii="Arial" w:hAnsi="Arial" w:cs="Arial"/>
          <w:sz w:val="24"/>
          <w:szCs w:val="24"/>
        </w:rPr>
        <w:t xml:space="preserve">, M.P., and Ismailova, N. (2022). 'The Impacts of Russian Ukrainian War on the Global Economy in the frame of digital banking networks and </w:t>
      </w:r>
      <w:r w:rsidR="00605C68" w:rsidRPr="00BE4F3F">
        <w:rPr>
          <w:rFonts w:ascii="Arial" w:hAnsi="Arial" w:cs="Arial"/>
          <w:sz w:val="24"/>
          <w:szCs w:val="24"/>
        </w:rPr>
        <w:t>cyber-attacks</w:t>
      </w:r>
      <w:r w:rsidRPr="00BE4F3F">
        <w:rPr>
          <w:rFonts w:ascii="Arial" w:hAnsi="Arial" w:cs="Arial"/>
          <w:sz w:val="24"/>
          <w:szCs w:val="24"/>
        </w:rPr>
        <w:t xml:space="preserve">,' </w:t>
      </w:r>
      <w:r w:rsidRPr="00BE4F3F">
        <w:rPr>
          <w:rFonts w:ascii="Arial" w:hAnsi="Arial" w:cs="Arial"/>
          <w:i/>
          <w:iCs/>
          <w:sz w:val="24"/>
          <w:szCs w:val="24"/>
        </w:rPr>
        <w:t>Proceedings of the 6th International Conference on Future Networks &amp; Distributed Systems</w:t>
      </w:r>
      <w:r w:rsidRPr="00BE4F3F">
        <w:rPr>
          <w:rFonts w:ascii="Arial" w:hAnsi="Arial" w:cs="Arial"/>
          <w:sz w:val="24"/>
          <w:szCs w:val="24"/>
        </w:rPr>
        <w:t>, pp. 137-146. New York, NY, USA: ACM.</w:t>
      </w:r>
    </w:p>
    <w:p w14:paraId="5F4ABE80"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Beecher, B., </w:t>
      </w:r>
      <w:proofErr w:type="spellStart"/>
      <w:r w:rsidRPr="00BE4F3F">
        <w:rPr>
          <w:rFonts w:ascii="Arial" w:hAnsi="Arial" w:cs="Arial"/>
          <w:sz w:val="24"/>
          <w:szCs w:val="24"/>
        </w:rPr>
        <w:t>Streitwieser</w:t>
      </w:r>
      <w:proofErr w:type="spellEnd"/>
      <w:r w:rsidRPr="00BE4F3F">
        <w:rPr>
          <w:rFonts w:ascii="Arial" w:hAnsi="Arial" w:cs="Arial"/>
          <w:sz w:val="24"/>
          <w:szCs w:val="24"/>
        </w:rPr>
        <w:t xml:space="preserve">, B., and Zhou, J. (2020). 'Charting a new path toward economic prosperity: Comparing policies for higher education hubs in Hong Kong and South Korea,' </w:t>
      </w:r>
      <w:r w:rsidRPr="00BE4F3F">
        <w:rPr>
          <w:rFonts w:ascii="Arial" w:hAnsi="Arial" w:cs="Arial"/>
          <w:i/>
          <w:iCs/>
          <w:sz w:val="24"/>
          <w:szCs w:val="24"/>
        </w:rPr>
        <w:t>Industry and Higher Education</w:t>
      </w:r>
      <w:r w:rsidRPr="00BE4F3F">
        <w:rPr>
          <w:rFonts w:ascii="Arial" w:hAnsi="Arial" w:cs="Arial"/>
          <w:sz w:val="24"/>
          <w:szCs w:val="24"/>
        </w:rPr>
        <w:t>, 34(2), pp. 80-90.</w:t>
      </w:r>
    </w:p>
    <w:p w14:paraId="517B153B"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Cheng, Y. (2022). </w:t>
      </w:r>
      <w:r w:rsidRPr="00BE4F3F">
        <w:rPr>
          <w:rFonts w:ascii="Arial" w:hAnsi="Arial" w:cs="Arial"/>
          <w:i/>
          <w:iCs/>
          <w:sz w:val="24"/>
          <w:szCs w:val="24"/>
        </w:rPr>
        <w:t>Navigating regulatory challenges in Hong Kong: Implications for foreign investment</w:t>
      </w:r>
      <w:r w:rsidRPr="00BE4F3F">
        <w:rPr>
          <w:rFonts w:ascii="Arial" w:hAnsi="Arial" w:cs="Arial"/>
          <w:sz w:val="24"/>
          <w:szCs w:val="24"/>
        </w:rPr>
        <w:t>. Asian Business &amp; Management, 21(1), pp. 55-76.</w:t>
      </w:r>
    </w:p>
    <w:p w14:paraId="79EA6560"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Chen, Z., and </w:t>
      </w:r>
      <w:proofErr w:type="spellStart"/>
      <w:r w:rsidRPr="00BE4F3F">
        <w:rPr>
          <w:rFonts w:ascii="Arial" w:hAnsi="Arial" w:cs="Arial"/>
          <w:sz w:val="24"/>
          <w:szCs w:val="24"/>
        </w:rPr>
        <w:t>Zhuansun</w:t>
      </w:r>
      <w:proofErr w:type="spellEnd"/>
      <w:r w:rsidRPr="00BE4F3F">
        <w:rPr>
          <w:rFonts w:ascii="Arial" w:hAnsi="Arial" w:cs="Arial"/>
          <w:sz w:val="24"/>
          <w:szCs w:val="24"/>
        </w:rPr>
        <w:t xml:space="preserve">, G. (2022). 'Study on Coupling Coordination between Sci-Tech Innovation and High-Quality Economic Development in the Guangdong-Hong Kong-Macao Greater Bay Area,' </w:t>
      </w:r>
      <w:r w:rsidRPr="00BE4F3F">
        <w:rPr>
          <w:rFonts w:ascii="Arial" w:hAnsi="Arial" w:cs="Arial"/>
          <w:i/>
          <w:iCs/>
          <w:sz w:val="24"/>
          <w:szCs w:val="24"/>
        </w:rPr>
        <w:t>Frontiers of Economics in China</w:t>
      </w:r>
      <w:r w:rsidRPr="00BE4F3F">
        <w:rPr>
          <w:rFonts w:ascii="Arial" w:hAnsi="Arial" w:cs="Arial"/>
          <w:sz w:val="24"/>
          <w:szCs w:val="24"/>
        </w:rPr>
        <w:t>, 17(4), pp. 615-642.</w:t>
      </w:r>
    </w:p>
    <w:p w14:paraId="30401820"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Christmann, P., and Taylor, G. (2001). 'Globalization and the environment: Determinants of firm self-regulation in China,' </w:t>
      </w:r>
      <w:r w:rsidRPr="00BE4F3F">
        <w:rPr>
          <w:rFonts w:ascii="Arial" w:hAnsi="Arial" w:cs="Arial"/>
          <w:i/>
          <w:iCs/>
          <w:sz w:val="24"/>
          <w:szCs w:val="24"/>
        </w:rPr>
        <w:t>Journal of International Business Studies</w:t>
      </w:r>
      <w:r w:rsidRPr="00BE4F3F">
        <w:rPr>
          <w:rFonts w:ascii="Arial" w:hAnsi="Arial" w:cs="Arial"/>
          <w:sz w:val="24"/>
          <w:szCs w:val="24"/>
        </w:rPr>
        <w:t>, 32(3), pp. 439-458.</w:t>
      </w:r>
    </w:p>
    <w:p w14:paraId="28C04A8C"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Desai, R. (2023). </w:t>
      </w:r>
      <w:r w:rsidRPr="00BE4F3F">
        <w:rPr>
          <w:rFonts w:ascii="Arial" w:hAnsi="Arial" w:cs="Arial"/>
          <w:i/>
          <w:iCs/>
          <w:sz w:val="24"/>
          <w:szCs w:val="24"/>
        </w:rPr>
        <w:t>Capitalism, Coronavirus and War: A Geopolitical Economy</w:t>
      </w:r>
      <w:r w:rsidRPr="00BE4F3F">
        <w:rPr>
          <w:rFonts w:ascii="Arial" w:hAnsi="Arial" w:cs="Arial"/>
          <w:sz w:val="24"/>
          <w:szCs w:val="24"/>
        </w:rPr>
        <w:t>. Abingdon, Oxon: Routledge.</w:t>
      </w:r>
    </w:p>
    <w:p w14:paraId="73F894D4"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Galpin, S. (2013). 'Trade facilitation at work in Hong Kong,' </w:t>
      </w:r>
      <w:r w:rsidRPr="00BE4F3F">
        <w:rPr>
          <w:rFonts w:ascii="Arial" w:hAnsi="Arial" w:cs="Arial"/>
          <w:i/>
          <w:iCs/>
          <w:sz w:val="24"/>
          <w:szCs w:val="24"/>
        </w:rPr>
        <w:t>International Trade Forum</w:t>
      </w:r>
      <w:r w:rsidRPr="00BE4F3F">
        <w:rPr>
          <w:rFonts w:ascii="Arial" w:hAnsi="Arial" w:cs="Arial"/>
          <w:sz w:val="24"/>
          <w:szCs w:val="24"/>
        </w:rPr>
        <w:t xml:space="preserve">, Geneva, </w:t>
      </w:r>
      <w:proofErr w:type="spellStart"/>
      <w:r w:rsidRPr="00BE4F3F">
        <w:rPr>
          <w:rFonts w:ascii="Arial" w:hAnsi="Arial" w:cs="Arial"/>
          <w:sz w:val="24"/>
          <w:szCs w:val="24"/>
        </w:rPr>
        <w:t>Iss</w:t>
      </w:r>
      <w:proofErr w:type="spellEnd"/>
      <w:r w:rsidRPr="00BE4F3F">
        <w:rPr>
          <w:rFonts w:ascii="Arial" w:hAnsi="Arial" w:cs="Arial"/>
          <w:sz w:val="24"/>
          <w:szCs w:val="24"/>
        </w:rPr>
        <w:t>. 4, pp. 28-29.</w:t>
      </w:r>
    </w:p>
    <w:p w14:paraId="22727D28" w14:textId="77777777" w:rsidR="00BE4F3F" w:rsidRPr="00BE4F3F" w:rsidRDefault="00BE4F3F" w:rsidP="00F53946">
      <w:pPr>
        <w:numPr>
          <w:ilvl w:val="0"/>
          <w:numId w:val="5"/>
        </w:numPr>
        <w:spacing w:line="360" w:lineRule="auto"/>
        <w:rPr>
          <w:rFonts w:ascii="Arial" w:hAnsi="Arial" w:cs="Arial"/>
          <w:sz w:val="24"/>
          <w:szCs w:val="24"/>
        </w:rPr>
      </w:pPr>
      <w:r w:rsidRPr="00BE4F3F">
        <w:rPr>
          <w:rFonts w:ascii="Arial" w:hAnsi="Arial" w:cs="Arial"/>
          <w:sz w:val="24"/>
          <w:szCs w:val="24"/>
        </w:rPr>
        <w:t xml:space="preserve">Hawkins, A. (2024). 'Hong Kong is global trade hub for world’s most brutal regimes, report says,' </w:t>
      </w:r>
      <w:r w:rsidRPr="00BE4F3F">
        <w:rPr>
          <w:rFonts w:ascii="Arial" w:hAnsi="Arial" w:cs="Arial"/>
          <w:i/>
          <w:iCs/>
          <w:sz w:val="24"/>
          <w:szCs w:val="24"/>
        </w:rPr>
        <w:t>The Guardian</w:t>
      </w:r>
      <w:r w:rsidRPr="00BE4F3F">
        <w:rPr>
          <w:rFonts w:ascii="Arial" w:hAnsi="Arial" w:cs="Arial"/>
          <w:sz w:val="24"/>
          <w:szCs w:val="24"/>
        </w:rPr>
        <w:t xml:space="preserve">, [online] 22 July. Available at: </w:t>
      </w:r>
      <w:hyperlink r:id="rId8" w:tgtFrame="_new" w:history="1">
        <w:r w:rsidRPr="00BE4F3F">
          <w:rPr>
            <w:rStyle w:val="Hyperlink"/>
            <w:rFonts w:ascii="Arial" w:hAnsi="Arial" w:cs="Arial"/>
            <w:sz w:val="24"/>
            <w:szCs w:val="24"/>
          </w:rPr>
          <w:t>https://www.theguardian.com/world/article/2024/jul/22/hong-kong-trade-hub-report</w:t>
        </w:r>
      </w:hyperlink>
      <w:r w:rsidRPr="00BE4F3F">
        <w:rPr>
          <w:rFonts w:ascii="Arial" w:hAnsi="Arial" w:cs="Arial"/>
          <w:sz w:val="24"/>
          <w:szCs w:val="24"/>
        </w:rPr>
        <w:t xml:space="preserve"> (Accessed: 10/11/2024).</w:t>
      </w:r>
    </w:p>
    <w:p w14:paraId="1D382FFD"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Hong Kong Census and Statistics Department. (2023). </w:t>
      </w:r>
      <w:r w:rsidRPr="00BE4F3F">
        <w:rPr>
          <w:rFonts w:ascii="Arial" w:hAnsi="Arial" w:cs="Arial"/>
          <w:i/>
          <w:iCs/>
          <w:sz w:val="24"/>
          <w:szCs w:val="24"/>
        </w:rPr>
        <w:t>Economic Indicators Report</w:t>
      </w:r>
      <w:r w:rsidRPr="00BE4F3F">
        <w:rPr>
          <w:rFonts w:ascii="Arial" w:hAnsi="Arial" w:cs="Arial"/>
          <w:sz w:val="24"/>
          <w:szCs w:val="24"/>
        </w:rPr>
        <w:t>. Hong Kong.</w:t>
      </w:r>
    </w:p>
    <w:p w14:paraId="0F95C931" w14:textId="77777777" w:rsidR="00BE4F3F" w:rsidRPr="00BE4F3F" w:rsidRDefault="00BE4F3F" w:rsidP="00BE4F3F">
      <w:pPr>
        <w:numPr>
          <w:ilvl w:val="0"/>
          <w:numId w:val="5"/>
        </w:numPr>
        <w:spacing w:line="360" w:lineRule="auto"/>
        <w:jc w:val="both"/>
        <w:rPr>
          <w:rFonts w:ascii="Arial" w:hAnsi="Arial" w:cs="Arial"/>
          <w:sz w:val="24"/>
          <w:szCs w:val="24"/>
        </w:rPr>
      </w:pPr>
      <w:proofErr w:type="spellStart"/>
      <w:r w:rsidRPr="00BE4F3F">
        <w:rPr>
          <w:rFonts w:ascii="Arial" w:hAnsi="Arial" w:cs="Arial"/>
          <w:sz w:val="24"/>
          <w:szCs w:val="24"/>
        </w:rPr>
        <w:lastRenderedPageBreak/>
        <w:t>Kalemli</w:t>
      </w:r>
      <w:proofErr w:type="spellEnd"/>
      <w:r w:rsidRPr="00BE4F3F">
        <w:rPr>
          <w:rFonts w:ascii="Arial" w:hAnsi="Arial" w:cs="Arial"/>
          <w:sz w:val="24"/>
          <w:szCs w:val="24"/>
        </w:rPr>
        <w:t xml:space="preserve">-Ozcan, S., Papaioannou, E., and </w:t>
      </w:r>
      <w:proofErr w:type="spellStart"/>
      <w:r w:rsidRPr="00BE4F3F">
        <w:rPr>
          <w:rFonts w:ascii="Arial" w:hAnsi="Arial" w:cs="Arial"/>
          <w:sz w:val="24"/>
          <w:szCs w:val="24"/>
        </w:rPr>
        <w:t>Peydró</w:t>
      </w:r>
      <w:proofErr w:type="spellEnd"/>
      <w:r w:rsidRPr="00BE4F3F">
        <w:rPr>
          <w:rFonts w:ascii="Arial" w:hAnsi="Arial" w:cs="Arial"/>
          <w:sz w:val="24"/>
          <w:szCs w:val="24"/>
        </w:rPr>
        <w:t xml:space="preserve">, J.-L. (2013). 'Financial regulation, financial globalization, and the synchronization of economic activity,' </w:t>
      </w:r>
      <w:r w:rsidRPr="00BE4F3F">
        <w:rPr>
          <w:rFonts w:ascii="Arial" w:hAnsi="Arial" w:cs="Arial"/>
          <w:i/>
          <w:iCs/>
          <w:sz w:val="24"/>
          <w:szCs w:val="24"/>
        </w:rPr>
        <w:t>The Journal of Finance</w:t>
      </w:r>
      <w:r w:rsidRPr="00BE4F3F">
        <w:rPr>
          <w:rFonts w:ascii="Arial" w:hAnsi="Arial" w:cs="Arial"/>
          <w:sz w:val="24"/>
          <w:szCs w:val="24"/>
        </w:rPr>
        <w:t>, 68(3), pp. 1179-1205.</w:t>
      </w:r>
    </w:p>
    <w:p w14:paraId="337D0B6A"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KPMG. (2023). </w:t>
      </w:r>
      <w:r w:rsidRPr="00BE4F3F">
        <w:rPr>
          <w:rFonts w:ascii="Arial" w:hAnsi="Arial" w:cs="Arial"/>
          <w:i/>
          <w:iCs/>
          <w:sz w:val="24"/>
          <w:szCs w:val="24"/>
        </w:rPr>
        <w:t>Global Business Trends: A Focus on Foreign Investment in Hong Kong</w:t>
      </w:r>
      <w:r w:rsidRPr="00BE4F3F">
        <w:rPr>
          <w:rFonts w:ascii="Arial" w:hAnsi="Arial" w:cs="Arial"/>
          <w:sz w:val="24"/>
          <w:szCs w:val="24"/>
        </w:rPr>
        <w:t>. Hong Kong: KPMG.</w:t>
      </w:r>
    </w:p>
    <w:p w14:paraId="5F2BB8A6"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Liu, X. (2022). </w:t>
      </w:r>
      <w:r w:rsidRPr="00BE4F3F">
        <w:rPr>
          <w:rFonts w:ascii="Arial" w:hAnsi="Arial" w:cs="Arial"/>
          <w:i/>
          <w:iCs/>
          <w:sz w:val="24"/>
          <w:szCs w:val="24"/>
        </w:rPr>
        <w:t>Hong Kong's financial infrastructure: Opportunities for global businesses</w:t>
      </w:r>
      <w:r w:rsidRPr="00BE4F3F">
        <w:rPr>
          <w:rFonts w:ascii="Arial" w:hAnsi="Arial" w:cs="Arial"/>
          <w:sz w:val="24"/>
          <w:szCs w:val="24"/>
        </w:rPr>
        <w:t>. Journal of Economic Perspectives, 36(2), pp. 29-50.</w:t>
      </w:r>
    </w:p>
    <w:p w14:paraId="5D235DDB"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Smith, R., &amp; Zhang, L. (2023). 'Comparative analysis of financial hubs: A focus on Hong Kong,' </w:t>
      </w:r>
      <w:r w:rsidRPr="00BE4F3F">
        <w:rPr>
          <w:rFonts w:ascii="Arial" w:hAnsi="Arial" w:cs="Arial"/>
          <w:i/>
          <w:iCs/>
          <w:sz w:val="24"/>
          <w:szCs w:val="24"/>
        </w:rPr>
        <w:t>Global Finance Journal</w:t>
      </w:r>
      <w:r w:rsidRPr="00BE4F3F">
        <w:rPr>
          <w:rFonts w:ascii="Arial" w:hAnsi="Arial" w:cs="Arial"/>
          <w:sz w:val="24"/>
          <w:szCs w:val="24"/>
        </w:rPr>
        <w:t>, 44(3), pp. 75-92.</w:t>
      </w:r>
    </w:p>
    <w:p w14:paraId="30D4900C"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Tan, W. (2022). </w:t>
      </w:r>
      <w:r w:rsidRPr="00BE4F3F">
        <w:rPr>
          <w:rFonts w:ascii="Arial" w:hAnsi="Arial" w:cs="Arial"/>
          <w:i/>
          <w:iCs/>
          <w:sz w:val="24"/>
          <w:szCs w:val="24"/>
        </w:rPr>
        <w:t>Understanding the business environment in Hong Kong: Regulatory frameworks and foreign investments</w:t>
      </w:r>
      <w:r w:rsidRPr="00BE4F3F">
        <w:rPr>
          <w:rFonts w:ascii="Arial" w:hAnsi="Arial" w:cs="Arial"/>
          <w:sz w:val="24"/>
          <w:szCs w:val="24"/>
        </w:rPr>
        <w:t>. Hong Kong Economic Review, 18(1), pp. 10-30.</w:t>
      </w:r>
    </w:p>
    <w:p w14:paraId="65A6EF01"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UNCTAD. (2023). </w:t>
      </w:r>
      <w:r w:rsidRPr="00BE4F3F">
        <w:rPr>
          <w:rFonts w:ascii="Arial" w:hAnsi="Arial" w:cs="Arial"/>
          <w:i/>
          <w:iCs/>
          <w:sz w:val="24"/>
          <w:szCs w:val="24"/>
        </w:rPr>
        <w:t>World Investment Report</w:t>
      </w:r>
      <w:r w:rsidRPr="00BE4F3F">
        <w:rPr>
          <w:rFonts w:ascii="Arial" w:hAnsi="Arial" w:cs="Arial"/>
          <w:sz w:val="24"/>
          <w:szCs w:val="24"/>
        </w:rPr>
        <w:t>. United Nations Conference on Trade and Development.</w:t>
      </w:r>
    </w:p>
    <w:p w14:paraId="502BE09D"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World Bank. (2023). </w:t>
      </w:r>
      <w:r w:rsidRPr="00BE4F3F">
        <w:rPr>
          <w:rFonts w:ascii="Arial" w:hAnsi="Arial" w:cs="Arial"/>
          <w:i/>
          <w:iCs/>
          <w:sz w:val="24"/>
          <w:szCs w:val="24"/>
        </w:rPr>
        <w:t>Ease of Doing Business Report</w:t>
      </w:r>
      <w:r w:rsidRPr="00BE4F3F">
        <w:rPr>
          <w:rFonts w:ascii="Arial" w:hAnsi="Arial" w:cs="Arial"/>
          <w:sz w:val="24"/>
          <w:szCs w:val="24"/>
        </w:rPr>
        <w:t>. World Bank Group.</w:t>
      </w:r>
    </w:p>
    <w:p w14:paraId="3E54CC6A"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Wong, K., &amp; Chan, T. (2023). 'The National Security Law and its implications for Hong Kong's business landscape,' </w:t>
      </w:r>
      <w:r w:rsidRPr="00BE4F3F">
        <w:rPr>
          <w:rFonts w:ascii="Arial" w:hAnsi="Arial" w:cs="Arial"/>
          <w:i/>
          <w:iCs/>
          <w:sz w:val="24"/>
          <w:szCs w:val="24"/>
        </w:rPr>
        <w:t>Asian Journal of Comparative Law</w:t>
      </w:r>
      <w:r w:rsidRPr="00BE4F3F">
        <w:rPr>
          <w:rFonts w:ascii="Arial" w:hAnsi="Arial" w:cs="Arial"/>
          <w:sz w:val="24"/>
          <w:szCs w:val="24"/>
        </w:rPr>
        <w:t>, 18(1), pp. 87-110.</w:t>
      </w:r>
    </w:p>
    <w:p w14:paraId="5632CF21"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Wong, W.H., Wong, E., Mo, D.Y., and Leung, L. (2019). 'Impact of cabotage relaxation in mainland China on the transshipment hub of Hong Kong,' </w:t>
      </w:r>
      <w:r w:rsidRPr="00BE4F3F">
        <w:rPr>
          <w:rFonts w:ascii="Arial" w:hAnsi="Arial" w:cs="Arial"/>
          <w:i/>
          <w:iCs/>
          <w:sz w:val="24"/>
          <w:szCs w:val="24"/>
        </w:rPr>
        <w:t>Maritime Economics &amp; Logistics</w:t>
      </w:r>
      <w:r w:rsidRPr="00BE4F3F">
        <w:rPr>
          <w:rFonts w:ascii="Arial" w:hAnsi="Arial" w:cs="Arial"/>
          <w:sz w:val="24"/>
          <w:szCs w:val="24"/>
        </w:rPr>
        <w:t>, 21(4), pp. 464-481.</w:t>
      </w:r>
    </w:p>
    <w:p w14:paraId="76410FE8"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Yu, F-L. (2004). 'From a 'Barren Rock' to the Financial Hub of East Asia,' </w:t>
      </w:r>
      <w:r w:rsidRPr="00BE4F3F">
        <w:rPr>
          <w:rFonts w:ascii="Arial" w:hAnsi="Arial" w:cs="Arial"/>
          <w:i/>
          <w:iCs/>
          <w:sz w:val="24"/>
          <w:szCs w:val="24"/>
        </w:rPr>
        <w:t>Asia Pacific Business Review</w:t>
      </w:r>
      <w:r w:rsidRPr="00BE4F3F">
        <w:rPr>
          <w:rFonts w:ascii="Arial" w:hAnsi="Arial" w:cs="Arial"/>
          <w:sz w:val="24"/>
          <w:szCs w:val="24"/>
        </w:rPr>
        <w:t>, 10(3/4), pp. 360-381.</w:t>
      </w:r>
    </w:p>
    <w:p w14:paraId="390C3F34"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WTO. (2023). </w:t>
      </w:r>
      <w:r w:rsidRPr="00BE4F3F">
        <w:rPr>
          <w:rFonts w:ascii="Arial" w:hAnsi="Arial" w:cs="Arial"/>
          <w:i/>
          <w:iCs/>
          <w:sz w:val="24"/>
          <w:szCs w:val="24"/>
        </w:rPr>
        <w:t>World Trade Report</w:t>
      </w:r>
      <w:r w:rsidRPr="00BE4F3F">
        <w:rPr>
          <w:rFonts w:ascii="Arial" w:hAnsi="Arial" w:cs="Arial"/>
          <w:sz w:val="24"/>
          <w:szCs w:val="24"/>
        </w:rPr>
        <w:t>. World Trade Organization.</w:t>
      </w:r>
    </w:p>
    <w:p w14:paraId="7E5B7E3D" w14:textId="77777777" w:rsidR="00555237" w:rsidRDefault="00555237" w:rsidP="001219CA">
      <w:pPr>
        <w:spacing w:line="360" w:lineRule="auto"/>
        <w:ind w:firstLine="284"/>
        <w:jc w:val="both"/>
        <w:rPr>
          <w:rFonts w:ascii="Arial" w:hAnsi="Arial" w:cs="Arial"/>
          <w:sz w:val="24"/>
          <w:szCs w:val="24"/>
        </w:rPr>
      </w:pPr>
    </w:p>
    <w:p w14:paraId="604C6C14" w14:textId="77777777" w:rsidR="000B6CFE" w:rsidRDefault="000B6CFE" w:rsidP="001219CA">
      <w:pPr>
        <w:spacing w:line="360" w:lineRule="auto"/>
        <w:ind w:firstLine="284"/>
        <w:jc w:val="both"/>
        <w:rPr>
          <w:rFonts w:ascii="Arial" w:hAnsi="Arial" w:cs="Arial"/>
          <w:sz w:val="24"/>
          <w:szCs w:val="24"/>
        </w:rPr>
      </w:pPr>
    </w:p>
    <w:p w14:paraId="2D907CA7" w14:textId="77777777" w:rsidR="000B6CFE" w:rsidRDefault="000B6CFE" w:rsidP="000B6CFE">
      <w:pPr>
        <w:spacing w:line="360" w:lineRule="auto"/>
        <w:jc w:val="both"/>
        <w:rPr>
          <w:rFonts w:ascii="Arial" w:hAnsi="Arial" w:cs="Arial"/>
          <w:sz w:val="24"/>
          <w:szCs w:val="24"/>
        </w:rPr>
      </w:pPr>
    </w:p>
    <w:p w14:paraId="0C8BFF90" w14:textId="77777777" w:rsidR="000B6CFE" w:rsidRDefault="000B6CFE" w:rsidP="001219CA">
      <w:pPr>
        <w:spacing w:line="360" w:lineRule="auto"/>
        <w:ind w:firstLine="284"/>
        <w:jc w:val="both"/>
        <w:rPr>
          <w:rFonts w:ascii="Arial" w:hAnsi="Arial" w:cs="Arial"/>
          <w:sz w:val="24"/>
          <w:szCs w:val="24"/>
        </w:rPr>
      </w:pPr>
    </w:p>
    <w:p w14:paraId="7B732E63" w14:textId="77777777" w:rsidR="000B6CFE" w:rsidRDefault="000B6CFE" w:rsidP="001219CA">
      <w:pPr>
        <w:spacing w:line="360" w:lineRule="auto"/>
        <w:ind w:firstLine="284"/>
        <w:jc w:val="both"/>
        <w:rPr>
          <w:rFonts w:ascii="Arial" w:hAnsi="Arial" w:cs="Arial"/>
          <w:sz w:val="24"/>
          <w:szCs w:val="24"/>
        </w:rPr>
      </w:pPr>
    </w:p>
    <w:p w14:paraId="5C70755A" w14:textId="339F8C5C" w:rsidR="000B6CFE" w:rsidRDefault="000B6CFE" w:rsidP="000B6CFE">
      <w:pPr>
        <w:pStyle w:val="Heading1"/>
      </w:pPr>
      <w:bookmarkStart w:id="15" w:name="_Toc182945204"/>
      <w:r>
        <w:lastRenderedPageBreak/>
        <w:t>Appendix 1: Research timeline</w:t>
      </w:r>
      <w:bookmarkEnd w:id="15"/>
    </w:p>
    <w:p w14:paraId="1DF63B7C" w14:textId="1420C587" w:rsidR="000B6CFE" w:rsidRPr="001219CA" w:rsidRDefault="000B6CFE" w:rsidP="00443AEF">
      <w:pPr>
        <w:spacing w:line="360" w:lineRule="auto"/>
        <w:ind w:left="-567" w:firstLine="284"/>
        <w:jc w:val="both"/>
        <w:rPr>
          <w:rFonts w:ascii="Arial" w:hAnsi="Arial" w:cs="Arial"/>
          <w:sz w:val="24"/>
          <w:szCs w:val="24"/>
        </w:rPr>
      </w:pPr>
      <w:r>
        <w:rPr>
          <w:rFonts w:ascii="Arial" w:hAnsi="Arial" w:cs="Arial"/>
          <w:noProof/>
          <w:sz w:val="24"/>
          <w:szCs w:val="24"/>
        </w:rPr>
        <w:drawing>
          <wp:inline distT="0" distB="0" distL="0" distR="0" wp14:anchorId="039B4A72" wp14:editId="0440E1C6">
            <wp:extent cx="6723582" cy="2780017"/>
            <wp:effectExtent l="0" t="0" r="1270" b="1905"/>
            <wp:docPr id="1322553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39705" cy="2786683"/>
                    </a:xfrm>
                    <a:prstGeom prst="rect">
                      <a:avLst/>
                    </a:prstGeom>
                    <a:noFill/>
                    <a:ln>
                      <a:noFill/>
                    </a:ln>
                  </pic:spPr>
                </pic:pic>
              </a:graphicData>
            </a:graphic>
          </wp:inline>
        </w:drawing>
      </w:r>
    </w:p>
    <w:sectPr w:rsidR="000B6CFE" w:rsidRPr="001219CA" w:rsidSect="00F53946">
      <w:footerReference w:type="default" r:id="rId10"/>
      <w:pgSz w:w="11906" w:h="16838"/>
      <w:pgMar w:top="1440" w:right="849" w:bottom="1440"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B3CC3B" w14:textId="77777777" w:rsidR="002A64F1" w:rsidRDefault="002A64F1" w:rsidP="0070544B">
      <w:pPr>
        <w:spacing w:after="0" w:line="240" w:lineRule="auto"/>
      </w:pPr>
      <w:r>
        <w:separator/>
      </w:r>
    </w:p>
  </w:endnote>
  <w:endnote w:type="continuationSeparator" w:id="0">
    <w:p w14:paraId="0C5D34CC" w14:textId="77777777" w:rsidR="002A64F1" w:rsidRDefault="002A64F1" w:rsidP="00705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3876056"/>
      <w:docPartObj>
        <w:docPartGallery w:val="Page Numbers (Bottom of Page)"/>
        <w:docPartUnique/>
      </w:docPartObj>
    </w:sdtPr>
    <w:sdtEndPr>
      <w:rPr>
        <w:noProof/>
      </w:rPr>
    </w:sdtEndPr>
    <w:sdtContent>
      <w:p w14:paraId="4624C35E" w14:textId="2C9EA379" w:rsidR="0070544B" w:rsidRDefault="007054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58EF30" w14:textId="77777777" w:rsidR="0070544B" w:rsidRDefault="007054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36FAD4" w14:textId="77777777" w:rsidR="002A64F1" w:rsidRDefault="002A64F1" w:rsidP="0070544B">
      <w:pPr>
        <w:spacing w:after="0" w:line="240" w:lineRule="auto"/>
      </w:pPr>
      <w:r>
        <w:separator/>
      </w:r>
    </w:p>
  </w:footnote>
  <w:footnote w:type="continuationSeparator" w:id="0">
    <w:p w14:paraId="228ADF21" w14:textId="77777777" w:rsidR="002A64F1" w:rsidRDefault="002A64F1" w:rsidP="007054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5201F9"/>
    <w:multiLevelType w:val="multilevel"/>
    <w:tmpl w:val="1C14B560"/>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BA7D3E"/>
    <w:multiLevelType w:val="multilevel"/>
    <w:tmpl w:val="CB48289E"/>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501246"/>
    <w:multiLevelType w:val="hybridMultilevel"/>
    <w:tmpl w:val="474EF31C"/>
    <w:lvl w:ilvl="0" w:tplc="9690A44A">
      <w:start w:val="1"/>
      <w:numFmt w:val="upperRoman"/>
      <w:lvlText w:val="%1."/>
      <w:lvlJc w:val="left"/>
      <w:pPr>
        <w:ind w:left="1004" w:hanging="720"/>
      </w:pPr>
      <w:rPr>
        <w:rFonts w:eastAsiaTheme="majorEastAsia" w:hint="default"/>
        <w:b/>
        <w:sz w:val="3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34E43E1F"/>
    <w:multiLevelType w:val="multilevel"/>
    <w:tmpl w:val="F314E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1A3FB0"/>
    <w:multiLevelType w:val="multilevel"/>
    <w:tmpl w:val="8730CA68"/>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AE65B5"/>
    <w:multiLevelType w:val="multilevel"/>
    <w:tmpl w:val="34BEB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63281A"/>
    <w:multiLevelType w:val="multilevel"/>
    <w:tmpl w:val="3ABCB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8D5636"/>
    <w:multiLevelType w:val="multilevel"/>
    <w:tmpl w:val="1C986FFC"/>
    <w:lvl w:ilvl="0">
      <w:start w:val="1"/>
      <w:numFmt w:val="lowerLetter"/>
      <w:lvlText w:val="%1)"/>
      <w:lvlJc w:val="left"/>
      <w:pPr>
        <w:tabs>
          <w:tab w:val="num" w:pos="720"/>
        </w:tabs>
        <w:ind w:left="720" w:hanging="360"/>
      </w:pPr>
      <w:rPr>
        <w:rFonts w:ascii="Arial" w:eastAsiaTheme="minorHAnsi" w:hAnsi="Arial" w:cs="Arial" w:hint="default"/>
        <w:sz w:val="24"/>
        <w:szCs w:val="32"/>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D52623"/>
    <w:multiLevelType w:val="multilevel"/>
    <w:tmpl w:val="48462570"/>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F85A09"/>
    <w:multiLevelType w:val="multilevel"/>
    <w:tmpl w:val="9F282E4A"/>
    <w:lvl w:ilvl="0">
      <w:start w:val="1"/>
      <w:numFmt w:val="decimal"/>
      <w:lvlText w:val="%1)"/>
      <w:lvlJc w:val="left"/>
      <w:pPr>
        <w:tabs>
          <w:tab w:val="num" w:pos="720"/>
        </w:tabs>
        <w:ind w:left="720" w:hanging="360"/>
      </w:pPr>
      <w:rPr>
        <w:rFonts w:ascii="Arial" w:eastAsiaTheme="majorEastAsia"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96D597C"/>
    <w:multiLevelType w:val="multilevel"/>
    <w:tmpl w:val="FC168698"/>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E42988"/>
    <w:multiLevelType w:val="multilevel"/>
    <w:tmpl w:val="9DA8D484"/>
    <w:lvl w:ilvl="0">
      <w:start w:val="1"/>
      <w:numFmt w:val="lowerLetter"/>
      <w:lvlText w:val="%1)"/>
      <w:lvlJc w:val="left"/>
      <w:pPr>
        <w:tabs>
          <w:tab w:val="num" w:pos="720"/>
        </w:tabs>
        <w:ind w:left="720" w:hanging="360"/>
      </w:pPr>
      <w:rPr>
        <w:rFonts w:ascii="Arial" w:eastAsiaTheme="minorHAnsi" w:hAnsi="Arial" w:cs="Arial" w:hint="default"/>
        <w:sz w:val="24"/>
        <w:szCs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594863"/>
    <w:multiLevelType w:val="multilevel"/>
    <w:tmpl w:val="78502312"/>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5488187">
    <w:abstractNumId w:val="6"/>
  </w:num>
  <w:num w:numId="2" w16cid:durableId="1563901811">
    <w:abstractNumId w:val="11"/>
  </w:num>
  <w:num w:numId="3" w16cid:durableId="1776241650">
    <w:abstractNumId w:val="7"/>
  </w:num>
  <w:num w:numId="4" w16cid:durableId="156968138">
    <w:abstractNumId w:val="3"/>
  </w:num>
  <w:num w:numId="5" w16cid:durableId="2076463243">
    <w:abstractNumId w:val="5"/>
  </w:num>
  <w:num w:numId="6" w16cid:durableId="2029599916">
    <w:abstractNumId w:val="1"/>
  </w:num>
  <w:num w:numId="7" w16cid:durableId="1069035812">
    <w:abstractNumId w:val="10"/>
  </w:num>
  <w:num w:numId="8" w16cid:durableId="1200362260">
    <w:abstractNumId w:val="8"/>
  </w:num>
  <w:num w:numId="9" w16cid:durableId="1982224084">
    <w:abstractNumId w:val="4"/>
  </w:num>
  <w:num w:numId="10" w16cid:durableId="851455236">
    <w:abstractNumId w:val="12"/>
  </w:num>
  <w:num w:numId="11" w16cid:durableId="1554148055">
    <w:abstractNumId w:val="0"/>
  </w:num>
  <w:num w:numId="12" w16cid:durableId="458500260">
    <w:abstractNumId w:val="2"/>
  </w:num>
  <w:num w:numId="13" w16cid:durableId="193620705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C08"/>
    <w:rsid w:val="00025B31"/>
    <w:rsid w:val="00067C08"/>
    <w:rsid w:val="0008427F"/>
    <w:rsid w:val="000B6CFE"/>
    <w:rsid w:val="001219CA"/>
    <w:rsid w:val="002A64F1"/>
    <w:rsid w:val="00312E6F"/>
    <w:rsid w:val="003901F5"/>
    <w:rsid w:val="00443AEF"/>
    <w:rsid w:val="00456AAE"/>
    <w:rsid w:val="005002B8"/>
    <w:rsid w:val="00555237"/>
    <w:rsid w:val="00605C68"/>
    <w:rsid w:val="00652586"/>
    <w:rsid w:val="0070544B"/>
    <w:rsid w:val="00737D9E"/>
    <w:rsid w:val="007D0B6B"/>
    <w:rsid w:val="009A0539"/>
    <w:rsid w:val="00BE4F3F"/>
    <w:rsid w:val="00D2041B"/>
    <w:rsid w:val="00D945A6"/>
    <w:rsid w:val="00E94385"/>
    <w:rsid w:val="00EB3E86"/>
    <w:rsid w:val="00F53946"/>
    <w:rsid w:val="00FB2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0062F"/>
  <w15:chartTrackingRefBased/>
  <w15:docId w15:val="{EF0C559C-9871-4489-B0E7-73907E585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0544B"/>
    <w:pPr>
      <w:keepNext/>
      <w:keepLines/>
      <w:spacing w:before="360" w:after="80" w:line="360" w:lineRule="auto"/>
      <w:ind w:firstLine="284"/>
      <w:jc w:val="both"/>
      <w:outlineLvl w:val="0"/>
    </w:pPr>
    <w:rPr>
      <w:rFonts w:ascii="Arial" w:eastAsiaTheme="majorEastAsia" w:hAnsi="Arial" w:cs="Arial"/>
      <w:b/>
      <w:sz w:val="32"/>
      <w:szCs w:val="24"/>
    </w:rPr>
  </w:style>
  <w:style w:type="paragraph" w:styleId="Heading2">
    <w:name w:val="heading 2"/>
    <w:basedOn w:val="Normal"/>
    <w:next w:val="Normal"/>
    <w:link w:val="Heading2Char"/>
    <w:uiPriority w:val="9"/>
    <w:unhideWhenUsed/>
    <w:qFormat/>
    <w:rsid w:val="007D0B6B"/>
    <w:pPr>
      <w:keepNext/>
      <w:keepLines/>
      <w:spacing w:after="0"/>
      <w:ind w:left="720"/>
      <w:outlineLvl w:val="1"/>
    </w:pPr>
    <w:rPr>
      <w:rFonts w:ascii="Arial" w:eastAsiaTheme="majorEastAsia" w:hAnsi="Arial" w:cstheme="majorBidi"/>
      <w:i/>
      <w:sz w:val="28"/>
      <w:szCs w:val="32"/>
    </w:rPr>
  </w:style>
  <w:style w:type="paragraph" w:styleId="Heading3">
    <w:name w:val="heading 3"/>
    <w:basedOn w:val="Normal"/>
    <w:next w:val="Normal"/>
    <w:link w:val="Heading3Char"/>
    <w:uiPriority w:val="9"/>
    <w:semiHidden/>
    <w:unhideWhenUsed/>
    <w:qFormat/>
    <w:rsid w:val="00067C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7C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7C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7C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7C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7C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7C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44B"/>
    <w:rPr>
      <w:rFonts w:ascii="Arial" w:eastAsiaTheme="majorEastAsia" w:hAnsi="Arial" w:cs="Arial"/>
      <w:b/>
      <w:sz w:val="32"/>
      <w:szCs w:val="24"/>
    </w:rPr>
  </w:style>
  <w:style w:type="character" w:customStyle="1" w:styleId="Heading2Char">
    <w:name w:val="Heading 2 Char"/>
    <w:basedOn w:val="DefaultParagraphFont"/>
    <w:link w:val="Heading2"/>
    <w:uiPriority w:val="9"/>
    <w:rsid w:val="007D0B6B"/>
    <w:rPr>
      <w:rFonts w:ascii="Arial" w:eastAsiaTheme="majorEastAsia" w:hAnsi="Arial" w:cstheme="majorBidi"/>
      <w:i/>
      <w:sz w:val="28"/>
      <w:szCs w:val="32"/>
    </w:rPr>
  </w:style>
  <w:style w:type="character" w:customStyle="1" w:styleId="Heading3Char">
    <w:name w:val="Heading 3 Char"/>
    <w:basedOn w:val="DefaultParagraphFont"/>
    <w:link w:val="Heading3"/>
    <w:uiPriority w:val="9"/>
    <w:semiHidden/>
    <w:rsid w:val="00067C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7C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7C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7C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7C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7C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7C08"/>
    <w:rPr>
      <w:rFonts w:eastAsiaTheme="majorEastAsia" w:cstheme="majorBidi"/>
      <w:color w:val="272727" w:themeColor="text1" w:themeTint="D8"/>
    </w:rPr>
  </w:style>
  <w:style w:type="paragraph" w:styleId="Title">
    <w:name w:val="Title"/>
    <w:basedOn w:val="Normal"/>
    <w:next w:val="Normal"/>
    <w:link w:val="TitleChar"/>
    <w:uiPriority w:val="10"/>
    <w:qFormat/>
    <w:rsid w:val="00067C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C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7C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C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7C08"/>
    <w:pPr>
      <w:spacing w:before="160"/>
      <w:jc w:val="center"/>
    </w:pPr>
    <w:rPr>
      <w:i/>
      <w:iCs/>
      <w:color w:val="404040" w:themeColor="text1" w:themeTint="BF"/>
    </w:rPr>
  </w:style>
  <w:style w:type="character" w:customStyle="1" w:styleId="QuoteChar">
    <w:name w:val="Quote Char"/>
    <w:basedOn w:val="DefaultParagraphFont"/>
    <w:link w:val="Quote"/>
    <w:uiPriority w:val="29"/>
    <w:rsid w:val="00067C08"/>
    <w:rPr>
      <w:i/>
      <w:iCs/>
      <w:color w:val="404040" w:themeColor="text1" w:themeTint="BF"/>
    </w:rPr>
  </w:style>
  <w:style w:type="paragraph" w:styleId="ListParagraph">
    <w:name w:val="List Paragraph"/>
    <w:basedOn w:val="Normal"/>
    <w:uiPriority w:val="34"/>
    <w:qFormat/>
    <w:rsid w:val="00067C08"/>
    <w:pPr>
      <w:ind w:left="720"/>
      <w:contextualSpacing/>
    </w:pPr>
  </w:style>
  <w:style w:type="character" w:styleId="IntenseEmphasis">
    <w:name w:val="Intense Emphasis"/>
    <w:basedOn w:val="DefaultParagraphFont"/>
    <w:uiPriority w:val="21"/>
    <w:qFormat/>
    <w:rsid w:val="00067C08"/>
    <w:rPr>
      <w:i/>
      <w:iCs/>
      <w:color w:val="0F4761" w:themeColor="accent1" w:themeShade="BF"/>
    </w:rPr>
  </w:style>
  <w:style w:type="paragraph" w:styleId="IntenseQuote">
    <w:name w:val="Intense Quote"/>
    <w:basedOn w:val="Normal"/>
    <w:next w:val="Normal"/>
    <w:link w:val="IntenseQuoteChar"/>
    <w:uiPriority w:val="30"/>
    <w:qFormat/>
    <w:rsid w:val="00067C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7C08"/>
    <w:rPr>
      <w:i/>
      <w:iCs/>
      <w:color w:val="0F4761" w:themeColor="accent1" w:themeShade="BF"/>
    </w:rPr>
  </w:style>
  <w:style w:type="character" w:styleId="IntenseReference">
    <w:name w:val="Intense Reference"/>
    <w:basedOn w:val="DefaultParagraphFont"/>
    <w:uiPriority w:val="32"/>
    <w:qFormat/>
    <w:rsid w:val="00067C08"/>
    <w:rPr>
      <w:b/>
      <w:bCs/>
      <w:smallCaps/>
      <w:color w:val="0F4761" w:themeColor="accent1" w:themeShade="BF"/>
      <w:spacing w:val="5"/>
    </w:rPr>
  </w:style>
  <w:style w:type="character" w:styleId="Hyperlink">
    <w:name w:val="Hyperlink"/>
    <w:basedOn w:val="DefaultParagraphFont"/>
    <w:uiPriority w:val="99"/>
    <w:unhideWhenUsed/>
    <w:rsid w:val="00BE4F3F"/>
    <w:rPr>
      <w:color w:val="467886" w:themeColor="hyperlink"/>
      <w:u w:val="single"/>
    </w:rPr>
  </w:style>
  <w:style w:type="character" w:styleId="UnresolvedMention">
    <w:name w:val="Unresolved Mention"/>
    <w:basedOn w:val="DefaultParagraphFont"/>
    <w:uiPriority w:val="99"/>
    <w:semiHidden/>
    <w:unhideWhenUsed/>
    <w:rsid w:val="00BE4F3F"/>
    <w:rPr>
      <w:color w:val="605E5C"/>
      <w:shd w:val="clear" w:color="auto" w:fill="E1DFDD"/>
    </w:rPr>
  </w:style>
  <w:style w:type="paragraph" w:styleId="Header">
    <w:name w:val="header"/>
    <w:basedOn w:val="Normal"/>
    <w:link w:val="HeaderChar"/>
    <w:uiPriority w:val="99"/>
    <w:unhideWhenUsed/>
    <w:rsid w:val="00705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44B"/>
  </w:style>
  <w:style w:type="paragraph" w:styleId="Footer">
    <w:name w:val="footer"/>
    <w:basedOn w:val="Normal"/>
    <w:link w:val="FooterChar"/>
    <w:uiPriority w:val="99"/>
    <w:unhideWhenUsed/>
    <w:rsid w:val="00705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44B"/>
  </w:style>
  <w:style w:type="paragraph" w:styleId="TOCHeading">
    <w:name w:val="TOC Heading"/>
    <w:basedOn w:val="Heading1"/>
    <w:next w:val="Normal"/>
    <w:uiPriority w:val="39"/>
    <w:unhideWhenUsed/>
    <w:qFormat/>
    <w:rsid w:val="0070544B"/>
    <w:pPr>
      <w:spacing w:before="240" w:after="0" w:line="259" w:lineRule="auto"/>
      <w:ind w:firstLine="0"/>
      <w:jc w:val="left"/>
      <w:outlineLvl w:val="9"/>
    </w:pPr>
    <w:rPr>
      <w:rFonts w:asciiTheme="majorHAnsi" w:hAnsiTheme="majorHAnsi" w:cstheme="majorBid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70544B"/>
    <w:pPr>
      <w:spacing w:after="100"/>
    </w:pPr>
  </w:style>
  <w:style w:type="paragraph" w:styleId="TOC2">
    <w:name w:val="toc 2"/>
    <w:basedOn w:val="Normal"/>
    <w:next w:val="Normal"/>
    <w:autoRedefine/>
    <w:uiPriority w:val="39"/>
    <w:unhideWhenUsed/>
    <w:rsid w:val="0070544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5812810">
      <w:bodyDiv w:val="1"/>
      <w:marLeft w:val="0"/>
      <w:marRight w:val="0"/>
      <w:marTop w:val="0"/>
      <w:marBottom w:val="0"/>
      <w:divBdr>
        <w:top w:val="none" w:sz="0" w:space="0" w:color="auto"/>
        <w:left w:val="none" w:sz="0" w:space="0" w:color="auto"/>
        <w:bottom w:val="none" w:sz="0" w:space="0" w:color="auto"/>
        <w:right w:val="none" w:sz="0" w:space="0" w:color="auto"/>
      </w:divBdr>
    </w:div>
    <w:div w:id="485631835">
      <w:bodyDiv w:val="1"/>
      <w:marLeft w:val="0"/>
      <w:marRight w:val="0"/>
      <w:marTop w:val="0"/>
      <w:marBottom w:val="0"/>
      <w:divBdr>
        <w:top w:val="none" w:sz="0" w:space="0" w:color="auto"/>
        <w:left w:val="none" w:sz="0" w:space="0" w:color="auto"/>
        <w:bottom w:val="none" w:sz="0" w:space="0" w:color="auto"/>
        <w:right w:val="none" w:sz="0" w:space="0" w:color="auto"/>
      </w:divBdr>
    </w:div>
    <w:div w:id="538201111">
      <w:bodyDiv w:val="1"/>
      <w:marLeft w:val="0"/>
      <w:marRight w:val="0"/>
      <w:marTop w:val="0"/>
      <w:marBottom w:val="0"/>
      <w:divBdr>
        <w:top w:val="none" w:sz="0" w:space="0" w:color="auto"/>
        <w:left w:val="none" w:sz="0" w:space="0" w:color="auto"/>
        <w:bottom w:val="none" w:sz="0" w:space="0" w:color="auto"/>
        <w:right w:val="none" w:sz="0" w:space="0" w:color="auto"/>
      </w:divBdr>
    </w:div>
    <w:div w:id="539588478">
      <w:bodyDiv w:val="1"/>
      <w:marLeft w:val="0"/>
      <w:marRight w:val="0"/>
      <w:marTop w:val="0"/>
      <w:marBottom w:val="0"/>
      <w:divBdr>
        <w:top w:val="none" w:sz="0" w:space="0" w:color="auto"/>
        <w:left w:val="none" w:sz="0" w:space="0" w:color="auto"/>
        <w:bottom w:val="none" w:sz="0" w:space="0" w:color="auto"/>
        <w:right w:val="none" w:sz="0" w:space="0" w:color="auto"/>
      </w:divBdr>
    </w:div>
    <w:div w:id="1030645892">
      <w:bodyDiv w:val="1"/>
      <w:marLeft w:val="0"/>
      <w:marRight w:val="0"/>
      <w:marTop w:val="0"/>
      <w:marBottom w:val="0"/>
      <w:divBdr>
        <w:top w:val="none" w:sz="0" w:space="0" w:color="auto"/>
        <w:left w:val="none" w:sz="0" w:space="0" w:color="auto"/>
        <w:bottom w:val="none" w:sz="0" w:space="0" w:color="auto"/>
        <w:right w:val="none" w:sz="0" w:space="0" w:color="auto"/>
      </w:divBdr>
    </w:div>
    <w:div w:id="1256982829">
      <w:bodyDiv w:val="1"/>
      <w:marLeft w:val="0"/>
      <w:marRight w:val="0"/>
      <w:marTop w:val="0"/>
      <w:marBottom w:val="0"/>
      <w:divBdr>
        <w:top w:val="none" w:sz="0" w:space="0" w:color="auto"/>
        <w:left w:val="none" w:sz="0" w:space="0" w:color="auto"/>
        <w:bottom w:val="none" w:sz="0" w:space="0" w:color="auto"/>
        <w:right w:val="none" w:sz="0" w:space="0" w:color="auto"/>
      </w:divBdr>
    </w:div>
    <w:div w:id="1733428821">
      <w:bodyDiv w:val="1"/>
      <w:marLeft w:val="0"/>
      <w:marRight w:val="0"/>
      <w:marTop w:val="0"/>
      <w:marBottom w:val="0"/>
      <w:divBdr>
        <w:top w:val="none" w:sz="0" w:space="0" w:color="auto"/>
        <w:left w:val="none" w:sz="0" w:space="0" w:color="auto"/>
        <w:bottom w:val="none" w:sz="0" w:space="0" w:color="auto"/>
        <w:right w:val="none" w:sz="0" w:space="0" w:color="auto"/>
      </w:divBdr>
    </w:div>
    <w:div w:id="1948002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world/article/2024/jul/22/hong-kong-trade-hub-repor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197C39-4EC9-4823-B214-44FB5C19E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11</Pages>
  <Words>2682</Words>
  <Characters>15290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Golden Tree Accounting and Business Consulting Ltd</dc:creator>
  <cp:keywords/>
  <dc:description/>
  <cp:lastModifiedBy>Golden Tree Accounting and Business Consulting Ltd</cp:lastModifiedBy>
  <cp:revision>5</cp:revision>
  <dcterms:created xsi:type="dcterms:W3CDTF">2024-11-19T10:42:00Z</dcterms:created>
  <dcterms:modified xsi:type="dcterms:W3CDTF">2024-11-19T21:48:00Z</dcterms:modified>
</cp:coreProperties>
</file>