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D5DE30" w14:textId="6EAF08A3" w:rsidR="00D45CC0" w:rsidRDefault="008B2D99" w:rsidP="008B2D99">
      <w:pPr>
        <w:jc w:val="center"/>
        <w:rPr>
          <w:sz w:val="28"/>
          <w:szCs w:val="28"/>
        </w:rPr>
      </w:pPr>
      <w:r>
        <w:rPr>
          <w:sz w:val="28"/>
          <w:szCs w:val="28"/>
        </w:rPr>
        <w:t>Legal Process Assignment 2</w:t>
      </w:r>
    </w:p>
    <w:p w14:paraId="4BEB387F" w14:textId="19E32D8A" w:rsidR="008B2D99" w:rsidRDefault="008B2D99" w:rsidP="008B2D99">
      <w:pPr>
        <w:jc w:val="center"/>
        <w:rPr>
          <w:sz w:val="28"/>
          <w:szCs w:val="28"/>
        </w:rPr>
      </w:pPr>
    </w:p>
    <w:p w14:paraId="3B56D2F6" w14:textId="6E3ED0CD" w:rsidR="008B2D99" w:rsidRDefault="008B2D99" w:rsidP="008B2D99">
      <w:pPr>
        <w:rPr>
          <w:sz w:val="24"/>
          <w:szCs w:val="24"/>
        </w:rPr>
      </w:pPr>
      <w:r>
        <w:rPr>
          <w:sz w:val="24"/>
          <w:szCs w:val="24"/>
        </w:rPr>
        <w:t xml:space="preserve">The following is a discussion, assessing the argument that the principle of statutory interpretation </w:t>
      </w:r>
      <w:r w:rsidR="00B75E5D">
        <w:rPr>
          <w:sz w:val="24"/>
          <w:szCs w:val="24"/>
        </w:rPr>
        <w:t xml:space="preserve">diminishes the status of legislation as the primary source of law in the English Legal System.  It will evaluate the importance of statutory interpretation as well as the pros and cons of </w:t>
      </w:r>
      <w:r w:rsidR="00562C19">
        <w:rPr>
          <w:sz w:val="24"/>
          <w:szCs w:val="24"/>
        </w:rPr>
        <w:t>its use in the English legal system</w:t>
      </w:r>
      <w:r w:rsidR="00B75E5D">
        <w:rPr>
          <w:sz w:val="24"/>
          <w:szCs w:val="24"/>
        </w:rPr>
        <w:t xml:space="preserve">. </w:t>
      </w:r>
      <w:r w:rsidR="00562C19">
        <w:rPr>
          <w:sz w:val="24"/>
          <w:szCs w:val="24"/>
        </w:rPr>
        <w:t xml:space="preserve"> </w:t>
      </w:r>
      <w:r w:rsidR="00B75E5D">
        <w:rPr>
          <w:sz w:val="24"/>
          <w:szCs w:val="24"/>
        </w:rPr>
        <w:t xml:space="preserve">In addition to this, it will be analysed whether law makers need to express their intentions via </w:t>
      </w:r>
      <w:r w:rsidR="00C1211A">
        <w:rPr>
          <w:sz w:val="24"/>
          <w:szCs w:val="24"/>
        </w:rPr>
        <w:t>statutes clearer while investigating any rules that underpin statutory interpretation.</w:t>
      </w:r>
      <w:r w:rsidR="008265E9">
        <w:rPr>
          <w:sz w:val="24"/>
          <w:szCs w:val="24"/>
        </w:rPr>
        <w:t xml:space="preserve">  </w:t>
      </w:r>
      <w:r w:rsidR="006A472D">
        <w:rPr>
          <w:sz w:val="24"/>
          <w:szCs w:val="24"/>
        </w:rPr>
        <w:t xml:space="preserve">This is because statutory interpretation involves </w:t>
      </w:r>
      <w:r w:rsidR="00063634">
        <w:rPr>
          <w:sz w:val="24"/>
          <w:szCs w:val="24"/>
        </w:rPr>
        <w:t>the clarification of laws, not the creation, as judge</w:t>
      </w:r>
      <w:r w:rsidR="00051E81">
        <w:rPr>
          <w:sz w:val="24"/>
          <w:szCs w:val="24"/>
        </w:rPr>
        <w:t xml:space="preserve">s </w:t>
      </w:r>
      <w:r w:rsidR="006E7D28">
        <w:rPr>
          <w:sz w:val="24"/>
          <w:szCs w:val="24"/>
        </w:rPr>
        <w:t>do not</w:t>
      </w:r>
      <w:r w:rsidR="00051E81">
        <w:rPr>
          <w:sz w:val="24"/>
          <w:szCs w:val="24"/>
        </w:rPr>
        <w:t xml:space="preserve"> hold the ability to rewrite the law.</w:t>
      </w:r>
    </w:p>
    <w:p w14:paraId="598973D8" w14:textId="16CE9E60" w:rsidR="00222A10" w:rsidRDefault="003E6A54" w:rsidP="008B2D99">
      <w:pPr>
        <w:rPr>
          <w:sz w:val="24"/>
          <w:szCs w:val="24"/>
        </w:rPr>
      </w:pPr>
      <w:r>
        <w:rPr>
          <w:sz w:val="24"/>
          <w:szCs w:val="24"/>
        </w:rPr>
        <w:t>Statutory interpretation involves the courts applying a particular statute to a given case, where the set of facts are similar enough to trigger the legal consequences laid out in the statute (Vogenauer 2012).</w:t>
      </w:r>
      <w:r w:rsidR="00BB435A">
        <w:rPr>
          <w:sz w:val="24"/>
          <w:szCs w:val="24"/>
        </w:rPr>
        <w:t xml:space="preserve">  </w:t>
      </w:r>
      <w:r w:rsidR="00E0290D">
        <w:rPr>
          <w:sz w:val="24"/>
          <w:szCs w:val="24"/>
        </w:rPr>
        <w:t xml:space="preserve">Exercised by judges, </w:t>
      </w:r>
      <w:r w:rsidR="006E7D28">
        <w:rPr>
          <w:sz w:val="24"/>
          <w:szCs w:val="24"/>
        </w:rPr>
        <w:t>its</w:t>
      </w:r>
      <w:r w:rsidR="00E0290D">
        <w:rPr>
          <w:sz w:val="24"/>
          <w:szCs w:val="24"/>
        </w:rPr>
        <w:t xml:space="preserve"> importance arises from its ability to provide the </w:t>
      </w:r>
      <w:r w:rsidR="005411EA">
        <w:rPr>
          <w:sz w:val="24"/>
          <w:szCs w:val="24"/>
        </w:rPr>
        <w:t xml:space="preserve">appropriate law </w:t>
      </w:r>
      <w:r w:rsidR="00B44868">
        <w:rPr>
          <w:sz w:val="24"/>
          <w:szCs w:val="24"/>
        </w:rPr>
        <w:t>in cases of uncertainty.</w:t>
      </w:r>
      <w:r>
        <w:rPr>
          <w:sz w:val="24"/>
          <w:szCs w:val="24"/>
        </w:rPr>
        <w:t xml:space="preserve">  </w:t>
      </w:r>
      <w:r w:rsidR="00544671">
        <w:rPr>
          <w:sz w:val="24"/>
          <w:szCs w:val="24"/>
        </w:rPr>
        <w:t xml:space="preserve">As for legislation, the most common creator of law </w:t>
      </w:r>
      <w:r w:rsidR="009F5472">
        <w:rPr>
          <w:sz w:val="24"/>
          <w:szCs w:val="24"/>
        </w:rPr>
        <w:t xml:space="preserve">are acts of parliament, </w:t>
      </w:r>
      <w:r w:rsidR="009D33A3">
        <w:rPr>
          <w:sz w:val="24"/>
          <w:szCs w:val="24"/>
        </w:rPr>
        <w:t xml:space="preserve">due to </w:t>
      </w:r>
      <w:r w:rsidR="00B9286E">
        <w:rPr>
          <w:sz w:val="24"/>
          <w:szCs w:val="24"/>
        </w:rPr>
        <w:t>its</w:t>
      </w:r>
      <w:r w:rsidR="009F5472">
        <w:rPr>
          <w:sz w:val="24"/>
          <w:szCs w:val="24"/>
        </w:rPr>
        <w:t xml:space="preserve"> unlimited </w:t>
      </w:r>
      <w:r w:rsidR="003305FD">
        <w:rPr>
          <w:sz w:val="24"/>
          <w:szCs w:val="24"/>
        </w:rPr>
        <w:t>law-making</w:t>
      </w:r>
      <w:r w:rsidR="009F5472">
        <w:rPr>
          <w:sz w:val="24"/>
          <w:szCs w:val="24"/>
        </w:rPr>
        <w:t xml:space="preserve"> capacity.</w:t>
      </w:r>
      <w:r w:rsidR="003305FD">
        <w:rPr>
          <w:sz w:val="24"/>
          <w:szCs w:val="24"/>
        </w:rPr>
        <w:t xml:space="preserve">  Legislation</w:t>
      </w:r>
      <w:r w:rsidR="008E0BCE">
        <w:rPr>
          <w:sz w:val="24"/>
          <w:szCs w:val="24"/>
        </w:rPr>
        <w:t xml:space="preserve"> is law that has been passed by parliament (UK</w:t>
      </w:r>
      <w:r w:rsidR="00FF165C">
        <w:rPr>
          <w:sz w:val="24"/>
          <w:szCs w:val="24"/>
        </w:rPr>
        <w:t xml:space="preserve"> Parliament, 2022).</w:t>
      </w:r>
      <w:r w:rsidR="009F5472">
        <w:rPr>
          <w:sz w:val="24"/>
          <w:szCs w:val="24"/>
        </w:rPr>
        <w:t xml:space="preserve">  </w:t>
      </w:r>
      <w:r w:rsidR="004311FA">
        <w:rPr>
          <w:sz w:val="24"/>
          <w:szCs w:val="24"/>
        </w:rPr>
        <w:t>Legislation is important</w:t>
      </w:r>
      <w:r w:rsidR="00836F99">
        <w:rPr>
          <w:sz w:val="24"/>
          <w:szCs w:val="24"/>
        </w:rPr>
        <w:t xml:space="preserve"> as it provides the fr</w:t>
      </w:r>
      <w:r w:rsidR="002B6371">
        <w:rPr>
          <w:sz w:val="24"/>
          <w:szCs w:val="24"/>
        </w:rPr>
        <w:t xml:space="preserve">amework of rules that operate in the best interest of everyone.  </w:t>
      </w:r>
      <w:r w:rsidR="009F5472">
        <w:rPr>
          <w:sz w:val="24"/>
          <w:szCs w:val="24"/>
        </w:rPr>
        <w:t xml:space="preserve">The 3 constitute elements that make up parliament include the Monarch, The House of Lords and The House of Commons.  Whereas subordinate authorities have limited capacity as they act under powers delegated to them by parliament </w:t>
      </w:r>
      <w:r w:rsidR="00C47860">
        <w:rPr>
          <w:sz w:val="24"/>
          <w:szCs w:val="24"/>
        </w:rPr>
        <w:t>(Darbyshire 2014 P21-25).</w:t>
      </w:r>
    </w:p>
    <w:p w14:paraId="6B3BE148" w14:textId="2C4FC061" w:rsidR="00C1211A" w:rsidRDefault="00CF2588" w:rsidP="008B2D99">
      <w:pPr>
        <w:rPr>
          <w:sz w:val="24"/>
          <w:szCs w:val="24"/>
        </w:rPr>
      </w:pPr>
      <w:r>
        <w:rPr>
          <w:sz w:val="24"/>
          <w:szCs w:val="24"/>
        </w:rPr>
        <w:t>There are three rules that must be considered when interpreting statutes, the</w:t>
      </w:r>
      <w:r w:rsidR="00C04B4D">
        <w:rPr>
          <w:sz w:val="24"/>
          <w:szCs w:val="24"/>
        </w:rPr>
        <w:t>se are the literal, golden and mischief rules.  The literal rule</w:t>
      </w:r>
      <w:r w:rsidR="0051402B">
        <w:rPr>
          <w:sz w:val="24"/>
          <w:szCs w:val="24"/>
        </w:rPr>
        <w:t xml:space="preserve"> means the interpreter should </w:t>
      </w:r>
      <w:r w:rsidR="00D73592">
        <w:rPr>
          <w:sz w:val="24"/>
          <w:szCs w:val="24"/>
        </w:rPr>
        <w:t xml:space="preserve">follow the literal meaning of words used in order to </w:t>
      </w:r>
      <w:r w:rsidR="00D463FE">
        <w:rPr>
          <w:sz w:val="24"/>
          <w:szCs w:val="24"/>
        </w:rPr>
        <w:t xml:space="preserve">successfully interpret the will of parliament.  </w:t>
      </w:r>
      <w:r w:rsidR="00E952BB">
        <w:rPr>
          <w:sz w:val="24"/>
          <w:szCs w:val="24"/>
        </w:rPr>
        <w:t xml:space="preserve">However, problems have </w:t>
      </w:r>
      <w:r w:rsidR="00881953">
        <w:rPr>
          <w:sz w:val="24"/>
          <w:szCs w:val="24"/>
        </w:rPr>
        <w:t>arisen</w:t>
      </w:r>
      <w:r w:rsidR="00E952BB">
        <w:rPr>
          <w:sz w:val="24"/>
          <w:szCs w:val="24"/>
        </w:rPr>
        <w:t xml:space="preserve"> from such interpreting such as the case</w:t>
      </w:r>
      <w:r w:rsidR="0009314E">
        <w:rPr>
          <w:sz w:val="24"/>
          <w:szCs w:val="24"/>
        </w:rPr>
        <w:t xml:space="preserve"> of </w:t>
      </w:r>
      <w:r w:rsidR="00C42954">
        <w:rPr>
          <w:sz w:val="24"/>
          <w:szCs w:val="24"/>
        </w:rPr>
        <w:t xml:space="preserve">London and </w:t>
      </w:r>
      <w:r w:rsidR="00881953">
        <w:rPr>
          <w:sz w:val="24"/>
          <w:szCs w:val="24"/>
        </w:rPr>
        <w:t>Northeast</w:t>
      </w:r>
      <w:r w:rsidR="00C42954">
        <w:rPr>
          <w:sz w:val="24"/>
          <w:szCs w:val="24"/>
        </w:rPr>
        <w:t xml:space="preserve"> Railway Co v Berriman</w:t>
      </w:r>
      <w:r w:rsidR="00A1393E">
        <w:rPr>
          <w:sz w:val="24"/>
          <w:szCs w:val="24"/>
        </w:rPr>
        <w:t xml:space="preserve">, where the will of parliament was not acted on.  </w:t>
      </w:r>
      <w:r w:rsidR="004A38ED">
        <w:rPr>
          <w:sz w:val="24"/>
          <w:szCs w:val="24"/>
        </w:rPr>
        <w:t xml:space="preserve">This is where the golden rule can be of use.  </w:t>
      </w:r>
      <w:r w:rsidR="006019BA">
        <w:rPr>
          <w:sz w:val="24"/>
          <w:szCs w:val="24"/>
        </w:rPr>
        <w:t>Developed by Lord Wensl</w:t>
      </w:r>
      <w:r w:rsidR="002D71A9">
        <w:rPr>
          <w:sz w:val="24"/>
          <w:szCs w:val="24"/>
        </w:rPr>
        <w:t xml:space="preserve">eydale </w:t>
      </w:r>
      <w:r w:rsidR="006019BA">
        <w:rPr>
          <w:sz w:val="24"/>
          <w:szCs w:val="24"/>
        </w:rPr>
        <w:t xml:space="preserve">in the case of </w:t>
      </w:r>
      <w:r w:rsidR="002D71A9">
        <w:rPr>
          <w:sz w:val="24"/>
          <w:szCs w:val="24"/>
        </w:rPr>
        <w:t xml:space="preserve">Grey v Pearson (1857), </w:t>
      </w:r>
      <w:r w:rsidR="001E74F1">
        <w:rPr>
          <w:sz w:val="24"/>
          <w:szCs w:val="24"/>
        </w:rPr>
        <w:t xml:space="preserve">the rule allows </w:t>
      </w:r>
      <w:r w:rsidR="002272AC">
        <w:rPr>
          <w:sz w:val="24"/>
          <w:szCs w:val="24"/>
        </w:rPr>
        <w:t xml:space="preserve">judges to substitute a reasonable meaning </w:t>
      </w:r>
      <w:r w:rsidR="005B5C95">
        <w:rPr>
          <w:sz w:val="24"/>
          <w:szCs w:val="24"/>
        </w:rPr>
        <w:t xml:space="preserve">in cases where the literal rule has provided an absurd result.  However, </w:t>
      </w:r>
      <w:r w:rsidR="00830957">
        <w:rPr>
          <w:sz w:val="24"/>
          <w:szCs w:val="24"/>
        </w:rPr>
        <w:t>in 1969 The Law Commission gathered that there is no clear understanding for an absurd result</w:t>
      </w:r>
      <w:r w:rsidR="002E6E2F">
        <w:rPr>
          <w:sz w:val="24"/>
          <w:szCs w:val="24"/>
        </w:rPr>
        <w:t xml:space="preserve"> (Dua and Allbon 2020, p69-73)</w:t>
      </w:r>
      <w:r w:rsidR="00EA2799">
        <w:rPr>
          <w:sz w:val="24"/>
          <w:szCs w:val="24"/>
        </w:rPr>
        <w:t>.  The mischief rule was developed in the 16</w:t>
      </w:r>
      <w:r w:rsidR="00EA2799" w:rsidRPr="00EA2799">
        <w:rPr>
          <w:sz w:val="24"/>
          <w:szCs w:val="24"/>
          <w:vertAlign w:val="superscript"/>
        </w:rPr>
        <w:t>th</w:t>
      </w:r>
      <w:r w:rsidR="00EA2799">
        <w:rPr>
          <w:sz w:val="24"/>
          <w:szCs w:val="24"/>
        </w:rPr>
        <w:t xml:space="preserve"> Century in the case of Heydon</w:t>
      </w:r>
      <w:r w:rsidR="008366D6">
        <w:rPr>
          <w:sz w:val="24"/>
          <w:szCs w:val="24"/>
        </w:rPr>
        <w:t xml:space="preserve">.  </w:t>
      </w:r>
      <w:r w:rsidR="0018696B">
        <w:rPr>
          <w:sz w:val="24"/>
          <w:szCs w:val="24"/>
        </w:rPr>
        <w:t xml:space="preserve">It provides </w:t>
      </w:r>
      <w:r w:rsidR="00881953">
        <w:rPr>
          <w:sz w:val="24"/>
          <w:szCs w:val="24"/>
        </w:rPr>
        <w:t>three</w:t>
      </w:r>
      <w:r w:rsidR="0018696B">
        <w:rPr>
          <w:sz w:val="24"/>
          <w:szCs w:val="24"/>
        </w:rPr>
        <w:t xml:space="preserve"> considerations </w:t>
      </w:r>
      <w:r w:rsidR="00CC1588">
        <w:rPr>
          <w:sz w:val="24"/>
          <w:szCs w:val="24"/>
        </w:rPr>
        <w:t xml:space="preserve">that must be made by judges.  </w:t>
      </w:r>
      <w:r w:rsidR="00330F44">
        <w:rPr>
          <w:sz w:val="24"/>
          <w:szCs w:val="24"/>
        </w:rPr>
        <w:t>Including, the law before the statute was passe</w:t>
      </w:r>
      <w:r w:rsidR="00662D7A">
        <w:rPr>
          <w:sz w:val="24"/>
          <w:szCs w:val="24"/>
        </w:rPr>
        <w:t>d</w:t>
      </w:r>
      <w:r w:rsidR="00330F44">
        <w:rPr>
          <w:sz w:val="24"/>
          <w:szCs w:val="24"/>
        </w:rPr>
        <w:t xml:space="preserve">, the problem the statute was trying to resolve, </w:t>
      </w:r>
      <w:r w:rsidR="00F86632">
        <w:rPr>
          <w:sz w:val="24"/>
          <w:szCs w:val="24"/>
        </w:rPr>
        <w:t>and the remedy parliament was trying to provide.</w:t>
      </w:r>
      <w:r w:rsidR="00D27A66">
        <w:rPr>
          <w:sz w:val="24"/>
          <w:szCs w:val="24"/>
        </w:rPr>
        <w:t xml:space="preserve">  It has been debated </w:t>
      </w:r>
      <w:r w:rsidR="00F86BBE">
        <w:rPr>
          <w:sz w:val="24"/>
          <w:szCs w:val="24"/>
        </w:rPr>
        <w:t xml:space="preserve">whether </w:t>
      </w:r>
      <w:r w:rsidR="00EF15D7">
        <w:rPr>
          <w:sz w:val="24"/>
          <w:szCs w:val="24"/>
        </w:rPr>
        <w:t xml:space="preserve">identifying the </w:t>
      </w:r>
      <w:r w:rsidR="00B83578">
        <w:rPr>
          <w:sz w:val="24"/>
          <w:szCs w:val="24"/>
        </w:rPr>
        <w:t>intention of parliament</w:t>
      </w:r>
      <w:r w:rsidR="002409D7">
        <w:rPr>
          <w:sz w:val="24"/>
          <w:szCs w:val="24"/>
        </w:rPr>
        <w:t xml:space="preserve">, some judges are in favour whereas others believe </w:t>
      </w:r>
      <w:r w:rsidR="0018765E">
        <w:rPr>
          <w:sz w:val="24"/>
          <w:szCs w:val="24"/>
        </w:rPr>
        <w:t xml:space="preserve">that the language used can be </w:t>
      </w:r>
      <w:r w:rsidR="005A5A7E">
        <w:rPr>
          <w:sz w:val="24"/>
          <w:szCs w:val="24"/>
        </w:rPr>
        <w:t>confusing and lead to the wrong decisions</w:t>
      </w:r>
      <w:r w:rsidR="00257142">
        <w:rPr>
          <w:sz w:val="24"/>
          <w:szCs w:val="24"/>
        </w:rPr>
        <w:t xml:space="preserve"> (</w:t>
      </w:r>
      <w:r w:rsidR="008D76A9">
        <w:rPr>
          <w:sz w:val="24"/>
          <w:szCs w:val="24"/>
        </w:rPr>
        <w:t>Dua and Allbon 2020, p</w:t>
      </w:r>
      <w:r w:rsidR="004A35DB">
        <w:rPr>
          <w:sz w:val="24"/>
          <w:szCs w:val="24"/>
        </w:rPr>
        <w:t xml:space="preserve">69-73).  The rules help </w:t>
      </w:r>
      <w:r w:rsidR="00F06E71">
        <w:rPr>
          <w:sz w:val="24"/>
          <w:szCs w:val="24"/>
        </w:rPr>
        <w:t xml:space="preserve">statutory interpretation to work incoherent to legislation in oppose to </w:t>
      </w:r>
      <w:r w:rsidR="003928F1">
        <w:rPr>
          <w:sz w:val="24"/>
          <w:szCs w:val="24"/>
        </w:rPr>
        <w:t>diminishing its status.</w:t>
      </w:r>
      <w:r w:rsidR="004A323D">
        <w:rPr>
          <w:sz w:val="24"/>
          <w:szCs w:val="24"/>
        </w:rPr>
        <w:t xml:space="preserve">  </w:t>
      </w:r>
      <w:r w:rsidR="00E15D60">
        <w:rPr>
          <w:sz w:val="24"/>
          <w:szCs w:val="24"/>
        </w:rPr>
        <w:t>Statutory interpretation is important to the English legal system as meanings of words and phrases can mutate and some language used may be vague, therefore it allows</w:t>
      </w:r>
      <w:r w:rsidR="000A1B3E">
        <w:rPr>
          <w:sz w:val="24"/>
          <w:szCs w:val="24"/>
        </w:rPr>
        <w:t xml:space="preserve"> legislation to be applied more accurately and with greater appropriation (Eskridge and Frickey 1990).</w:t>
      </w:r>
    </w:p>
    <w:p w14:paraId="07C48066" w14:textId="40CCCAE7" w:rsidR="002B2B78" w:rsidRDefault="0087236E" w:rsidP="008B2D99">
      <w:pPr>
        <w:rPr>
          <w:sz w:val="24"/>
          <w:szCs w:val="24"/>
        </w:rPr>
      </w:pPr>
      <w:r>
        <w:rPr>
          <w:sz w:val="24"/>
          <w:szCs w:val="24"/>
        </w:rPr>
        <w:t xml:space="preserve">There are many arguments that statutory interpretation does not </w:t>
      </w:r>
      <w:r w:rsidR="00C20518">
        <w:rPr>
          <w:sz w:val="24"/>
          <w:szCs w:val="24"/>
        </w:rPr>
        <w:t xml:space="preserve">diminish the status of legislation as the primary source of UK law.  For example, </w:t>
      </w:r>
      <w:r w:rsidR="00D6516B">
        <w:rPr>
          <w:sz w:val="24"/>
          <w:szCs w:val="24"/>
        </w:rPr>
        <w:t>although</w:t>
      </w:r>
      <w:r w:rsidR="00E22262">
        <w:rPr>
          <w:sz w:val="24"/>
          <w:szCs w:val="24"/>
        </w:rPr>
        <w:t xml:space="preserve"> courts that hold the </w:t>
      </w:r>
      <w:r w:rsidR="00E22262">
        <w:rPr>
          <w:sz w:val="24"/>
          <w:szCs w:val="24"/>
        </w:rPr>
        <w:lastRenderedPageBreak/>
        <w:t xml:space="preserve">necessary powers within the hierarchical structure often </w:t>
      </w:r>
      <w:r w:rsidR="001A7D15">
        <w:rPr>
          <w:sz w:val="24"/>
          <w:szCs w:val="24"/>
        </w:rPr>
        <w:t xml:space="preserve">develop law, courts interpreting statutes </w:t>
      </w:r>
      <w:r w:rsidR="00962A70">
        <w:rPr>
          <w:sz w:val="24"/>
          <w:szCs w:val="24"/>
        </w:rPr>
        <w:t xml:space="preserve">doesn’t hold the same impact, this is because </w:t>
      </w:r>
      <w:r w:rsidR="00B31D2D">
        <w:rPr>
          <w:sz w:val="24"/>
          <w:szCs w:val="24"/>
        </w:rPr>
        <w:t xml:space="preserve">while interpreting, </w:t>
      </w:r>
      <w:r w:rsidR="00553201">
        <w:rPr>
          <w:sz w:val="24"/>
          <w:szCs w:val="24"/>
        </w:rPr>
        <w:t xml:space="preserve">judges must operate in accordance </w:t>
      </w:r>
      <w:r w:rsidR="005975B8">
        <w:rPr>
          <w:sz w:val="24"/>
          <w:szCs w:val="24"/>
        </w:rPr>
        <w:t>with</w:t>
      </w:r>
      <w:r w:rsidR="00CA2534">
        <w:rPr>
          <w:sz w:val="24"/>
          <w:szCs w:val="24"/>
        </w:rPr>
        <w:t xml:space="preserve"> the texts provided by parliament through the legislative process</w:t>
      </w:r>
      <w:r w:rsidR="00C81E19">
        <w:rPr>
          <w:sz w:val="24"/>
          <w:szCs w:val="24"/>
        </w:rPr>
        <w:t xml:space="preserve"> (</w:t>
      </w:r>
      <w:r w:rsidR="00307281">
        <w:rPr>
          <w:sz w:val="24"/>
          <w:szCs w:val="24"/>
        </w:rPr>
        <w:t>Partington 2016</w:t>
      </w:r>
      <w:r w:rsidR="00052C65">
        <w:rPr>
          <w:sz w:val="24"/>
          <w:szCs w:val="24"/>
        </w:rPr>
        <w:t>,</w:t>
      </w:r>
      <w:r w:rsidR="00307281">
        <w:rPr>
          <w:sz w:val="24"/>
          <w:szCs w:val="24"/>
        </w:rPr>
        <w:t xml:space="preserve"> p55).  </w:t>
      </w:r>
      <w:r w:rsidR="00AC3F77">
        <w:rPr>
          <w:sz w:val="24"/>
          <w:szCs w:val="24"/>
        </w:rPr>
        <w:t xml:space="preserve">There is also the argument that </w:t>
      </w:r>
      <w:r w:rsidR="00552E20">
        <w:rPr>
          <w:sz w:val="24"/>
          <w:szCs w:val="24"/>
        </w:rPr>
        <w:t>judgments may become flawed following the process of statutory interpretation</w:t>
      </w:r>
      <w:r w:rsidR="00852D53">
        <w:rPr>
          <w:sz w:val="24"/>
          <w:szCs w:val="24"/>
        </w:rPr>
        <w:t xml:space="preserve">, concluding that </w:t>
      </w:r>
      <w:r w:rsidR="005D4101">
        <w:rPr>
          <w:sz w:val="24"/>
          <w:szCs w:val="24"/>
        </w:rPr>
        <w:t xml:space="preserve">definitions can be overcomplicated and </w:t>
      </w:r>
      <w:r w:rsidR="001C2B35">
        <w:rPr>
          <w:sz w:val="24"/>
          <w:szCs w:val="24"/>
        </w:rPr>
        <w:t>unnecessarily long</w:t>
      </w:r>
      <w:r w:rsidR="0054384C">
        <w:rPr>
          <w:sz w:val="24"/>
          <w:szCs w:val="24"/>
        </w:rPr>
        <w:t xml:space="preserve">, as </w:t>
      </w:r>
      <w:r w:rsidR="0042137A">
        <w:rPr>
          <w:sz w:val="24"/>
          <w:szCs w:val="24"/>
        </w:rPr>
        <w:t>the actual intentions of parliament are not de</w:t>
      </w:r>
      <w:r w:rsidR="00094054">
        <w:rPr>
          <w:sz w:val="24"/>
          <w:szCs w:val="24"/>
        </w:rPr>
        <w:t>t</w:t>
      </w:r>
      <w:r w:rsidR="0042137A">
        <w:rPr>
          <w:sz w:val="24"/>
          <w:szCs w:val="24"/>
        </w:rPr>
        <w:t>erm</w:t>
      </w:r>
      <w:r w:rsidR="00094054">
        <w:rPr>
          <w:sz w:val="24"/>
          <w:szCs w:val="24"/>
        </w:rPr>
        <w:t>in</w:t>
      </w:r>
      <w:r w:rsidR="0042137A">
        <w:rPr>
          <w:sz w:val="24"/>
          <w:szCs w:val="24"/>
        </w:rPr>
        <w:t>ative</w:t>
      </w:r>
      <w:r w:rsidR="004166F4">
        <w:rPr>
          <w:sz w:val="24"/>
          <w:szCs w:val="24"/>
        </w:rPr>
        <w:t xml:space="preserve"> (Aronson 2013)</w:t>
      </w:r>
      <w:r w:rsidR="001C2B35">
        <w:rPr>
          <w:sz w:val="24"/>
          <w:szCs w:val="24"/>
        </w:rPr>
        <w:t xml:space="preserve">.  </w:t>
      </w:r>
      <w:r w:rsidR="00D3181C">
        <w:rPr>
          <w:sz w:val="24"/>
          <w:szCs w:val="24"/>
        </w:rPr>
        <w:t xml:space="preserve">This led to the belief that </w:t>
      </w:r>
      <w:r w:rsidR="007B2C66">
        <w:rPr>
          <w:sz w:val="24"/>
          <w:szCs w:val="24"/>
        </w:rPr>
        <w:t>conventional methods of interpretation</w:t>
      </w:r>
      <w:r w:rsidR="0034395D">
        <w:rPr>
          <w:sz w:val="24"/>
          <w:szCs w:val="24"/>
        </w:rPr>
        <w:t xml:space="preserve"> are more </w:t>
      </w:r>
      <w:r w:rsidR="008339D9">
        <w:rPr>
          <w:sz w:val="24"/>
          <w:szCs w:val="24"/>
        </w:rPr>
        <w:t>dependable</w:t>
      </w:r>
      <w:r w:rsidR="0034395D">
        <w:rPr>
          <w:sz w:val="24"/>
          <w:szCs w:val="24"/>
        </w:rPr>
        <w:t>. (</w:t>
      </w:r>
      <w:r w:rsidR="00E3501A">
        <w:rPr>
          <w:sz w:val="24"/>
          <w:szCs w:val="24"/>
        </w:rPr>
        <w:t>Connoly 2018 p29).</w:t>
      </w:r>
      <w:r w:rsidR="005B790D">
        <w:rPr>
          <w:sz w:val="24"/>
          <w:szCs w:val="24"/>
        </w:rPr>
        <w:t xml:space="preserve">  If statutory interpretation </w:t>
      </w:r>
      <w:r w:rsidR="008339D9">
        <w:rPr>
          <w:sz w:val="24"/>
          <w:szCs w:val="24"/>
        </w:rPr>
        <w:t>cannot</w:t>
      </w:r>
      <w:r w:rsidR="005B790D">
        <w:rPr>
          <w:sz w:val="24"/>
          <w:szCs w:val="24"/>
        </w:rPr>
        <w:t xml:space="preserve"> always be relied on, then the likelihood of it replacing </w:t>
      </w:r>
      <w:r w:rsidR="00334E85">
        <w:rPr>
          <w:sz w:val="24"/>
          <w:szCs w:val="24"/>
        </w:rPr>
        <w:t xml:space="preserve">a reliable source of law </w:t>
      </w:r>
      <w:r w:rsidR="007815B7">
        <w:rPr>
          <w:sz w:val="24"/>
          <w:szCs w:val="24"/>
        </w:rPr>
        <w:t>is slim.</w:t>
      </w:r>
      <w:r w:rsidR="00AA5A4C">
        <w:rPr>
          <w:sz w:val="24"/>
          <w:szCs w:val="24"/>
        </w:rPr>
        <w:t xml:space="preserve">  As well as this the success of legitimate judicial decision making comes down to whether the judge can recognise the difference between interpretation and legislation</w:t>
      </w:r>
      <w:r w:rsidR="007F1E8D">
        <w:rPr>
          <w:sz w:val="24"/>
          <w:szCs w:val="24"/>
        </w:rPr>
        <w:t xml:space="preserve"> (Kavanagh 2004)</w:t>
      </w:r>
      <w:r w:rsidR="00AA5A4C">
        <w:rPr>
          <w:sz w:val="24"/>
          <w:szCs w:val="24"/>
        </w:rPr>
        <w:t xml:space="preserve">.  Therefore, judges must acknowledge the fact that they are interpreters of legislation in oppose to </w:t>
      </w:r>
      <w:r w:rsidR="006F2DE6">
        <w:rPr>
          <w:sz w:val="24"/>
          <w:szCs w:val="24"/>
        </w:rPr>
        <w:t>creators of law</w:t>
      </w:r>
      <w:r w:rsidR="005746DD">
        <w:rPr>
          <w:sz w:val="24"/>
          <w:szCs w:val="24"/>
        </w:rPr>
        <w:t>.  Furthermore, t</w:t>
      </w:r>
      <w:r w:rsidR="00C11D98">
        <w:rPr>
          <w:sz w:val="24"/>
          <w:szCs w:val="24"/>
        </w:rPr>
        <w:t xml:space="preserve">he </w:t>
      </w:r>
      <w:r w:rsidR="00F07128">
        <w:rPr>
          <w:sz w:val="24"/>
          <w:szCs w:val="24"/>
        </w:rPr>
        <w:t>removal of the exclusionary rule</w:t>
      </w:r>
      <w:r w:rsidR="005746DD">
        <w:rPr>
          <w:sz w:val="24"/>
          <w:szCs w:val="24"/>
        </w:rPr>
        <w:t xml:space="preserve"> means that the courts can</w:t>
      </w:r>
      <w:r w:rsidR="003045F0">
        <w:rPr>
          <w:sz w:val="24"/>
          <w:szCs w:val="24"/>
        </w:rPr>
        <w:t xml:space="preserve"> access parliamentary </w:t>
      </w:r>
      <w:r w:rsidR="0068433C">
        <w:rPr>
          <w:sz w:val="24"/>
          <w:szCs w:val="24"/>
        </w:rPr>
        <w:t xml:space="preserve">debates in order to </w:t>
      </w:r>
      <w:r w:rsidR="0064291F">
        <w:rPr>
          <w:sz w:val="24"/>
          <w:szCs w:val="24"/>
        </w:rPr>
        <w:t>develop an understanding of a particular piece of legislation,</w:t>
      </w:r>
      <w:r w:rsidR="009327AC">
        <w:rPr>
          <w:sz w:val="24"/>
          <w:szCs w:val="24"/>
        </w:rPr>
        <w:t xml:space="preserve"> guiding them to adhere to parliaments intent</w:t>
      </w:r>
      <w:r w:rsidR="00887EE6">
        <w:rPr>
          <w:sz w:val="24"/>
          <w:szCs w:val="24"/>
        </w:rPr>
        <w:t xml:space="preserve">, of which was formerly </w:t>
      </w:r>
      <w:r w:rsidR="006D613D">
        <w:rPr>
          <w:sz w:val="24"/>
          <w:szCs w:val="24"/>
        </w:rPr>
        <w:t>not permitted due to the rule</w:t>
      </w:r>
      <w:r w:rsidR="009327AC">
        <w:rPr>
          <w:sz w:val="24"/>
          <w:szCs w:val="24"/>
        </w:rPr>
        <w:t xml:space="preserve">.  </w:t>
      </w:r>
      <w:r w:rsidR="0077297A">
        <w:rPr>
          <w:sz w:val="24"/>
          <w:szCs w:val="24"/>
        </w:rPr>
        <w:t xml:space="preserve">The exclusionary rule was abolished by </w:t>
      </w:r>
      <w:r w:rsidR="00DB7CB6">
        <w:rPr>
          <w:sz w:val="24"/>
          <w:szCs w:val="24"/>
        </w:rPr>
        <w:t>the House of Lords following the case of Pepper v Hart in 1992</w:t>
      </w:r>
      <w:r w:rsidR="007E3BC4">
        <w:rPr>
          <w:sz w:val="24"/>
          <w:szCs w:val="24"/>
        </w:rPr>
        <w:t xml:space="preserve"> (Styles 1994).</w:t>
      </w:r>
      <w:r w:rsidR="00B50DE0">
        <w:rPr>
          <w:sz w:val="24"/>
          <w:szCs w:val="24"/>
        </w:rPr>
        <w:t xml:space="preserve"> </w:t>
      </w:r>
      <w:r w:rsidR="007F1E8D">
        <w:rPr>
          <w:sz w:val="24"/>
          <w:szCs w:val="24"/>
        </w:rPr>
        <w:t xml:space="preserve"> Finally, interpreters can only make judgements based on their expectations of the legal system</w:t>
      </w:r>
      <w:r w:rsidR="00C6661E">
        <w:rPr>
          <w:sz w:val="24"/>
          <w:szCs w:val="24"/>
        </w:rPr>
        <w:t xml:space="preserve"> while assuming that legislation is not passed in order to obtain an absurd result</w:t>
      </w:r>
      <w:r w:rsidR="00D33404">
        <w:rPr>
          <w:sz w:val="24"/>
          <w:szCs w:val="24"/>
        </w:rPr>
        <w:t xml:space="preserve"> (Feldman 2014).  This means that although judges have been invested power in a court, their decisions are heavily influenced by parliament of whom passed the interpreted legislation.  Feldman (2014) also explains the ‘legislative</w:t>
      </w:r>
      <w:r w:rsidR="0045043F">
        <w:rPr>
          <w:sz w:val="24"/>
          <w:szCs w:val="24"/>
        </w:rPr>
        <w:t xml:space="preserve"> intention’.  An approach where parliament will assume any </w:t>
      </w:r>
      <w:r w:rsidR="0054495A">
        <w:rPr>
          <w:sz w:val="24"/>
          <w:szCs w:val="24"/>
        </w:rPr>
        <w:t>well-informed</w:t>
      </w:r>
      <w:r w:rsidR="0045043F">
        <w:rPr>
          <w:sz w:val="24"/>
          <w:szCs w:val="24"/>
        </w:rPr>
        <w:t xml:space="preserve"> interpreters reading the text are able to understand their intentions.  Providing further evidence that decisions made by judges interpreting legislation are influenced by parliament and therefore could not be diminishing legislation as the primary source of law in the English </w:t>
      </w:r>
      <w:r w:rsidR="0016710F">
        <w:rPr>
          <w:sz w:val="24"/>
          <w:szCs w:val="24"/>
        </w:rPr>
        <w:t>legal system.</w:t>
      </w:r>
      <w:r w:rsidR="0030232C">
        <w:rPr>
          <w:sz w:val="24"/>
          <w:szCs w:val="24"/>
        </w:rPr>
        <w:t xml:space="preserve">  Guidance</w:t>
      </w:r>
      <w:r w:rsidR="005E141F">
        <w:rPr>
          <w:sz w:val="24"/>
          <w:szCs w:val="24"/>
        </w:rPr>
        <w:t xml:space="preserve"> for judges to interpret statutes appropriately </w:t>
      </w:r>
      <w:r w:rsidR="000832CC">
        <w:rPr>
          <w:sz w:val="24"/>
          <w:szCs w:val="24"/>
        </w:rPr>
        <w:t>portraying parliaments intent is also set out in The Interpretation Act (2005)</w:t>
      </w:r>
      <w:r w:rsidR="00C96F63">
        <w:rPr>
          <w:sz w:val="24"/>
          <w:szCs w:val="24"/>
        </w:rPr>
        <w:t xml:space="preserve"> (O’Sullivan 2010)</w:t>
      </w:r>
    </w:p>
    <w:p w14:paraId="57DFCC8A" w14:textId="3E8EF96A" w:rsidR="003869FF" w:rsidRDefault="0016710F" w:rsidP="008B2D99">
      <w:pPr>
        <w:rPr>
          <w:sz w:val="24"/>
          <w:szCs w:val="24"/>
        </w:rPr>
      </w:pPr>
      <w:r>
        <w:rPr>
          <w:sz w:val="24"/>
          <w:szCs w:val="24"/>
        </w:rPr>
        <w:t xml:space="preserve">However, many arguments can be made </w:t>
      </w:r>
      <w:r w:rsidR="00D26BE9">
        <w:rPr>
          <w:sz w:val="24"/>
          <w:szCs w:val="24"/>
        </w:rPr>
        <w:t>to support</w:t>
      </w:r>
      <w:r>
        <w:rPr>
          <w:sz w:val="24"/>
          <w:szCs w:val="24"/>
        </w:rPr>
        <w:t xml:space="preserve"> this statement.  Firstly, </w:t>
      </w:r>
      <w:r w:rsidR="00DE2CAA">
        <w:rPr>
          <w:sz w:val="24"/>
          <w:szCs w:val="24"/>
        </w:rPr>
        <w:t xml:space="preserve">when the offence of causing death by drink driving was introduced, the elements were identical to that of motor manslaughter.  It is unlikely that parliament intended for both offences to exist at the same time, with one being common law and the other statutory (Steele 2017), meaning that statutory interpretation was required </w:t>
      </w:r>
      <w:r w:rsidR="00596004">
        <w:rPr>
          <w:sz w:val="24"/>
          <w:szCs w:val="24"/>
        </w:rPr>
        <w:t>to</w:t>
      </w:r>
      <w:r w:rsidR="00DE2CAA">
        <w:rPr>
          <w:sz w:val="24"/>
          <w:szCs w:val="24"/>
        </w:rPr>
        <w:t xml:space="preserve"> solve such conflicts</w:t>
      </w:r>
      <w:r w:rsidR="001F1F5E">
        <w:rPr>
          <w:sz w:val="24"/>
          <w:szCs w:val="24"/>
        </w:rPr>
        <w:t xml:space="preserve">, and the statutory law </w:t>
      </w:r>
      <w:r w:rsidR="00B15374">
        <w:rPr>
          <w:sz w:val="24"/>
          <w:szCs w:val="24"/>
        </w:rPr>
        <w:t>can potentially replace the common law as the main law for this subject</w:t>
      </w:r>
      <w:r w:rsidR="00DE2CAA">
        <w:rPr>
          <w:sz w:val="24"/>
          <w:szCs w:val="24"/>
        </w:rPr>
        <w:t>.</w:t>
      </w:r>
      <w:r w:rsidR="00E31D9D">
        <w:rPr>
          <w:sz w:val="24"/>
          <w:szCs w:val="24"/>
        </w:rPr>
        <w:t xml:space="preserve">  </w:t>
      </w:r>
      <w:r w:rsidR="00E5345D">
        <w:rPr>
          <w:sz w:val="24"/>
          <w:szCs w:val="24"/>
        </w:rPr>
        <w:t xml:space="preserve">As well as this, </w:t>
      </w:r>
      <w:r w:rsidR="00D26BE9">
        <w:rPr>
          <w:sz w:val="24"/>
          <w:szCs w:val="24"/>
        </w:rPr>
        <w:t xml:space="preserve">it can be argued that </w:t>
      </w:r>
      <w:r w:rsidR="00FB6CD4">
        <w:rPr>
          <w:sz w:val="24"/>
          <w:szCs w:val="24"/>
        </w:rPr>
        <w:t xml:space="preserve">there is more </w:t>
      </w:r>
      <w:r w:rsidR="00BD11D3">
        <w:rPr>
          <w:sz w:val="24"/>
          <w:szCs w:val="24"/>
        </w:rPr>
        <w:t xml:space="preserve">to the interpretation of parliament legislation than </w:t>
      </w:r>
      <w:r w:rsidR="0033008B">
        <w:rPr>
          <w:sz w:val="24"/>
          <w:szCs w:val="24"/>
        </w:rPr>
        <w:t>the given text, and that</w:t>
      </w:r>
      <w:r w:rsidR="00D76F19">
        <w:rPr>
          <w:sz w:val="24"/>
          <w:szCs w:val="24"/>
        </w:rPr>
        <w:t xml:space="preserve"> </w:t>
      </w:r>
      <w:r w:rsidR="0095322D">
        <w:rPr>
          <w:sz w:val="24"/>
          <w:szCs w:val="24"/>
        </w:rPr>
        <w:t xml:space="preserve">decades old statutes are outdated meaning updated legislature provided by judges is </w:t>
      </w:r>
      <w:r w:rsidR="00CB2420">
        <w:rPr>
          <w:sz w:val="24"/>
          <w:szCs w:val="24"/>
        </w:rPr>
        <w:t>necessary (</w:t>
      </w:r>
      <w:r w:rsidR="00D21860">
        <w:rPr>
          <w:sz w:val="24"/>
          <w:szCs w:val="24"/>
        </w:rPr>
        <w:t>Barczentewicz 2017).</w:t>
      </w:r>
      <w:r w:rsidR="00D022B6">
        <w:rPr>
          <w:sz w:val="24"/>
          <w:szCs w:val="24"/>
        </w:rPr>
        <w:t xml:space="preserve">  </w:t>
      </w:r>
      <w:r w:rsidR="00C00CD5">
        <w:rPr>
          <w:sz w:val="24"/>
          <w:szCs w:val="24"/>
        </w:rPr>
        <w:t>There can also be confusion</w:t>
      </w:r>
      <w:r w:rsidR="001D38EC">
        <w:rPr>
          <w:sz w:val="24"/>
          <w:szCs w:val="24"/>
        </w:rPr>
        <w:t xml:space="preserve"> </w:t>
      </w:r>
      <w:r w:rsidR="00B9331A">
        <w:rPr>
          <w:sz w:val="24"/>
          <w:szCs w:val="24"/>
        </w:rPr>
        <w:t xml:space="preserve">while interpreting statutes leading to new meanings and laws being developed.  </w:t>
      </w:r>
      <w:r w:rsidR="00726305">
        <w:rPr>
          <w:sz w:val="24"/>
          <w:szCs w:val="24"/>
        </w:rPr>
        <w:t xml:space="preserve">Confusion is caused as </w:t>
      </w:r>
      <w:r w:rsidR="001D0970">
        <w:rPr>
          <w:sz w:val="24"/>
          <w:szCs w:val="24"/>
        </w:rPr>
        <w:t>uncommunicated intentions of</w:t>
      </w:r>
      <w:r w:rsidR="00985EBB">
        <w:rPr>
          <w:sz w:val="24"/>
          <w:szCs w:val="24"/>
        </w:rPr>
        <w:t xml:space="preserve"> parliament are used</w:t>
      </w:r>
      <w:r w:rsidR="0096600B">
        <w:rPr>
          <w:sz w:val="24"/>
          <w:szCs w:val="24"/>
        </w:rPr>
        <w:t xml:space="preserve">, whereas communication would likely have allowed the courts to fully understand the intention </w:t>
      </w:r>
      <w:r w:rsidR="00210FB8">
        <w:rPr>
          <w:sz w:val="24"/>
          <w:szCs w:val="24"/>
        </w:rPr>
        <w:t>and preventing any confusion from occurring (</w:t>
      </w:r>
      <w:r w:rsidR="00A50B0C">
        <w:rPr>
          <w:sz w:val="24"/>
          <w:szCs w:val="24"/>
        </w:rPr>
        <w:t xml:space="preserve">Robertson 2019).  </w:t>
      </w:r>
      <w:r w:rsidR="00832C65">
        <w:rPr>
          <w:sz w:val="24"/>
          <w:szCs w:val="24"/>
        </w:rPr>
        <w:t xml:space="preserve">Problems can also be caused </w:t>
      </w:r>
      <w:r w:rsidR="00E05DD1">
        <w:rPr>
          <w:sz w:val="24"/>
          <w:szCs w:val="24"/>
        </w:rPr>
        <w:t xml:space="preserve">where interpreters </w:t>
      </w:r>
      <w:r w:rsidR="006D4C86">
        <w:rPr>
          <w:sz w:val="24"/>
          <w:szCs w:val="24"/>
        </w:rPr>
        <w:t>cannot</w:t>
      </w:r>
      <w:r w:rsidR="00F6257F">
        <w:rPr>
          <w:sz w:val="24"/>
          <w:szCs w:val="24"/>
        </w:rPr>
        <w:t xml:space="preserve"> force the meaning of words and phrases</w:t>
      </w:r>
      <w:r w:rsidR="005427D5">
        <w:rPr>
          <w:sz w:val="24"/>
          <w:szCs w:val="24"/>
        </w:rPr>
        <w:t xml:space="preserve"> in a way that is against the intention of the statute</w:t>
      </w:r>
      <w:r w:rsidR="00697A5F">
        <w:rPr>
          <w:sz w:val="24"/>
          <w:szCs w:val="24"/>
        </w:rPr>
        <w:t xml:space="preserve"> (</w:t>
      </w:r>
      <w:r w:rsidR="002A02CA">
        <w:rPr>
          <w:sz w:val="24"/>
          <w:szCs w:val="24"/>
        </w:rPr>
        <w:t xml:space="preserve">Wilson 2018).  This can lead to the development of new laws </w:t>
      </w:r>
      <w:r w:rsidR="002458B3">
        <w:rPr>
          <w:sz w:val="24"/>
          <w:szCs w:val="24"/>
        </w:rPr>
        <w:t xml:space="preserve">further diminishing the status of legislation.  </w:t>
      </w:r>
      <w:r w:rsidR="00095054">
        <w:rPr>
          <w:sz w:val="24"/>
          <w:szCs w:val="24"/>
        </w:rPr>
        <w:t xml:space="preserve">As </w:t>
      </w:r>
      <w:r w:rsidR="002D7132">
        <w:rPr>
          <w:sz w:val="24"/>
          <w:szCs w:val="24"/>
        </w:rPr>
        <w:t xml:space="preserve">language used in legislation can often be </w:t>
      </w:r>
      <w:r w:rsidR="002D7132">
        <w:rPr>
          <w:sz w:val="24"/>
          <w:szCs w:val="24"/>
        </w:rPr>
        <w:lastRenderedPageBreak/>
        <w:t>that of a mutable nature</w:t>
      </w:r>
      <w:r w:rsidR="000235B0">
        <w:rPr>
          <w:sz w:val="24"/>
          <w:szCs w:val="24"/>
        </w:rPr>
        <w:t>, problems may be caused for interpreter</w:t>
      </w:r>
      <w:r w:rsidR="00070E23">
        <w:rPr>
          <w:sz w:val="24"/>
          <w:szCs w:val="24"/>
        </w:rPr>
        <w:t xml:space="preserve">s, where </w:t>
      </w:r>
      <w:r w:rsidR="00BA3107">
        <w:rPr>
          <w:sz w:val="24"/>
          <w:szCs w:val="24"/>
        </w:rPr>
        <w:t xml:space="preserve">they may struggle to </w:t>
      </w:r>
      <w:r w:rsidR="000A4169">
        <w:rPr>
          <w:sz w:val="24"/>
          <w:szCs w:val="24"/>
        </w:rPr>
        <w:t>understand the facts of the statute clearly.  Although</w:t>
      </w:r>
      <w:r w:rsidR="004B06BD">
        <w:rPr>
          <w:sz w:val="24"/>
          <w:szCs w:val="24"/>
        </w:rPr>
        <w:t xml:space="preserve"> the common law has made efforts to solve such problems by </w:t>
      </w:r>
      <w:r w:rsidR="00667443">
        <w:rPr>
          <w:sz w:val="24"/>
          <w:szCs w:val="24"/>
        </w:rPr>
        <w:t xml:space="preserve">developing maxims, </w:t>
      </w:r>
      <w:r w:rsidR="00B761AE">
        <w:rPr>
          <w:sz w:val="24"/>
          <w:szCs w:val="24"/>
        </w:rPr>
        <w:t>canons and presumption</w:t>
      </w:r>
      <w:r w:rsidR="00DB42BD">
        <w:rPr>
          <w:sz w:val="24"/>
          <w:szCs w:val="24"/>
        </w:rPr>
        <w:t>s of statutory construction</w:t>
      </w:r>
      <w:r w:rsidR="00676413">
        <w:rPr>
          <w:sz w:val="24"/>
          <w:szCs w:val="24"/>
        </w:rPr>
        <w:t>, as well as guidance</w:t>
      </w:r>
      <w:r w:rsidR="00C122F1">
        <w:rPr>
          <w:sz w:val="24"/>
          <w:szCs w:val="24"/>
        </w:rPr>
        <w:t xml:space="preserve"> for judges interpreting statutes</w:t>
      </w:r>
      <w:r w:rsidR="00676413">
        <w:rPr>
          <w:sz w:val="24"/>
          <w:szCs w:val="24"/>
        </w:rPr>
        <w:t xml:space="preserve"> laid out in </w:t>
      </w:r>
      <w:r w:rsidR="00B6594B">
        <w:rPr>
          <w:sz w:val="24"/>
          <w:szCs w:val="24"/>
        </w:rPr>
        <w:t>The Interpretation Act (2005)</w:t>
      </w:r>
      <w:r w:rsidR="00F0319A">
        <w:rPr>
          <w:sz w:val="24"/>
          <w:szCs w:val="24"/>
        </w:rPr>
        <w:t xml:space="preserve"> it is clear that</w:t>
      </w:r>
      <w:r w:rsidR="00F8587D">
        <w:rPr>
          <w:sz w:val="24"/>
          <w:szCs w:val="24"/>
        </w:rPr>
        <w:t xml:space="preserve"> judges are not entirely familiar</w:t>
      </w:r>
      <w:r w:rsidR="00141000">
        <w:rPr>
          <w:sz w:val="24"/>
          <w:szCs w:val="24"/>
        </w:rPr>
        <w:t xml:space="preserve"> with the interpretation techniques in which they should be and as a result </w:t>
      </w:r>
      <w:r w:rsidR="00F0119B">
        <w:rPr>
          <w:sz w:val="24"/>
          <w:szCs w:val="24"/>
        </w:rPr>
        <w:t xml:space="preserve">significant and unwarranted </w:t>
      </w:r>
      <w:r w:rsidR="00214551">
        <w:rPr>
          <w:sz w:val="24"/>
          <w:szCs w:val="24"/>
        </w:rPr>
        <w:t>developments in the law have occurred (</w:t>
      </w:r>
      <w:r w:rsidR="008D06B6">
        <w:rPr>
          <w:sz w:val="24"/>
          <w:szCs w:val="24"/>
        </w:rPr>
        <w:t>O’Sullivan 2010).</w:t>
      </w:r>
    </w:p>
    <w:p w14:paraId="05247E55" w14:textId="556BC8B1" w:rsidR="000A1B3E" w:rsidRDefault="00993562" w:rsidP="008B2D99">
      <w:pPr>
        <w:rPr>
          <w:sz w:val="24"/>
          <w:szCs w:val="24"/>
        </w:rPr>
      </w:pPr>
      <w:r>
        <w:rPr>
          <w:sz w:val="24"/>
          <w:szCs w:val="24"/>
        </w:rPr>
        <w:t>S</w:t>
      </w:r>
      <w:r w:rsidR="00CA322B">
        <w:rPr>
          <w:sz w:val="24"/>
          <w:szCs w:val="24"/>
        </w:rPr>
        <w:t xml:space="preserve">tatutory interpretation has both advantages and disadvantages.  Some of the advantages include that when used appropriately it can effectively portray parliaments intention, decreasing the likelihood that any newly developed law as a result of such becomes absurd, also </w:t>
      </w:r>
      <w:r w:rsidR="00CB6ACB">
        <w:rPr>
          <w:sz w:val="24"/>
          <w:szCs w:val="24"/>
        </w:rPr>
        <w:t xml:space="preserve">as absurd legislation is interpreted using the golden rule, mutated and outdated words and phrases can be cleared out making </w:t>
      </w:r>
      <w:r w:rsidR="00F13BCC">
        <w:rPr>
          <w:sz w:val="24"/>
          <w:szCs w:val="24"/>
        </w:rPr>
        <w:t xml:space="preserve">laws </w:t>
      </w:r>
      <w:r w:rsidR="00836201">
        <w:rPr>
          <w:sz w:val="24"/>
          <w:szCs w:val="24"/>
        </w:rPr>
        <w:t>clearer</w:t>
      </w:r>
      <w:r w:rsidR="00F13BCC">
        <w:rPr>
          <w:sz w:val="24"/>
          <w:szCs w:val="24"/>
        </w:rPr>
        <w:t xml:space="preserve"> to understand</w:t>
      </w:r>
      <w:r w:rsidR="00B45B7F">
        <w:rPr>
          <w:sz w:val="24"/>
          <w:szCs w:val="24"/>
        </w:rPr>
        <w:t xml:space="preserve"> (Sales 2016)</w:t>
      </w:r>
      <w:r w:rsidR="00F13BCC">
        <w:rPr>
          <w:sz w:val="24"/>
          <w:szCs w:val="24"/>
        </w:rPr>
        <w:t xml:space="preserve">.  However, as judges </w:t>
      </w:r>
      <w:r w:rsidR="00617128">
        <w:rPr>
          <w:sz w:val="24"/>
          <w:szCs w:val="24"/>
        </w:rPr>
        <w:t>are given such power,</w:t>
      </w:r>
      <w:r w:rsidR="00F13BCC">
        <w:rPr>
          <w:sz w:val="24"/>
          <w:szCs w:val="24"/>
        </w:rPr>
        <w:t xml:space="preserve"> it can be seen as an infringement of The Separation of Powers Act.</w:t>
      </w:r>
    </w:p>
    <w:p w14:paraId="17E8E50C" w14:textId="2936E325" w:rsidR="00F13BCC" w:rsidRDefault="00D52175" w:rsidP="008B2D99">
      <w:pPr>
        <w:rPr>
          <w:sz w:val="24"/>
          <w:szCs w:val="24"/>
        </w:rPr>
      </w:pPr>
      <w:r>
        <w:rPr>
          <w:sz w:val="24"/>
          <w:szCs w:val="24"/>
        </w:rPr>
        <w:t>There is also debate as to the need for law makers to express their intentions via statutes clearer</w:t>
      </w:r>
      <w:r w:rsidR="0030173B">
        <w:rPr>
          <w:sz w:val="24"/>
          <w:szCs w:val="24"/>
        </w:rPr>
        <w:t xml:space="preserve"> (</w:t>
      </w:r>
      <w:r w:rsidR="0030173B" w:rsidRPr="0030173B">
        <w:rPr>
          <w:rFonts w:cstheme="minorHAnsi"/>
          <w:color w:val="000000"/>
          <w:sz w:val="24"/>
          <w:szCs w:val="24"/>
        </w:rPr>
        <w:t>Great Britain. Parliament. House of Lords.  Select Committee on The Constitution 2017</w:t>
      </w:r>
      <w:r w:rsidR="0030173B">
        <w:rPr>
          <w:rFonts w:cstheme="minorHAnsi"/>
          <w:color w:val="000000"/>
        </w:rPr>
        <w:t xml:space="preserve">). </w:t>
      </w:r>
      <w:r w:rsidR="00121E63">
        <w:rPr>
          <w:sz w:val="24"/>
          <w:szCs w:val="24"/>
        </w:rPr>
        <w:t xml:space="preserve">  </w:t>
      </w:r>
      <w:r w:rsidR="006C354C">
        <w:rPr>
          <w:sz w:val="24"/>
          <w:szCs w:val="24"/>
        </w:rPr>
        <w:t xml:space="preserve">Although unclear legislation can </w:t>
      </w:r>
      <w:r w:rsidR="00F1681E">
        <w:rPr>
          <w:sz w:val="24"/>
          <w:szCs w:val="24"/>
        </w:rPr>
        <w:t xml:space="preserve">cause various problems for interpreters, the causes of such can often be understandable.  For example, preparing legislation can be </w:t>
      </w:r>
      <w:r w:rsidR="00DF07F8">
        <w:rPr>
          <w:sz w:val="24"/>
          <w:szCs w:val="24"/>
        </w:rPr>
        <w:t>an overly complicated</w:t>
      </w:r>
      <w:r w:rsidR="00F1681E">
        <w:rPr>
          <w:sz w:val="24"/>
          <w:szCs w:val="24"/>
        </w:rPr>
        <w:t xml:space="preserve"> process due to unforeseen circumstances in the </w:t>
      </w:r>
      <w:r w:rsidR="00C05114">
        <w:rPr>
          <w:sz w:val="24"/>
          <w:szCs w:val="24"/>
        </w:rPr>
        <w:t>creator’s</w:t>
      </w:r>
      <w:r w:rsidR="00F1681E">
        <w:rPr>
          <w:sz w:val="24"/>
          <w:szCs w:val="24"/>
        </w:rPr>
        <w:t xml:space="preserve"> environment and external pressures.  </w:t>
      </w:r>
      <w:r w:rsidR="00B12D4F">
        <w:rPr>
          <w:sz w:val="24"/>
          <w:szCs w:val="24"/>
        </w:rPr>
        <w:t xml:space="preserve">Another cause of unclear legislation is that the language used can become outdated and mutated, which can be no of the creator.  The government has aimed to improve parliamentary and public scrutiny by </w:t>
      </w:r>
      <w:r w:rsidR="00CC0298">
        <w:rPr>
          <w:sz w:val="24"/>
          <w:szCs w:val="24"/>
        </w:rPr>
        <w:t>increasing democratic engagement and looking to improve the quality of legislation (UK Government 2013).</w:t>
      </w:r>
      <w:r w:rsidR="002558F7">
        <w:rPr>
          <w:sz w:val="24"/>
          <w:szCs w:val="24"/>
        </w:rPr>
        <w:t xml:space="preserve">  </w:t>
      </w:r>
      <w:r w:rsidR="00D02B5E">
        <w:rPr>
          <w:sz w:val="24"/>
          <w:szCs w:val="24"/>
        </w:rPr>
        <w:t xml:space="preserve">Based on the information provided by </w:t>
      </w:r>
      <w:r w:rsidR="002558F7">
        <w:rPr>
          <w:sz w:val="24"/>
          <w:szCs w:val="24"/>
        </w:rPr>
        <w:t>(UK Government 2013)</w:t>
      </w:r>
      <w:r w:rsidR="00C05114">
        <w:rPr>
          <w:sz w:val="24"/>
          <w:szCs w:val="24"/>
        </w:rPr>
        <w:t xml:space="preserve"> </w:t>
      </w:r>
      <w:r w:rsidR="00CC0298">
        <w:rPr>
          <w:sz w:val="24"/>
          <w:szCs w:val="24"/>
        </w:rPr>
        <w:t>creators of law should make all efforts to make legislation as clear as possible, although</w:t>
      </w:r>
      <w:r w:rsidR="00FA7002">
        <w:rPr>
          <w:sz w:val="24"/>
          <w:szCs w:val="24"/>
        </w:rPr>
        <w:t xml:space="preserve"> understanding that </w:t>
      </w:r>
      <w:r w:rsidR="00875A0E">
        <w:rPr>
          <w:sz w:val="24"/>
          <w:szCs w:val="24"/>
        </w:rPr>
        <w:t>circumstances</w:t>
      </w:r>
      <w:r w:rsidR="00FA7002">
        <w:rPr>
          <w:sz w:val="24"/>
          <w:szCs w:val="24"/>
        </w:rPr>
        <w:t xml:space="preserve"> of which are uncontrollable are likely to impact this.</w:t>
      </w:r>
    </w:p>
    <w:p w14:paraId="0C5188F3" w14:textId="2359126E" w:rsidR="005A1F1C" w:rsidRDefault="005A1F1C" w:rsidP="008B2D99">
      <w:pPr>
        <w:rPr>
          <w:sz w:val="24"/>
          <w:szCs w:val="24"/>
        </w:rPr>
      </w:pPr>
      <w:r>
        <w:rPr>
          <w:sz w:val="24"/>
          <w:szCs w:val="24"/>
        </w:rPr>
        <w:t xml:space="preserve">To conclude, </w:t>
      </w:r>
      <w:r w:rsidR="00C32967">
        <w:rPr>
          <w:sz w:val="24"/>
          <w:szCs w:val="24"/>
        </w:rPr>
        <w:t xml:space="preserve">it is evident that </w:t>
      </w:r>
      <w:r w:rsidR="001D4329">
        <w:rPr>
          <w:sz w:val="24"/>
          <w:szCs w:val="24"/>
        </w:rPr>
        <w:t xml:space="preserve">statutory interpretation </w:t>
      </w:r>
      <w:r w:rsidR="00C22942">
        <w:rPr>
          <w:sz w:val="24"/>
          <w:szCs w:val="24"/>
        </w:rPr>
        <w:t xml:space="preserve">could </w:t>
      </w:r>
      <w:r w:rsidR="00491C0D">
        <w:rPr>
          <w:sz w:val="24"/>
          <w:szCs w:val="24"/>
        </w:rPr>
        <w:t>lead to the status of legislation being dimi</w:t>
      </w:r>
      <w:r w:rsidR="00A50472">
        <w:rPr>
          <w:sz w:val="24"/>
          <w:szCs w:val="24"/>
        </w:rPr>
        <w:t>nished in the UK</w:t>
      </w:r>
      <w:r w:rsidR="00F15D1A">
        <w:rPr>
          <w:sz w:val="24"/>
          <w:szCs w:val="24"/>
        </w:rPr>
        <w:t xml:space="preserve">, </w:t>
      </w:r>
      <w:r w:rsidR="003367D0">
        <w:rPr>
          <w:sz w:val="24"/>
          <w:szCs w:val="24"/>
        </w:rPr>
        <w:t xml:space="preserve">this is because as </w:t>
      </w:r>
      <w:r w:rsidR="00B23F78">
        <w:rPr>
          <w:sz w:val="24"/>
          <w:szCs w:val="24"/>
        </w:rPr>
        <w:t>time passes in our changing world</w:t>
      </w:r>
      <w:r w:rsidR="006A5850">
        <w:rPr>
          <w:sz w:val="24"/>
          <w:szCs w:val="24"/>
        </w:rPr>
        <w:t>, parts of current legislation are likely to become outdated</w:t>
      </w:r>
      <w:r w:rsidR="004F6F09">
        <w:rPr>
          <w:sz w:val="24"/>
          <w:szCs w:val="24"/>
        </w:rPr>
        <w:t xml:space="preserve"> as shown in the case of </w:t>
      </w:r>
      <w:r w:rsidR="009F43A5">
        <w:rPr>
          <w:sz w:val="24"/>
          <w:szCs w:val="24"/>
        </w:rPr>
        <w:t>Grey v Pear</w:t>
      </w:r>
      <w:r w:rsidR="003A4513">
        <w:rPr>
          <w:sz w:val="24"/>
          <w:szCs w:val="24"/>
        </w:rPr>
        <w:t>s</w:t>
      </w:r>
      <w:r w:rsidR="009F43A5">
        <w:rPr>
          <w:sz w:val="24"/>
          <w:szCs w:val="24"/>
        </w:rPr>
        <w:t>on</w:t>
      </w:r>
      <w:r w:rsidR="003A4513">
        <w:rPr>
          <w:sz w:val="24"/>
          <w:szCs w:val="24"/>
        </w:rPr>
        <w:t xml:space="preserve"> (1857).</w:t>
      </w:r>
      <w:r w:rsidR="009F43A5">
        <w:rPr>
          <w:sz w:val="24"/>
          <w:szCs w:val="24"/>
        </w:rPr>
        <w:t xml:space="preserve"> </w:t>
      </w:r>
      <w:r w:rsidR="003A4513">
        <w:rPr>
          <w:sz w:val="24"/>
          <w:szCs w:val="24"/>
        </w:rPr>
        <w:t xml:space="preserve"> </w:t>
      </w:r>
      <w:r w:rsidR="002018E7">
        <w:rPr>
          <w:sz w:val="24"/>
          <w:szCs w:val="24"/>
        </w:rPr>
        <w:t xml:space="preserve">Not only </w:t>
      </w:r>
      <w:r w:rsidR="004A0CD0">
        <w:rPr>
          <w:sz w:val="24"/>
          <w:szCs w:val="24"/>
        </w:rPr>
        <w:t xml:space="preserve">can </w:t>
      </w:r>
      <w:r w:rsidR="00ED3BF9">
        <w:rPr>
          <w:sz w:val="24"/>
          <w:szCs w:val="24"/>
        </w:rPr>
        <w:t xml:space="preserve">words and phrases </w:t>
      </w:r>
      <w:r w:rsidR="007830EC">
        <w:rPr>
          <w:sz w:val="24"/>
          <w:szCs w:val="24"/>
        </w:rPr>
        <w:t>become outdated and therefore be considered absurd to future generations, but legislation as a whole</w:t>
      </w:r>
      <w:r w:rsidR="006A4583">
        <w:rPr>
          <w:sz w:val="24"/>
          <w:szCs w:val="24"/>
        </w:rPr>
        <w:t xml:space="preserve">.  </w:t>
      </w:r>
      <w:r w:rsidR="00162053">
        <w:rPr>
          <w:sz w:val="24"/>
          <w:szCs w:val="24"/>
        </w:rPr>
        <w:t xml:space="preserve">Where </w:t>
      </w:r>
      <w:r w:rsidR="006B4A1C">
        <w:rPr>
          <w:sz w:val="24"/>
          <w:szCs w:val="24"/>
        </w:rPr>
        <w:t xml:space="preserve">changes to </w:t>
      </w:r>
      <w:r w:rsidR="0091073E">
        <w:rPr>
          <w:sz w:val="24"/>
          <w:szCs w:val="24"/>
        </w:rPr>
        <w:t xml:space="preserve">society and the way we live will impact the legislation.  </w:t>
      </w:r>
      <w:r w:rsidR="002506B8">
        <w:rPr>
          <w:sz w:val="24"/>
          <w:szCs w:val="24"/>
        </w:rPr>
        <w:t xml:space="preserve">However, currently </w:t>
      </w:r>
      <w:r w:rsidR="00253352">
        <w:rPr>
          <w:sz w:val="24"/>
          <w:szCs w:val="24"/>
        </w:rPr>
        <w:t xml:space="preserve">this is not the case.  </w:t>
      </w:r>
      <w:r w:rsidR="00A86E69">
        <w:rPr>
          <w:sz w:val="24"/>
          <w:szCs w:val="24"/>
        </w:rPr>
        <w:t xml:space="preserve">Current legislation is widely accurate and </w:t>
      </w:r>
      <w:r w:rsidR="003B60EE">
        <w:rPr>
          <w:sz w:val="24"/>
          <w:szCs w:val="24"/>
        </w:rPr>
        <w:t>finding the intent of</w:t>
      </w:r>
      <w:r w:rsidR="003C28CB">
        <w:rPr>
          <w:sz w:val="24"/>
          <w:szCs w:val="24"/>
        </w:rPr>
        <w:t xml:space="preserve"> parliament is priority when interpreting statutes</w:t>
      </w:r>
      <w:r w:rsidR="003B60EE">
        <w:rPr>
          <w:sz w:val="24"/>
          <w:szCs w:val="24"/>
        </w:rPr>
        <w:t xml:space="preserve">.  </w:t>
      </w:r>
      <w:r w:rsidR="00F8795C">
        <w:rPr>
          <w:sz w:val="24"/>
          <w:szCs w:val="24"/>
        </w:rPr>
        <w:t xml:space="preserve">As well as this, an argument </w:t>
      </w:r>
      <w:r w:rsidR="00035AEF">
        <w:rPr>
          <w:sz w:val="24"/>
          <w:szCs w:val="24"/>
        </w:rPr>
        <w:t>for the statement is that</w:t>
      </w:r>
      <w:r w:rsidR="001E6627">
        <w:rPr>
          <w:sz w:val="24"/>
          <w:szCs w:val="24"/>
        </w:rPr>
        <w:t xml:space="preserve"> judges are not entirely </w:t>
      </w:r>
      <w:r w:rsidR="00CB1550">
        <w:rPr>
          <w:sz w:val="24"/>
          <w:szCs w:val="24"/>
        </w:rPr>
        <w:t xml:space="preserve">familiar with the required interpretation techniques.  This can be solved with </w:t>
      </w:r>
      <w:r w:rsidR="00D77CB6">
        <w:rPr>
          <w:sz w:val="24"/>
          <w:szCs w:val="24"/>
        </w:rPr>
        <w:t xml:space="preserve">further training </w:t>
      </w:r>
      <w:r w:rsidR="00592067">
        <w:rPr>
          <w:sz w:val="24"/>
          <w:szCs w:val="24"/>
        </w:rPr>
        <w:t>to</w:t>
      </w:r>
      <w:r w:rsidR="00D77CB6">
        <w:rPr>
          <w:sz w:val="24"/>
          <w:szCs w:val="24"/>
        </w:rPr>
        <w:t xml:space="preserve"> improve their skills in the are</w:t>
      </w:r>
      <w:r w:rsidR="009B5DEE">
        <w:rPr>
          <w:sz w:val="24"/>
          <w:szCs w:val="24"/>
        </w:rPr>
        <w:t>a</w:t>
      </w:r>
      <w:r w:rsidR="00D77CB6">
        <w:rPr>
          <w:sz w:val="24"/>
          <w:szCs w:val="24"/>
        </w:rPr>
        <w:t xml:space="preserve"> so that they can interpret statutes </w:t>
      </w:r>
      <w:r w:rsidR="002F045D">
        <w:rPr>
          <w:sz w:val="24"/>
          <w:szCs w:val="24"/>
        </w:rPr>
        <w:t xml:space="preserve">effectively to meet the intent of parliament.  </w:t>
      </w:r>
    </w:p>
    <w:p w14:paraId="602451F1" w14:textId="77777777" w:rsidR="003869FF" w:rsidRDefault="003869FF" w:rsidP="008B2D99">
      <w:pPr>
        <w:rPr>
          <w:sz w:val="24"/>
          <w:szCs w:val="24"/>
        </w:rPr>
      </w:pPr>
    </w:p>
    <w:p w14:paraId="1398BB1E" w14:textId="77777777" w:rsidR="00F930FB" w:rsidRDefault="00D91C5F" w:rsidP="00F930FB">
      <w:pPr>
        <w:rPr>
          <w:sz w:val="24"/>
          <w:szCs w:val="24"/>
        </w:rPr>
      </w:pPr>
      <w:r>
        <w:rPr>
          <w:sz w:val="24"/>
          <w:szCs w:val="24"/>
        </w:rPr>
        <w:t>Reference list:</w:t>
      </w:r>
    </w:p>
    <w:p w14:paraId="158D2C51" w14:textId="5C285D86" w:rsidR="00F930FB" w:rsidRPr="00F930FB" w:rsidRDefault="00F930FB" w:rsidP="00F930FB">
      <w:pPr>
        <w:rPr>
          <w:sz w:val="24"/>
          <w:szCs w:val="24"/>
        </w:rPr>
      </w:pPr>
      <w:r w:rsidRPr="003A4513">
        <w:rPr>
          <w:rFonts w:cstheme="minorHAnsi"/>
          <w:color w:val="222222"/>
          <w:sz w:val="24"/>
          <w:szCs w:val="24"/>
          <w:shd w:val="clear" w:color="auto" w:fill="FFFFFF"/>
        </w:rPr>
        <w:t>[1857] EngR 335, (1857) 6 HLC 61, (1857) 10 ER 216, [1857] 6 HL Cas 61</w:t>
      </w:r>
    </w:p>
    <w:p w14:paraId="63E9CA82" w14:textId="77777777" w:rsidR="00F930FB" w:rsidRDefault="00F930FB" w:rsidP="00294E51">
      <w:pPr>
        <w:spacing w:before="100" w:beforeAutospacing="1" w:after="100" w:afterAutospacing="1" w:line="240" w:lineRule="auto"/>
        <w:rPr>
          <w:rFonts w:cstheme="minorHAnsi"/>
          <w:color w:val="222222"/>
          <w:sz w:val="24"/>
          <w:szCs w:val="24"/>
          <w:shd w:val="clear" w:color="auto" w:fill="FFFFFF"/>
        </w:rPr>
      </w:pPr>
      <w:r w:rsidRPr="00D752F7">
        <w:rPr>
          <w:rFonts w:cstheme="minorHAnsi"/>
          <w:color w:val="222222"/>
          <w:sz w:val="24"/>
          <w:szCs w:val="24"/>
          <w:shd w:val="clear" w:color="auto" w:fill="FFFFFF"/>
        </w:rPr>
        <w:lastRenderedPageBreak/>
        <w:t>[1946] AC 278, [1946] 1 All ER 255, 115 LJKB 124</w:t>
      </w:r>
    </w:p>
    <w:p w14:paraId="1B0AC814" w14:textId="77777777" w:rsidR="00F930FB" w:rsidRDefault="00F930FB" w:rsidP="00294E51">
      <w:pPr>
        <w:spacing w:after="0" w:line="360" w:lineRule="atLeast"/>
        <w:rPr>
          <w:rFonts w:eastAsia="Times New Roman" w:cstheme="minorHAnsi"/>
          <w:color w:val="000000"/>
          <w:sz w:val="24"/>
          <w:szCs w:val="24"/>
          <w:lang w:eastAsia="en-GB"/>
        </w:rPr>
      </w:pPr>
      <w:r w:rsidRPr="00294E51">
        <w:rPr>
          <w:rFonts w:eastAsia="Times New Roman" w:cstheme="minorHAnsi"/>
          <w:color w:val="000000"/>
          <w:sz w:val="24"/>
          <w:szCs w:val="24"/>
          <w:lang w:eastAsia="en-GB"/>
        </w:rPr>
        <w:t>Allbon, E. and Sanmeet Kaur Dua (2020). </w:t>
      </w:r>
      <w:r w:rsidRPr="00294E51">
        <w:rPr>
          <w:rFonts w:eastAsia="Times New Roman" w:cstheme="minorHAnsi"/>
          <w:i/>
          <w:iCs/>
          <w:color w:val="000000"/>
          <w:sz w:val="24"/>
          <w:szCs w:val="24"/>
          <w:lang w:eastAsia="en-GB"/>
        </w:rPr>
        <w:t>Elliott and Quinnʹs English legal system</w:t>
      </w:r>
      <w:r w:rsidRPr="00AD64D2">
        <w:rPr>
          <w:rFonts w:eastAsia="Times New Roman" w:cstheme="minorHAnsi"/>
          <w:i/>
          <w:iCs/>
          <w:color w:val="000000"/>
          <w:sz w:val="24"/>
          <w:szCs w:val="24"/>
          <w:lang w:eastAsia="en-GB"/>
        </w:rPr>
        <w:t xml:space="preserve"> (21</w:t>
      </w:r>
      <w:r w:rsidRPr="00AD64D2">
        <w:rPr>
          <w:rFonts w:eastAsia="Times New Roman" w:cstheme="minorHAnsi"/>
          <w:i/>
          <w:iCs/>
          <w:color w:val="000000"/>
          <w:sz w:val="24"/>
          <w:szCs w:val="24"/>
          <w:vertAlign w:val="superscript"/>
          <w:lang w:eastAsia="en-GB"/>
        </w:rPr>
        <w:t>st</w:t>
      </w:r>
      <w:r w:rsidRPr="00AD64D2">
        <w:rPr>
          <w:rFonts w:eastAsia="Times New Roman" w:cstheme="minorHAnsi"/>
          <w:i/>
          <w:iCs/>
          <w:color w:val="000000"/>
          <w:sz w:val="24"/>
          <w:szCs w:val="24"/>
          <w:lang w:eastAsia="en-GB"/>
        </w:rPr>
        <w:t xml:space="preserve"> ed)</w:t>
      </w:r>
      <w:r w:rsidRPr="00294E51">
        <w:rPr>
          <w:rFonts w:eastAsia="Times New Roman" w:cstheme="minorHAnsi"/>
          <w:color w:val="000000"/>
          <w:sz w:val="24"/>
          <w:szCs w:val="24"/>
          <w:lang w:eastAsia="en-GB"/>
        </w:rPr>
        <w:t>. New York: Pearson Education Limited.</w:t>
      </w:r>
    </w:p>
    <w:p w14:paraId="07AA5B7F" w14:textId="77777777" w:rsidR="00F930FB" w:rsidRDefault="00F930FB" w:rsidP="00294E51">
      <w:pPr>
        <w:spacing w:before="100" w:beforeAutospacing="1" w:after="100" w:afterAutospacing="1" w:line="240" w:lineRule="auto"/>
        <w:rPr>
          <w:color w:val="3D3E40"/>
          <w:sz w:val="24"/>
          <w:szCs w:val="24"/>
          <w:shd w:val="clear" w:color="auto" w:fill="FFFFFF"/>
        </w:rPr>
      </w:pPr>
      <w:r w:rsidRPr="00C33F45">
        <w:rPr>
          <w:rFonts w:cstheme="minorHAnsi"/>
          <w:color w:val="222222"/>
          <w:sz w:val="24"/>
          <w:szCs w:val="24"/>
          <w:shd w:val="clear" w:color="auto" w:fill="FFFFFF"/>
        </w:rPr>
        <w:t xml:space="preserve">Aronson, M. (2013) </w:t>
      </w:r>
      <w:r w:rsidRPr="00C33F45">
        <w:rPr>
          <w:color w:val="3D3E40"/>
          <w:sz w:val="24"/>
          <w:szCs w:val="24"/>
          <w:shd w:val="clear" w:color="auto" w:fill="FFFFFF"/>
        </w:rPr>
        <w:t xml:space="preserve">‘Statutory Interpretation or Judicial Disobedience?’  </w:t>
      </w:r>
      <w:r w:rsidRPr="00C33F45">
        <w:rPr>
          <w:i/>
          <w:iCs/>
          <w:color w:val="3D3E40"/>
          <w:sz w:val="24"/>
          <w:szCs w:val="24"/>
          <w:shd w:val="clear" w:color="auto" w:fill="FFFFFF"/>
        </w:rPr>
        <w:t>UK Const. L.</w:t>
      </w:r>
      <w:r w:rsidRPr="00C33F45">
        <w:rPr>
          <w:color w:val="3D3E40"/>
          <w:sz w:val="24"/>
          <w:szCs w:val="24"/>
          <w:shd w:val="clear" w:color="auto" w:fill="FFFFFF"/>
        </w:rPr>
        <w:t xml:space="preserve"> Blog</w:t>
      </w:r>
      <w:r w:rsidRPr="00C33F45">
        <w:rPr>
          <w:color w:val="3D3E40"/>
          <w:sz w:val="24"/>
          <w:szCs w:val="24"/>
          <w:shd w:val="clear" w:color="auto" w:fill="FFFFFF"/>
        </w:rPr>
        <w:t xml:space="preserve"> (Online) </w:t>
      </w:r>
      <w:r w:rsidRPr="00C33F45">
        <w:rPr>
          <w:color w:val="3D3E40"/>
          <w:sz w:val="24"/>
          <w:szCs w:val="24"/>
          <w:shd w:val="clear" w:color="auto" w:fill="FFFFFF"/>
        </w:rPr>
        <w:t>available at</w:t>
      </w:r>
      <w:r w:rsidRPr="00C33F45">
        <w:rPr>
          <w:color w:val="3D3E40"/>
          <w:sz w:val="24"/>
          <w:szCs w:val="24"/>
          <w:shd w:val="clear" w:color="auto" w:fill="FFFFFF"/>
        </w:rPr>
        <w:t>:</w:t>
      </w:r>
      <w:r w:rsidRPr="00C33F45">
        <w:rPr>
          <w:color w:val="3D3E40"/>
          <w:sz w:val="24"/>
          <w:szCs w:val="24"/>
          <w:shd w:val="clear" w:color="auto" w:fill="FFFFFF"/>
        </w:rPr>
        <w:t> </w:t>
      </w:r>
      <w:hyperlink r:id="rId4" w:history="1">
        <w:r w:rsidRPr="00C33F45">
          <w:rPr>
            <w:rStyle w:val="Hyperlink"/>
            <w:sz w:val="24"/>
            <w:szCs w:val="24"/>
          </w:rPr>
          <w:t>http://ukconstitutionallaw.org</w:t>
        </w:r>
      </w:hyperlink>
      <w:r w:rsidRPr="00C33F45">
        <w:rPr>
          <w:color w:val="3D3E40"/>
          <w:sz w:val="24"/>
          <w:szCs w:val="24"/>
          <w:shd w:val="clear" w:color="auto" w:fill="FFFFFF"/>
        </w:rPr>
        <w:t xml:space="preserve"> (Accessed 29</w:t>
      </w:r>
      <w:r w:rsidRPr="00C33F45">
        <w:rPr>
          <w:color w:val="3D3E40"/>
          <w:sz w:val="24"/>
          <w:szCs w:val="24"/>
          <w:shd w:val="clear" w:color="auto" w:fill="FFFFFF"/>
          <w:vertAlign w:val="superscript"/>
        </w:rPr>
        <w:t>th</w:t>
      </w:r>
      <w:r w:rsidRPr="00C33F45">
        <w:rPr>
          <w:color w:val="3D3E40"/>
          <w:sz w:val="24"/>
          <w:szCs w:val="24"/>
          <w:shd w:val="clear" w:color="auto" w:fill="FFFFFF"/>
        </w:rPr>
        <w:t xml:space="preserve"> April 20220.</w:t>
      </w:r>
    </w:p>
    <w:p w14:paraId="2D84BB67" w14:textId="77777777" w:rsidR="00F930FB" w:rsidRDefault="00F930FB" w:rsidP="008C0D45">
      <w:pPr>
        <w:spacing w:after="0" w:line="360" w:lineRule="atLeast"/>
        <w:rPr>
          <w:rFonts w:eastAsia="Times New Roman" w:cstheme="minorHAnsi"/>
          <w:color w:val="000000"/>
          <w:sz w:val="24"/>
          <w:szCs w:val="24"/>
          <w:lang w:eastAsia="en-GB"/>
        </w:rPr>
      </w:pPr>
      <w:r w:rsidRPr="00346783">
        <w:rPr>
          <w:rFonts w:eastAsia="Times New Roman" w:cstheme="minorHAnsi"/>
          <w:color w:val="000000"/>
          <w:sz w:val="24"/>
          <w:szCs w:val="24"/>
          <w:lang w:eastAsia="en-GB"/>
        </w:rPr>
        <w:t>Barczentewicz, M. (2017). </w:t>
      </w:r>
      <w:r w:rsidRPr="00346783">
        <w:rPr>
          <w:rFonts w:eastAsia="Times New Roman" w:cstheme="minorHAnsi"/>
          <w:i/>
          <w:iCs/>
          <w:color w:val="000000"/>
          <w:sz w:val="24"/>
          <w:szCs w:val="24"/>
          <w:lang w:eastAsia="en-GB"/>
        </w:rPr>
        <w:t>Miller, Statutory Interpretation, and the True Place of EU Law in UK Law</w:t>
      </w:r>
      <w:r w:rsidRPr="00346783">
        <w:rPr>
          <w:rFonts w:eastAsia="Times New Roman" w:cstheme="minorHAnsi"/>
          <w:color w:val="000000"/>
          <w:sz w:val="24"/>
          <w:szCs w:val="24"/>
          <w:lang w:eastAsia="en-GB"/>
        </w:rPr>
        <w:t xml:space="preserve">. [online] papers.ssrn.com. Available at: </w:t>
      </w:r>
      <w:hyperlink r:id="rId5" w:history="1">
        <w:r w:rsidRPr="00346783">
          <w:rPr>
            <w:rStyle w:val="Hyperlink"/>
            <w:rFonts w:eastAsia="Times New Roman" w:cstheme="minorHAnsi"/>
            <w:sz w:val="24"/>
            <w:szCs w:val="24"/>
            <w:lang w:eastAsia="en-GB"/>
          </w:rPr>
          <w:t>https://papers.ssrn.com/sol3/papers.cfm?abstract_id=2929738</w:t>
        </w:r>
      </w:hyperlink>
      <w:r w:rsidRPr="00AD64D2">
        <w:rPr>
          <w:rFonts w:eastAsia="Times New Roman" w:cstheme="minorHAnsi"/>
          <w:color w:val="000000"/>
          <w:sz w:val="24"/>
          <w:szCs w:val="24"/>
          <w:lang w:eastAsia="en-GB"/>
        </w:rPr>
        <w:t xml:space="preserve"> </w:t>
      </w:r>
      <w:r w:rsidRPr="00346783">
        <w:rPr>
          <w:rFonts w:eastAsia="Times New Roman" w:cstheme="minorHAnsi"/>
          <w:color w:val="000000"/>
          <w:sz w:val="24"/>
          <w:szCs w:val="24"/>
          <w:lang w:eastAsia="en-GB"/>
        </w:rPr>
        <w:t xml:space="preserve"> </w:t>
      </w:r>
      <w:r w:rsidRPr="00AD64D2">
        <w:rPr>
          <w:rFonts w:eastAsia="Times New Roman" w:cstheme="minorHAnsi"/>
          <w:color w:val="000000"/>
          <w:sz w:val="24"/>
          <w:szCs w:val="24"/>
          <w:lang w:eastAsia="en-GB"/>
        </w:rPr>
        <w:t>(</w:t>
      </w:r>
      <w:r w:rsidRPr="00346783">
        <w:rPr>
          <w:rFonts w:eastAsia="Times New Roman" w:cstheme="minorHAnsi"/>
          <w:color w:val="000000"/>
          <w:sz w:val="24"/>
          <w:szCs w:val="24"/>
          <w:lang w:eastAsia="en-GB"/>
        </w:rPr>
        <w:t xml:space="preserve">Accessed </w:t>
      </w:r>
      <w:r w:rsidRPr="00AD64D2">
        <w:rPr>
          <w:rFonts w:eastAsia="Times New Roman" w:cstheme="minorHAnsi"/>
          <w:color w:val="000000"/>
          <w:sz w:val="24"/>
          <w:szCs w:val="24"/>
          <w:lang w:eastAsia="en-GB"/>
        </w:rPr>
        <w:t>17th</w:t>
      </w:r>
      <w:r w:rsidRPr="00346783">
        <w:rPr>
          <w:rFonts w:eastAsia="Times New Roman" w:cstheme="minorHAnsi"/>
          <w:color w:val="000000"/>
          <w:sz w:val="24"/>
          <w:szCs w:val="24"/>
          <w:lang w:eastAsia="en-GB"/>
        </w:rPr>
        <w:t xml:space="preserve"> Apr. 2022</w:t>
      </w:r>
      <w:r w:rsidRPr="00AD64D2">
        <w:rPr>
          <w:rFonts w:eastAsia="Times New Roman" w:cstheme="minorHAnsi"/>
          <w:color w:val="000000"/>
          <w:sz w:val="24"/>
          <w:szCs w:val="24"/>
          <w:lang w:eastAsia="en-GB"/>
        </w:rPr>
        <w:t>)</w:t>
      </w:r>
      <w:r w:rsidRPr="00346783">
        <w:rPr>
          <w:rFonts w:eastAsia="Times New Roman" w:cstheme="minorHAnsi"/>
          <w:color w:val="000000"/>
          <w:sz w:val="24"/>
          <w:szCs w:val="24"/>
          <w:lang w:eastAsia="en-GB"/>
        </w:rPr>
        <w:t>.</w:t>
      </w:r>
    </w:p>
    <w:p w14:paraId="2AA8B00E" w14:textId="77777777" w:rsidR="00F930FB" w:rsidRDefault="00F930FB" w:rsidP="008C0D45">
      <w:pPr>
        <w:spacing w:after="0" w:line="360" w:lineRule="atLeast"/>
        <w:rPr>
          <w:rFonts w:eastAsia="Times New Roman" w:cstheme="minorHAnsi"/>
          <w:color w:val="000000"/>
          <w:sz w:val="24"/>
          <w:szCs w:val="24"/>
          <w:lang w:eastAsia="en-GB"/>
        </w:rPr>
      </w:pPr>
    </w:p>
    <w:p w14:paraId="581634F6" w14:textId="77777777" w:rsidR="00F930FB" w:rsidRDefault="00F930FB" w:rsidP="008C0D45">
      <w:pPr>
        <w:spacing w:after="0" w:line="360" w:lineRule="atLeast"/>
        <w:rPr>
          <w:rFonts w:cstheme="minorHAnsi"/>
          <w:color w:val="000000"/>
          <w:sz w:val="24"/>
          <w:szCs w:val="24"/>
        </w:rPr>
      </w:pPr>
      <w:r w:rsidRPr="0018676E">
        <w:rPr>
          <w:rFonts w:eastAsia="Times New Roman" w:cstheme="minorHAnsi"/>
          <w:color w:val="000000"/>
          <w:sz w:val="24"/>
          <w:szCs w:val="24"/>
          <w:lang w:eastAsia="en-GB"/>
        </w:rPr>
        <w:t>‌</w:t>
      </w:r>
      <w:r w:rsidRPr="00AD64D2">
        <w:rPr>
          <w:rFonts w:cstheme="minorHAnsi"/>
          <w:color w:val="000000"/>
          <w:sz w:val="24"/>
          <w:szCs w:val="24"/>
        </w:rPr>
        <w:t>Connolly, M (2018). </w:t>
      </w:r>
      <w:r w:rsidRPr="00AD64D2">
        <w:rPr>
          <w:rFonts w:cstheme="minorHAnsi"/>
          <w:i/>
          <w:iCs/>
          <w:color w:val="000000"/>
          <w:sz w:val="24"/>
          <w:szCs w:val="24"/>
        </w:rPr>
        <w:t>The English Judiciary, Discrimination Law and Statutory Interpretation</w:t>
      </w:r>
      <w:r w:rsidRPr="00AD64D2">
        <w:rPr>
          <w:rFonts w:cstheme="minorHAnsi"/>
          <w:color w:val="000000"/>
          <w:sz w:val="24"/>
          <w:szCs w:val="24"/>
        </w:rPr>
        <w:t>.  London: Routledge.</w:t>
      </w:r>
    </w:p>
    <w:p w14:paraId="7B2106FD" w14:textId="77777777" w:rsidR="00F930FB" w:rsidRPr="00AD64D2" w:rsidRDefault="00F930FB" w:rsidP="008C0D45">
      <w:pPr>
        <w:spacing w:after="0" w:line="360" w:lineRule="atLeast"/>
        <w:rPr>
          <w:rFonts w:cstheme="minorHAnsi"/>
          <w:color w:val="000000"/>
          <w:sz w:val="24"/>
          <w:szCs w:val="24"/>
        </w:rPr>
      </w:pPr>
    </w:p>
    <w:p w14:paraId="66FA9356" w14:textId="77777777" w:rsidR="00F930FB" w:rsidRPr="00AD64D2" w:rsidRDefault="00F930FB" w:rsidP="00E56E2F">
      <w:pPr>
        <w:pStyle w:val="NormalWeb"/>
        <w:spacing w:before="0" w:beforeAutospacing="0" w:after="0" w:afterAutospacing="0" w:line="360" w:lineRule="atLeast"/>
        <w:rPr>
          <w:rFonts w:asciiTheme="minorHAnsi" w:hAnsiTheme="minorHAnsi" w:cstheme="minorHAnsi"/>
          <w:color w:val="000000"/>
        </w:rPr>
      </w:pPr>
      <w:r w:rsidRPr="00AD64D2">
        <w:rPr>
          <w:rFonts w:asciiTheme="minorHAnsi" w:hAnsiTheme="minorHAnsi" w:cstheme="minorHAnsi"/>
          <w:color w:val="000000"/>
        </w:rPr>
        <w:t>‌Darbyshire, P. (2014). </w:t>
      </w:r>
      <w:r w:rsidRPr="00AD64D2">
        <w:rPr>
          <w:rFonts w:asciiTheme="minorHAnsi" w:hAnsiTheme="minorHAnsi" w:cstheme="minorHAnsi"/>
          <w:i/>
          <w:iCs/>
          <w:color w:val="000000"/>
        </w:rPr>
        <w:t>Darbyshire on the English legal system</w:t>
      </w:r>
      <w:r w:rsidRPr="00AD64D2">
        <w:rPr>
          <w:rFonts w:asciiTheme="minorHAnsi" w:hAnsiTheme="minorHAnsi" w:cstheme="minorHAnsi"/>
          <w:color w:val="000000"/>
        </w:rPr>
        <w:t>. London: Sweet &amp; Maxwell.</w:t>
      </w:r>
    </w:p>
    <w:p w14:paraId="35F33F82" w14:textId="77777777" w:rsidR="00F930FB" w:rsidRPr="00AD64D2" w:rsidRDefault="00F930FB" w:rsidP="008B2D99">
      <w:pPr>
        <w:rPr>
          <w:rFonts w:cstheme="minorHAnsi"/>
          <w:color w:val="222222"/>
          <w:sz w:val="24"/>
          <w:szCs w:val="24"/>
          <w:shd w:val="clear" w:color="auto" w:fill="FFFFFF"/>
        </w:rPr>
      </w:pPr>
      <w:r w:rsidRPr="00AD64D2">
        <w:rPr>
          <w:rFonts w:cstheme="minorHAnsi"/>
          <w:color w:val="222222"/>
          <w:sz w:val="24"/>
          <w:szCs w:val="24"/>
          <w:shd w:val="clear" w:color="auto" w:fill="FFFFFF"/>
        </w:rPr>
        <w:t>Eskridge Jr, W.N. and Frickey, P.P., (1990). Statutory interpretation as practical reasoning. </w:t>
      </w:r>
      <w:r w:rsidRPr="00AD64D2">
        <w:rPr>
          <w:rFonts w:cstheme="minorHAnsi"/>
          <w:i/>
          <w:iCs/>
          <w:color w:val="222222"/>
          <w:sz w:val="24"/>
          <w:szCs w:val="24"/>
          <w:shd w:val="clear" w:color="auto" w:fill="FFFFFF"/>
        </w:rPr>
        <w:t>Stanford Law Review</w:t>
      </w:r>
      <w:r w:rsidRPr="00AD64D2">
        <w:rPr>
          <w:rFonts w:cstheme="minorHAnsi"/>
          <w:color w:val="222222"/>
          <w:sz w:val="24"/>
          <w:szCs w:val="24"/>
          <w:shd w:val="clear" w:color="auto" w:fill="FFFFFF"/>
        </w:rPr>
        <w:t>, pp.321-384. (Online) available at: https://www.jstor.org/stable/1228963?casa_token=XheX1cQsmvkAAAAA%3AVDamW2Q6PVF0akr43jgN3oW72-Dt-0fDygMsW6F5Sr_V9OvchZU7CUs_lAAnueIyzTGq8dDH3Mym7vnpiZVviZ7wCI3KjRIyP1Vo9B2VNLk4ZkYfug&amp;seq=1 . (Accessed 17</w:t>
      </w:r>
      <w:r w:rsidRPr="00AD64D2">
        <w:rPr>
          <w:rFonts w:cstheme="minorHAnsi"/>
          <w:color w:val="222222"/>
          <w:sz w:val="24"/>
          <w:szCs w:val="24"/>
          <w:shd w:val="clear" w:color="auto" w:fill="FFFFFF"/>
          <w:vertAlign w:val="superscript"/>
        </w:rPr>
        <w:t>th</w:t>
      </w:r>
      <w:r w:rsidRPr="00AD64D2">
        <w:rPr>
          <w:rFonts w:cstheme="minorHAnsi"/>
          <w:color w:val="222222"/>
          <w:sz w:val="24"/>
          <w:szCs w:val="24"/>
          <w:shd w:val="clear" w:color="auto" w:fill="FFFFFF"/>
        </w:rPr>
        <w:t xml:space="preserve"> April).</w:t>
      </w:r>
    </w:p>
    <w:p w14:paraId="4FD81BF8" w14:textId="77777777" w:rsidR="00F930FB" w:rsidRDefault="00F930FB" w:rsidP="00F3284D">
      <w:pPr>
        <w:spacing w:after="0" w:line="360" w:lineRule="atLeast"/>
        <w:rPr>
          <w:rFonts w:eastAsia="Times New Roman" w:cstheme="minorHAnsi"/>
          <w:color w:val="000000"/>
          <w:sz w:val="24"/>
          <w:szCs w:val="24"/>
          <w:lang w:eastAsia="en-GB"/>
        </w:rPr>
      </w:pPr>
      <w:r w:rsidRPr="00F3284D">
        <w:rPr>
          <w:rFonts w:eastAsia="Times New Roman" w:cstheme="minorHAnsi"/>
          <w:color w:val="000000"/>
          <w:sz w:val="24"/>
          <w:szCs w:val="24"/>
          <w:lang w:eastAsia="en-GB"/>
        </w:rPr>
        <w:t>Feldman, D. (</w:t>
      </w:r>
      <w:r w:rsidRPr="00AD64D2">
        <w:rPr>
          <w:rFonts w:eastAsia="Times New Roman" w:cstheme="minorHAnsi"/>
          <w:color w:val="000000"/>
          <w:sz w:val="24"/>
          <w:szCs w:val="24"/>
          <w:lang w:eastAsia="en-GB"/>
        </w:rPr>
        <w:t>2014</w:t>
      </w:r>
      <w:r w:rsidRPr="00F3284D">
        <w:rPr>
          <w:rFonts w:eastAsia="Times New Roman" w:cstheme="minorHAnsi"/>
          <w:color w:val="000000"/>
          <w:sz w:val="24"/>
          <w:szCs w:val="24"/>
          <w:lang w:eastAsia="en-GB"/>
        </w:rPr>
        <w:t>). </w:t>
      </w:r>
      <w:r w:rsidRPr="00F3284D">
        <w:rPr>
          <w:rFonts w:eastAsia="Times New Roman" w:cstheme="minorHAnsi"/>
          <w:i/>
          <w:iCs/>
          <w:color w:val="000000"/>
          <w:sz w:val="24"/>
          <w:szCs w:val="24"/>
          <w:lang w:eastAsia="en-GB"/>
        </w:rPr>
        <w:t>Statutory Interpretation and Constitutional Legislation</w:t>
      </w:r>
      <w:r w:rsidRPr="00F3284D">
        <w:rPr>
          <w:rFonts w:eastAsia="Times New Roman" w:cstheme="minorHAnsi"/>
          <w:color w:val="000000"/>
          <w:sz w:val="24"/>
          <w:szCs w:val="24"/>
          <w:lang w:eastAsia="en-GB"/>
        </w:rPr>
        <w:t xml:space="preserve">. [online] Available at: </w:t>
      </w:r>
      <w:hyperlink r:id="rId6" w:history="1">
        <w:r w:rsidRPr="00F3284D">
          <w:rPr>
            <w:rStyle w:val="Hyperlink"/>
            <w:rFonts w:eastAsia="Times New Roman" w:cstheme="minorHAnsi"/>
            <w:sz w:val="24"/>
            <w:szCs w:val="24"/>
            <w:lang w:eastAsia="en-GB"/>
          </w:rPr>
          <w:t>https://www.repository.cam.ac.uk/bitstream/handle/1810/246176/OA1838_Statutory-interpretation-and-constitutional-legislation-FINAL-19-03-14.pdf?sequence=1&amp;isAllowed=y</w:t>
        </w:r>
      </w:hyperlink>
      <w:r w:rsidRPr="00AD64D2">
        <w:rPr>
          <w:rFonts w:eastAsia="Times New Roman" w:cstheme="minorHAnsi"/>
          <w:color w:val="000000"/>
          <w:sz w:val="24"/>
          <w:szCs w:val="24"/>
          <w:lang w:eastAsia="en-GB"/>
        </w:rPr>
        <w:t xml:space="preserve"> (Accessed 28</w:t>
      </w:r>
      <w:r w:rsidRPr="00AD64D2">
        <w:rPr>
          <w:rFonts w:eastAsia="Times New Roman" w:cstheme="minorHAnsi"/>
          <w:color w:val="000000"/>
          <w:sz w:val="24"/>
          <w:szCs w:val="24"/>
          <w:vertAlign w:val="superscript"/>
          <w:lang w:eastAsia="en-GB"/>
        </w:rPr>
        <w:t>th</w:t>
      </w:r>
      <w:r w:rsidRPr="00AD64D2">
        <w:rPr>
          <w:rFonts w:eastAsia="Times New Roman" w:cstheme="minorHAnsi"/>
          <w:color w:val="000000"/>
          <w:sz w:val="24"/>
          <w:szCs w:val="24"/>
          <w:lang w:eastAsia="en-GB"/>
        </w:rPr>
        <w:t xml:space="preserve"> march). </w:t>
      </w:r>
    </w:p>
    <w:p w14:paraId="12D60BCD" w14:textId="77777777" w:rsidR="00F930FB" w:rsidRDefault="00F930FB" w:rsidP="00F3284D">
      <w:pPr>
        <w:spacing w:after="0" w:line="360" w:lineRule="atLeast"/>
        <w:rPr>
          <w:rFonts w:eastAsia="Times New Roman" w:cstheme="minorHAnsi"/>
          <w:color w:val="000000"/>
          <w:sz w:val="24"/>
          <w:szCs w:val="24"/>
          <w:lang w:eastAsia="en-GB"/>
        </w:rPr>
      </w:pPr>
    </w:p>
    <w:p w14:paraId="30B5C659" w14:textId="77777777" w:rsidR="00F930FB" w:rsidRPr="007578B6" w:rsidRDefault="00F930FB" w:rsidP="007578B6">
      <w:pPr>
        <w:pStyle w:val="NormalWeb"/>
        <w:spacing w:before="0" w:beforeAutospacing="0" w:after="0" w:afterAutospacing="0" w:line="360" w:lineRule="atLeast"/>
        <w:rPr>
          <w:rFonts w:asciiTheme="minorHAnsi" w:hAnsiTheme="minorHAnsi" w:cstheme="minorHAnsi"/>
          <w:color w:val="000000"/>
        </w:rPr>
      </w:pPr>
      <w:r>
        <w:rPr>
          <w:rFonts w:asciiTheme="minorHAnsi" w:hAnsiTheme="minorHAnsi" w:cstheme="minorHAnsi"/>
          <w:color w:val="000000"/>
        </w:rPr>
        <w:t xml:space="preserve">Great Britain. Parliament. House of Lords.  Select Committee on The Constitution (2017). </w:t>
      </w:r>
      <w:r>
        <w:rPr>
          <w:rFonts w:asciiTheme="minorHAnsi" w:hAnsiTheme="minorHAnsi" w:cstheme="minorHAnsi"/>
          <w:i/>
          <w:iCs/>
          <w:color w:val="000000"/>
        </w:rPr>
        <w:t xml:space="preserve">The legislative process: preparing legislation for parliament. </w:t>
      </w:r>
      <w:r>
        <w:rPr>
          <w:rFonts w:asciiTheme="minorHAnsi" w:hAnsiTheme="minorHAnsi" w:cstheme="minorHAnsi"/>
          <w:color w:val="000000"/>
        </w:rPr>
        <w:t>London: The House of Lords</w:t>
      </w:r>
    </w:p>
    <w:p w14:paraId="48870239" w14:textId="77777777" w:rsidR="00F930FB" w:rsidRDefault="00F930FB" w:rsidP="00A21B7C">
      <w:pPr>
        <w:pStyle w:val="NormalWeb"/>
        <w:spacing w:before="0" w:beforeAutospacing="0" w:after="0" w:afterAutospacing="0" w:line="360" w:lineRule="atLeast"/>
        <w:rPr>
          <w:rFonts w:asciiTheme="minorHAnsi" w:hAnsiTheme="minorHAnsi" w:cstheme="minorHAnsi"/>
          <w:color w:val="000000"/>
        </w:rPr>
      </w:pPr>
      <w:r w:rsidRPr="00AD64D2">
        <w:rPr>
          <w:rFonts w:asciiTheme="minorHAnsi" w:hAnsiTheme="minorHAnsi" w:cstheme="minorHAnsi"/>
          <w:color w:val="000000"/>
        </w:rPr>
        <w:t>Kavanagh, A. (2004). The Elusive Divide between Interpretation and Legislation under the Human Rights Act 1998. </w:t>
      </w:r>
      <w:r w:rsidRPr="00AD64D2">
        <w:rPr>
          <w:rFonts w:asciiTheme="minorHAnsi" w:hAnsiTheme="minorHAnsi" w:cstheme="minorHAnsi"/>
          <w:i/>
          <w:iCs/>
          <w:color w:val="000000"/>
        </w:rPr>
        <w:t>Oxford Journal of Legal Studies</w:t>
      </w:r>
      <w:r w:rsidRPr="00AD64D2">
        <w:rPr>
          <w:rFonts w:asciiTheme="minorHAnsi" w:hAnsiTheme="minorHAnsi" w:cstheme="minorHAnsi"/>
          <w:color w:val="000000"/>
        </w:rPr>
        <w:t xml:space="preserve">, [online] 24(2), pp.259–285. Available at: </w:t>
      </w:r>
      <w:hyperlink r:id="rId7" w:history="1">
        <w:r w:rsidRPr="00AD64D2">
          <w:rPr>
            <w:rStyle w:val="Hyperlink"/>
            <w:rFonts w:asciiTheme="minorHAnsi" w:hAnsiTheme="minorHAnsi" w:cstheme="minorHAnsi"/>
          </w:rPr>
          <w:t>https://www.jstor.org/stable/3600592?seq=1</w:t>
        </w:r>
      </w:hyperlink>
      <w:r w:rsidRPr="00AD64D2">
        <w:rPr>
          <w:rFonts w:asciiTheme="minorHAnsi" w:hAnsiTheme="minorHAnsi" w:cstheme="minorHAnsi"/>
          <w:color w:val="000000"/>
        </w:rPr>
        <w:t xml:space="preserve"> [Accessed 28 Mar. 2022].</w:t>
      </w:r>
    </w:p>
    <w:p w14:paraId="72235125" w14:textId="77777777" w:rsidR="00F930FB" w:rsidRDefault="00F930FB" w:rsidP="00A21B7C">
      <w:pPr>
        <w:pStyle w:val="NormalWeb"/>
        <w:spacing w:before="0" w:beforeAutospacing="0" w:after="0" w:afterAutospacing="0" w:line="360" w:lineRule="atLeast"/>
        <w:rPr>
          <w:rFonts w:asciiTheme="minorHAnsi" w:hAnsiTheme="minorHAnsi" w:cstheme="minorHAnsi"/>
          <w:color w:val="000000"/>
        </w:rPr>
      </w:pPr>
    </w:p>
    <w:p w14:paraId="7E6D1FE4" w14:textId="77777777" w:rsidR="00F930FB" w:rsidRPr="00AD64D2" w:rsidRDefault="00F930FB" w:rsidP="008B2D99">
      <w:pPr>
        <w:rPr>
          <w:rFonts w:cstheme="minorHAnsi"/>
          <w:color w:val="222222"/>
          <w:sz w:val="24"/>
          <w:szCs w:val="24"/>
          <w:shd w:val="clear" w:color="auto" w:fill="FFFFFF"/>
        </w:rPr>
      </w:pPr>
      <w:r w:rsidRPr="00AD64D2">
        <w:rPr>
          <w:rFonts w:cstheme="minorHAnsi"/>
          <w:color w:val="222222"/>
          <w:sz w:val="24"/>
          <w:szCs w:val="24"/>
          <w:shd w:val="clear" w:color="auto" w:fill="FFFFFF"/>
        </w:rPr>
        <w:t>O'Sullivan, C, (2010).  The Importance of Correct Statutory Interpretation Technique: The Case of Minister for Justice, Equality and Law Reform v Dolny. </w:t>
      </w:r>
      <w:r w:rsidRPr="00AD64D2">
        <w:rPr>
          <w:rFonts w:cstheme="minorHAnsi"/>
          <w:i/>
          <w:iCs/>
          <w:color w:val="222222"/>
          <w:sz w:val="24"/>
          <w:szCs w:val="24"/>
          <w:shd w:val="clear" w:color="auto" w:fill="FFFFFF"/>
        </w:rPr>
        <w:t>Irish Jurist</w:t>
      </w:r>
      <w:r w:rsidRPr="00AD64D2">
        <w:rPr>
          <w:rFonts w:cstheme="minorHAnsi"/>
          <w:color w:val="222222"/>
          <w:sz w:val="24"/>
          <w:szCs w:val="24"/>
          <w:shd w:val="clear" w:color="auto" w:fill="FFFFFF"/>
        </w:rPr>
        <w:t>, </w:t>
      </w:r>
      <w:r w:rsidRPr="00AD64D2">
        <w:rPr>
          <w:rFonts w:cstheme="minorHAnsi"/>
          <w:i/>
          <w:iCs/>
          <w:color w:val="222222"/>
          <w:sz w:val="24"/>
          <w:szCs w:val="24"/>
          <w:shd w:val="clear" w:color="auto" w:fill="FFFFFF"/>
        </w:rPr>
        <w:t>45</w:t>
      </w:r>
      <w:r w:rsidRPr="00AD64D2">
        <w:rPr>
          <w:rFonts w:cstheme="minorHAnsi"/>
          <w:color w:val="222222"/>
          <w:sz w:val="24"/>
          <w:szCs w:val="24"/>
          <w:shd w:val="clear" w:color="auto" w:fill="FFFFFF"/>
        </w:rPr>
        <w:t xml:space="preserve">. (Online) available at: </w:t>
      </w:r>
      <w:hyperlink r:id="rId8" w:history="1">
        <w:r w:rsidRPr="00AD64D2">
          <w:rPr>
            <w:rStyle w:val="Hyperlink"/>
            <w:rFonts w:cstheme="minorHAnsi"/>
            <w:sz w:val="24"/>
            <w:szCs w:val="24"/>
            <w:shd w:val="clear" w:color="auto" w:fill="FFFFFF"/>
          </w:rPr>
          <w:t>https://heinonline.org/HOL/LandingPage?handle=hein.journals/irishjur41&amp;div=9&amp;id=&amp;page=</w:t>
        </w:r>
      </w:hyperlink>
      <w:r w:rsidRPr="00AD64D2">
        <w:rPr>
          <w:rFonts w:cstheme="minorHAnsi"/>
          <w:color w:val="222222"/>
          <w:sz w:val="24"/>
          <w:szCs w:val="24"/>
          <w:shd w:val="clear" w:color="auto" w:fill="FFFFFF"/>
        </w:rPr>
        <w:t>. (Accessed 17</w:t>
      </w:r>
      <w:r w:rsidRPr="00AD64D2">
        <w:rPr>
          <w:rFonts w:cstheme="minorHAnsi"/>
          <w:color w:val="222222"/>
          <w:sz w:val="24"/>
          <w:szCs w:val="24"/>
          <w:shd w:val="clear" w:color="auto" w:fill="FFFFFF"/>
          <w:vertAlign w:val="superscript"/>
        </w:rPr>
        <w:t>th</w:t>
      </w:r>
      <w:r w:rsidRPr="00AD64D2">
        <w:rPr>
          <w:rFonts w:cstheme="minorHAnsi"/>
          <w:color w:val="222222"/>
          <w:sz w:val="24"/>
          <w:szCs w:val="24"/>
          <w:shd w:val="clear" w:color="auto" w:fill="FFFFFF"/>
        </w:rPr>
        <w:t xml:space="preserve"> April 2022).</w:t>
      </w:r>
    </w:p>
    <w:p w14:paraId="3B6D7034" w14:textId="336D646D" w:rsidR="00F930FB" w:rsidRDefault="00F930FB" w:rsidP="0018676E">
      <w:pPr>
        <w:pStyle w:val="NormalWeb"/>
        <w:spacing w:before="0" w:beforeAutospacing="0" w:after="0" w:afterAutospacing="0" w:line="360" w:lineRule="atLeast"/>
        <w:rPr>
          <w:rFonts w:asciiTheme="minorHAnsi" w:hAnsiTheme="minorHAnsi" w:cstheme="minorHAnsi"/>
          <w:color w:val="000000"/>
        </w:rPr>
      </w:pPr>
      <w:r w:rsidRPr="00E56E2F">
        <w:rPr>
          <w:rFonts w:asciiTheme="minorHAnsi" w:hAnsiTheme="minorHAnsi" w:cstheme="minorHAnsi"/>
          <w:color w:val="000000"/>
        </w:rPr>
        <w:lastRenderedPageBreak/>
        <w:t>‌</w:t>
      </w:r>
      <w:r w:rsidRPr="00AD64D2">
        <w:rPr>
          <w:rFonts w:asciiTheme="minorHAnsi" w:hAnsiTheme="minorHAnsi" w:cstheme="minorHAnsi"/>
          <w:color w:val="000000"/>
        </w:rPr>
        <w:t>Partington, M. (2015). </w:t>
      </w:r>
      <w:r w:rsidRPr="00AD64D2">
        <w:rPr>
          <w:rFonts w:asciiTheme="minorHAnsi" w:hAnsiTheme="minorHAnsi" w:cstheme="minorHAnsi"/>
          <w:i/>
          <w:iCs/>
          <w:color w:val="000000"/>
        </w:rPr>
        <w:t xml:space="preserve">Introduction to the English legal </w:t>
      </w:r>
      <w:r w:rsidR="008F530C" w:rsidRPr="00AD64D2">
        <w:rPr>
          <w:rFonts w:asciiTheme="minorHAnsi" w:hAnsiTheme="minorHAnsi" w:cstheme="minorHAnsi"/>
          <w:i/>
          <w:iCs/>
          <w:color w:val="000000"/>
        </w:rPr>
        <w:t>system:</w:t>
      </w:r>
      <w:r w:rsidRPr="00AD64D2">
        <w:rPr>
          <w:rFonts w:asciiTheme="minorHAnsi" w:hAnsiTheme="minorHAnsi" w:cstheme="minorHAnsi"/>
          <w:i/>
          <w:iCs/>
          <w:color w:val="000000"/>
        </w:rPr>
        <w:t xml:space="preserve"> 2015-2016</w:t>
      </w:r>
      <w:r w:rsidRPr="00AD64D2">
        <w:rPr>
          <w:rFonts w:asciiTheme="minorHAnsi" w:hAnsiTheme="minorHAnsi" w:cstheme="minorHAnsi"/>
          <w:color w:val="000000"/>
        </w:rPr>
        <w:t>. New York: Oxford University Press</w:t>
      </w:r>
    </w:p>
    <w:p w14:paraId="4D542E6B" w14:textId="77777777" w:rsidR="00F930FB" w:rsidRDefault="00F930FB" w:rsidP="0018676E">
      <w:pPr>
        <w:pStyle w:val="NormalWeb"/>
        <w:spacing w:before="0" w:beforeAutospacing="0" w:after="0" w:afterAutospacing="0" w:line="360" w:lineRule="atLeast"/>
        <w:rPr>
          <w:rFonts w:asciiTheme="minorHAnsi" w:hAnsiTheme="minorHAnsi" w:cstheme="minorHAnsi"/>
          <w:color w:val="000000"/>
        </w:rPr>
      </w:pPr>
    </w:p>
    <w:p w14:paraId="707656D3" w14:textId="74DA0850" w:rsidR="00F930FB" w:rsidRPr="00AD64D2" w:rsidRDefault="008F530C" w:rsidP="008B2D99">
      <w:pPr>
        <w:rPr>
          <w:rFonts w:cstheme="minorHAnsi"/>
          <w:color w:val="222222"/>
          <w:sz w:val="24"/>
          <w:szCs w:val="24"/>
          <w:shd w:val="clear" w:color="auto" w:fill="FFFFFF"/>
        </w:rPr>
      </w:pPr>
      <w:r w:rsidRPr="00AD64D2">
        <w:rPr>
          <w:rFonts w:cstheme="minorHAnsi"/>
          <w:color w:val="222222"/>
          <w:sz w:val="24"/>
          <w:szCs w:val="24"/>
          <w:shd w:val="clear" w:color="auto" w:fill="FFFFFF"/>
        </w:rPr>
        <w:t>Robertson, A.</w:t>
      </w:r>
      <w:r w:rsidR="00F930FB" w:rsidRPr="00AD64D2">
        <w:rPr>
          <w:rFonts w:cstheme="minorHAnsi"/>
          <w:color w:val="222222"/>
          <w:sz w:val="24"/>
          <w:szCs w:val="24"/>
          <w:shd w:val="clear" w:color="auto" w:fill="FFFFFF"/>
        </w:rPr>
        <w:t xml:space="preserve"> (2019). Purposive contractual interpretation. </w:t>
      </w:r>
      <w:r w:rsidR="00F930FB" w:rsidRPr="00AD64D2">
        <w:rPr>
          <w:rFonts w:cstheme="minorHAnsi"/>
          <w:i/>
          <w:iCs/>
          <w:color w:val="222222"/>
          <w:sz w:val="24"/>
          <w:szCs w:val="24"/>
          <w:shd w:val="clear" w:color="auto" w:fill="FFFFFF"/>
        </w:rPr>
        <w:t>Legal Studies,</w:t>
      </w:r>
      <w:r w:rsidR="00F930FB" w:rsidRPr="00AD64D2">
        <w:rPr>
          <w:rFonts w:cstheme="minorHAnsi"/>
          <w:color w:val="222222"/>
          <w:sz w:val="24"/>
          <w:szCs w:val="24"/>
          <w:shd w:val="clear" w:color="auto" w:fill="FFFFFF"/>
        </w:rPr>
        <w:t xml:space="preserve"> p.230-246. (Online) available at: https://www-cambridge-org.ezproxy.uwtsd.ac.uk/core/journals/legal-studies/article/purposive-contractual-interpretation/D52BB7CE5281365A55296BCA0AF452A7 . (Accessed 17</w:t>
      </w:r>
      <w:r w:rsidR="00F930FB" w:rsidRPr="00AD64D2">
        <w:rPr>
          <w:rFonts w:cstheme="minorHAnsi"/>
          <w:color w:val="222222"/>
          <w:sz w:val="24"/>
          <w:szCs w:val="24"/>
          <w:shd w:val="clear" w:color="auto" w:fill="FFFFFF"/>
          <w:vertAlign w:val="superscript"/>
        </w:rPr>
        <w:t>th</w:t>
      </w:r>
      <w:r w:rsidR="00F930FB" w:rsidRPr="00AD64D2">
        <w:rPr>
          <w:rFonts w:cstheme="minorHAnsi"/>
          <w:color w:val="222222"/>
          <w:sz w:val="24"/>
          <w:szCs w:val="24"/>
          <w:shd w:val="clear" w:color="auto" w:fill="FFFFFF"/>
        </w:rPr>
        <w:t xml:space="preserve"> April 2022).</w:t>
      </w:r>
    </w:p>
    <w:p w14:paraId="06EDD7FD" w14:textId="77777777" w:rsidR="00F930FB" w:rsidRDefault="00F930FB" w:rsidP="007578B6">
      <w:pPr>
        <w:pStyle w:val="NormalWeb"/>
        <w:spacing w:before="0" w:beforeAutospacing="0" w:after="0" w:afterAutospacing="0" w:line="360" w:lineRule="atLeast"/>
        <w:rPr>
          <w:rFonts w:asciiTheme="minorHAnsi" w:hAnsiTheme="minorHAnsi" w:cstheme="minorHAnsi"/>
          <w:color w:val="000000"/>
        </w:rPr>
      </w:pPr>
      <w:r w:rsidRPr="00CA43D3">
        <w:rPr>
          <w:rFonts w:asciiTheme="minorHAnsi" w:hAnsiTheme="minorHAnsi" w:cstheme="minorHAnsi"/>
          <w:color w:val="000000"/>
        </w:rPr>
        <w:t>‌</w:t>
      </w:r>
      <w:r w:rsidRPr="00CA43D3">
        <w:rPr>
          <w:rFonts w:asciiTheme="minorHAnsi" w:hAnsiTheme="minorHAnsi" w:cstheme="minorHAnsi"/>
          <w:color w:val="000000"/>
        </w:rPr>
        <w:t>Sales, P. (2016). Modern Statutory Interpretation. </w:t>
      </w:r>
      <w:r w:rsidRPr="00CA43D3">
        <w:rPr>
          <w:rFonts w:asciiTheme="minorHAnsi" w:hAnsiTheme="minorHAnsi" w:cstheme="minorHAnsi"/>
          <w:i/>
          <w:iCs/>
          <w:color w:val="000000"/>
        </w:rPr>
        <w:t>Statute Law Review</w:t>
      </w:r>
      <w:r w:rsidRPr="00CA43D3">
        <w:rPr>
          <w:rFonts w:asciiTheme="minorHAnsi" w:hAnsiTheme="minorHAnsi" w:cstheme="minorHAnsi"/>
          <w:color w:val="000000"/>
        </w:rPr>
        <w:t>, p.</w:t>
      </w:r>
      <w:r w:rsidRPr="00CA43D3">
        <w:rPr>
          <w:rFonts w:asciiTheme="minorHAnsi" w:hAnsiTheme="minorHAnsi" w:cstheme="minorHAnsi"/>
          <w:color w:val="000000"/>
        </w:rPr>
        <w:t xml:space="preserve">125-132. (Online) available at: </w:t>
      </w:r>
      <w:hyperlink r:id="rId9" w:history="1">
        <w:r w:rsidRPr="00CA43D3">
          <w:rPr>
            <w:rStyle w:val="Hyperlink"/>
            <w:rFonts w:asciiTheme="minorHAnsi" w:hAnsiTheme="minorHAnsi" w:cstheme="minorHAnsi"/>
          </w:rPr>
          <w:t>https://academic.oup.com/slr/article/38/2/125/2351133</w:t>
        </w:r>
      </w:hyperlink>
      <w:r w:rsidRPr="00CA43D3">
        <w:rPr>
          <w:rFonts w:asciiTheme="minorHAnsi" w:hAnsiTheme="minorHAnsi" w:cstheme="minorHAnsi"/>
          <w:color w:val="000000"/>
        </w:rPr>
        <w:t>. (Accessed 19</w:t>
      </w:r>
      <w:r w:rsidRPr="00CA43D3">
        <w:rPr>
          <w:rFonts w:asciiTheme="minorHAnsi" w:hAnsiTheme="minorHAnsi" w:cstheme="minorHAnsi"/>
          <w:color w:val="000000"/>
          <w:vertAlign w:val="superscript"/>
        </w:rPr>
        <w:t>th</w:t>
      </w:r>
      <w:r w:rsidRPr="00CA43D3">
        <w:rPr>
          <w:rFonts w:asciiTheme="minorHAnsi" w:hAnsiTheme="minorHAnsi" w:cstheme="minorHAnsi"/>
          <w:color w:val="000000"/>
        </w:rPr>
        <w:t xml:space="preserve"> April 2022).</w:t>
      </w:r>
    </w:p>
    <w:p w14:paraId="70624BB4" w14:textId="77777777" w:rsidR="00F930FB" w:rsidRDefault="00F930FB" w:rsidP="007578B6">
      <w:pPr>
        <w:pStyle w:val="NormalWeb"/>
        <w:spacing w:before="0" w:beforeAutospacing="0" w:after="0" w:afterAutospacing="0" w:line="360" w:lineRule="atLeast"/>
        <w:rPr>
          <w:rFonts w:asciiTheme="minorHAnsi" w:hAnsiTheme="minorHAnsi" w:cstheme="minorHAnsi"/>
          <w:color w:val="000000"/>
        </w:rPr>
      </w:pPr>
    </w:p>
    <w:p w14:paraId="6D83B7C9" w14:textId="77777777" w:rsidR="00F930FB" w:rsidRDefault="00F930FB" w:rsidP="00E04EC1">
      <w:pPr>
        <w:pStyle w:val="NormalWeb"/>
        <w:spacing w:before="0" w:beforeAutospacing="0" w:after="0" w:afterAutospacing="0" w:line="360" w:lineRule="atLeast"/>
        <w:rPr>
          <w:rFonts w:asciiTheme="minorHAnsi" w:hAnsiTheme="minorHAnsi" w:cstheme="minorHAnsi"/>
        </w:rPr>
      </w:pPr>
      <w:r w:rsidRPr="00294E51">
        <w:rPr>
          <w:rFonts w:asciiTheme="minorHAnsi" w:hAnsiTheme="minorHAnsi" w:cstheme="minorHAnsi"/>
          <w:color w:val="000000"/>
        </w:rPr>
        <w:t>‌</w:t>
      </w:r>
      <w:r w:rsidRPr="00AD64D2">
        <w:rPr>
          <w:rFonts w:asciiTheme="minorHAnsi" w:hAnsiTheme="minorHAnsi" w:cstheme="minorHAnsi"/>
          <w:color w:val="000000"/>
        </w:rPr>
        <w:t>Steele, J. (2017). Statutory Forebears: Legislative Evolution as a Means of Statutory Interpretation. </w:t>
      </w:r>
      <w:r w:rsidRPr="00AD64D2">
        <w:rPr>
          <w:rFonts w:asciiTheme="minorHAnsi" w:hAnsiTheme="minorHAnsi" w:cstheme="minorHAnsi"/>
          <w:i/>
          <w:iCs/>
          <w:color w:val="000000"/>
        </w:rPr>
        <w:t>Statute Law Review</w:t>
      </w:r>
      <w:r w:rsidRPr="00AD64D2">
        <w:rPr>
          <w:rFonts w:asciiTheme="minorHAnsi" w:hAnsiTheme="minorHAnsi" w:cstheme="minorHAnsi"/>
          <w:color w:val="000000"/>
        </w:rPr>
        <w:t xml:space="preserve">, 39(3), pp.303–318. Available at: </w:t>
      </w:r>
      <w:hyperlink r:id="rId10" w:history="1">
        <w:r w:rsidRPr="00AD64D2">
          <w:rPr>
            <w:rStyle w:val="Hyperlink"/>
            <w:rFonts w:asciiTheme="minorHAnsi" w:eastAsiaTheme="majorEastAsia" w:hAnsiTheme="minorHAnsi" w:cstheme="minorHAnsi"/>
          </w:rPr>
          <w:t>Statutory Forebears: Legislative Evolution as a Means of Statutory Interpretation | Statute Law Review | Oxford Academic (oup.com)</w:t>
        </w:r>
      </w:hyperlink>
      <w:r w:rsidRPr="00AD64D2">
        <w:rPr>
          <w:rFonts w:asciiTheme="minorHAnsi" w:hAnsiTheme="minorHAnsi" w:cstheme="minorHAnsi"/>
        </w:rPr>
        <w:t>. [Accessed 28</w:t>
      </w:r>
      <w:r w:rsidRPr="00AD64D2">
        <w:rPr>
          <w:rFonts w:asciiTheme="minorHAnsi" w:hAnsiTheme="minorHAnsi" w:cstheme="minorHAnsi"/>
          <w:vertAlign w:val="superscript"/>
        </w:rPr>
        <w:t>th</w:t>
      </w:r>
      <w:r w:rsidRPr="00AD64D2">
        <w:rPr>
          <w:rFonts w:asciiTheme="minorHAnsi" w:hAnsiTheme="minorHAnsi" w:cstheme="minorHAnsi"/>
        </w:rPr>
        <w:t xml:space="preserve"> March 2022].</w:t>
      </w:r>
    </w:p>
    <w:p w14:paraId="2B44CFBA" w14:textId="77777777" w:rsidR="00F930FB" w:rsidRDefault="00F930FB" w:rsidP="00E04EC1">
      <w:pPr>
        <w:pStyle w:val="NormalWeb"/>
        <w:spacing w:before="0" w:beforeAutospacing="0" w:after="0" w:afterAutospacing="0" w:line="360" w:lineRule="atLeast"/>
        <w:rPr>
          <w:rFonts w:asciiTheme="minorHAnsi" w:hAnsiTheme="minorHAnsi" w:cstheme="minorHAnsi"/>
        </w:rPr>
      </w:pPr>
    </w:p>
    <w:p w14:paraId="712E80AB" w14:textId="77777777" w:rsidR="00F930FB" w:rsidRPr="00AD64D2" w:rsidRDefault="00F930FB" w:rsidP="008B2D99">
      <w:pPr>
        <w:rPr>
          <w:rFonts w:cstheme="minorHAnsi"/>
          <w:color w:val="222222"/>
          <w:sz w:val="24"/>
          <w:szCs w:val="24"/>
          <w:shd w:val="clear" w:color="auto" w:fill="FFFFFF"/>
        </w:rPr>
      </w:pPr>
      <w:r w:rsidRPr="00AD64D2">
        <w:rPr>
          <w:rFonts w:cstheme="minorHAnsi"/>
          <w:color w:val="222222"/>
          <w:sz w:val="24"/>
          <w:szCs w:val="24"/>
          <w:shd w:val="clear" w:color="auto" w:fill="FFFFFF"/>
        </w:rPr>
        <w:t>Styles, S.C., 1994. The Rule of Parliament: Statutory Interpretation After Pepper v Hart. </w:t>
      </w:r>
      <w:r w:rsidRPr="00AD64D2">
        <w:rPr>
          <w:rFonts w:cstheme="minorHAnsi"/>
          <w:i/>
          <w:iCs/>
          <w:color w:val="222222"/>
          <w:sz w:val="24"/>
          <w:szCs w:val="24"/>
          <w:shd w:val="clear" w:color="auto" w:fill="FFFFFF"/>
        </w:rPr>
        <w:t>Oxford J. Legal Stud.</w:t>
      </w:r>
      <w:r w:rsidRPr="00AD64D2">
        <w:rPr>
          <w:rFonts w:cstheme="minorHAnsi"/>
          <w:color w:val="222222"/>
          <w:sz w:val="24"/>
          <w:szCs w:val="24"/>
          <w:shd w:val="clear" w:color="auto" w:fill="FFFFFF"/>
        </w:rPr>
        <w:t>, </w:t>
      </w:r>
      <w:r w:rsidRPr="00AD64D2">
        <w:rPr>
          <w:rFonts w:cstheme="minorHAnsi"/>
          <w:i/>
          <w:iCs/>
          <w:color w:val="222222"/>
          <w:sz w:val="24"/>
          <w:szCs w:val="24"/>
          <w:shd w:val="clear" w:color="auto" w:fill="FFFFFF"/>
        </w:rPr>
        <w:t>14</w:t>
      </w:r>
      <w:r w:rsidRPr="00AD64D2">
        <w:rPr>
          <w:rFonts w:cstheme="minorHAnsi"/>
          <w:color w:val="222222"/>
          <w:sz w:val="24"/>
          <w:szCs w:val="24"/>
          <w:shd w:val="clear" w:color="auto" w:fill="FFFFFF"/>
        </w:rPr>
        <w:t xml:space="preserve">, p.151. (Online) available at: </w:t>
      </w:r>
      <w:hyperlink r:id="rId11" w:history="1">
        <w:r w:rsidRPr="00AD64D2">
          <w:rPr>
            <w:rStyle w:val="Hyperlink"/>
            <w:rFonts w:cstheme="minorHAnsi"/>
            <w:sz w:val="24"/>
            <w:szCs w:val="24"/>
            <w:shd w:val="clear" w:color="auto" w:fill="FFFFFF"/>
          </w:rPr>
          <w:t>https://heinonline.org/HOL/LandingPage?handle=hein.journals/oxfjls14&amp;div=18&amp;id=&amp;page=</w:t>
        </w:r>
      </w:hyperlink>
      <w:r w:rsidRPr="00AD64D2">
        <w:rPr>
          <w:rFonts w:cstheme="minorHAnsi"/>
          <w:color w:val="222222"/>
          <w:sz w:val="24"/>
          <w:szCs w:val="24"/>
          <w:shd w:val="clear" w:color="auto" w:fill="FFFFFF"/>
        </w:rPr>
        <w:t xml:space="preserve"> (Accessed 17</w:t>
      </w:r>
      <w:r w:rsidRPr="00AD64D2">
        <w:rPr>
          <w:rFonts w:cstheme="minorHAnsi"/>
          <w:color w:val="222222"/>
          <w:sz w:val="24"/>
          <w:szCs w:val="24"/>
          <w:shd w:val="clear" w:color="auto" w:fill="FFFFFF"/>
          <w:vertAlign w:val="superscript"/>
        </w:rPr>
        <w:t>th</w:t>
      </w:r>
      <w:r w:rsidRPr="00AD64D2">
        <w:rPr>
          <w:rFonts w:cstheme="minorHAnsi"/>
          <w:color w:val="222222"/>
          <w:sz w:val="24"/>
          <w:szCs w:val="24"/>
          <w:shd w:val="clear" w:color="auto" w:fill="FFFFFF"/>
        </w:rPr>
        <w:t xml:space="preserve"> April 2022).</w:t>
      </w:r>
    </w:p>
    <w:p w14:paraId="200B1AA2" w14:textId="77777777" w:rsidR="00F930FB" w:rsidRDefault="00F930FB" w:rsidP="00B30271">
      <w:pPr>
        <w:pStyle w:val="NormalWeb"/>
        <w:spacing w:before="0" w:beforeAutospacing="0" w:after="0" w:afterAutospacing="0" w:line="360" w:lineRule="atLeast"/>
        <w:rPr>
          <w:rFonts w:asciiTheme="minorHAnsi" w:hAnsiTheme="minorHAnsi" w:cstheme="minorHAnsi"/>
          <w:color w:val="000000"/>
        </w:rPr>
      </w:pPr>
      <w:r w:rsidRPr="00AD64D2">
        <w:rPr>
          <w:rFonts w:asciiTheme="minorHAnsi" w:hAnsiTheme="minorHAnsi" w:cstheme="minorHAnsi"/>
          <w:color w:val="000000"/>
        </w:rPr>
        <w:t xml:space="preserve">UK Government (2013) When Laws Become Too Complex A review into the causes of complex legislation Office of the Parliamentary Counsel Cabinet Office. (2013). [online] Available at: </w:t>
      </w:r>
      <w:hyperlink r:id="rId12" w:history="1">
        <w:r w:rsidRPr="00AD64D2">
          <w:rPr>
            <w:rStyle w:val="Hyperlink"/>
            <w:rFonts w:asciiTheme="minorHAnsi" w:hAnsiTheme="minorHAnsi" w:cstheme="minorHAnsi"/>
          </w:rPr>
          <w:t>https://assets.publishing.service.gov.uk/government/uploads/system/uploads/attachment_data/file/187015/GoodLaw_report_8April_AP.pdf</w:t>
        </w:r>
      </w:hyperlink>
      <w:r w:rsidRPr="00AD64D2">
        <w:rPr>
          <w:rFonts w:asciiTheme="minorHAnsi" w:hAnsiTheme="minorHAnsi" w:cstheme="minorHAnsi"/>
          <w:color w:val="000000"/>
        </w:rPr>
        <w:t>. (Accessed 17</w:t>
      </w:r>
      <w:r w:rsidRPr="00AD64D2">
        <w:rPr>
          <w:rFonts w:asciiTheme="minorHAnsi" w:hAnsiTheme="minorHAnsi" w:cstheme="minorHAnsi"/>
          <w:color w:val="000000"/>
          <w:vertAlign w:val="superscript"/>
        </w:rPr>
        <w:t>th</w:t>
      </w:r>
      <w:r w:rsidRPr="00AD64D2">
        <w:rPr>
          <w:rFonts w:asciiTheme="minorHAnsi" w:hAnsiTheme="minorHAnsi" w:cstheme="minorHAnsi"/>
          <w:color w:val="000000"/>
        </w:rPr>
        <w:t xml:space="preserve"> March 2022).</w:t>
      </w:r>
    </w:p>
    <w:p w14:paraId="65096BBA" w14:textId="77777777" w:rsidR="00F930FB" w:rsidRPr="00F930FB" w:rsidRDefault="00F930FB" w:rsidP="00F930FB">
      <w:pPr>
        <w:spacing w:after="0" w:line="360" w:lineRule="atLeast"/>
        <w:rPr>
          <w:rFonts w:ascii="Calibri" w:eastAsia="Times New Roman" w:hAnsi="Calibri" w:cs="Calibri"/>
          <w:color w:val="000000"/>
          <w:sz w:val="27"/>
          <w:szCs w:val="27"/>
          <w:lang w:eastAsia="en-GB"/>
        </w:rPr>
      </w:pPr>
      <w:r w:rsidRPr="00F930FB">
        <w:rPr>
          <w:rFonts w:ascii="Calibri" w:eastAsia="Times New Roman" w:hAnsi="Calibri" w:cs="Calibri"/>
          <w:color w:val="000000"/>
          <w:sz w:val="27"/>
          <w:szCs w:val="27"/>
          <w:lang w:eastAsia="en-GB"/>
        </w:rPr>
        <w:t>UK Parliament (2019). </w:t>
      </w:r>
      <w:r w:rsidRPr="00F930FB">
        <w:rPr>
          <w:rFonts w:ascii="Calibri" w:eastAsia="Times New Roman" w:hAnsi="Calibri" w:cs="Calibri"/>
          <w:i/>
          <w:iCs/>
          <w:color w:val="000000"/>
          <w:sz w:val="27"/>
          <w:szCs w:val="27"/>
          <w:lang w:eastAsia="en-GB"/>
        </w:rPr>
        <w:t>Legislation - Glossary page</w:t>
      </w:r>
      <w:r w:rsidRPr="00F930FB">
        <w:rPr>
          <w:rFonts w:ascii="Calibri" w:eastAsia="Times New Roman" w:hAnsi="Calibri" w:cs="Calibri"/>
          <w:color w:val="000000"/>
          <w:sz w:val="27"/>
          <w:szCs w:val="27"/>
          <w:lang w:eastAsia="en-GB"/>
        </w:rPr>
        <w:t xml:space="preserve">. </w:t>
      </w:r>
      <w:r>
        <w:rPr>
          <w:rFonts w:ascii="Calibri" w:eastAsia="Times New Roman" w:hAnsi="Calibri" w:cs="Calibri"/>
          <w:color w:val="000000"/>
          <w:sz w:val="27"/>
          <w:szCs w:val="27"/>
          <w:lang w:eastAsia="en-GB"/>
        </w:rPr>
        <w:t>(Online)</w:t>
      </w:r>
      <w:r w:rsidRPr="00F930FB">
        <w:rPr>
          <w:rFonts w:ascii="Calibri" w:eastAsia="Times New Roman" w:hAnsi="Calibri" w:cs="Calibri"/>
          <w:color w:val="000000"/>
          <w:sz w:val="27"/>
          <w:szCs w:val="27"/>
          <w:lang w:eastAsia="en-GB"/>
        </w:rPr>
        <w:t xml:space="preserve"> Available at: </w:t>
      </w:r>
      <w:hyperlink r:id="rId13" w:history="1">
        <w:r w:rsidRPr="00F930FB">
          <w:rPr>
            <w:rStyle w:val="Hyperlink"/>
            <w:rFonts w:ascii="Calibri" w:eastAsia="Times New Roman" w:hAnsi="Calibri" w:cs="Calibri"/>
            <w:sz w:val="27"/>
            <w:szCs w:val="27"/>
            <w:lang w:eastAsia="en-GB"/>
          </w:rPr>
          <w:t>https://www.parliament.uk/site-information/glossary/legislation/</w:t>
        </w:r>
      </w:hyperlink>
      <w:r w:rsidRPr="00F930FB">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 (Accessed 28</w:t>
      </w:r>
      <w:r w:rsidRPr="00F930FB">
        <w:rPr>
          <w:rFonts w:ascii="Calibri" w:eastAsia="Times New Roman" w:hAnsi="Calibri" w:cs="Calibri"/>
          <w:color w:val="000000"/>
          <w:sz w:val="27"/>
          <w:szCs w:val="27"/>
          <w:vertAlign w:val="superscript"/>
          <w:lang w:eastAsia="en-GB"/>
        </w:rPr>
        <w:t>th</w:t>
      </w:r>
      <w:r>
        <w:rPr>
          <w:rFonts w:ascii="Calibri" w:eastAsia="Times New Roman" w:hAnsi="Calibri" w:cs="Calibri"/>
          <w:color w:val="000000"/>
          <w:sz w:val="27"/>
          <w:szCs w:val="27"/>
          <w:lang w:eastAsia="en-GB"/>
        </w:rPr>
        <w:t xml:space="preserve"> April 2022).</w:t>
      </w:r>
    </w:p>
    <w:p w14:paraId="3576A539" w14:textId="77777777" w:rsidR="00F930FB" w:rsidRPr="00346783" w:rsidRDefault="00F930FB" w:rsidP="00346783">
      <w:pPr>
        <w:spacing w:before="100" w:beforeAutospacing="1" w:after="100" w:afterAutospacing="1" w:line="240" w:lineRule="auto"/>
        <w:rPr>
          <w:rFonts w:eastAsia="Times New Roman" w:cstheme="minorHAnsi"/>
          <w:color w:val="000000"/>
          <w:sz w:val="24"/>
          <w:szCs w:val="24"/>
          <w:lang w:eastAsia="en-GB"/>
        </w:rPr>
      </w:pPr>
      <w:r w:rsidRPr="00346783">
        <w:rPr>
          <w:rFonts w:eastAsia="Times New Roman" w:cstheme="minorHAnsi"/>
          <w:color w:val="000000"/>
          <w:sz w:val="24"/>
          <w:szCs w:val="24"/>
          <w:lang w:eastAsia="en-GB"/>
        </w:rPr>
        <w:t>‌</w:t>
      </w:r>
      <w:r w:rsidRPr="00AD64D2">
        <w:rPr>
          <w:rFonts w:eastAsia="Times New Roman" w:cstheme="minorHAnsi"/>
          <w:color w:val="000000"/>
          <w:sz w:val="24"/>
          <w:szCs w:val="24"/>
          <w:lang w:eastAsia="en-GB"/>
        </w:rPr>
        <w:t xml:space="preserve">Vogenauer, S. (2012). Statutory interpretation. </w:t>
      </w:r>
      <w:r w:rsidRPr="00AD64D2">
        <w:rPr>
          <w:rFonts w:eastAsia="Times New Roman" w:cstheme="minorHAnsi"/>
          <w:i/>
          <w:iCs/>
          <w:color w:val="000000"/>
          <w:sz w:val="24"/>
          <w:szCs w:val="24"/>
          <w:lang w:eastAsia="en-GB"/>
        </w:rPr>
        <w:t xml:space="preserve">Encyclopedia of Comparative Law, Second Edition, </w:t>
      </w:r>
      <w:r w:rsidRPr="00AD64D2">
        <w:rPr>
          <w:rFonts w:eastAsia="Times New Roman" w:cstheme="minorHAnsi"/>
          <w:color w:val="000000"/>
          <w:sz w:val="24"/>
          <w:szCs w:val="24"/>
          <w:lang w:eastAsia="en-GB"/>
        </w:rPr>
        <w:t xml:space="preserve">Cheltenham, UK: Edward Elgar Publishing. Available at: </w:t>
      </w:r>
      <w:hyperlink r:id="rId14" w:tgtFrame="_blank" w:history="1">
        <w:r w:rsidRPr="00AD64D2">
          <w:rPr>
            <w:rStyle w:val="Hyperlink"/>
            <w:rFonts w:cstheme="minorHAnsi"/>
            <w:color w:val="143788"/>
            <w:sz w:val="24"/>
            <w:szCs w:val="24"/>
          </w:rPr>
          <w:t>https://doi.org/10.4337/9781781006108.00071</w:t>
        </w:r>
      </w:hyperlink>
      <w:r w:rsidRPr="00AD64D2">
        <w:rPr>
          <w:rStyle w:val="Hyperlink"/>
          <w:rFonts w:cstheme="minorHAnsi"/>
          <w:color w:val="143788"/>
          <w:sz w:val="24"/>
          <w:szCs w:val="24"/>
          <w:u w:val="none"/>
        </w:rPr>
        <w:t>. (</w:t>
      </w:r>
      <w:r w:rsidRPr="00AD64D2">
        <w:rPr>
          <w:rStyle w:val="Hyperlink"/>
          <w:rFonts w:cstheme="minorHAnsi"/>
          <w:color w:val="auto"/>
          <w:sz w:val="24"/>
          <w:szCs w:val="24"/>
          <w:u w:val="none"/>
        </w:rPr>
        <w:t>Accessed 14</w:t>
      </w:r>
      <w:r w:rsidRPr="00AD64D2">
        <w:rPr>
          <w:rStyle w:val="Hyperlink"/>
          <w:rFonts w:cstheme="minorHAnsi"/>
          <w:color w:val="auto"/>
          <w:sz w:val="24"/>
          <w:szCs w:val="24"/>
          <w:u w:val="none"/>
          <w:vertAlign w:val="superscript"/>
        </w:rPr>
        <w:t>th</w:t>
      </w:r>
      <w:r w:rsidRPr="00AD64D2">
        <w:rPr>
          <w:rStyle w:val="Hyperlink"/>
          <w:rFonts w:cstheme="minorHAnsi"/>
          <w:color w:val="auto"/>
          <w:sz w:val="24"/>
          <w:szCs w:val="24"/>
          <w:u w:val="none"/>
        </w:rPr>
        <w:t xml:space="preserve"> April 2022).</w:t>
      </w:r>
    </w:p>
    <w:p w14:paraId="23AD4FB4" w14:textId="77777777" w:rsidR="00F930FB" w:rsidRPr="00AD64D2" w:rsidRDefault="00F930FB" w:rsidP="008B2D99">
      <w:pPr>
        <w:rPr>
          <w:rFonts w:cstheme="minorHAnsi"/>
          <w:sz w:val="24"/>
          <w:szCs w:val="24"/>
        </w:rPr>
      </w:pPr>
      <w:r w:rsidRPr="00AD64D2">
        <w:rPr>
          <w:rFonts w:cstheme="minorHAnsi"/>
          <w:sz w:val="24"/>
          <w:szCs w:val="24"/>
        </w:rPr>
        <w:t xml:space="preserve">Wilson, A. (2018).  Statutory interpretation. </w:t>
      </w:r>
      <w:r w:rsidRPr="00AD64D2">
        <w:rPr>
          <w:rFonts w:cstheme="minorHAnsi"/>
          <w:i/>
          <w:iCs/>
          <w:sz w:val="24"/>
          <w:szCs w:val="24"/>
        </w:rPr>
        <w:t>Legal Studies,</w:t>
      </w:r>
      <w:r w:rsidRPr="00AD64D2">
        <w:rPr>
          <w:rFonts w:cstheme="minorHAnsi"/>
          <w:sz w:val="24"/>
          <w:szCs w:val="24"/>
        </w:rPr>
        <w:t xml:space="preserve"> p.62-77. (Online) available at: </w:t>
      </w:r>
      <w:hyperlink r:id="rId15" w:anchor="access-block" w:history="1">
        <w:r w:rsidRPr="00AD64D2">
          <w:rPr>
            <w:rStyle w:val="Hyperlink"/>
            <w:rFonts w:cstheme="minorHAnsi"/>
            <w:sz w:val="24"/>
            <w:szCs w:val="24"/>
          </w:rPr>
          <w:t>https://www-cambridge-org.ezproxy.uwtsd.ac.uk/core/journals/legal-studies/article/abs/statutory-interpretation/3970CA1B0A199F75BC6EB666944EF535#access-block</w:t>
        </w:r>
      </w:hyperlink>
      <w:r w:rsidRPr="00AD64D2">
        <w:rPr>
          <w:rFonts w:cstheme="minorHAnsi"/>
          <w:sz w:val="24"/>
          <w:szCs w:val="24"/>
        </w:rPr>
        <w:t>. (Accessed 17</w:t>
      </w:r>
      <w:r w:rsidRPr="00AD64D2">
        <w:rPr>
          <w:rFonts w:cstheme="minorHAnsi"/>
          <w:sz w:val="24"/>
          <w:szCs w:val="24"/>
          <w:vertAlign w:val="superscript"/>
        </w:rPr>
        <w:t>th</w:t>
      </w:r>
      <w:r w:rsidRPr="00AD64D2">
        <w:rPr>
          <w:rFonts w:cstheme="minorHAnsi"/>
          <w:sz w:val="24"/>
          <w:szCs w:val="24"/>
        </w:rPr>
        <w:t xml:space="preserve"> April 2022).</w:t>
      </w:r>
    </w:p>
    <w:p w14:paraId="1CF0C1AD" w14:textId="42943CFB" w:rsidR="00294E51" w:rsidRPr="00F930FB" w:rsidRDefault="00F930FB" w:rsidP="00F930FB">
      <w:pPr>
        <w:spacing w:before="100" w:beforeAutospacing="1" w:after="100" w:afterAutospacing="1" w:line="240" w:lineRule="auto"/>
        <w:rPr>
          <w:rFonts w:ascii="Calibri" w:eastAsia="Times New Roman" w:hAnsi="Calibri" w:cs="Calibri"/>
          <w:color w:val="000000"/>
          <w:sz w:val="27"/>
          <w:szCs w:val="27"/>
          <w:lang w:eastAsia="en-GB"/>
        </w:rPr>
      </w:pPr>
      <w:r w:rsidRPr="00F930FB">
        <w:rPr>
          <w:rFonts w:ascii="Calibri" w:eastAsia="Times New Roman" w:hAnsi="Calibri" w:cs="Calibri"/>
          <w:color w:val="000000"/>
          <w:sz w:val="27"/>
          <w:szCs w:val="27"/>
          <w:lang w:eastAsia="en-GB"/>
        </w:rPr>
        <w:t>‌</w:t>
      </w:r>
    </w:p>
    <w:p w14:paraId="751B7929" w14:textId="77777777" w:rsidR="003F12A3" w:rsidRPr="003F12A3" w:rsidRDefault="003F12A3" w:rsidP="003F12A3">
      <w:pPr>
        <w:spacing w:before="100" w:beforeAutospacing="1" w:after="100" w:afterAutospacing="1" w:line="240" w:lineRule="auto"/>
        <w:rPr>
          <w:rFonts w:ascii="Calibri" w:eastAsia="Times New Roman" w:hAnsi="Calibri" w:cs="Calibri"/>
          <w:color w:val="000000"/>
          <w:sz w:val="27"/>
          <w:szCs w:val="27"/>
          <w:lang w:eastAsia="en-GB"/>
        </w:rPr>
      </w:pPr>
      <w:r w:rsidRPr="003F12A3">
        <w:rPr>
          <w:rFonts w:ascii="Calibri" w:eastAsia="Times New Roman" w:hAnsi="Calibri" w:cs="Calibri"/>
          <w:color w:val="000000"/>
          <w:sz w:val="27"/>
          <w:szCs w:val="27"/>
          <w:lang w:eastAsia="en-GB"/>
        </w:rPr>
        <w:lastRenderedPageBreak/>
        <w:t>‌</w:t>
      </w:r>
    </w:p>
    <w:p w14:paraId="6ED2A782" w14:textId="3CE10AA8" w:rsidR="0018676E" w:rsidRPr="00CA43D3" w:rsidRDefault="00A01B41" w:rsidP="00CA43D3">
      <w:pPr>
        <w:shd w:val="clear" w:color="auto" w:fill="FFFFFF"/>
        <w:textAlignment w:val="baseline"/>
        <w:rPr>
          <w:rFonts w:ascii="Helvetica" w:hAnsi="Helvetica" w:cs="Helvetica"/>
          <w:color w:val="2A2A2A"/>
          <w:sz w:val="26"/>
          <w:szCs w:val="26"/>
        </w:rPr>
      </w:pPr>
      <w:r>
        <w:rPr>
          <w:rFonts w:ascii="Helvetica" w:hAnsi="Helvetica" w:cs="Helvetica"/>
          <w:color w:val="2A2A2A"/>
          <w:sz w:val="26"/>
          <w:szCs w:val="26"/>
        </w:rPr>
        <w:t> </w:t>
      </w:r>
    </w:p>
    <w:p w14:paraId="055965A3" w14:textId="2271119A" w:rsidR="00E56E2F" w:rsidRPr="00E56E2F" w:rsidRDefault="00E56E2F" w:rsidP="00E56E2F">
      <w:pPr>
        <w:spacing w:before="100" w:beforeAutospacing="1" w:after="100" w:afterAutospacing="1" w:line="240" w:lineRule="auto"/>
        <w:rPr>
          <w:rFonts w:ascii="Calibri" w:eastAsia="Times New Roman" w:hAnsi="Calibri" w:cs="Calibri"/>
          <w:color w:val="000000"/>
          <w:sz w:val="27"/>
          <w:szCs w:val="27"/>
          <w:lang w:eastAsia="en-GB"/>
        </w:rPr>
      </w:pPr>
    </w:p>
    <w:p w14:paraId="2AC7A912" w14:textId="519CCF11" w:rsidR="00B30271" w:rsidRPr="00700645" w:rsidRDefault="00B30271" w:rsidP="00B30271">
      <w:pPr>
        <w:pStyle w:val="NormalWeb"/>
        <w:rPr>
          <w:rFonts w:ascii="Calibri" w:hAnsi="Calibri" w:cs="Calibri"/>
          <w:i/>
          <w:iCs/>
          <w:color w:val="000000"/>
          <w:sz w:val="27"/>
          <w:szCs w:val="27"/>
        </w:rPr>
      </w:pPr>
    </w:p>
    <w:p w14:paraId="5A12DE82" w14:textId="0CC35A19" w:rsidR="00B30271" w:rsidRPr="00735C83" w:rsidRDefault="00B30271" w:rsidP="008B2D99">
      <w:pPr>
        <w:rPr>
          <w:sz w:val="24"/>
          <w:szCs w:val="24"/>
        </w:rPr>
      </w:pPr>
    </w:p>
    <w:sectPr w:rsidR="00B30271" w:rsidRPr="00735C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2D99"/>
    <w:rsid w:val="00011293"/>
    <w:rsid w:val="000235B0"/>
    <w:rsid w:val="00035201"/>
    <w:rsid w:val="00035AEF"/>
    <w:rsid w:val="00051E81"/>
    <w:rsid w:val="00052C65"/>
    <w:rsid w:val="0006131D"/>
    <w:rsid w:val="00063634"/>
    <w:rsid w:val="00070E23"/>
    <w:rsid w:val="000832CC"/>
    <w:rsid w:val="0009314E"/>
    <w:rsid w:val="00094054"/>
    <w:rsid w:val="00095054"/>
    <w:rsid w:val="000A1B3E"/>
    <w:rsid w:val="000A4169"/>
    <w:rsid w:val="000B3EF7"/>
    <w:rsid w:val="000B62BF"/>
    <w:rsid w:val="00112E58"/>
    <w:rsid w:val="00121E63"/>
    <w:rsid w:val="00132355"/>
    <w:rsid w:val="00141000"/>
    <w:rsid w:val="00161FC1"/>
    <w:rsid w:val="00162053"/>
    <w:rsid w:val="0016710F"/>
    <w:rsid w:val="0018676E"/>
    <w:rsid w:val="0018696B"/>
    <w:rsid w:val="0018765E"/>
    <w:rsid w:val="001A7D15"/>
    <w:rsid w:val="001C2B35"/>
    <w:rsid w:val="001D0970"/>
    <w:rsid w:val="001D22AB"/>
    <w:rsid w:val="001D38EC"/>
    <w:rsid w:val="001D4329"/>
    <w:rsid w:val="001E6627"/>
    <w:rsid w:val="001E731A"/>
    <w:rsid w:val="001E74F1"/>
    <w:rsid w:val="001F1F5E"/>
    <w:rsid w:val="002018E7"/>
    <w:rsid w:val="00210FB8"/>
    <w:rsid w:val="00214551"/>
    <w:rsid w:val="00222A10"/>
    <w:rsid w:val="002272AC"/>
    <w:rsid w:val="00236A77"/>
    <w:rsid w:val="002409D7"/>
    <w:rsid w:val="002458B3"/>
    <w:rsid w:val="002506B8"/>
    <w:rsid w:val="00253352"/>
    <w:rsid w:val="002558F7"/>
    <w:rsid w:val="00257142"/>
    <w:rsid w:val="002667E4"/>
    <w:rsid w:val="00294E51"/>
    <w:rsid w:val="002A02CA"/>
    <w:rsid w:val="002B2B78"/>
    <w:rsid w:val="002B6371"/>
    <w:rsid w:val="002C56B2"/>
    <w:rsid w:val="002D7132"/>
    <w:rsid w:val="002D71A9"/>
    <w:rsid w:val="002E6E2F"/>
    <w:rsid w:val="002F045D"/>
    <w:rsid w:val="0030173B"/>
    <w:rsid w:val="0030232C"/>
    <w:rsid w:val="003045F0"/>
    <w:rsid w:val="00306489"/>
    <w:rsid w:val="00307281"/>
    <w:rsid w:val="0033008B"/>
    <w:rsid w:val="003305FD"/>
    <w:rsid w:val="00330F44"/>
    <w:rsid w:val="00334E85"/>
    <w:rsid w:val="003367D0"/>
    <w:rsid w:val="0034395D"/>
    <w:rsid w:val="00346783"/>
    <w:rsid w:val="00373841"/>
    <w:rsid w:val="003818CA"/>
    <w:rsid w:val="00385210"/>
    <w:rsid w:val="003869FF"/>
    <w:rsid w:val="00386F26"/>
    <w:rsid w:val="003928F1"/>
    <w:rsid w:val="003A4513"/>
    <w:rsid w:val="003B60EE"/>
    <w:rsid w:val="003C28CB"/>
    <w:rsid w:val="003D0AF5"/>
    <w:rsid w:val="003E6A54"/>
    <w:rsid w:val="003F12A3"/>
    <w:rsid w:val="004166F4"/>
    <w:rsid w:val="0042137A"/>
    <w:rsid w:val="004311FA"/>
    <w:rsid w:val="0045043F"/>
    <w:rsid w:val="00491C0D"/>
    <w:rsid w:val="004A0CD0"/>
    <w:rsid w:val="004A323D"/>
    <w:rsid w:val="004A35DB"/>
    <w:rsid w:val="004A38ED"/>
    <w:rsid w:val="004B06BD"/>
    <w:rsid w:val="004F6F09"/>
    <w:rsid w:val="0051402B"/>
    <w:rsid w:val="00534BA7"/>
    <w:rsid w:val="005411EA"/>
    <w:rsid w:val="005427D5"/>
    <w:rsid w:val="0054384C"/>
    <w:rsid w:val="00544671"/>
    <w:rsid w:val="0054495A"/>
    <w:rsid w:val="00552E20"/>
    <w:rsid w:val="00553201"/>
    <w:rsid w:val="00562C19"/>
    <w:rsid w:val="005746DD"/>
    <w:rsid w:val="005808C1"/>
    <w:rsid w:val="00592067"/>
    <w:rsid w:val="00596004"/>
    <w:rsid w:val="005975B8"/>
    <w:rsid w:val="005A1F1C"/>
    <w:rsid w:val="005A5A7E"/>
    <w:rsid w:val="005B3274"/>
    <w:rsid w:val="005B5C95"/>
    <w:rsid w:val="005B790D"/>
    <w:rsid w:val="005D099B"/>
    <w:rsid w:val="005D4101"/>
    <w:rsid w:val="005E141F"/>
    <w:rsid w:val="006019BA"/>
    <w:rsid w:val="00617128"/>
    <w:rsid w:val="0063417B"/>
    <w:rsid w:val="0064291F"/>
    <w:rsid w:val="00662D7A"/>
    <w:rsid w:val="00667443"/>
    <w:rsid w:val="00676413"/>
    <w:rsid w:val="0068433C"/>
    <w:rsid w:val="00697A5F"/>
    <w:rsid w:val="006A4583"/>
    <w:rsid w:val="006A472D"/>
    <w:rsid w:val="006A5850"/>
    <w:rsid w:val="006B4A1C"/>
    <w:rsid w:val="006C354C"/>
    <w:rsid w:val="006D4C86"/>
    <w:rsid w:val="006D613D"/>
    <w:rsid w:val="006E47EF"/>
    <w:rsid w:val="006E7D28"/>
    <w:rsid w:val="006F2DE6"/>
    <w:rsid w:val="00700645"/>
    <w:rsid w:val="00717F87"/>
    <w:rsid w:val="00726305"/>
    <w:rsid w:val="00735C83"/>
    <w:rsid w:val="007578B6"/>
    <w:rsid w:val="0077297A"/>
    <w:rsid w:val="00775C94"/>
    <w:rsid w:val="007815B7"/>
    <w:rsid w:val="007830EC"/>
    <w:rsid w:val="007B2C66"/>
    <w:rsid w:val="007E3BC4"/>
    <w:rsid w:val="007F1E8D"/>
    <w:rsid w:val="00813FAD"/>
    <w:rsid w:val="00824BAF"/>
    <w:rsid w:val="008265E9"/>
    <w:rsid w:val="00830957"/>
    <w:rsid w:val="00832C65"/>
    <w:rsid w:val="008339D9"/>
    <w:rsid w:val="00836201"/>
    <w:rsid w:val="008366D6"/>
    <w:rsid w:val="00836F99"/>
    <w:rsid w:val="00852D53"/>
    <w:rsid w:val="0087236E"/>
    <w:rsid w:val="00875A0E"/>
    <w:rsid w:val="00881953"/>
    <w:rsid w:val="008832AC"/>
    <w:rsid w:val="00886DE5"/>
    <w:rsid w:val="00887EE6"/>
    <w:rsid w:val="008B2D99"/>
    <w:rsid w:val="008C0D45"/>
    <w:rsid w:val="008D06B6"/>
    <w:rsid w:val="008D76A9"/>
    <w:rsid w:val="008E0BCE"/>
    <w:rsid w:val="008F530C"/>
    <w:rsid w:val="0091073E"/>
    <w:rsid w:val="009327AC"/>
    <w:rsid w:val="0095322D"/>
    <w:rsid w:val="00962A70"/>
    <w:rsid w:val="0096600B"/>
    <w:rsid w:val="00985EBB"/>
    <w:rsid w:val="00993562"/>
    <w:rsid w:val="009A27F0"/>
    <w:rsid w:val="009B5DEE"/>
    <w:rsid w:val="009D33A3"/>
    <w:rsid w:val="009F43A5"/>
    <w:rsid w:val="009F5472"/>
    <w:rsid w:val="00A01B41"/>
    <w:rsid w:val="00A1393E"/>
    <w:rsid w:val="00A21B7C"/>
    <w:rsid w:val="00A50472"/>
    <w:rsid w:val="00A50B0C"/>
    <w:rsid w:val="00A57442"/>
    <w:rsid w:val="00A8351E"/>
    <w:rsid w:val="00A86E69"/>
    <w:rsid w:val="00AA5A4C"/>
    <w:rsid w:val="00AC1B28"/>
    <w:rsid w:val="00AC3F77"/>
    <w:rsid w:val="00AD640A"/>
    <w:rsid w:val="00AD64D2"/>
    <w:rsid w:val="00AE0D38"/>
    <w:rsid w:val="00B034DF"/>
    <w:rsid w:val="00B12D4F"/>
    <w:rsid w:val="00B15374"/>
    <w:rsid w:val="00B23F78"/>
    <w:rsid w:val="00B30271"/>
    <w:rsid w:val="00B31D2D"/>
    <w:rsid w:val="00B44868"/>
    <w:rsid w:val="00B45B7F"/>
    <w:rsid w:val="00B50DE0"/>
    <w:rsid w:val="00B6594B"/>
    <w:rsid w:val="00B75E5D"/>
    <w:rsid w:val="00B761AE"/>
    <w:rsid w:val="00B83578"/>
    <w:rsid w:val="00B9286E"/>
    <w:rsid w:val="00B9331A"/>
    <w:rsid w:val="00BA3107"/>
    <w:rsid w:val="00BB1663"/>
    <w:rsid w:val="00BB435A"/>
    <w:rsid w:val="00BD11D3"/>
    <w:rsid w:val="00BE7D4F"/>
    <w:rsid w:val="00BF58C4"/>
    <w:rsid w:val="00C00CD5"/>
    <w:rsid w:val="00C04B4D"/>
    <w:rsid w:val="00C05114"/>
    <w:rsid w:val="00C11D98"/>
    <w:rsid w:val="00C1211A"/>
    <w:rsid w:val="00C122F1"/>
    <w:rsid w:val="00C20518"/>
    <w:rsid w:val="00C20672"/>
    <w:rsid w:val="00C22942"/>
    <w:rsid w:val="00C24DBD"/>
    <w:rsid w:val="00C32967"/>
    <w:rsid w:val="00C3312F"/>
    <w:rsid w:val="00C33F45"/>
    <w:rsid w:val="00C42954"/>
    <w:rsid w:val="00C47860"/>
    <w:rsid w:val="00C556A0"/>
    <w:rsid w:val="00C6661E"/>
    <w:rsid w:val="00C81E19"/>
    <w:rsid w:val="00C96F63"/>
    <w:rsid w:val="00CA2534"/>
    <w:rsid w:val="00CA322B"/>
    <w:rsid w:val="00CA43D3"/>
    <w:rsid w:val="00CB1550"/>
    <w:rsid w:val="00CB2420"/>
    <w:rsid w:val="00CB6ACB"/>
    <w:rsid w:val="00CC0298"/>
    <w:rsid w:val="00CC1588"/>
    <w:rsid w:val="00CC5BD8"/>
    <w:rsid w:val="00CF2588"/>
    <w:rsid w:val="00D022B6"/>
    <w:rsid w:val="00D02B5E"/>
    <w:rsid w:val="00D17E40"/>
    <w:rsid w:val="00D21860"/>
    <w:rsid w:val="00D26BE9"/>
    <w:rsid w:val="00D27A66"/>
    <w:rsid w:val="00D3181C"/>
    <w:rsid w:val="00D33404"/>
    <w:rsid w:val="00D45CC0"/>
    <w:rsid w:val="00D461E2"/>
    <w:rsid w:val="00D463FE"/>
    <w:rsid w:val="00D50C30"/>
    <w:rsid w:val="00D51B69"/>
    <w:rsid w:val="00D52175"/>
    <w:rsid w:val="00D531E8"/>
    <w:rsid w:val="00D6516B"/>
    <w:rsid w:val="00D73592"/>
    <w:rsid w:val="00D752F7"/>
    <w:rsid w:val="00D76F19"/>
    <w:rsid w:val="00D77CB6"/>
    <w:rsid w:val="00D91C5F"/>
    <w:rsid w:val="00DB42BD"/>
    <w:rsid w:val="00DB7CB6"/>
    <w:rsid w:val="00DC7330"/>
    <w:rsid w:val="00DE2CAA"/>
    <w:rsid w:val="00DF07F8"/>
    <w:rsid w:val="00E0290D"/>
    <w:rsid w:val="00E04EC1"/>
    <w:rsid w:val="00E05DD1"/>
    <w:rsid w:val="00E15D60"/>
    <w:rsid w:val="00E22262"/>
    <w:rsid w:val="00E2413B"/>
    <w:rsid w:val="00E31D9D"/>
    <w:rsid w:val="00E3501A"/>
    <w:rsid w:val="00E5345D"/>
    <w:rsid w:val="00E56E2F"/>
    <w:rsid w:val="00E952BB"/>
    <w:rsid w:val="00EA2799"/>
    <w:rsid w:val="00EB174F"/>
    <w:rsid w:val="00ED3BF9"/>
    <w:rsid w:val="00EF15D7"/>
    <w:rsid w:val="00F0119B"/>
    <w:rsid w:val="00F0319A"/>
    <w:rsid w:val="00F06E71"/>
    <w:rsid w:val="00F07128"/>
    <w:rsid w:val="00F13BCC"/>
    <w:rsid w:val="00F15D1A"/>
    <w:rsid w:val="00F1681E"/>
    <w:rsid w:val="00F3284D"/>
    <w:rsid w:val="00F6257F"/>
    <w:rsid w:val="00F84150"/>
    <w:rsid w:val="00F8587D"/>
    <w:rsid w:val="00F86632"/>
    <w:rsid w:val="00F86BBE"/>
    <w:rsid w:val="00F8795C"/>
    <w:rsid w:val="00F930FB"/>
    <w:rsid w:val="00FA7002"/>
    <w:rsid w:val="00FB6CD4"/>
    <w:rsid w:val="00FC0CE2"/>
    <w:rsid w:val="00FF16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527DC"/>
  <w15:chartTrackingRefBased/>
  <w15:docId w15:val="{9AD33673-D8AD-4B2D-AD5A-F8E4BA6F3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01B4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E3BC4"/>
    <w:rPr>
      <w:color w:val="0563C1" w:themeColor="hyperlink"/>
      <w:u w:val="single"/>
    </w:rPr>
  </w:style>
  <w:style w:type="character" w:styleId="UnresolvedMention">
    <w:name w:val="Unresolved Mention"/>
    <w:basedOn w:val="DefaultParagraphFont"/>
    <w:uiPriority w:val="99"/>
    <w:semiHidden/>
    <w:unhideWhenUsed/>
    <w:rsid w:val="007E3BC4"/>
    <w:rPr>
      <w:color w:val="605E5C"/>
      <w:shd w:val="clear" w:color="auto" w:fill="E1DFDD"/>
    </w:rPr>
  </w:style>
  <w:style w:type="paragraph" w:styleId="NormalWeb">
    <w:name w:val="Normal (Web)"/>
    <w:basedOn w:val="Normal"/>
    <w:uiPriority w:val="99"/>
    <w:unhideWhenUsed/>
    <w:rsid w:val="00B302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F58C4"/>
    <w:rPr>
      <w:i/>
      <w:iCs/>
    </w:rPr>
  </w:style>
  <w:style w:type="character" w:styleId="FollowedHyperlink">
    <w:name w:val="FollowedHyperlink"/>
    <w:basedOn w:val="DefaultParagraphFont"/>
    <w:uiPriority w:val="99"/>
    <w:semiHidden/>
    <w:unhideWhenUsed/>
    <w:rsid w:val="00BF58C4"/>
    <w:rPr>
      <w:color w:val="954F72" w:themeColor="followedHyperlink"/>
      <w:u w:val="single"/>
    </w:rPr>
  </w:style>
  <w:style w:type="character" w:customStyle="1" w:styleId="Heading1Char">
    <w:name w:val="Heading 1 Char"/>
    <w:basedOn w:val="DefaultParagraphFont"/>
    <w:link w:val="Heading1"/>
    <w:uiPriority w:val="9"/>
    <w:rsid w:val="00A01B41"/>
    <w:rPr>
      <w:rFonts w:ascii="Times New Roman" w:eastAsia="Times New Roman" w:hAnsi="Times New Roman" w:cs="Times New Roman"/>
      <w:b/>
      <w:bCs/>
      <w:kern w:val="36"/>
      <w:sz w:val="48"/>
      <w:szCs w:val="48"/>
      <w:lang w:eastAsia="en-GB"/>
    </w:rPr>
  </w:style>
  <w:style w:type="character" w:customStyle="1" w:styleId="al-author-name-more">
    <w:name w:val="al-author-name-more"/>
    <w:basedOn w:val="DefaultParagraphFont"/>
    <w:rsid w:val="00A01B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932731">
      <w:bodyDiv w:val="1"/>
      <w:marLeft w:val="0"/>
      <w:marRight w:val="0"/>
      <w:marTop w:val="0"/>
      <w:marBottom w:val="0"/>
      <w:divBdr>
        <w:top w:val="none" w:sz="0" w:space="0" w:color="auto"/>
        <w:left w:val="none" w:sz="0" w:space="0" w:color="auto"/>
        <w:bottom w:val="none" w:sz="0" w:space="0" w:color="auto"/>
        <w:right w:val="none" w:sz="0" w:space="0" w:color="auto"/>
      </w:divBdr>
    </w:div>
    <w:div w:id="688415891">
      <w:bodyDiv w:val="1"/>
      <w:marLeft w:val="0"/>
      <w:marRight w:val="0"/>
      <w:marTop w:val="0"/>
      <w:marBottom w:val="0"/>
      <w:divBdr>
        <w:top w:val="none" w:sz="0" w:space="0" w:color="auto"/>
        <w:left w:val="none" w:sz="0" w:space="0" w:color="auto"/>
        <w:bottom w:val="none" w:sz="0" w:space="0" w:color="auto"/>
        <w:right w:val="none" w:sz="0" w:space="0" w:color="auto"/>
      </w:divBdr>
    </w:div>
    <w:div w:id="749500123">
      <w:bodyDiv w:val="1"/>
      <w:marLeft w:val="0"/>
      <w:marRight w:val="0"/>
      <w:marTop w:val="0"/>
      <w:marBottom w:val="0"/>
      <w:divBdr>
        <w:top w:val="none" w:sz="0" w:space="0" w:color="auto"/>
        <w:left w:val="none" w:sz="0" w:space="0" w:color="auto"/>
        <w:bottom w:val="none" w:sz="0" w:space="0" w:color="auto"/>
        <w:right w:val="none" w:sz="0" w:space="0" w:color="auto"/>
      </w:divBdr>
    </w:div>
    <w:div w:id="844124712">
      <w:bodyDiv w:val="1"/>
      <w:marLeft w:val="0"/>
      <w:marRight w:val="0"/>
      <w:marTop w:val="0"/>
      <w:marBottom w:val="0"/>
      <w:divBdr>
        <w:top w:val="none" w:sz="0" w:space="0" w:color="auto"/>
        <w:left w:val="none" w:sz="0" w:space="0" w:color="auto"/>
        <w:bottom w:val="none" w:sz="0" w:space="0" w:color="auto"/>
        <w:right w:val="none" w:sz="0" w:space="0" w:color="auto"/>
      </w:divBdr>
      <w:divsChild>
        <w:div w:id="1193878845">
          <w:marLeft w:val="0"/>
          <w:marRight w:val="0"/>
          <w:marTop w:val="0"/>
          <w:marBottom w:val="0"/>
          <w:divBdr>
            <w:top w:val="none" w:sz="0" w:space="0" w:color="auto"/>
            <w:left w:val="none" w:sz="0" w:space="0" w:color="auto"/>
            <w:bottom w:val="none" w:sz="0" w:space="0" w:color="auto"/>
            <w:right w:val="none" w:sz="0" w:space="0" w:color="auto"/>
          </w:divBdr>
        </w:div>
        <w:div w:id="1417510881">
          <w:marLeft w:val="0"/>
          <w:marRight w:val="0"/>
          <w:marTop w:val="0"/>
          <w:marBottom w:val="0"/>
          <w:divBdr>
            <w:top w:val="none" w:sz="0" w:space="0" w:color="auto"/>
            <w:left w:val="none" w:sz="0" w:space="0" w:color="auto"/>
            <w:bottom w:val="none" w:sz="0" w:space="0" w:color="auto"/>
            <w:right w:val="none" w:sz="0" w:space="0" w:color="auto"/>
          </w:divBdr>
          <w:divsChild>
            <w:div w:id="413550202">
              <w:marLeft w:val="0"/>
              <w:marRight w:val="0"/>
              <w:marTop w:val="0"/>
              <w:marBottom w:val="165"/>
              <w:divBdr>
                <w:top w:val="none" w:sz="0" w:space="0" w:color="auto"/>
                <w:left w:val="none" w:sz="0" w:space="0" w:color="auto"/>
                <w:bottom w:val="none" w:sz="0" w:space="0" w:color="auto"/>
                <w:right w:val="none" w:sz="0" w:space="0" w:color="auto"/>
              </w:divBdr>
            </w:div>
          </w:divsChild>
        </w:div>
        <w:div w:id="441264065">
          <w:marLeft w:val="0"/>
          <w:marRight w:val="0"/>
          <w:marTop w:val="165"/>
          <w:marBottom w:val="165"/>
          <w:divBdr>
            <w:top w:val="none" w:sz="0" w:space="0" w:color="auto"/>
            <w:left w:val="none" w:sz="0" w:space="0" w:color="auto"/>
            <w:bottom w:val="none" w:sz="0" w:space="0" w:color="auto"/>
            <w:right w:val="none" w:sz="0" w:space="0" w:color="auto"/>
          </w:divBdr>
          <w:divsChild>
            <w:div w:id="2011591356">
              <w:marLeft w:val="0"/>
              <w:marRight w:val="0"/>
              <w:marTop w:val="0"/>
              <w:marBottom w:val="0"/>
              <w:divBdr>
                <w:top w:val="none" w:sz="0" w:space="0" w:color="auto"/>
                <w:left w:val="none" w:sz="0" w:space="0" w:color="auto"/>
                <w:bottom w:val="none" w:sz="0" w:space="0" w:color="auto"/>
                <w:right w:val="none" w:sz="0" w:space="0" w:color="auto"/>
              </w:divBdr>
              <w:divsChild>
                <w:div w:id="124781131">
                  <w:marLeft w:val="0"/>
                  <w:marRight w:val="225"/>
                  <w:marTop w:val="0"/>
                  <w:marBottom w:val="0"/>
                  <w:divBdr>
                    <w:top w:val="none" w:sz="0" w:space="0" w:color="auto"/>
                    <w:left w:val="none" w:sz="0" w:space="0" w:color="auto"/>
                    <w:bottom w:val="none" w:sz="0" w:space="0" w:color="auto"/>
                    <w:right w:val="none" w:sz="0" w:space="0" w:color="auto"/>
                  </w:divBdr>
                </w:div>
              </w:divsChild>
            </w:div>
            <w:div w:id="362023524">
              <w:marLeft w:val="0"/>
              <w:marRight w:val="0"/>
              <w:marTop w:val="0"/>
              <w:marBottom w:val="0"/>
              <w:divBdr>
                <w:top w:val="none" w:sz="0" w:space="0" w:color="auto"/>
                <w:left w:val="none" w:sz="0" w:space="0" w:color="auto"/>
                <w:bottom w:val="none" w:sz="0" w:space="0" w:color="auto"/>
                <w:right w:val="none" w:sz="0" w:space="0" w:color="auto"/>
              </w:divBdr>
              <w:divsChild>
                <w:div w:id="35543954">
                  <w:marLeft w:val="0"/>
                  <w:marRight w:val="300"/>
                  <w:marTop w:val="0"/>
                  <w:marBottom w:val="0"/>
                  <w:divBdr>
                    <w:top w:val="none" w:sz="0" w:space="0" w:color="auto"/>
                    <w:left w:val="none" w:sz="0" w:space="0" w:color="auto"/>
                    <w:bottom w:val="none" w:sz="0" w:space="0" w:color="auto"/>
                    <w:right w:val="none" w:sz="0" w:space="0" w:color="auto"/>
                  </w:divBdr>
                  <w:divsChild>
                    <w:div w:id="1049108519">
                      <w:marLeft w:val="0"/>
                      <w:marRight w:val="75"/>
                      <w:marTop w:val="0"/>
                      <w:marBottom w:val="0"/>
                      <w:divBdr>
                        <w:top w:val="none" w:sz="0" w:space="0" w:color="auto"/>
                        <w:left w:val="none" w:sz="0" w:space="0" w:color="auto"/>
                        <w:bottom w:val="none" w:sz="0" w:space="0" w:color="auto"/>
                        <w:right w:val="none" w:sz="0" w:space="0" w:color="auto"/>
                      </w:divBdr>
                    </w:div>
                    <w:div w:id="28337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3538277">
      <w:bodyDiv w:val="1"/>
      <w:marLeft w:val="0"/>
      <w:marRight w:val="0"/>
      <w:marTop w:val="0"/>
      <w:marBottom w:val="0"/>
      <w:divBdr>
        <w:top w:val="none" w:sz="0" w:space="0" w:color="auto"/>
        <w:left w:val="none" w:sz="0" w:space="0" w:color="auto"/>
        <w:bottom w:val="none" w:sz="0" w:space="0" w:color="auto"/>
        <w:right w:val="none" w:sz="0" w:space="0" w:color="auto"/>
      </w:divBdr>
    </w:div>
    <w:div w:id="1636448596">
      <w:bodyDiv w:val="1"/>
      <w:marLeft w:val="0"/>
      <w:marRight w:val="0"/>
      <w:marTop w:val="0"/>
      <w:marBottom w:val="0"/>
      <w:divBdr>
        <w:top w:val="none" w:sz="0" w:space="0" w:color="auto"/>
        <w:left w:val="none" w:sz="0" w:space="0" w:color="auto"/>
        <w:bottom w:val="none" w:sz="0" w:space="0" w:color="auto"/>
        <w:right w:val="none" w:sz="0" w:space="0" w:color="auto"/>
      </w:divBdr>
    </w:div>
    <w:div w:id="1739865923">
      <w:bodyDiv w:val="1"/>
      <w:marLeft w:val="0"/>
      <w:marRight w:val="0"/>
      <w:marTop w:val="0"/>
      <w:marBottom w:val="0"/>
      <w:divBdr>
        <w:top w:val="none" w:sz="0" w:space="0" w:color="auto"/>
        <w:left w:val="none" w:sz="0" w:space="0" w:color="auto"/>
        <w:bottom w:val="none" w:sz="0" w:space="0" w:color="auto"/>
        <w:right w:val="none" w:sz="0" w:space="0" w:color="auto"/>
      </w:divBdr>
    </w:div>
    <w:div w:id="1848398709">
      <w:bodyDiv w:val="1"/>
      <w:marLeft w:val="0"/>
      <w:marRight w:val="0"/>
      <w:marTop w:val="0"/>
      <w:marBottom w:val="0"/>
      <w:divBdr>
        <w:top w:val="none" w:sz="0" w:space="0" w:color="auto"/>
        <w:left w:val="none" w:sz="0" w:space="0" w:color="auto"/>
        <w:bottom w:val="none" w:sz="0" w:space="0" w:color="auto"/>
        <w:right w:val="none" w:sz="0" w:space="0" w:color="auto"/>
      </w:divBdr>
    </w:div>
    <w:div w:id="1996831259">
      <w:bodyDiv w:val="1"/>
      <w:marLeft w:val="0"/>
      <w:marRight w:val="0"/>
      <w:marTop w:val="0"/>
      <w:marBottom w:val="0"/>
      <w:divBdr>
        <w:top w:val="none" w:sz="0" w:space="0" w:color="auto"/>
        <w:left w:val="none" w:sz="0" w:space="0" w:color="auto"/>
        <w:bottom w:val="none" w:sz="0" w:space="0" w:color="auto"/>
        <w:right w:val="none" w:sz="0" w:space="0" w:color="auto"/>
      </w:divBdr>
    </w:div>
    <w:div w:id="20470214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inonline.org/HOL/LandingPage?handle=hein.journals/irishjur41&amp;div=9&amp;id=&amp;page=" TargetMode="External"/><Relationship Id="rId13" Type="http://schemas.openxmlformats.org/officeDocument/2006/relationships/hyperlink" Target="https://www.parliament.uk/site-information/glossary/legislation/" TargetMode="External"/><Relationship Id="rId3" Type="http://schemas.openxmlformats.org/officeDocument/2006/relationships/webSettings" Target="webSettings.xml"/><Relationship Id="rId7" Type="http://schemas.openxmlformats.org/officeDocument/2006/relationships/hyperlink" Target="https://www.jstor.org/stable/3600592?seq=1" TargetMode="External"/><Relationship Id="rId12" Type="http://schemas.openxmlformats.org/officeDocument/2006/relationships/hyperlink" Target="https://assets.publishing.service.gov.uk/government/uploads/system/uploads/attachment_data/file/187015/GoodLaw_report_8April_AP.pdf"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repository.cam.ac.uk/bitstream/handle/1810/246176/OA1838_Statutory-interpretation-and-constitutional-legislation-FINAL-19-03-14.pdf?sequence=1&amp;isAllowed=y" TargetMode="External"/><Relationship Id="rId11" Type="http://schemas.openxmlformats.org/officeDocument/2006/relationships/hyperlink" Target="https://heinonline.org/HOL/LandingPage?handle=hein.journals/oxfjls14&amp;div=18&amp;id=&amp;page=" TargetMode="External"/><Relationship Id="rId5" Type="http://schemas.openxmlformats.org/officeDocument/2006/relationships/hyperlink" Target="https://papers.ssrn.com/sol3/papers.cfm?abstract_id=2929738" TargetMode="External"/><Relationship Id="rId15" Type="http://schemas.openxmlformats.org/officeDocument/2006/relationships/hyperlink" Target="https://www-cambridge-org.ezproxy.uwtsd.ac.uk/core/journals/legal-studies/article/abs/statutory-interpretation/3970CA1B0A199F75BC6EB666944EF535" TargetMode="External"/><Relationship Id="rId10" Type="http://schemas.openxmlformats.org/officeDocument/2006/relationships/hyperlink" Target="https://academic.oup.com/slr/article-abstract/39/3/303/3887258?redirectedFrom=fulltext" TargetMode="External"/><Relationship Id="rId4" Type="http://schemas.openxmlformats.org/officeDocument/2006/relationships/hyperlink" Target="https://ukconstitutionallaw.org/" TargetMode="External"/><Relationship Id="rId9" Type="http://schemas.openxmlformats.org/officeDocument/2006/relationships/hyperlink" Target="https://academic.oup.com/slr/article/38/2/125/2351133" TargetMode="External"/><Relationship Id="rId14" Type="http://schemas.openxmlformats.org/officeDocument/2006/relationships/hyperlink" Target="https://doi.org/10.4337/9781781006108.000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165</TotalTime>
  <Pages>6</Pages>
  <Words>2397</Words>
  <Characters>13664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Parry</dc:creator>
  <cp:keywords/>
  <dc:description/>
  <cp:lastModifiedBy>Jamie Parry</cp:lastModifiedBy>
  <cp:revision>134</cp:revision>
  <dcterms:created xsi:type="dcterms:W3CDTF">2022-04-17T17:17:00Z</dcterms:created>
  <dcterms:modified xsi:type="dcterms:W3CDTF">2022-04-29T17:34:00Z</dcterms:modified>
</cp:coreProperties>
</file>