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84E884" w14:textId="77777777" w:rsidR="00366900" w:rsidRDefault="00366900" w:rsidP="002C7673">
      <w:pPr>
        <w:spacing w:after="0" w:line="240" w:lineRule="auto"/>
        <w:ind w:firstLine="851"/>
        <w:jc w:val="center"/>
        <w:rPr>
          <w:rFonts w:ascii="Arial" w:eastAsia="Times New Roman" w:hAnsi="Arial" w:cs="Arial"/>
          <w:kern w:val="0"/>
          <w:lang w:eastAsia="en-GB"/>
          <w14:ligatures w14:val="none"/>
        </w:rPr>
      </w:pPr>
    </w:p>
    <w:p w14:paraId="191527DA" w14:textId="77777777" w:rsidR="00366900" w:rsidRDefault="00366900" w:rsidP="002C7673">
      <w:pPr>
        <w:spacing w:after="0" w:line="240" w:lineRule="auto"/>
        <w:ind w:firstLine="851"/>
        <w:jc w:val="center"/>
        <w:rPr>
          <w:rFonts w:ascii="Arial" w:eastAsia="Times New Roman" w:hAnsi="Arial" w:cs="Arial"/>
          <w:kern w:val="0"/>
          <w:lang w:eastAsia="en-GB"/>
          <w14:ligatures w14:val="none"/>
        </w:rPr>
      </w:pPr>
    </w:p>
    <w:p w14:paraId="21DC3C0D" w14:textId="77777777" w:rsidR="00366900" w:rsidRDefault="00366900" w:rsidP="002C7673">
      <w:pPr>
        <w:spacing w:after="0" w:line="240" w:lineRule="auto"/>
        <w:ind w:firstLine="851"/>
        <w:jc w:val="center"/>
        <w:rPr>
          <w:rFonts w:ascii="Arial" w:eastAsia="Times New Roman" w:hAnsi="Arial" w:cs="Arial"/>
          <w:kern w:val="0"/>
          <w:lang w:eastAsia="en-GB"/>
          <w14:ligatures w14:val="none"/>
        </w:rPr>
      </w:pPr>
    </w:p>
    <w:p w14:paraId="11107FDF" w14:textId="77777777" w:rsidR="00366900" w:rsidRDefault="00366900" w:rsidP="002C7673">
      <w:pPr>
        <w:spacing w:after="0" w:line="240" w:lineRule="auto"/>
        <w:ind w:firstLine="851"/>
        <w:jc w:val="center"/>
        <w:rPr>
          <w:rFonts w:ascii="Arial" w:eastAsia="Times New Roman" w:hAnsi="Arial" w:cs="Arial"/>
          <w:kern w:val="0"/>
          <w:lang w:eastAsia="en-GB"/>
          <w14:ligatures w14:val="none"/>
        </w:rPr>
      </w:pPr>
    </w:p>
    <w:p w14:paraId="28CEA14A" w14:textId="77777777" w:rsidR="00366900" w:rsidRDefault="00366900" w:rsidP="002C7673">
      <w:pPr>
        <w:spacing w:after="0" w:line="240" w:lineRule="auto"/>
        <w:ind w:firstLine="851"/>
        <w:jc w:val="center"/>
        <w:rPr>
          <w:rFonts w:ascii="Arial" w:eastAsia="Times New Roman" w:hAnsi="Arial" w:cs="Arial"/>
          <w:kern w:val="0"/>
          <w:lang w:eastAsia="en-GB"/>
          <w14:ligatures w14:val="none"/>
        </w:rPr>
      </w:pPr>
    </w:p>
    <w:p w14:paraId="4128959E" w14:textId="41064695" w:rsidR="00685C69" w:rsidRPr="004F403E" w:rsidRDefault="002C7673" w:rsidP="002C7673">
      <w:pPr>
        <w:spacing w:after="0" w:line="240" w:lineRule="auto"/>
        <w:ind w:firstLine="851"/>
        <w:jc w:val="center"/>
        <w:rPr>
          <w:rFonts w:ascii="Arial" w:eastAsia="Times New Roman" w:hAnsi="Arial" w:cs="Arial"/>
          <w:kern w:val="0"/>
          <w:lang w:eastAsia="en-GB"/>
          <w14:ligatures w14:val="none"/>
        </w:rPr>
      </w:pPr>
      <w:r>
        <w:rPr>
          <w:rFonts w:ascii="Arial" w:eastAsia="Times New Roman" w:hAnsi="Arial" w:cs="Arial"/>
          <w:noProof/>
          <w:kern w:val="0"/>
          <w:lang w:eastAsia="en-GB"/>
        </w:rPr>
        <w:drawing>
          <wp:inline distT="0" distB="0" distL="0" distR="0" wp14:anchorId="369EB9E6" wp14:editId="1A051CAD">
            <wp:extent cx="1905000" cy="2108200"/>
            <wp:effectExtent l="0" t="0" r="0" b="0"/>
            <wp:docPr id="368858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858151" name="Picture 368858151"/>
                    <pic:cNvPicPr/>
                  </pic:nvPicPr>
                  <pic:blipFill>
                    <a:blip r:embed="rId7">
                      <a:extLst>
                        <a:ext uri="{28A0092B-C50C-407E-A947-70E740481C1C}">
                          <a14:useLocalDpi xmlns:a14="http://schemas.microsoft.com/office/drawing/2010/main" val="0"/>
                        </a:ext>
                      </a:extLst>
                    </a:blip>
                    <a:stretch>
                      <a:fillRect/>
                    </a:stretch>
                  </pic:blipFill>
                  <pic:spPr>
                    <a:xfrm>
                      <a:off x="0" y="0"/>
                      <a:ext cx="1905000" cy="2108200"/>
                    </a:xfrm>
                    <a:prstGeom prst="rect">
                      <a:avLst/>
                    </a:prstGeom>
                  </pic:spPr>
                </pic:pic>
              </a:graphicData>
            </a:graphic>
          </wp:inline>
        </w:drawing>
      </w:r>
    </w:p>
    <w:p w14:paraId="16CA828F" w14:textId="1D3E6D28" w:rsidR="002C7673" w:rsidRPr="002C7673" w:rsidRDefault="002C7673" w:rsidP="002C7673">
      <w:pPr>
        <w:spacing w:before="100" w:beforeAutospacing="1" w:after="100" w:afterAutospacing="1" w:line="240" w:lineRule="auto"/>
        <w:jc w:val="center"/>
        <w:rPr>
          <w:rFonts w:ascii="Arial" w:hAnsi="Arial" w:cs="Arial"/>
          <w:b/>
          <w:sz w:val="40"/>
          <w:szCs w:val="40"/>
        </w:rPr>
      </w:pPr>
      <w:r w:rsidRPr="002C7673">
        <w:rPr>
          <w:rFonts w:ascii="Arial" w:hAnsi="Arial" w:cs="Arial"/>
          <w:b/>
          <w:sz w:val="40"/>
          <w:szCs w:val="40"/>
        </w:rPr>
        <w:t>BA Developing Leadership and Management</w:t>
      </w:r>
    </w:p>
    <w:p w14:paraId="63324202" w14:textId="07E92B6C" w:rsidR="002C7673" w:rsidRPr="002C7673" w:rsidRDefault="002C7673" w:rsidP="002C7673">
      <w:pPr>
        <w:jc w:val="center"/>
        <w:rPr>
          <w:rFonts w:ascii="Arial" w:hAnsi="Arial" w:cs="Arial"/>
          <w:b/>
          <w:sz w:val="40"/>
          <w:szCs w:val="40"/>
        </w:rPr>
      </w:pPr>
      <w:r w:rsidRPr="002C7673">
        <w:rPr>
          <w:rFonts w:ascii="Arial" w:eastAsia="Times New Roman" w:hAnsi="Arial" w:cs="Arial"/>
          <w:b/>
          <w:bCs/>
          <w:kern w:val="0"/>
          <w:sz w:val="40"/>
          <w:szCs w:val="40"/>
          <w:lang w:eastAsia="en-GB"/>
          <w14:ligatures w14:val="none"/>
        </w:rPr>
        <w:t xml:space="preserve">Module: </w:t>
      </w:r>
      <w:r w:rsidRPr="002C7673">
        <w:rPr>
          <w:rFonts w:ascii="Arial" w:hAnsi="Arial" w:cs="Arial"/>
          <w:b/>
          <w:sz w:val="40"/>
          <w:szCs w:val="40"/>
        </w:rPr>
        <w:t xml:space="preserve">Principles and Concepts of Finance </w:t>
      </w:r>
      <w:r w:rsidRPr="002C7673">
        <w:rPr>
          <w:rFonts w:ascii="Arial" w:eastAsia="Times New Roman" w:hAnsi="Arial" w:cs="Arial"/>
          <w:b/>
          <w:bCs/>
          <w:kern w:val="0"/>
          <w:sz w:val="40"/>
          <w:szCs w:val="40"/>
          <w:lang w:eastAsia="en-GB"/>
          <w14:ligatures w14:val="none"/>
        </w:rPr>
        <w:t>Relationship</w:t>
      </w:r>
    </w:p>
    <w:p w14:paraId="1A1B3300" w14:textId="5711C57F" w:rsidR="002C7673" w:rsidRPr="002C7673" w:rsidRDefault="002C7673" w:rsidP="002C7673">
      <w:pPr>
        <w:spacing w:before="100" w:beforeAutospacing="1" w:after="100" w:afterAutospacing="1" w:line="240" w:lineRule="auto"/>
        <w:jc w:val="center"/>
        <w:rPr>
          <w:rFonts w:ascii="Arial" w:eastAsia="Times New Roman" w:hAnsi="Arial" w:cs="Arial"/>
          <w:b/>
          <w:bCs/>
          <w:kern w:val="0"/>
          <w:sz w:val="40"/>
          <w:szCs w:val="40"/>
          <w:lang w:eastAsia="en-GB"/>
          <w14:ligatures w14:val="none"/>
        </w:rPr>
      </w:pPr>
      <w:r w:rsidRPr="002C7673">
        <w:rPr>
          <w:rFonts w:ascii="Arial" w:eastAsia="Times New Roman" w:hAnsi="Arial" w:cs="Arial"/>
          <w:b/>
          <w:bCs/>
          <w:kern w:val="0"/>
          <w:sz w:val="40"/>
          <w:szCs w:val="40"/>
          <w:lang w:eastAsia="en-GB"/>
          <w14:ligatures w14:val="none"/>
        </w:rPr>
        <w:t>Module code:</w:t>
      </w:r>
      <w:r w:rsidRPr="002C7673">
        <w:rPr>
          <w:rFonts w:ascii="Arial" w:hAnsi="Arial" w:cs="Arial"/>
          <w:b/>
          <w:sz w:val="40"/>
          <w:szCs w:val="40"/>
        </w:rPr>
        <w:t xml:space="preserve"> BMSW5012</w:t>
      </w:r>
    </w:p>
    <w:p w14:paraId="20804C89" w14:textId="53D8B2E0" w:rsidR="002C7673" w:rsidRPr="002C7673" w:rsidRDefault="002C7673" w:rsidP="002C7673">
      <w:pPr>
        <w:spacing w:before="100" w:beforeAutospacing="1" w:after="100" w:afterAutospacing="1" w:line="240" w:lineRule="auto"/>
        <w:jc w:val="center"/>
        <w:rPr>
          <w:rFonts w:ascii="Arial" w:eastAsia="Times New Roman" w:hAnsi="Arial" w:cs="Arial"/>
          <w:b/>
          <w:bCs/>
          <w:kern w:val="0"/>
          <w:sz w:val="40"/>
          <w:szCs w:val="40"/>
          <w:lang w:eastAsia="en-GB"/>
          <w14:ligatures w14:val="none"/>
        </w:rPr>
      </w:pPr>
      <w:r w:rsidRPr="002C7673">
        <w:rPr>
          <w:rFonts w:ascii="Arial" w:eastAsia="Times New Roman" w:hAnsi="Arial" w:cs="Arial"/>
          <w:b/>
          <w:bCs/>
          <w:kern w:val="0"/>
          <w:sz w:val="40"/>
          <w:szCs w:val="40"/>
          <w:lang w:eastAsia="en-GB"/>
          <w14:ligatures w14:val="none"/>
        </w:rPr>
        <w:t xml:space="preserve">Lecturer: </w:t>
      </w:r>
      <w:r w:rsidRPr="002C7673">
        <w:rPr>
          <w:rFonts w:ascii="Arial" w:hAnsi="Arial" w:cs="Arial"/>
          <w:b/>
          <w:bCs/>
          <w:sz w:val="40"/>
          <w:szCs w:val="40"/>
        </w:rPr>
        <w:t>Christine Joy</w:t>
      </w:r>
    </w:p>
    <w:p w14:paraId="0CB9159B" w14:textId="7504ECD2" w:rsidR="002C7673" w:rsidRDefault="002C7673" w:rsidP="002C7673">
      <w:pPr>
        <w:spacing w:before="100" w:beforeAutospacing="1" w:after="100" w:afterAutospacing="1" w:line="240" w:lineRule="auto"/>
        <w:jc w:val="center"/>
        <w:rPr>
          <w:rFonts w:ascii="Arial" w:eastAsia="Times New Roman" w:hAnsi="Arial" w:cs="Arial"/>
          <w:b/>
          <w:bCs/>
          <w:kern w:val="0"/>
          <w:sz w:val="40"/>
          <w:szCs w:val="40"/>
          <w:lang w:eastAsia="en-GB"/>
          <w14:ligatures w14:val="none"/>
        </w:rPr>
      </w:pPr>
      <w:r w:rsidRPr="002C7673">
        <w:rPr>
          <w:rFonts w:ascii="Arial" w:eastAsia="Times New Roman" w:hAnsi="Arial" w:cs="Arial"/>
          <w:b/>
          <w:bCs/>
          <w:kern w:val="0"/>
          <w:sz w:val="40"/>
          <w:szCs w:val="40"/>
          <w:lang w:eastAsia="en-GB"/>
          <w14:ligatures w14:val="none"/>
        </w:rPr>
        <w:t>Student: Alexandru lon Tutuiu (2313069)</w:t>
      </w:r>
    </w:p>
    <w:p w14:paraId="382AEEB5" w14:textId="77777777" w:rsidR="00366900" w:rsidRDefault="00366900" w:rsidP="00366900">
      <w:pPr>
        <w:spacing w:before="100" w:beforeAutospacing="1" w:after="100" w:afterAutospacing="1" w:line="240" w:lineRule="auto"/>
        <w:rPr>
          <w:rFonts w:ascii="Arial" w:eastAsia="Times New Roman" w:hAnsi="Arial" w:cs="Arial"/>
          <w:b/>
          <w:bCs/>
          <w:kern w:val="0"/>
          <w:sz w:val="40"/>
          <w:szCs w:val="40"/>
          <w:lang w:eastAsia="en-GB"/>
          <w14:ligatures w14:val="none"/>
        </w:rPr>
      </w:pPr>
    </w:p>
    <w:p w14:paraId="2C0C8BCD" w14:textId="71507F27" w:rsidR="00685C69" w:rsidRPr="00366900" w:rsidRDefault="00366900" w:rsidP="00366900">
      <w:pPr>
        <w:spacing w:before="100" w:beforeAutospacing="1" w:after="100" w:afterAutospacing="1" w:line="240" w:lineRule="auto"/>
        <w:jc w:val="center"/>
        <w:rPr>
          <w:rFonts w:ascii="Arial" w:eastAsia="Times New Roman" w:hAnsi="Arial" w:cs="Arial"/>
          <w:color w:val="215E99" w:themeColor="text2" w:themeTint="BF"/>
          <w:kern w:val="0"/>
          <w:sz w:val="48"/>
          <w:szCs w:val="48"/>
          <w:lang w:eastAsia="en-GB"/>
          <w14:ligatures w14:val="none"/>
        </w:rPr>
      </w:pPr>
      <w:r w:rsidRPr="00366900">
        <w:rPr>
          <w:rFonts w:ascii="Arial" w:hAnsi="Arial" w:cs="Arial"/>
          <w:b/>
          <w:color w:val="215E99" w:themeColor="text2" w:themeTint="BF"/>
          <w:sz w:val="48"/>
          <w:szCs w:val="48"/>
        </w:rPr>
        <w:t>Budgeting Principles and Approaches</w:t>
      </w:r>
    </w:p>
    <w:p w14:paraId="0242FC1E" w14:textId="77777777" w:rsidR="00016E8D" w:rsidRDefault="00016E8D">
      <w:pPr>
        <w:rPr>
          <w:rFonts w:ascii="Arial" w:eastAsia="Times New Roman" w:hAnsi="Arial" w:cs="Arial"/>
          <w:b/>
          <w:bCs/>
          <w:kern w:val="0"/>
          <w:sz w:val="32"/>
          <w:szCs w:val="32"/>
          <w:lang w:eastAsia="en-GB"/>
          <w14:ligatures w14:val="none"/>
        </w:rPr>
      </w:pPr>
      <w:r>
        <w:rPr>
          <w:rFonts w:ascii="Arial" w:eastAsia="Times New Roman" w:hAnsi="Arial" w:cs="Arial"/>
          <w:b/>
          <w:bCs/>
          <w:kern w:val="0"/>
          <w:sz w:val="32"/>
          <w:szCs w:val="32"/>
          <w:lang w:eastAsia="en-GB"/>
          <w14:ligatures w14:val="none"/>
        </w:rPr>
        <w:br w:type="page"/>
      </w:r>
    </w:p>
    <w:p w14:paraId="348D8FF7" w14:textId="325803B1" w:rsidR="003917C8" w:rsidRDefault="003917C8">
      <w:pPr>
        <w:rPr>
          <w:rFonts w:asciiTheme="majorHAnsi" w:eastAsia="Times New Roman" w:hAnsiTheme="majorHAnsi" w:cstheme="majorBidi"/>
          <w:color w:val="0F4761" w:themeColor="accent1" w:themeShade="BF"/>
          <w:sz w:val="40"/>
          <w:szCs w:val="40"/>
          <w:lang w:eastAsia="en-GB"/>
        </w:rPr>
      </w:pPr>
    </w:p>
    <w:sdt>
      <w:sdtPr>
        <w:rPr>
          <w:rFonts w:asciiTheme="minorHAnsi" w:eastAsiaTheme="minorHAnsi" w:hAnsiTheme="minorHAnsi" w:cstheme="minorBidi"/>
          <w:b w:val="0"/>
          <w:bCs w:val="0"/>
          <w:color w:val="auto"/>
          <w:kern w:val="2"/>
          <w:sz w:val="24"/>
          <w:szCs w:val="24"/>
          <w:lang w:val="en-GB"/>
          <w14:ligatures w14:val="standardContextual"/>
        </w:rPr>
        <w:id w:val="-264002511"/>
        <w:docPartObj>
          <w:docPartGallery w:val="Table of Contents"/>
          <w:docPartUnique/>
        </w:docPartObj>
      </w:sdtPr>
      <w:sdtEndPr>
        <w:rPr>
          <w:noProof/>
        </w:rPr>
      </w:sdtEndPr>
      <w:sdtContent>
        <w:p w14:paraId="35D8B885" w14:textId="46C469F8" w:rsidR="003917C8" w:rsidRDefault="003917C8">
          <w:pPr>
            <w:pStyle w:val="TOCHeading"/>
          </w:pPr>
          <w:r>
            <w:t>Table of Contents</w:t>
          </w:r>
        </w:p>
        <w:p w14:paraId="349A491E" w14:textId="45CE8CBF" w:rsidR="000F3D65" w:rsidRDefault="003917C8">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4914674" w:history="1">
            <w:r w:rsidR="000F3D65" w:rsidRPr="00BE50DE">
              <w:rPr>
                <w:rStyle w:val="Hyperlink"/>
                <w:rFonts w:ascii="Arial" w:eastAsia="Times New Roman" w:hAnsi="Arial" w:cs="Arial"/>
                <w:noProof/>
                <w:lang w:eastAsia="en-GB"/>
              </w:rPr>
              <w:t>Executive Summary</w:t>
            </w:r>
            <w:r w:rsidR="000F3D65">
              <w:rPr>
                <w:noProof/>
                <w:webHidden/>
              </w:rPr>
              <w:tab/>
            </w:r>
            <w:r w:rsidR="000F3D65">
              <w:rPr>
                <w:noProof/>
                <w:webHidden/>
              </w:rPr>
              <w:fldChar w:fldCharType="begin"/>
            </w:r>
            <w:r w:rsidR="000F3D65">
              <w:rPr>
                <w:noProof/>
                <w:webHidden/>
              </w:rPr>
              <w:instrText xml:space="preserve"> PAGEREF _Toc224914674 \h </w:instrText>
            </w:r>
            <w:r w:rsidR="000F3D65">
              <w:rPr>
                <w:noProof/>
                <w:webHidden/>
              </w:rPr>
            </w:r>
            <w:r w:rsidR="000F3D65">
              <w:rPr>
                <w:noProof/>
                <w:webHidden/>
              </w:rPr>
              <w:fldChar w:fldCharType="separate"/>
            </w:r>
            <w:r w:rsidR="000F3D65">
              <w:rPr>
                <w:noProof/>
                <w:webHidden/>
              </w:rPr>
              <w:t>3</w:t>
            </w:r>
            <w:r w:rsidR="000F3D65">
              <w:rPr>
                <w:noProof/>
                <w:webHidden/>
              </w:rPr>
              <w:fldChar w:fldCharType="end"/>
            </w:r>
          </w:hyperlink>
        </w:p>
        <w:p w14:paraId="1DF3CA1C" w14:textId="62E37563" w:rsidR="000F3D65" w:rsidRDefault="000F3D65">
          <w:pPr>
            <w:pStyle w:val="TOC1"/>
            <w:tabs>
              <w:tab w:val="right" w:leader="dot" w:pos="9016"/>
            </w:tabs>
            <w:rPr>
              <w:rFonts w:eastAsiaTheme="minorEastAsia"/>
              <w:b w:val="0"/>
              <w:bCs w:val="0"/>
              <w:i w:val="0"/>
              <w:iCs w:val="0"/>
              <w:noProof/>
              <w:lang w:eastAsia="en-GB"/>
            </w:rPr>
          </w:pPr>
          <w:hyperlink w:anchor="_Toc224914675" w:history="1">
            <w:r w:rsidRPr="00BE50DE">
              <w:rPr>
                <w:rStyle w:val="Hyperlink"/>
                <w:rFonts w:ascii="Arial" w:eastAsia="Times New Roman" w:hAnsi="Arial" w:cs="Arial"/>
                <w:noProof/>
                <w:lang w:eastAsia="en-GB"/>
              </w:rPr>
              <w:t>Introduction</w:t>
            </w:r>
            <w:r>
              <w:rPr>
                <w:noProof/>
                <w:webHidden/>
              </w:rPr>
              <w:tab/>
            </w:r>
            <w:r>
              <w:rPr>
                <w:noProof/>
                <w:webHidden/>
              </w:rPr>
              <w:fldChar w:fldCharType="begin"/>
            </w:r>
            <w:r>
              <w:rPr>
                <w:noProof/>
                <w:webHidden/>
              </w:rPr>
              <w:instrText xml:space="preserve"> PAGEREF _Toc224914675 \h </w:instrText>
            </w:r>
            <w:r>
              <w:rPr>
                <w:noProof/>
                <w:webHidden/>
              </w:rPr>
            </w:r>
            <w:r>
              <w:rPr>
                <w:noProof/>
                <w:webHidden/>
              </w:rPr>
              <w:fldChar w:fldCharType="separate"/>
            </w:r>
            <w:r>
              <w:rPr>
                <w:noProof/>
                <w:webHidden/>
              </w:rPr>
              <w:t>4</w:t>
            </w:r>
            <w:r>
              <w:rPr>
                <w:noProof/>
                <w:webHidden/>
              </w:rPr>
              <w:fldChar w:fldCharType="end"/>
            </w:r>
          </w:hyperlink>
        </w:p>
        <w:p w14:paraId="2C9D4F38" w14:textId="6D8AFC3D" w:rsidR="000F3D65" w:rsidRDefault="000F3D65">
          <w:pPr>
            <w:pStyle w:val="TOC1"/>
            <w:tabs>
              <w:tab w:val="right" w:leader="dot" w:pos="9016"/>
            </w:tabs>
            <w:rPr>
              <w:rFonts w:eastAsiaTheme="minorEastAsia"/>
              <w:b w:val="0"/>
              <w:bCs w:val="0"/>
              <w:i w:val="0"/>
              <w:iCs w:val="0"/>
              <w:noProof/>
              <w:lang w:eastAsia="en-GB"/>
            </w:rPr>
          </w:pPr>
          <w:hyperlink w:anchor="_Toc224914676" w:history="1">
            <w:r w:rsidRPr="00BE50DE">
              <w:rPr>
                <w:rStyle w:val="Hyperlink"/>
                <w:rFonts w:ascii="Arial" w:eastAsia="Times New Roman" w:hAnsi="Arial" w:cs="Arial"/>
                <w:noProof/>
                <w:lang w:eastAsia="en-GB"/>
              </w:rPr>
              <w:t>Financial Problems Identified and Management Responses</w:t>
            </w:r>
            <w:r>
              <w:rPr>
                <w:noProof/>
                <w:webHidden/>
              </w:rPr>
              <w:tab/>
            </w:r>
            <w:r>
              <w:rPr>
                <w:noProof/>
                <w:webHidden/>
              </w:rPr>
              <w:fldChar w:fldCharType="begin"/>
            </w:r>
            <w:r>
              <w:rPr>
                <w:noProof/>
                <w:webHidden/>
              </w:rPr>
              <w:instrText xml:space="preserve"> PAGEREF _Toc224914676 \h </w:instrText>
            </w:r>
            <w:r>
              <w:rPr>
                <w:noProof/>
                <w:webHidden/>
              </w:rPr>
            </w:r>
            <w:r>
              <w:rPr>
                <w:noProof/>
                <w:webHidden/>
              </w:rPr>
              <w:fldChar w:fldCharType="separate"/>
            </w:r>
            <w:r>
              <w:rPr>
                <w:noProof/>
                <w:webHidden/>
              </w:rPr>
              <w:t>6</w:t>
            </w:r>
            <w:r>
              <w:rPr>
                <w:noProof/>
                <w:webHidden/>
              </w:rPr>
              <w:fldChar w:fldCharType="end"/>
            </w:r>
          </w:hyperlink>
        </w:p>
        <w:p w14:paraId="29F4CFEB" w14:textId="5A767650" w:rsidR="000F3D65" w:rsidRDefault="000F3D65">
          <w:pPr>
            <w:pStyle w:val="TOC1"/>
            <w:tabs>
              <w:tab w:val="right" w:leader="dot" w:pos="9016"/>
            </w:tabs>
            <w:rPr>
              <w:rFonts w:eastAsiaTheme="minorEastAsia"/>
              <w:b w:val="0"/>
              <w:bCs w:val="0"/>
              <w:i w:val="0"/>
              <w:iCs w:val="0"/>
              <w:noProof/>
              <w:lang w:eastAsia="en-GB"/>
            </w:rPr>
          </w:pPr>
          <w:hyperlink w:anchor="_Toc224914677" w:history="1">
            <w:r w:rsidRPr="00BE50DE">
              <w:rPr>
                <w:rStyle w:val="Hyperlink"/>
                <w:rFonts w:ascii="Arial" w:eastAsia="Times New Roman" w:hAnsi="Arial" w:cs="Arial"/>
                <w:noProof/>
                <w:lang w:eastAsia="en-GB"/>
              </w:rPr>
              <w:t>Conclusion</w:t>
            </w:r>
            <w:r>
              <w:rPr>
                <w:noProof/>
                <w:webHidden/>
              </w:rPr>
              <w:tab/>
            </w:r>
            <w:r>
              <w:rPr>
                <w:noProof/>
                <w:webHidden/>
              </w:rPr>
              <w:fldChar w:fldCharType="begin"/>
            </w:r>
            <w:r>
              <w:rPr>
                <w:noProof/>
                <w:webHidden/>
              </w:rPr>
              <w:instrText xml:space="preserve"> PAGEREF _Toc224914677 \h </w:instrText>
            </w:r>
            <w:r>
              <w:rPr>
                <w:noProof/>
                <w:webHidden/>
              </w:rPr>
            </w:r>
            <w:r>
              <w:rPr>
                <w:noProof/>
                <w:webHidden/>
              </w:rPr>
              <w:fldChar w:fldCharType="separate"/>
            </w:r>
            <w:r>
              <w:rPr>
                <w:noProof/>
                <w:webHidden/>
              </w:rPr>
              <w:t>12</w:t>
            </w:r>
            <w:r>
              <w:rPr>
                <w:noProof/>
                <w:webHidden/>
              </w:rPr>
              <w:fldChar w:fldCharType="end"/>
            </w:r>
          </w:hyperlink>
        </w:p>
        <w:p w14:paraId="2FD9232B" w14:textId="2C920BA1" w:rsidR="000F3D65" w:rsidRDefault="000F3D65">
          <w:pPr>
            <w:pStyle w:val="TOC1"/>
            <w:tabs>
              <w:tab w:val="right" w:leader="dot" w:pos="9016"/>
            </w:tabs>
            <w:rPr>
              <w:rFonts w:eastAsiaTheme="minorEastAsia"/>
              <w:b w:val="0"/>
              <w:bCs w:val="0"/>
              <w:i w:val="0"/>
              <w:iCs w:val="0"/>
              <w:noProof/>
              <w:lang w:eastAsia="en-GB"/>
            </w:rPr>
          </w:pPr>
          <w:hyperlink w:anchor="_Toc224914678" w:history="1">
            <w:r w:rsidRPr="00BE50DE">
              <w:rPr>
                <w:rStyle w:val="Hyperlink"/>
                <w:rFonts w:ascii="Arial" w:eastAsia="Times New Roman" w:hAnsi="Arial" w:cs="Arial"/>
                <w:noProof/>
                <w:lang w:eastAsia="en-GB"/>
              </w:rPr>
              <w:t>Appendices</w:t>
            </w:r>
            <w:r>
              <w:rPr>
                <w:noProof/>
                <w:webHidden/>
              </w:rPr>
              <w:tab/>
            </w:r>
            <w:r>
              <w:rPr>
                <w:noProof/>
                <w:webHidden/>
              </w:rPr>
              <w:fldChar w:fldCharType="begin"/>
            </w:r>
            <w:r>
              <w:rPr>
                <w:noProof/>
                <w:webHidden/>
              </w:rPr>
              <w:instrText xml:space="preserve"> PAGEREF _Toc224914678 \h </w:instrText>
            </w:r>
            <w:r>
              <w:rPr>
                <w:noProof/>
                <w:webHidden/>
              </w:rPr>
            </w:r>
            <w:r>
              <w:rPr>
                <w:noProof/>
                <w:webHidden/>
              </w:rPr>
              <w:fldChar w:fldCharType="separate"/>
            </w:r>
            <w:r>
              <w:rPr>
                <w:noProof/>
                <w:webHidden/>
              </w:rPr>
              <w:t>14</w:t>
            </w:r>
            <w:r>
              <w:rPr>
                <w:noProof/>
                <w:webHidden/>
              </w:rPr>
              <w:fldChar w:fldCharType="end"/>
            </w:r>
          </w:hyperlink>
        </w:p>
        <w:p w14:paraId="3826F653" w14:textId="79400AC3" w:rsidR="000F3D65" w:rsidRDefault="000F3D65">
          <w:pPr>
            <w:pStyle w:val="TOC2"/>
            <w:tabs>
              <w:tab w:val="right" w:leader="dot" w:pos="9016"/>
            </w:tabs>
            <w:rPr>
              <w:rFonts w:eastAsiaTheme="minorEastAsia"/>
              <w:b w:val="0"/>
              <w:bCs w:val="0"/>
              <w:noProof/>
              <w:sz w:val="24"/>
              <w:szCs w:val="24"/>
              <w:lang w:eastAsia="en-GB"/>
            </w:rPr>
          </w:pPr>
          <w:hyperlink w:anchor="_Toc224914679" w:history="1">
            <w:r w:rsidRPr="00BE50DE">
              <w:rPr>
                <w:rStyle w:val="Hyperlink"/>
                <w:rFonts w:ascii="Arial" w:eastAsia="Times New Roman" w:hAnsi="Arial" w:cs="Arial"/>
                <w:noProof/>
                <w:lang w:eastAsia="en-GB"/>
              </w:rPr>
              <w:t>Appendix A - Profit and Loss Budget</w:t>
            </w:r>
            <w:r>
              <w:rPr>
                <w:noProof/>
                <w:webHidden/>
              </w:rPr>
              <w:tab/>
            </w:r>
            <w:r>
              <w:rPr>
                <w:noProof/>
                <w:webHidden/>
              </w:rPr>
              <w:fldChar w:fldCharType="begin"/>
            </w:r>
            <w:r>
              <w:rPr>
                <w:noProof/>
                <w:webHidden/>
              </w:rPr>
              <w:instrText xml:space="preserve"> PAGEREF _Toc224914679 \h </w:instrText>
            </w:r>
            <w:r>
              <w:rPr>
                <w:noProof/>
                <w:webHidden/>
              </w:rPr>
            </w:r>
            <w:r>
              <w:rPr>
                <w:noProof/>
                <w:webHidden/>
              </w:rPr>
              <w:fldChar w:fldCharType="separate"/>
            </w:r>
            <w:r>
              <w:rPr>
                <w:noProof/>
                <w:webHidden/>
              </w:rPr>
              <w:t>14</w:t>
            </w:r>
            <w:r>
              <w:rPr>
                <w:noProof/>
                <w:webHidden/>
              </w:rPr>
              <w:fldChar w:fldCharType="end"/>
            </w:r>
          </w:hyperlink>
        </w:p>
        <w:p w14:paraId="49C48F7D" w14:textId="3011B4E6" w:rsidR="000F3D65" w:rsidRDefault="000F3D65">
          <w:pPr>
            <w:pStyle w:val="TOC2"/>
            <w:tabs>
              <w:tab w:val="right" w:leader="dot" w:pos="9016"/>
            </w:tabs>
            <w:rPr>
              <w:rFonts w:eastAsiaTheme="minorEastAsia"/>
              <w:b w:val="0"/>
              <w:bCs w:val="0"/>
              <w:noProof/>
              <w:sz w:val="24"/>
              <w:szCs w:val="24"/>
              <w:lang w:eastAsia="en-GB"/>
            </w:rPr>
          </w:pPr>
          <w:hyperlink w:anchor="_Toc224914680" w:history="1">
            <w:r w:rsidRPr="00BE50DE">
              <w:rPr>
                <w:rStyle w:val="Hyperlink"/>
                <w:rFonts w:ascii="Arial" w:eastAsia="Times New Roman" w:hAnsi="Arial" w:cs="Arial"/>
                <w:noProof/>
                <w:lang w:eastAsia="en-GB"/>
              </w:rPr>
              <w:t>Appendix B - Stock Budget</w:t>
            </w:r>
            <w:r>
              <w:rPr>
                <w:noProof/>
                <w:webHidden/>
              </w:rPr>
              <w:tab/>
            </w:r>
            <w:r>
              <w:rPr>
                <w:noProof/>
                <w:webHidden/>
              </w:rPr>
              <w:fldChar w:fldCharType="begin"/>
            </w:r>
            <w:r>
              <w:rPr>
                <w:noProof/>
                <w:webHidden/>
              </w:rPr>
              <w:instrText xml:space="preserve"> PAGEREF _Toc224914680 \h </w:instrText>
            </w:r>
            <w:r>
              <w:rPr>
                <w:noProof/>
                <w:webHidden/>
              </w:rPr>
            </w:r>
            <w:r>
              <w:rPr>
                <w:noProof/>
                <w:webHidden/>
              </w:rPr>
              <w:fldChar w:fldCharType="separate"/>
            </w:r>
            <w:r>
              <w:rPr>
                <w:noProof/>
                <w:webHidden/>
              </w:rPr>
              <w:t>14</w:t>
            </w:r>
            <w:r>
              <w:rPr>
                <w:noProof/>
                <w:webHidden/>
              </w:rPr>
              <w:fldChar w:fldCharType="end"/>
            </w:r>
          </w:hyperlink>
        </w:p>
        <w:p w14:paraId="14C1973D" w14:textId="1959C0B1" w:rsidR="000F3D65" w:rsidRDefault="000F3D65">
          <w:pPr>
            <w:pStyle w:val="TOC2"/>
            <w:tabs>
              <w:tab w:val="right" w:leader="dot" w:pos="9016"/>
            </w:tabs>
            <w:rPr>
              <w:rFonts w:eastAsiaTheme="minorEastAsia"/>
              <w:b w:val="0"/>
              <w:bCs w:val="0"/>
              <w:noProof/>
              <w:sz w:val="24"/>
              <w:szCs w:val="24"/>
              <w:lang w:eastAsia="en-GB"/>
            </w:rPr>
          </w:pPr>
          <w:hyperlink w:anchor="_Toc224914681" w:history="1">
            <w:r w:rsidRPr="00BE50DE">
              <w:rPr>
                <w:rStyle w:val="Hyperlink"/>
                <w:rFonts w:ascii="Arial" w:eastAsia="Times New Roman" w:hAnsi="Arial" w:cs="Arial"/>
                <w:noProof/>
                <w:lang w:eastAsia="en-GB"/>
              </w:rPr>
              <w:t>Appendix C - Cash Budget</w:t>
            </w:r>
            <w:r>
              <w:rPr>
                <w:noProof/>
                <w:webHidden/>
              </w:rPr>
              <w:tab/>
            </w:r>
            <w:r>
              <w:rPr>
                <w:noProof/>
                <w:webHidden/>
              </w:rPr>
              <w:fldChar w:fldCharType="begin"/>
            </w:r>
            <w:r>
              <w:rPr>
                <w:noProof/>
                <w:webHidden/>
              </w:rPr>
              <w:instrText xml:space="preserve"> PAGEREF _Toc224914681 \h </w:instrText>
            </w:r>
            <w:r>
              <w:rPr>
                <w:noProof/>
                <w:webHidden/>
              </w:rPr>
            </w:r>
            <w:r>
              <w:rPr>
                <w:noProof/>
                <w:webHidden/>
              </w:rPr>
              <w:fldChar w:fldCharType="separate"/>
            </w:r>
            <w:r>
              <w:rPr>
                <w:noProof/>
                <w:webHidden/>
              </w:rPr>
              <w:t>14</w:t>
            </w:r>
            <w:r>
              <w:rPr>
                <w:noProof/>
                <w:webHidden/>
              </w:rPr>
              <w:fldChar w:fldCharType="end"/>
            </w:r>
          </w:hyperlink>
        </w:p>
        <w:p w14:paraId="61D3B70E" w14:textId="34F2BAA6" w:rsidR="000F3D65" w:rsidRDefault="000F3D65">
          <w:pPr>
            <w:pStyle w:val="TOC1"/>
            <w:tabs>
              <w:tab w:val="right" w:leader="dot" w:pos="9016"/>
            </w:tabs>
            <w:rPr>
              <w:rFonts w:eastAsiaTheme="minorEastAsia"/>
              <w:b w:val="0"/>
              <w:bCs w:val="0"/>
              <w:i w:val="0"/>
              <w:iCs w:val="0"/>
              <w:noProof/>
              <w:lang w:eastAsia="en-GB"/>
            </w:rPr>
          </w:pPr>
          <w:hyperlink w:anchor="_Toc224914682" w:history="1">
            <w:r w:rsidRPr="00BE50DE">
              <w:rPr>
                <w:rStyle w:val="Hyperlink"/>
                <w:rFonts w:ascii="Arial" w:hAnsi="Arial" w:cs="Arial"/>
                <w:noProof/>
              </w:rPr>
              <w:t>References List:</w:t>
            </w:r>
            <w:r>
              <w:rPr>
                <w:noProof/>
                <w:webHidden/>
              </w:rPr>
              <w:tab/>
            </w:r>
            <w:r>
              <w:rPr>
                <w:noProof/>
                <w:webHidden/>
              </w:rPr>
              <w:fldChar w:fldCharType="begin"/>
            </w:r>
            <w:r>
              <w:rPr>
                <w:noProof/>
                <w:webHidden/>
              </w:rPr>
              <w:instrText xml:space="preserve"> PAGEREF _Toc224914682 \h </w:instrText>
            </w:r>
            <w:r>
              <w:rPr>
                <w:noProof/>
                <w:webHidden/>
              </w:rPr>
            </w:r>
            <w:r>
              <w:rPr>
                <w:noProof/>
                <w:webHidden/>
              </w:rPr>
              <w:fldChar w:fldCharType="separate"/>
            </w:r>
            <w:r>
              <w:rPr>
                <w:noProof/>
                <w:webHidden/>
              </w:rPr>
              <w:t>15</w:t>
            </w:r>
            <w:r>
              <w:rPr>
                <w:noProof/>
                <w:webHidden/>
              </w:rPr>
              <w:fldChar w:fldCharType="end"/>
            </w:r>
          </w:hyperlink>
        </w:p>
        <w:p w14:paraId="562B8C39" w14:textId="12228142" w:rsidR="003917C8" w:rsidRDefault="003917C8">
          <w:r>
            <w:rPr>
              <w:b/>
              <w:bCs/>
              <w:noProof/>
            </w:rPr>
            <w:fldChar w:fldCharType="end"/>
          </w:r>
        </w:p>
      </w:sdtContent>
    </w:sdt>
    <w:p w14:paraId="4665E763" w14:textId="58CC66B8" w:rsidR="003917C8" w:rsidRDefault="003917C8">
      <w:pPr>
        <w:rPr>
          <w:rFonts w:asciiTheme="majorHAnsi" w:eastAsia="Times New Roman" w:hAnsiTheme="majorHAnsi" w:cstheme="majorBidi"/>
          <w:color w:val="0F4761" w:themeColor="accent1" w:themeShade="BF"/>
          <w:sz w:val="40"/>
          <w:szCs w:val="40"/>
          <w:lang w:eastAsia="en-GB"/>
        </w:rPr>
      </w:pPr>
    </w:p>
    <w:p w14:paraId="27D1879F" w14:textId="77777777" w:rsidR="00FA2EA1" w:rsidRDefault="00FA2EA1">
      <w:pPr>
        <w:rPr>
          <w:rFonts w:asciiTheme="majorHAnsi" w:eastAsia="Times New Roman" w:hAnsiTheme="majorHAnsi" w:cstheme="majorBidi"/>
          <w:color w:val="0F4761" w:themeColor="accent1" w:themeShade="BF"/>
          <w:sz w:val="40"/>
          <w:szCs w:val="40"/>
          <w:lang w:eastAsia="en-GB"/>
        </w:rPr>
      </w:pPr>
      <w:r>
        <w:rPr>
          <w:rFonts w:eastAsia="Times New Roman"/>
          <w:lang w:eastAsia="en-GB"/>
        </w:rPr>
        <w:br w:type="page"/>
      </w:r>
    </w:p>
    <w:p w14:paraId="3F02097A" w14:textId="700BA422" w:rsidR="003917C8" w:rsidRPr="00A00C50" w:rsidRDefault="0049269A" w:rsidP="00164EB8">
      <w:pPr>
        <w:pStyle w:val="Heading1"/>
        <w:rPr>
          <w:rFonts w:ascii="Arial" w:eastAsia="Times New Roman" w:hAnsi="Arial" w:cs="Arial"/>
          <w:b/>
          <w:bCs/>
          <w:sz w:val="32"/>
          <w:szCs w:val="32"/>
          <w:lang w:eastAsia="en-GB"/>
        </w:rPr>
      </w:pPr>
      <w:bookmarkStart w:id="0" w:name="_Toc224914674"/>
      <w:r w:rsidRPr="00A00C50">
        <w:rPr>
          <w:rFonts w:ascii="Arial" w:eastAsia="Times New Roman" w:hAnsi="Arial" w:cs="Arial"/>
          <w:b/>
          <w:bCs/>
          <w:sz w:val="32"/>
          <w:szCs w:val="32"/>
          <w:lang w:eastAsia="en-GB"/>
        </w:rPr>
        <w:lastRenderedPageBreak/>
        <w:t>Executive Summary</w:t>
      </w:r>
      <w:bookmarkEnd w:id="0"/>
    </w:p>
    <w:p w14:paraId="0CD2FCE4" w14:textId="77777777" w:rsidR="00164EB8" w:rsidRDefault="00164EB8" w:rsidP="00164EB8">
      <w:pPr>
        <w:rPr>
          <w:lang w:eastAsia="en-GB"/>
        </w:rPr>
      </w:pPr>
    </w:p>
    <w:p w14:paraId="4BA70E69" w14:textId="77777777" w:rsidR="00164EB8" w:rsidRPr="00164EB8" w:rsidRDefault="00164EB8" w:rsidP="00164EB8">
      <w:pPr>
        <w:rPr>
          <w:lang w:eastAsia="en-GB"/>
        </w:rPr>
      </w:pPr>
    </w:p>
    <w:p w14:paraId="113BD0E1" w14:textId="28E4057E" w:rsidR="0049269A" w:rsidRPr="003917C8" w:rsidRDefault="0049269A" w:rsidP="00164EB8">
      <w:pPr>
        <w:ind w:firstLine="851"/>
        <w:jc w:val="both"/>
        <w:rPr>
          <w:rFonts w:ascii="Arial" w:hAnsi="Arial" w:cs="Arial"/>
          <w:b/>
          <w:bCs/>
          <w:sz w:val="32"/>
          <w:szCs w:val="32"/>
          <w:lang w:eastAsia="en-GB"/>
        </w:rPr>
      </w:pPr>
      <w:r w:rsidRPr="003917C8">
        <w:rPr>
          <w:rFonts w:ascii="Arial" w:hAnsi="Arial" w:cs="Arial"/>
          <w:lang w:eastAsia="en-GB"/>
        </w:rPr>
        <w:t xml:space="preserve">This report evaluates the financial planning and budgetary position of Silver Stitch Ltd over a six-month period and examines the wider effectiveness of budgeting as a management tool. Silver Stitch Ltd operates in the premium casual clothing market through twelve stores and </w:t>
      </w:r>
      <w:r w:rsidR="0098546E" w:rsidRPr="003917C8">
        <w:rPr>
          <w:rFonts w:ascii="Arial" w:hAnsi="Arial" w:cs="Arial"/>
          <w:lang w:eastAsia="en-GB"/>
        </w:rPr>
        <w:t>goals</w:t>
      </w:r>
      <w:r w:rsidRPr="003917C8">
        <w:rPr>
          <w:rFonts w:ascii="Arial" w:hAnsi="Arial" w:cs="Arial"/>
          <w:lang w:eastAsia="en-GB"/>
        </w:rPr>
        <w:t xml:space="preserve"> to maintain strong product quality and an attractive shopping environment. Although the company’s profit budget suggests a positive financial performance, the wider budget analysis shows that profitability does not automatically mean financial security.</w:t>
      </w:r>
    </w:p>
    <w:p w14:paraId="42B2D81D" w14:textId="62DA84B4" w:rsidR="0049269A" w:rsidRPr="003917C8" w:rsidRDefault="0049269A" w:rsidP="00164EB8">
      <w:pPr>
        <w:ind w:firstLine="851"/>
        <w:jc w:val="both"/>
        <w:rPr>
          <w:rFonts w:ascii="Arial" w:hAnsi="Arial" w:cs="Arial"/>
          <w:lang w:eastAsia="en-GB"/>
        </w:rPr>
      </w:pPr>
      <w:r w:rsidRPr="003917C8">
        <w:rPr>
          <w:rFonts w:ascii="Arial" w:hAnsi="Arial" w:cs="Arial"/>
          <w:lang w:eastAsia="en-GB"/>
        </w:rPr>
        <w:t xml:space="preserve">The most important issue is the large increase in inventory during the period. Stock rises </w:t>
      </w:r>
      <w:r w:rsidR="0098546E" w:rsidRPr="003917C8">
        <w:rPr>
          <w:rFonts w:ascii="Arial" w:hAnsi="Arial" w:cs="Arial"/>
          <w:lang w:eastAsia="en-GB"/>
        </w:rPr>
        <w:t>abruptly</w:t>
      </w:r>
      <w:r w:rsidRPr="003917C8">
        <w:rPr>
          <w:rFonts w:ascii="Arial" w:hAnsi="Arial" w:cs="Arial"/>
          <w:lang w:eastAsia="en-GB"/>
        </w:rPr>
        <w:t xml:space="preserve"> from the opening level to a much higher closing balance by December, which means that a substantial amount of cash is tied up in unsold goods. This is a significant risk in fashion retail, where trends change quickly and unsold items may need to be discounted. The cash budget also shows that monthly cash surpluses are relatively small, even though the business plans to remove its overdraft by the end of December. This leaves little room for unexpected problems such as weaker sales, higher costs or delayed receipts.</w:t>
      </w:r>
    </w:p>
    <w:p w14:paraId="0D87781A" w14:textId="3F8E5C10" w:rsidR="0049269A" w:rsidRPr="003917C8" w:rsidRDefault="0049269A" w:rsidP="00164EB8">
      <w:pPr>
        <w:ind w:firstLine="851"/>
        <w:jc w:val="both"/>
        <w:rPr>
          <w:rFonts w:ascii="Arial" w:hAnsi="Arial" w:cs="Arial"/>
          <w:lang w:eastAsia="en-GB"/>
        </w:rPr>
      </w:pPr>
      <w:r w:rsidRPr="003917C8">
        <w:rPr>
          <w:rFonts w:ascii="Arial" w:hAnsi="Arial" w:cs="Arial"/>
          <w:lang w:eastAsia="en-GB"/>
        </w:rPr>
        <w:t xml:space="preserve">The report argues that management should respond by improving working capital control, especially through tighter inventory management and more realistic purchasing decisions. Smaller and more frequent orders, based on actual sales patterns, would reduce the risk of overstocking. Management should also review operating expenses carefully and consider delaying </w:t>
      </w:r>
      <w:r w:rsidR="004F403E" w:rsidRPr="003917C8">
        <w:rPr>
          <w:rFonts w:ascii="Arial" w:hAnsi="Arial" w:cs="Arial"/>
          <w:lang w:eastAsia="en-GB"/>
        </w:rPr>
        <w:t>non-essential</w:t>
      </w:r>
      <w:r w:rsidRPr="003917C8">
        <w:rPr>
          <w:rFonts w:ascii="Arial" w:hAnsi="Arial" w:cs="Arial"/>
          <w:lang w:eastAsia="en-GB"/>
        </w:rPr>
        <w:t xml:space="preserve"> store refurbishment where this would reduce pressure on cash flow.</w:t>
      </w:r>
    </w:p>
    <w:p w14:paraId="1354CD0C" w14:textId="77777777" w:rsidR="0049269A" w:rsidRPr="003917C8" w:rsidRDefault="0049269A" w:rsidP="00164EB8">
      <w:pPr>
        <w:ind w:firstLine="851"/>
        <w:jc w:val="both"/>
        <w:rPr>
          <w:rFonts w:ascii="Arial" w:hAnsi="Arial" w:cs="Arial"/>
          <w:lang w:eastAsia="en-GB"/>
        </w:rPr>
      </w:pPr>
      <w:r w:rsidRPr="003917C8">
        <w:rPr>
          <w:rFonts w:ascii="Arial" w:hAnsi="Arial" w:cs="Arial"/>
          <w:lang w:eastAsia="en-GB"/>
        </w:rPr>
        <w:t>Beyond the numbers, the report explains that budgeting only works well when supported by strong organisational conditions. Senior management involvement, reliable forecasting, strategic alignment and good communication between departments are all essential. It also highlights four behavioural issues that can weaken budgeting systems: budgetary slack, pressure to meet short term targets, reduced employee motivation and resistance to control.</w:t>
      </w:r>
    </w:p>
    <w:p w14:paraId="405353B8" w14:textId="77777777" w:rsidR="004F403E" w:rsidRPr="003917C8" w:rsidRDefault="0049269A" w:rsidP="00164EB8">
      <w:pPr>
        <w:ind w:firstLine="851"/>
        <w:jc w:val="both"/>
        <w:rPr>
          <w:rFonts w:ascii="Arial" w:hAnsi="Arial" w:cs="Arial"/>
          <w:lang w:eastAsia="en-GB"/>
        </w:rPr>
      </w:pPr>
      <w:r w:rsidRPr="003917C8">
        <w:rPr>
          <w:rFonts w:ascii="Arial" w:hAnsi="Arial" w:cs="Arial"/>
          <w:lang w:eastAsia="en-GB"/>
        </w:rPr>
        <w:t>Finally, the report concludes that traditional budgeting still offers structure and financial discipline, but it has clear weaknesses in fast changing markets. Because retail conditions can shift quickly, Silver Stitch Ltd would benefit from more flexible approaches, including regular budget reviews and updated forecasts. Overall, the company appears commercially viable, but stronger control over liquidity, inventory and budget use is necessary to protect financial stability</w:t>
      </w:r>
    </w:p>
    <w:p w14:paraId="27EAE752" w14:textId="77777777" w:rsidR="00CC08AA" w:rsidRPr="003917C8" w:rsidRDefault="00CC08AA" w:rsidP="00164EB8">
      <w:pPr>
        <w:ind w:firstLine="851"/>
        <w:jc w:val="both"/>
        <w:rPr>
          <w:rFonts w:ascii="Arial" w:hAnsi="Arial" w:cs="Arial"/>
          <w:b/>
          <w:bCs/>
          <w:sz w:val="32"/>
          <w:szCs w:val="32"/>
          <w:lang w:eastAsia="en-GB"/>
        </w:rPr>
      </w:pPr>
    </w:p>
    <w:p w14:paraId="6E5EF01E" w14:textId="77777777" w:rsidR="003917C8" w:rsidRPr="003917C8" w:rsidRDefault="003917C8" w:rsidP="00164EB8">
      <w:pPr>
        <w:ind w:firstLine="851"/>
        <w:jc w:val="both"/>
        <w:rPr>
          <w:rFonts w:ascii="Arial" w:hAnsi="Arial" w:cs="Arial"/>
          <w:b/>
          <w:bCs/>
          <w:sz w:val="32"/>
          <w:szCs w:val="32"/>
          <w:lang w:eastAsia="en-GB"/>
        </w:rPr>
      </w:pPr>
      <w:r w:rsidRPr="003917C8">
        <w:rPr>
          <w:rFonts w:ascii="Arial" w:hAnsi="Arial" w:cs="Arial"/>
          <w:b/>
          <w:bCs/>
          <w:sz w:val="32"/>
          <w:szCs w:val="32"/>
          <w:lang w:eastAsia="en-GB"/>
        </w:rPr>
        <w:br w:type="page"/>
      </w:r>
    </w:p>
    <w:p w14:paraId="6F3E8883" w14:textId="62E0ADDB" w:rsidR="004F403E" w:rsidRPr="00A00C50" w:rsidRDefault="004F403E" w:rsidP="00164EB8">
      <w:pPr>
        <w:pStyle w:val="Heading1"/>
        <w:rPr>
          <w:rFonts w:ascii="Arial" w:eastAsia="Times New Roman" w:hAnsi="Arial" w:cs="Arial"/>
          <w:b/>
          <w:bCs/>
          <w:sz w:val="32"/>
          <w:szCs w:val="32"/>
          <w:lang w:eastAsia="en-GB"/>
        </w:rPr>
      </w:pPr>
      <w:bookmarkStart w:id="1" w:name="_Toc224914675"/>
      <w:r w:rsidRPr="00A00C50">
        <w:rPr>
          <w:rFonts w:ascii="Arial" w:eastAsia="Times New Roman" w:hAnsi="Arial" w:cs="Arial"/>
          <w:b/>
          <w:bCs/>
          <w:sz w:val="32"/>
          <w:szCs w:val="32"/>
          <w:lang w:eastAsia="en-GB"/>
        </w:rPr>
        <w:lastRenderedPageBreak/>
        <w:t>I</w:t>
      </w:r>
      <w:r w:rsidR="00685C69" w:rsidRPr="00A00C50">
        <w:rPr>
          <w:rFonts w:ascii="Arial" w:eastAsia="Times New Roman" w:hAnsi="Arial" w:cs="Arial"/>
          <w:b/>
          <w:bCs/>
          <w:sz w:val="32"/>
          <w:szCs w:val="32"/>
          <w:lang w:eastAsia="en-GB"/>
        </w:rPr>
        <w:t>ntroduction</w:t>
      </w:r>
      <w:bookmarkEnd w:id="1"/>
    </w:p>
    <w:p w14:paraId="5918F900" w14:textId="77777777" w:rsidR="00164EB8" w:rsidRDefault="00164EB8" w:rsidP="00164EB8">
      <w:pPr>
        <w:rPr>
          <w:lang w:eastAsia="en-GB"/>
        </w:rPr>
      </w:pPr>
    </w:p>
    <w:p w14:paraId="022823A9" w14:textId="77777777" w:rsidR="00164EB8" w:rsidRPr="00164EB8" w:rsidRDefault="00164EB8" w:rsidP="00164EB8">
      <w:pPr>
        <w:rPr>
          <w:lang w:eastAsia="en-GB"/>
        </w:rPr>
      </w:pPr>
    </w:p>
    <w:p w14:paraId="53D357A5" w14:textId="7268D740" w:rsidR="00685C69" w:rsidRPr="003917C8" w:rsidRDefault="00685C69" w:rsidP="00164EB8">
      <w:pPr>
        <w:ind w:firstLine="851"/>
        <w:jc w:val="both"/>
        <w:rPr>
          <w:rFonts w:ascii="Arial" w:hAnsi="Arial" w:cs="Arial"/>
          <w:b/>
          <w:bCs/>
          <w:lang w:eastAsia="en-GB"/>
        </w:rPr>
      </w:pPr>
      <w:r w:rsidRPr="003917C8">
        <w:rPr>
          <w:rFonts w:ascii="Arial" w:hAnsi="Arial" w:cs="Arial"/>
          <w:lang w:eastAsia="en-GB"/>
        </w:rPr>
        <w:t>Financial planning is essential for organisations because it helps managers understand how operational decisions affect the financial position of the business (Atrill and McLaney, 2021; Drury, 2021; Glei</w:t>
      </w:r>
      <w:r w:rsidR="00025340">
        <w:rPr>
          <w:rFonts w:ascii="Arial" w:hAnsi="Arial" w:cs="Arial"/>
          <w:lang w:eastAsia="en-GB"/>
        </w:rPr>
        <w:t>b</w:t>
      </w:r>
      <w:r w:rsidRPr="003917C8">
        <w:rPr>
          <w:rFonts w:ascii="Arial" w:hAnsi="Arial" w:cs="Arial"/>
          <w:lang w:eastAsia="en-GB"/>
        </w:rPr>
        <w:t xml:space="preserve">ner, Günther and Walkshäusl, 2022). One of the most widely used tools in management accounting is budgeting (Datar and Rajan, 2021; Drury, 2021). Budgets translate business plans into financial forecasts and allow managers to estimate revenues, costs and cash flows over a defined </w:t>
      </w:r>
      <w:r w:rsidR="00CC08AA" w:rsidRPr="003917C8">
        <w:rPr>
          <w:rFonts w:ascii="Arial" w:hAnsi="Arial" w:cs="Arial"/>
          <w:lang w:eastAsia="en-GB"/>
        </w:rPr>
        <w:t>period</w:t>
      </w:r>
      <w:r w:rsidRPr="003917C8">
        <w:rPr>
          <w:rFonts w:ascii="Arial" w:hAnsi="Arial" w:cs="Arial"/>
          <w:lang w:eastAsia="en-GB"/>
        </w:rPr>
        <w:t xml:space="preserve"> (Atrill and McLaney, 2021; Corporate Finance Institute, 2023a). By preparing budgets in advance, organisations can identify possible financial problems and adjust their plans before these problems become serious (Isibor et al., 2022; Alsharari, 2024). In retail businesses budgeting is particularly important because operations depend heavily on inventory management and customer demand (Mandipa and Sibindi, 2022; McKinsey &amp; Company, 2023b). Retailers must purchase goods before they can sell them to customers. As a result, money is invested in stock before revenue is received (Corporate Finance Institute, 2023b; Investopedia, 2023b). If inventory levels become too high, a large amount of cash becomes tied up in unsold products. If inventory levels are too low, customers may not find the products they want, and potential sales may be lost (McKinsey &amp; Company, 2021; McKinsey &amp; Company, 2023a). Retail organisations must therefore balance product availability with financial control (Mandipa and Sibindi, 2022; Wanzala et al., 2024). Another important aspect of financial planning is the difference between profitability and liquidity. Profitability refers to the ability of a company to generate earnings from its operations. Liquidity refers to the company’s ability to meet its financial obligations when payments become due (Investopedia, 2023c; Investopedia, 2023d). A business may report a profit in its income statement but still face financial pressure if it does not have enough cash available to pay suppliers, employees or operating costs (Calotă et al., 2020; Olayinka, 2022; Schroeder, Clark and Cathey, 2022). Because of this, effective financial planning requires both profit forecasts and cash flow analysis (Corporate Finance Institute, 2023a; Investopedia, 2023a).</w:t>
      </w:r>
    </w:p>
    <w:p w14:paraId="4579E4A7" w14:textId="77777777" w:rsidR="004F403E" w:rsidRPr="003917C8" w:rsidRDefault="00685C69" w:rsidP="00164EB8">
      <w:pPr>
        <w:ind w:firstLine="851"/>
        <w:jc w:val="both"/>
        <w:rPr>
          <w:rFonts w:ascii="Arial" w:hAnsi="Arial" w:cs="Arial"/>
          <w:lang w:eastAsia="en-GB"/>
        </w:rPr>
      </w:pPr>
      <w:r w:rsidRPr="003917C8">
        <w:rPr>
          <w:rFonts w:ascii="Arial" w:hAnsi="Arial" w:cs="Arial"/>
          <w:lang w:eastAsia="en-GB"/>
        </w:rPr>
        <w:t xml:space="preserve">Silver Stitch Ltd is a retail company that operates twelve stores selling premium casual clothing. The company’s strategy focuses on offering high-quality products and providing an attractive store environment for customers. In the fashion retail sector these factors are important because customers often associate product quality and shopping experience with the value of the brand (McKinsey &amp; Company, 2022; Nagle, Müller and Gruyaert, 2023). Maintaining this positioning requires continuous investment in inventory, store presentation and operational activities (McKinsey &amp; Company, 2021; Leonidou et al., 2022). However, these investments must be managed carefully. At the beginning of the planning period analysed in this report the company already operates with a bank overdraft. Management has set the </w:t>
      </w:r>
      <w:r w:rsidRPr="003917C8">
        <w:rPr>
          <w:rFonts w:ascii="Arial" w:hAnsi="Arial" w:cs="Arial"/>
          <w:lang w:eastAsia="en-GB"/>
        </w:rPr>
        <w:lastRenderedPageBreak/>
        <w:t xml:space="preserve">objective of eliminating this overdraft by the end of December. This creates additional pressure because the organisation must generate sufficient cash while continuing to support normal business operations. </w:t>
      </w:r>
    </w:p>
    <w:p w14:paraId="0612439C" w14:textId="5BFB83E0" w:rsidR="00685C69" w:rsidRPr="003917C8" w:rsidRDefault="00685C69" w:rsidP="00164EB8">
      <w:pPr>
        <w:ind w:firstLine="851"/>
        <w:jc w:val="both"/>
        <w:rPr>
          <w:rFonts w:ascii="Arial" w:hAnsi="Arial" w:cs="Arial"/>
          <w:lang w:eastAsia="en-GB"/>
        </w:rPr>
      </w:pPr>
      <w:r w:rsidRPr="003917C8">
        <w:rPr>
          <w:rFonts w:ascii="Arial" w:hAnsi="Arial" w:cs="Arial"/>
          <w:lang w:eastAsia="en-GB"/>
        </w:rPr>
        <w:t>To support financial planning, Silver Stitch Ltd prepared three budgets for the six-month period: a profit and loss budget, a stock budget and a cash budget. The profit and loss budget estimates revenues and operating costs. The stock budget shows how inventory levels are expected to change during the period. The cash budget shows the timing of cash inflows and outflows (Atrill and McLaney, 2021; Drury, 2021; Datar and Rajan, 2021).</w:t>
      </w:r>
    </w:p>
    <w:p w14:paraId="38914D0F" w14:textId="5AFF11DF" w:rsidR="00685C69" w:rsidRPr="003917C8" w:rsidRDefault="00685C69" w:rsidP="00164EB8">
      <w:pPr>
        <w:ind w:firstLine="851"/>
        <w:jc w:val="both"/>
        <w:rPr>
          <w:rFonts w:ascii="Arial" w:hAnsi="Arial" w:cs="Arial"/>
          <w:lang w:eastAsia="en-GB"/>
        </w:rPr>
      </w:pPr>
      <w:r w:rsidRPr="003917C8">
        <w:rPr>
          <w:rFonts w:ascii="Arial" w:hAnsi="Arial" w:cs="Arial"/>
          <w:lang w:eastAsia="en-GB"/>
        </w:rPr>
        <w:t>According to the profit budget, total sales for the six-month period are expected to reach about £1.47 million, generating a gross profit of £588,000. After operating expenses and finance costs, the company forecasts a profit of approximately £365,000. On the surface this result suggests that the business is financially healthy. However, the stock and cash budgets show several issues that could create financial pressure during the planning period (Olayinka, 2022; Rey-Ares, Fernández-López and Rodeiro-Pazos, 2021).</w:t>
      </w:r>
    </w:p>
    <w:p w14:paraId="3945FE48" w14:textId="1B0F1845" w:rsidR="00685C69" w:rsidRPr="003917C8" w:rsidRDefault="00685C69" w:rsidP="00164EB8">
      <w:pPr>
        <w:ind w:firstLine="851"/>
        <w:jc w:val="both"/>
        <w:rPr>
          <w:rFonts w:ascii="Arial" w:hAnsi="Arial" w:cs="Arial"/>
          <w:lang w:eastAsia="en-GB"/>
        </w:rPr>
      </w:pPr>
      <w:r w:rsidRPr="003917C8">
        <w:rPr>
          <w:rFonts w:ascii="Arial" w:hAnsi="Arial" w:cs="Arial"/>
          <w:lang w:eastAsia="en-GB"/>
        </w:rPr>
        <w:t>The purpose of this report is to critically analyse the budgets prepared for Silver Stitch Ltd and identify the main financial problems the company may face during the next six months. The report focuses on the relationship between inventory investment, operating costs and liquidity. It also evaluates how management could address these problems and discusses the conditions required for an effective budgeting system. Finally, the report considers the limitations of traditional budgeting in a fast-changing business environment (Ramlall et al., 2024).</w:t>
      </w:r>
    </w:p>
    <w:p w14:paraId="4D38F516" w14:textId="77777777"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p>
    <w:p w14:paraId="3834C878" w14:textId="77777777" w:rsidR="00164EB8" w:rsidRDefault="00164EB8">
      <w:pPr>
        <w:rPr>
          <w:rFonts w:asciiTheme="majorHAnsi" w:eastAsia="Times New Roman" w:hAnsiTheme="majorHAnsi" w:cstheme="majorBidi"/>
          <w:color w:val="0F4761" w:themeColor="accent1" w:themeShade="BF"/>
          <w:sz w:val="40"/>
          <w:szCs w:val="40"/>
          <w:lang w:eastAsia="en-GB"/>
        </w:rPr>
      </w:pPr>
      <w:r>
        <w:rPr>
          <w:rFonts w:eastAsia="Times New Roman"/>
          <w:lang w:eastAsia="en-GB"/>
        </w:rPr>
        <w:br w:type="page"/>
      </w:r>
    </w:p>
    <w:p w14:paraId="1D1F1A2C" w14:textId="17ABE31F" w:rsidR="00685C69" w:rsidRPr="00A00C50" w:rsidRDefault="00685C69" w:rsidP="003917C8">
      <w:pPr>
        <w:pStyle w:val="Heading1"/>
        <w:rPr>
          <w:rFonts w:ascii="Arial" w:eastAsia="Times New Roman" w:hAnsi="Arial" w:cs="Arial"/>
          <w:b/>
          <w:bCs/>
          <w:sz w:val="32"/>
          <w:szCs w:val="32"/>
          <w:lang w:eastAsia="en-GB"/>
        </w:rPr>
      </w:pPr>
      <w:bookmarkStart w:id="2" w:name="_Toc224914676"/>
      <w:r w:rsidRPr="00A00C50">
        <w:rPr>
          <w:rFonts w:ascii="Arial" w:eastAsia="Times New Roman" w:hAnsi="Arial" w:cs="Arial"/>
          <w:b/>
          <w:bCs/>
          <w:sz w:val="32"/>
          <w:szCs w:val="32"/>
          <w:lang w:eastAsia="en-GB"/>
        </w:rPr>
        <w:lastRenderedPageBreak/>
        <w:t>Financial Problems Identified and Management Responses</w:t>
      </w:r>
      <w:bookmarkEnd w:id="2"/>
    </w:p>
    <w:p w14:paraId="4D3BC0E8" w14:textId="77777777"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p>
    <w:p w14:paraId="4461B10D" w14:textId="77777777" w:rsidR="004F403E"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 xml:space="preserve">The budgets prepared for Silver Stitch Ltd indicate that the company expects to operate profitably during the six-month planning period. According to the profit and loss forecast, total sales are expected to reach approximately £1.47 million, producing a gross profit of £588,000. After deducting operating expenses, credit card charges and finance costs, the business expects to generate a profit of around £365,000. From a purely accounting perspective this result appears positive. The gross margin of roughly 40 percent suggests that the company sells its products at prices that provide enough contribution to cover operating costs. For a retailer operating in the premium clothing market, this margin is realistic and indicates that the basic business model is viable (Nagle, Müller and Gruyaert, 2023; Schroeder, Clark and Cathey, 2022). However, profitability alone does not guarantee financial stability. When the profit forecast is compared with the stock budget and the cash budget, several important risks become visible. </w:t>
      </w:r>
    </w:p>
    <w:p w14:paraId="08646398" w14:textId="4D07EED1"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These risks are mainly related to inventory investment, liquidity management and the timing of financial commitments. In other words, the company may be profitable on paper but still exposed to financial pressure in practice (Atrill and McLaney, 2021; Corporate Finance Institute, 2023c; Investopedia, 2023d). One of the most important issues appears in the stock budget. The figures show that inventory increases significantly during the planning period. The company begins July with opening stock of about £100,000, but by the end of December closing stock reaches approximately £388,000. This means that the value of inventory almost quadruples during the six-month period. This pattern suggests that Silver Stitch Ltd is purchasing stock faster than it is selling it. While some increase in inventory may be necessary to support higher sales or seasonal demand, such a large growth raises concerns about working capital management (Mandipa and Sibindi, 2022; Wanzala et al., 2024). Inventory represents money that is temporarily locked into goods that have not yet been sold. Until customers purchase these products, the financial resources invested in them remain unavailable for other purposes (Corporate Finance Institute, 2023b; Investopedia, 2023b).</w:t>
      </w:r>
    </w:p>
    <w:p w14:paraId="4C54883B" w14:textId="5055FBE8"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For a retail company operating with an overdraft, this situation can be particularly risky. Increasing inventory requires additional cash while the organisation is trying to improve its liquidity position. Instead of freeing financial resources, the company is committing more capital to stock. This decision may support product availability in stores, but it also increases financial pressure. The problem becomes more serious when the nature of the clothing industry is considered. Fashion products are strongly influenced by trends and seasonal demand. Items that are popular at one moment may quickly lose their appeal when new styles appear. If Silver Stitch Ltd holds too much inventory of products that customers no longer want, the company may eventually need to reduce prices in order to sell them. Discounting would reduce profit margins and weaken the premium image that the brand is trying to maintain (McKinsey &amp; Company, 2022; McKinsey &amp; Company, 2023a).</w:t>
      </w:r>
    </w:p>
    <w:p w14:paraId="61FB2901" w14:textId="24217D15"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lastRenderedPageBreak/>
        <w:t xml:space="preserve">A more balanced inventory strategy would therefore reduce financial risk. Management should analyse sales data carefully to identify which products sell quickly and which products move more slowly. Instead of placing large orders well in advance, the company could adopt smaller and more frequent purchases. This approach would allow management to respond more effectively to actual demand while reducing the amount of capital tied up in inventory (Corporate Finance Institute, 2023b; McKinsey &amp; Company, 2021). Another issue connected to inventory appears when the cash budget is examined. </w:t>
      </w:r>
      <w:r w:rsidR="009513CC" w:rsidRPr="004F403E">
        <w:rPr>
          <w:rFonts w:ascii="Arial" w:eastAsia="Times New Roman" w:hAnsi="Arial" w:cs="Arial"/>
          <w:kern w:val="0"/>
          <w:lang w:eastAsia="en-GB"/>
          <w14:ligatures w14:val="none"/>
        </w:rPr>
        <w:t>Though</w:t>
      </w:r>
      <w:r w:rsidRPr="004F403E">
        <w:rPr>
          <w:rFonts w:ascii="Arial" w:eastAsia="Times New Roman" w:hAnsi="Arial" w:cs="Arial"/>
          <w:kern w:val="0"/>
          <w:lang w:eastAsia="en-GB"/>
          <w14:ligatures w14:val="none"/>
        </w:rPr>
        <w:t xml:space="preserve"> the company forecasts a positive cash balance by the end of the planning period, the monthly cash movements show that the situation is less comfortable than it first appears. Several months generate only small positive cash differences between receipts and payments. This indicates that the company has very little margin for unexpected changes (Corporate Finance Institute, 2023a; Investopedia, 2023a).</w:t>
      </w:r>
    </w:p>
    <w:p w14:paraId="7B6108F1" w14:textId="198808A5"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For example, even a small decline in sales or a delay in customer payments could quickly eliminate these cash surpluses. In such a situation the company might need to rely again on short-term borrowing. This means that the objective of eliminating the overdraft by the end of December may be more difficult than the budget suggests.</w:t>
      </w:r>
    </w:p>
    <w:p w14:paraId="0042A577" w14:textId="77777777" w:rsidR="004F403E"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 xml:space="preserve">Another factor affecting liquidity is the timing of payments for inventory purchases. The budgeting model indicates that stock purchases are paid in the following month rather than immediately. As a result, some cash outflows appear later in the planning period. This improves the cash balance temporarily but does not remove the financial obligation. </w:t>
      </w:r>
    </w:p>
    <w:p w14:paraId="54A0EFE0" w14:textId="72D2137D"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Because of this timing difference, the final cash balance shown in December may give a slightly optimistic impression of the company’s liquidity. Some payments will occur shortly after the end of the budget period. If inventory purchases continue at the same level, these payments may create pressure on the company’s cash resources early in the following period. Management should therefore avoid focusing only on the closing cash balance. Instead, it should analyse the pattern of cash flows throughout the period. Regular monitoring of cash inflows and outflows will allow the company to react quickly if financial pressure begins to appear (Corporate Finance Institute, 2023a; Investopedia, 2023c).</w:t>
      </w:r>
    </w:p>
    <w:p w14:paraId="3D1F34A0" w14:textId="77777777"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Another important issue highlighted by the budgets is the level of operating expenses. The profit and loss budget shows that administrative costs represent a significant portion of total operating expenses. While these costs may be necessary to support the organisation’s activities, they also represent fixed commitments that must be covered regardless of sales performance (Calotă et al., 2020; Schroeder, Clark and Cathey, 2022).</w:t>
      </w:r>
    </w:p>
    <w:p w14:paraId="4E355835" w14:textId="77777777" w:rsidR="00164EB8"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 xml:space="preserve">If sales fall below expectations, the company may find it difficult to reduce these expenses quickly. This creates a risk that profitability could decline rapidly if market conditions become less favourable. Management should therefore review operating expenses regularly to ensure that resources are used efficiently. Cost reduction should not necessarily mean drastic cuts, because such actions could damage store operations or employee morale. Instead, the focus should be on improving efficiency. </w:t>
      </w:r>
    </w:p>
    <w:p w14:paraId="3F1F0F0E" w14:textId="065D8EA1"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lastRenderedPageBreak/>
        <w:t>For example, better digital systems for inventory control or financial reporting could reduce administrative workload while improving coordination between departments</w:t>
      </w:r>
      <w:r w:rsidR="00045830" w:rsidRPr="004F403E">
        <w:rPr>
          <w:rFonts w:ascii="Arial" w:eastAsia="Times New Roman" w:hAnsi="Arial" w:cs="Arial"/>
          <w:kern w:val="0"/>
          <w:lang w:eastAsia="en-GB"/>
          <w14:ligatures w14:val="none"/>
        </w:rPr>
        <w:t>.</w:t>
      </w:r>
    </w:p>
    <w:p w14:paraId="259150CC" w14:textId="790E857D"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 xml:space="preserve">Another element that deserves attention is the planned investment in store refurbishment. Retail environments play a key role in shaping customer perception of a brand, particularly in the premium clothing market. Attractive store layouts and product displays can encourage customers to spend more time in stores and increase the likelihood of purchases. However, refurbishment projects require financial resources at the time they are implemented. When the company is already investing heavily in inventory and attempting to improve its liquidity position, the timing of these investments becomes important. If refurbishment projects take place during periods of limited cash availability, they may place additional pressure on the company’s financial position. Management should therefore evaluate whether all planned improvements are necessary immediately. Some investments may be essential to maintain store standards, while others could be </w:t>
      </w:r>
      <w:r w:rsidR="00C42AA3" w:rsidRPr="004F403E">
        <w:rPr>
          <w:rFonts w:ascii="Arial" w:eastAsia="Times New Roman" w:hAnsi="Arial" w:cs="Arial"/>
          <w:kern w:val="0"/>
          <w:lang w:eastAsia="en-GB"/>
          <w14:ligatures w14:val="none"/>
        </w:rPr>
        <w:t>suspended</w:t>
      </w:r>
      <w:r w:rsidRPr="004F403E">
        <w:rPr>
          <w:rFonts w:ascii="Arial" w:eastAsia="Times New Roman" w:hAnsi="Arial" w:cs="Arial"/>
          <w:kern w:val="0"/>
          <w:lang w:eastAsia="en-GB"/>
          <w14:ligatures w14:val="none"/>
        </w:rPr>
        <w:t xml:space="preserve"> without harming the company’s competitive position. Delaying non-essential projects would allow the organisation to focus on strengthening its liquidity during the planning period (Campos, Sanchis and Ejarque, 2024).</w:t>
      </w:r>
    </w:p>
    <w:p w14:paraId="52D56B3D" w14:textId="77777777"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The financial plans also suggest that Silver Stitch Ltd may depend strongly on seasonal sales patterns. Clothing retailers often experience stronger demand during certain periods of the year, particularly during colder seasons and holiday shopping periods. While these peaks can generate substantial revenue, they also create uncertainty. If customer demand during peak periods is lower than expected, the company may struggle to generate the cash required to support its financial commitments. This risk becomes more significant when inventory levels are high, because unsold stock may remain in stores for longer periods. To reduce this risk, management could explore strategies aimed at creating more stable sales throughout the year. Promotional campaigns, product diversification and targeted marketing initiatives may help attract customers during traditionally slower months. By reducing dependence on seasonal demand peaks, the company could stabilise its cash flow and reduce financial uncertainty (McKinsey &amp; Company, 2023b; Leonidou et al., 2022).</w:t>
      </w:r>
    </w:p>
    <w:p w14:paraId="607FE7CA" w14:textId="77777777"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Overall, the analysis of the budgets indicates that Silver Stitch Ltd faces several interconnected financial challenges. The company’s profit forecast appears strong, but the level of inventory investment, the limited monthly cash margins and the timing of financial commitments create potential risks. If these factors are not managed carefully, the company could experience liquidity pressure despite reporting a profit (Mandipa and Sibindi, 2022; Rey-Ares, Fernández-López and Rodeiro-Pazos, 2021).</w:t>
      </w:r>
    </w:p>
    <w:p w14:paraId="25EC080D" w14:textId="77777777"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Beyond the financial calculations shown in the budgets, it is also important to consider the organisational conditions that influence whether a budgeting system can function effectively. Budgets are not only financial documents; they are management tools that guide decisions and coordinate activities across different parts of the organisation. If the organisational environment does not support the budgeting process, even well-prepared budgets may fail to improve decision making (Drury, 2021; Datar and Rajan, 2021; Isibor et al., 2022).</w:t>
      </w:r>
    </w:p>
    <w:p w14:paraId="1F41A9CD" w14:textId="77777777"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lastRenderedPageBreak/>
        <w:t>One of the most important conditions for effective budgeting is strong involvement from senior management. Budgeting requires strategic direction because financial plans must reflect the long-term priorities of the organisation. When senior managers actively participate in the budgeting process, they ensure that operational decisions remain aligned with the company’s overall strategy. Their involvement also signals to employees that budgeting is an important management activity rather than simply an administrative exercise (Alsharari, 2024; Ma et al., 2022).</w:t>
      </w:r>
    </w:p>
    <w:p w14:paraId="351BE0D6" w14:textId="57407ABF"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For Silver Stitch Ltd this point is particularly relevant. The company faces several financial pressures during the planning period, including the need to eliminate the existing overdraft, manage rising inventory levels and maintain sufficient liquidity. These issues require coordinated decision making across departments such as purchasing, sales and finance. Without clear leadership from senior management, different departments might pursue conflicting objectives. For example, the purchasing department might focus on ensuring product availability while the finance department attempts to reduce spending to improve cash flow (Turkeș et al., 2020).</w:t>
      </w:r>
    </w:p>
    <w:p w14:paraId="7ECDBADB" w14:textId="77777777" w:rsidR="004F403E"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 xml:space="preserve">Another important condition for effective budgeting is the alignment between budgets and organisational strategy. Financial plans should support the strategic direction of the business rather than simply controlling costs. Silver Stitch Ltd operates in the premium clothing segment, where brand image, product quality and customer experience play an important role in attracting customers. Budgets must therefore allow sufficient investment in store presentation, marketing activities and product quality. At the same time, these investments must remain financially sustainable. The budgeting process should help management evaluate whether strategic initiatives are affordable within the company’s financial constraints. In the case of Silver Stitch Ltd, decisions about store refurbishment or inventory purchases must be carefully balanced with the objective of improving liquidity and eliminating the overdraft (Nagle, Müller and Gruyaert, 2023; Campos, Sanchis and Ejarque, 2024). The quality of information used in the budgeting process is also essential. Budgets rely on forecasts about future sales, costs and market conditions. If these forecasts are unrealistic, the resulting financial plans may lead to poor decisions. Retail organisations often rely heavily on historical sales data when preparing forecasts, but past performance may not always reflect future demand. Consumer behaviour in the fashion market can change quickly. New trends, economic conditions and competitive pressures may influence customer preferences. If the sales forecasts used in the budgeting process are overly optimistic, the company may purchase more inventory than it can realistically sell. </w:t>
      </w:r>
    </w:p>
    <w:p w14:paraId="088BB37E" w14:textId="17D26DDF"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This would increase the risk of unsold stock and place additional pressure on cash flow. Improving the accuracy of demand forecasting could therefore help Silver Stitch Ltd reduce financial risk. Management should combine historical sales data with market research and feedback from store managers to develop more realistic forecasts (McKinsey &amp; Company, 2021; McKinsey &amp; Company, 2023a; Olayinka, 2022).</w:t>
      </w:r>
    </w:p>
    <w:p w14:paraId="781912B8" w14:textId="77777777" w:rsidR="00164EB8"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 xml:space="preserve">Effective communication between departments is another important factor that supports successful budgeting. Organisations consist of multiple functions, including sales, purchasing, marketing and finance. Decisions made by one department often influence the activities of others. </w:t>
      </w:r>
    </w:p>
    <w:p w14:paraId="72719354" w14:textId="6F85B90D"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lastRenderedPageBreak/>
        <w:t>For example, if the sales department plans an increase in marketing activities, this may lead to higher expected sales. Higher expected sales will in turn influence purchasing decisions and inventory levels (Wati, Syafina and Nurwani, 2024).</w:t>
      </w:r>
    </w:p>
    <w:p w14:paraId="22684236" w14:textId="1B72B825"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If communication between departments is weak, these decisions may become inconsistent. The sales team might expect strong growth while the finance department attempts to limit spending. Such conflicts reduce the usefulness of budgets as planning tools. Regular communication between departments ensures that all parts of the organisation work with the same financial expectations. Together with these organisational conditions, behavioural factors also influence the effectiveness of budgeting systems. Budgets affect how managers and employees behave because they are often used to evaluate performance. When individuals know that their performance will be judged according to budget targets, they may respond in ways that influence the reliability of the budgeting process (Hanlon, Yeung and Zuo, 2022). One behavioural issue frequently discussed in management accounting is budgetary slack. This occurs when managers intentionally underestimate expected revenues or overestimate costs when preparing budgets. By doing this, they make it easier to achieve their targets later. Although this behaviour may protect individual managers from criticism, it reduces the usefulness of budgets because the figures no longer represent realistic expectations (Agustina et al., 2024; Ramlall et al., 2024).</w:t>
      </w:r>
    </w:p>
    <w:p w14:paraId="14C0E098" w14:textId="77777777"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Another behavioural issue relates to performance pressure. When managers are evaluated primarily on their ability to achieve short-term budget targets, they may focus too heavily on immediate results. This pressure may encourage decisions that improve short-term financial performance but damage the organisation’s long-term development (Hanlon, Yeung and Zuo, 2022; Oncioiu et al., 2020).</w:t>
      </w:r>
    </w:p>
    <w:p w14:paraId="4674EBEE" w14:textId="77777777"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For example, managers might delay necessary investments or reduce spending on employee training to meet short-term financial targets. Employee motivation is also closely connected to the budgeting process. If employees believe that budget targets are unrealistic or unfair, they may become discouraged and less committed to organisational goals. On the other hand, if targets are too easy to achieve, they may fail to encourage improvement. An effective budgeting system therefore requires targets that are challenging but achievable (Agustina et al., 2024; Isibor et al., 2022).</w:t>
      </w:r>
    </w:p>
    <w:p w14:paraId="251ACF7C" w14:textId="076360BD"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Finally, resistance to control can appear when employees perceive budgeting systems as tools of strict supervision rather than tools for planning and coordination. When individuals feel that budgets are used mainly to monitor their performance, they may become defensive and less cooperative. Management should therefore communicate clearly that budgets are intended to support better decision making rather than simply control employees (Hanlon, Yeung and Zuo, 2022).</w:t>
      </w:r>
    </w:p>
    <w:p w14:paraId="370ACFF9" w14:textId="77777777" w:rsidR="00164EB8"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Another aspect that deserves attention is the role of traditional budgeting methods in modern business environments. Traditional budgeting systems typically involve preparing a fixed annual budget that defines expected revenues and costs for the entire year. Once the budget is approved, actual results are compared with the planned figures to evaluate performance. While this approach provides structure and discipline, it also has several limitations. One common criticism is that fixed budgets can quickly become outdated in rapidly changing markets.</w:t>
      </w:r>
    </w:p>
    <w:p w14:paraId="10969FB7" w14:textId="74F0055E"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lastRenderedPageBreak/>
        <w:t xml:space="preserve"> Retail businesses operate in environments where customer preferences, fashion trends and economic conditions can change quickly. When organisations rely on fixed budgets prepared months in advance, the assumptions used in those budgets may no longer reflect current market conditions (Ramlall et al., 2024; McKinsey &amp; Company, 2023b).</w:t>
      </w:r>
    </w:p>
    <w:p w14:paraId="0A0BA728" w14:textId="019BB353"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Another limitation is that traditional budgeting often focuses heavily on cost control rather than value creation. Managers may become more concerned with meeting budget targets than with identifying new opportunities for growth. This can reduce organisational flexibility and discourage innovation. Traditional budgeting processes can also be time consuming. Preparing detailed budgets for large organisations may require extensive negotiation between departments. By the time the budgeting process is completed, the assumptions on which it was based may already have changed. For these reasons, many organisations have started to complement traditional budgeting with more flexible financial planning methods. Techniques such as rolling forecasts allow companies to update their financial projections regularly instead of relying only on a single annual plan. This approach helps organisations respond more quickly to changes in the business environment. For Silver Stitch Ltd, adopting more flexible financial monitoring practices could improve decision making. Instead of relying only on the six-month budget prepared at the beginning of the period, management could review financial performance regularly and update forecasts when necessary. This would allow the company to react more quickly if sales performance or cash flow conditions change (Wahyudi, 2026).</w:t>
      </w:r>
    </w:p>
    <w:p w14:paraId="7C186851" w14:textId="77777777"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p>
    <w:p w14:paraId="18BAD2D4" w14:textId="77777777" w:rsidR="00164EB8" w:rsidRDefault="00164EB8">
      <w:pPr>
        <w:rPr>
          <w:rFonts w:asciiTheme="majorHAnsi" w:eastAsia="Times New Roman" w:hAnsiTheme="majorHAnsi" w:cstheme="majorBidi"/>
          <w:color w:val="0F4761" w:themeColor="accent1" w:themeShade="BF"/>
          <w:sz w:val="40"/>
          <w:szCs w:val="40"/>
          <w:lang w:eastAsia="en-GB"/>
        </w:rPr>
      </w:pPr>
      <w:r>
        <w:rPr>
          <w:rFonts w:eastAsia="Times New Roman"/>
          <w:lang w:eastAsia="en-GB"/>
        </w:rPr>
        <w:br w:type="page"/>
      </w:r>
    </w:p>
    <w:p w14:paraId="4F66F3DF" w14:textId="378587E3" w:rsidR="00685C69" w:rsidRPr="00A00C50" w:rsidRDefault="00685C69" w:rsidP="003917C8">
      <w:pPr>
        <w:pStyle w:val="Heading1"/>
        <w:rPr>
          <w:rFonts w:ascii="Arial" w:eastAsia="Times New Roman" w:hAnsi="Arial" w:cs="Arial"/>
          <w:b/>
          <w:bCs/>
          <w:sz w:val="32"/>
          <w:szCs w:val="32"/>
          <w:lang w:eastAsia="en-GB"/>
        </w:rPr>
      </w:pPr>
      <w:bookmarkStart w:id="3" w:name="_Toc224914677"/>
      <w:r w:rsidRPr="00A00C50">
        <w:rPr>
          <w:rFonts w:ascii="Arial" w:eastAsia="Times New Roman" w:hAnsi="Arial" w:cs="Arial"/>
          <w:b/>
          <w:bCs/>
          <w:sz w:val="32"/>
          <w:szCs w:val="32"/>
          <w:lang w:eastAsia="en-GB"/>
        </w:rPr>
        <w:lastRenderedPageBreak/>
        <w:t>Conclusion</w:t>
      </w:r>
      <w:bookmarkEnd w:id="3"/>
    </w:p>
    <w:p w14:paraId="3BA68303" w14:textId="77777777"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p>
    <w:p w14:paraId="038EE9D9" w14:textId="77777777" w:rsidR="004F403E"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 xml:space="preserve">The analysis of the budgets prepared for Silver Stitch Ltd shows that budgeting is an essential tool for understanding how operational decisions influence financial outcomes. The profit forecast suggests that the company should remain profitable during the six-month planning period, with expected sales of around £1.47 million and a forecast profit of approximately £365,000. These figures indicate that the basic retail model of the business is viable and that the company’s pricing strategy allows it to generate sufficient gross margin (Atrill and McLaney, 2021; Nagle, Müller and Gruyaert, 2023). However, the analysis of the stock and cash budgets reveals several financial risks that require careful management. Inventory levels increase significantly during the planning period, reaching almost four times the opening level by December. This indicates that </w:t>
      </w:r>
      <w:r w:rsidR="004F403E" w:rsidRPr="004F403E">
        <w:rPr>
          <w:rFonts w:ascii="Arial" w:eastAsia="Times New Roman" w:hAnsi="Arial" w:cs="Arial"/>
          <w:kern w:val="0"/>
          <w:lang w:eastAsia="en-GB"/>
          <w14:ligatures w14:val="none"/>
        </w:rPr>
        <w:t>many</w:t>
      </w:r>
      <w:r w:rsidRPr="004F403E">
        <w:rPr>
          <w:rFonts w:ascii="Arial" w:eastAsia="Times New Roman" w:hAnsi="Arial" w:cs="Arial"/>
          <w:kern w:val="0"/>
          <w:lang w:eastAsia="en-GB"/>
          <w14:ligatures w14:val="none"/>
        </w:rPr>
        <w:t xml:space="preserve"> financial resources will become tied up in stock. While maintaining product availability is important for a retail business, excessive inventory increases the risk of unsold goods and places pressure on working capital (Mandipa and Sibindi, 2022; Wanzala et al., 2024). The cash budget also shows that although the company expects to eliminate its overdraft by the end of the period, monthly cash surpluses are relatively small. This means that the company has limited financial flexibility. </w:t>
      </w:r>
    </w:p>
    <w:p w14:paraId="7DFCCB20" w14:textId="5A4AD309"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A small decline in sales or an unexpected increase in expenses could quickly weaken the cash position. Management must therefore monitor cash flows closely rather than relying only on the final closing balance shown in the budget (Corporate Finance Institute, 2023a; Investopedia, 2023a). Several management actions could help reduce these risks. Improving inventory management would reduce the amount of capital tied up in stock and improve liquidity. Purchasing decisions should be based on realistic sales forecasts and supported by analysis of product demand. In addition, the timing of non-essential investments, such as certain store improvements, should be reviewed to ensure that they do not place unnecessary pressure on cash flow (McKinsey &amp; Company, 2022).</w:t>
      </w:r>
    </w:p>
    <w:p w14:paraId="1B8239EB" w14:textId="77777777" w:rsidR="00164EB8"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t xml:space="preserve">The report also highlights the importance of organisational conditions for successful budgeting. Strong involvement from senior management, reliable forecasting information and effective communication between departments are essential for ensuring that budgets support strategic decision making. Without these conditions, budgeting may become a routine administrative exercise that does not influence real managerial behaviour (Alsharari, 2024). Behavioural factors must also be considered when implementing budgeting systems. Issues such as budgetary slack, performance pressure and employee motivation can influence how budgets are prepared and used in practice. Encouraging transparency and participation in the budgeting process can help improve the reliability of financial planning (Agustina et al., 2024; Ramlall et al., 2024). Finally, the discussion of traditional budgeting methods suggests that organisations should remain aware of their limitations. Fixed budgets provide useful financial discipline but may not always be suitable in fast-changing business environments. Retail markets evolve quickly, and organisations must be able to adapt their plans when conditions change (McKinsey &amp; Company, 2023a). </w:t>
      </w:r>
    </w:p>
    <w:p w14:paraId="15314F02" w14:textId="712A997D" w:rsidR="00AD1535"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4F403E">
        <w:rPr>
          <w:rFonts w:ascii="Arial" w:eastAsia="Times New Roman" w:hAnsi="Arial" w:cs="Arial"/>
          <w:kern w:val="0"/>
          <w:lang w:eastAsia="en-GB"/>
          <w14:ligatures w14:val="none"/>
        </w:rPr>
        <w:lastRenderedPageBreak/>
        <w:t>Overall, the budgets prepared for Silver Stitch Ltd provide a useful starting point for financial planning, but the analysis shows that careful management will be required to maintain financial stability. By improving working capital management, monitoring liquidity closely and maintaining strong coordination between departments, the company can reduce financial risks and support the continued development of its retail operations (Rey-Ares, Fernández-López and Rodeiro-Pazos, 2021; Glei</w:t>
      </w:r>
      <w:r w:rsidR="00025340">
        <w:rPr>
          <w:rFonts w:ascii="Arial" w:eastAsia="Times New Roman" w:hAnsi="Arial" w:cs="Arial"/>
          <w:kern w:val="0"/>
          <w:lang w:eastAsia="en-GB"/>
          <w14:ligatures w14:val="none"/>
        </w:rPr>
        <w:t>b</w:t>
      </w:r>
      <w:r w:rsidRPr="004F403E">
        <w:rPr>
          <w:rFonts w:ascii="Arial" w:eastAsia="Times New Roman" w:hAnsi="Arial" w:cs="Arial"/>
          <w:kern w:val="0"/>
          <w:lang w:eastAsia="en-GB"/>
          <w14:ligatures w14:val="none"/>
        </w:rPr>
        <w:t>ner, Günther and Walkshäusl, 2022; van den Boom, 2020; Wagenhofer, 2024).</w:t>
      </w:r>
    </w:p>
    <w:p w14:paraId="41A3790F" w14:textId="77777777" w:rsidR="00AD1535" w:rsidRDefault="00AD1535">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2EB064A3" w14:textId="77777777" w:rsidR="00AD1535" w:rsidRPr="00A00C50" w:rsidRDefault="00AD1535" w:rsidP="003917C8">
      <w:pPr>
        <w:pStyle w:val="Heading1"/>
        <w:rPr>
          <w:rFonts w:ascii="Arial" w:eastAsia="Times New Roman" w:hAnsi="Arial" w:cs="Arial"/>
          <w:b/>
          <w:bCs/>
          <w:sz w:val="32"/>
          <w:szCs w:val="32"/>
          <w:lang w:eastAsia="en-GB"/>
        </w:rPr>
      </w:pPr>
      <w:bookmarkStart w:id="4" w:name="_Toc224914678"/>
      <w:r w:rsidRPr="00A00C50">
        <w:rPr>
          <w:rFonts w:ascii="Arial" w:eastAsia="Times New Roman" w:hAnsi="Arial" w:cs="Arial"/>
          <w:b/>
          <w:bCs/>
          <w:sz w:val="32"/>
          <w:szCs w:val="32"/>
          <w:lang w:eastAsia="en-GB"/>
        </w:rPr>
        <w:lastRenderedPageBreak/>
        <w:t>Appendices</w:t>
      </w:r>
      <w:bookmarkEnd w:id="4"/>
    </w:p>
    <w:p w14:paraId="24C9A92E" w14:textId="77777777" w:rsidR="00AD1535" w:rsidRDefault="00AD1535" w:rsidP="00AD153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8A55CD1" w14:textId="47289ED3" w:rsidR="00AD1535" w:rsidRPr="00A00C50" w:rsidRDefault="00AD1535" w:rsidP="003917C8">
      <w:pPr>
        <w:pStyle w:val="Heading2"/>
        <w:rPr>
          <w:rFonts w:ascii="Arial" w:eastAsia="Times New Roman" w:hAnsi="Arial" w:cs="Arial"/>
          <w:sz w:val="28"/>
          <w:szCs w:val="28"/>
          <w:lang w:eastAsia="en-GB"/>
        </w:rPr>
      </w:pPr>
      <w:bookmarkStart w:id="5" w:name="_Toc224914679"/>
      <w:r w:rsidRPr="00A00C50">
        <w:rPr>
          <w:rFonts w:ascii="Arial" w:eastAsia="Times New Roman" w:hAnsi="Arial" w:cs="Arial"/>
          <w:sz w:val="28"/>
          <w:szCs w:val="28"/>
          <w:lang w:eastAsia="en-GB"/>
        </w:rPr>
        <w:t xml:space="preserve">Appendix A </w:t>
      </w:r>
      <w:r w:rsidR="008D742E" w:rsidRPr="00A00C50">
        <w:rPr>
          <w:rFonts w:ascii="Arial" w:eastAsia="Times New Roman" w:hAnsi="Arial" w:cs="Arial"/>
          <w:sz w:val="28"/>
          <w:szCs w:val="28"/>
          <w:lang w:eastAsia="en-GB"/>
        </w:rPr>
        <w:t>-</w:t>
      </w:r>
      <w:r w:rsidRPr="00A00C50">
        <w:rPr>
          <w:rFonts w:ascii="Arial" w:eastAsia="Times New Roman" w:hAnsi="Arial" w:cs="Arial"/>
          <w:sz w:val="28"/>
          <w:szCs w:val="28"/>
          <w:lang w:eastAsia="en-GB"/>
        </w:rPr>
        <w:t xml:space="preserve"> Profit and Loss Budget</w:t>
      </w:r>
      <w:bookmarkEnd w:id="5"/>
    </w:p>
    <w:p w14:paraId="50AD0470" w14:textId="6621F799" w:rsidR="008D742E" w:rsidRDefault="004F42CD" w:rsidP="003917C8">
      <w:pPr>
        <w:rPr>
          <w:lang w:eastAsia="en-GB"/>
          <w14:ligatures w14:val="none"/>
        </w:rPr>
      </w:pPr>
      <w:r w:rsidRPr="00C102D4">
        <w:rPr>
          <w:noProof/>
          <w:lang w:eastAsia="en-GB"/>
        </w:rPr>
        <w:object w:dxaOrig="1720" w:dyaOrig="1100" w14:anchorId="6D88ADF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alt="" style="width:86.25pt;height:54.9pt;mso-width-percent:0;mso-height-percent:0;mso-width-percent:0;mso-height-percent:0" o:ole="">
            <v:imagedata r:id="rId8" o:title=""/>
          </v:shape>
          <o:OLEObject Type="Embed" ProgID="Excel.Sheet.12" ShapeID="_x0000_i1027" DrawAspect="Icon" ObjectID="_1835528400" r:id="rId9"/>
        </w:object>
      </w:r>
    </w:p>
    <w:p w14:paraId="17C0406C" w14:textId="3A068350" w:rsidR="008D742E" w:rsidRPr="00A00C50" w:rsidRDefault="008D742E" w:rsidP="003917C8">
      <w:pPr>
        <w:pStyle w:val="Heading2"/>
        <w:rPr>
          <w:rFonts w:ascii="Arial" w:eastAsia="Times New Roman" w:hAnsi="Arial" w:cs="Arial"/>
          <w:sz w:val="28"/>
          <w:szCs w:val="28"/>
          <w:lang w:eastAsia="en-GB"/>
        </w:rPr>
      </w:pPr>
      <w:bookmarkStart w:id="6" w:name="_Toc224914680"/>
      <w:r w:rsidRPr="00A00C50">
        <w:rPr>
          <w:rFonts w:ascii="Arial" w:eastAsia="Times New Roman" w:hAnsi="Arial" w:cs="Arial"/>
          <w:sz w:val="28"/>
          <w:szCs w:val="28"/>
          <w:lang w:eastAsia="en-GB"/>
        </w:rPr>
        <w:t>Appendix B - Stock Budget</w:t>
      </w:r>
      <w:bookmarkEnd w:id="6"/>
    </w:p>
    <w:p w14:paraId="3C99766E" w14:textId="6F705FB5" w:rsidR="008D742E" w:rsidRDefault="004F42CD" w:rsidP="003917C8">
      <w:pPr>
        <w:rPr>
          <w:lang w:eastAsia="en-GB"/>
          <w14:ligatures w14:val="none"/>
        </w:rPr>
      </w:pPr>
      <w:r w:rsidRPr="00C102D4">
        <w:rPr>
          <w:noProof/>
          <w:lang w:eastAsia="en-GB"/>
        </w:rPr>
        <w:object w:dxaOrig="1720" w:dyaOrig="1100" w14:anchorId="06A60CC8">
          <v:shape id="_x0000_i1026" type="#_x0000_t75" alt="" style="width:86.25pt;height:54.9pt;mso-width-percent:0;mso-height-percent:0;mso-width-percent:0;mso-height-percent:0" o:ole="">
            <v:imagedata r:id="rId10" o:title=""/>
          </v:shape>
          <o:OLEObject Type="Embed" ProgID="Excel.Sheet.12" ShapeID="_x0000_i1026" DrawAspect="Icon" ObjectID="_1835528401" r:id="rId11"/>
        </w:object>
      </w:r>
    </w:p>
    <w:p w14:paraId="472BB40F" w14:textId="75F92347" w:rsidR="008D742E" w:rsidRPr="00A00C50" w:rsidRDefault="008D742E" w:rsidP="003917C8">
      <w:pPr>
        <w:pStyle w:val="Heading2"/>
        <w:rPr>
          <w:rFonts w:ascii="Arial" w:eastAsia="Times New Roman" w:hAnsi="Arial" w:cs="Arial"/>
          <w:sz w:val="28"/>
          <w:szCs w:val="28"/>
          <w:lang w:eastAsia="en-GB"/>
        </w:rPr>
      </w:pPr>
      <w:bookmarkStart w:id="7" w:name="_Toc224914681"/>
      <w:r w:rsidRPr="00A00C50">
        <w:rPr>
          <w:rFonts w:ascii="Arial" w:eastAsia="Times New Roman" w:hAnsi="Arial" w:cs="Arial"/>
          <w:sz w:val="28"/>
          <w:szCs w:val="28"/>
          <w:lang w:eastAsia="en-GB"/>
        </w:rPr>
        <w:t>Appendix C - Cash Budget</w:t>
      </w:r>
      <w:bookmarkEnd w:id="7"/>
    </w:p>
    <w:p w14:paraId="1FFECAF1" w14:textId="33646D25" w:rsidR="008D742E" w:rsidRPr="008D742E" w:rsidRDefault="004F42CD" w:rsidP="003917C8">
      <w:pPr>
        <w:rPr>
          <w:lang w:eastAsia="en-GB"/>
          <w14:ligatures w14:val="none"/>
        </w:rPr>
      </w:pPr>
      <w:r w:rsidRPr="00C102D4">
        <w:rPr>
          <w:noProof/>
          <w:lang w:eastAsia="en-GB"/>
        </w:rPr>
        <w:object w:dxaOrig="1720" w:dyaOrig="1100" w14:anchorId="194D0643">
          <v:shape id="_x0000_i1025" type="#_x0000_t75" alt="" style="width:86.25pt;height:54.9pt;mso-width-percent:0;mso-height-percent:0;mso-width-percent:0;mso-height-percent:0" o:ole="">
            <v:imagedata r:id="rId12" o:title=""/>
          </v:shape>
          <o:OLEObject Type="Embed" ProgID="Excel.Sheet.12" ShapeID="_x0000_i1025" DrawAspect="Icon" ObjectID="_1835528402" r:id="rId13"/>
        </w:object>
      </w:r>
    </w:p>
    <w:p w14:paraId="664BC99C" w14:textId="798239AA" w:rsidR="00B82958" w:rsidRDefault="00B82958">
      <w:pPr>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br w:type="page"/>
      </w:r>
    </w:p>
    <w:p w14:paraId="5EF617A9" w14:textId="79A408E1" w:rsidR="00AD0AC3" w:rsidRPr="00A00C50" w:rsidRDefault="00AD0AC3" w:rsidP="003917C8">
      <w:pPr>
        <w:pStyle w:val="Heading1"/>
        <w:rPr>
          <w:rFonts w:ascii="Arial" w:hAnsi="Arial" w:cs="Arial"/>
          <w:b/>
          <w:bCs/>
          <w:sz w:val="32"/>
          <w:szCs w:val="32"/>
        </w:rPr>
      </w:pPr>
      <w:bookmarkStart w:id="8" w:name="_Toc224914682"/>
      <w:r w:rsidRPr="00A00C50">
        <w:rPr>
          <w:rFonts w:ascii="Arial" w:hAnsi="Arial" w:cs="Arial"/>
          <w:b/>
          <w:bCs/>
          <w:sz w:val="32"/>
          <w:szCs w:val="32"/>
        </w:rPr>
        <w:lastRenderedPageBreak/>
        <w:t>References List:</w:t>
      </w:r>
      <w:bookmarkEnd w:id="8"/>
    </w:p>
    <w:p w14:paraId="2C422097" w14:textId="77777777" w:rsidR="00AD0AC3" w:rsidRPr="00AD0AC3" w:rsidRDefault="00AD0AC3" w:rsidP="00AD0AC3"/>
    <w:p w14:paraId="21F6969F" w14:textId="77777777" w:rsidR="00AD0AC3" w:rsidRPr="00AD0AC3" w:rsidRDefault="00AD0AC3" w:rsidP="00AD0AC3">
      <w:pPr>
        <w:pStyle w:val="p1"/>
        <w:rPr>
          <w:rFonts w:ascii="Arial" w:hAnsi="Arial" w:cs="Arial"/>
        </w:rPr>
      </w:pPr>
      <w:r w:rsidRPr="00AD0AC3">
        <w:rPr>
          <w:rFonts w:ascii="Arial" w:hAnsi="Arial" w:cs="Arial"/>
        </w:rPr>
        <w:t xml:space="preserve">Agustina, L. et al. (2024) ‘Budgetary slack’, </w:t>
      </w:r>
      <w:r w:rsidRPr="00AD0AC3">
        <w:rPr>
          <w:rFonts w:ascii="Arial" w:hAnsi="Arial" w:cs="Arial"/>
          <w:i/>
          <w:iCs/>
        </w:rPr>
        <w:t>Cogent Business &amp; Management</w:t>
      </w:r>
      <w:r w:rsidRPr="00AD0AC3">
        <w:rPr>
          <w:rFonts w:ascii="Arial" w:hAnsi="Arial" w:cs="Arial"/>
        </w:rPr>
        <w:t xml:space="preserve">. Available at: </w:t>
      </w:r>
      <w:hyperlink r:id="rId14" w:history="1">
        <w:r w:rsidRPr="00AD0AC3">
          <w:rPr>
            <w:rStyle w:val="Hyperlink"/>
            <w:rFonts w:ascii="Arial" w:hAnsi="Arial" w:cs="Arial"/>
          </w:rPr>
          <w:t>https://www.tandfonline.com/doi/full/10.1080/23311975.2024.2354846</w:t>
        </w:r>
      </w:hyperlink>
    </w:p>
    <w:p w14:paraId="088D3AFF" w14:textId="77777777" w:rsidR="00AD0AC3" w:rsidRPr="00AD0AC3" w:rsidRDefault="00AD0AC3" w:rsidP="00AD0AC3">
      <w:pPr>
        <w:pStyle w:val="p1"/>
        <w:rPr>
          <w:rFonts w:ascii="Arial" w:hAnsi="Arial" w:cs="Arial"/>
        </w:rPr>
      </w:pPr>
      <w:r w:rsidRPr="00AD0AC3">
        <w:rPr>
          <w:rFonts w:ascii="Arial" w:hAnsi="Arial" w:cs="Arial"/>
        </w:rPr>
        <w:t xml:space="preserve">Alsharari, N.M. (2024) ‘Strategic management accounting and organizational change’, </w:t>
      </w:r>
      <w:r w:rsidRPr="00AD0AC3">
        <w:rPr>
          <w:rFonts w:ascii="Arial" w:hAnsi="Arial" w:cs="Arial"/>
          <w:i/>
          <w:iCs/>
        </w:rPr>
        <w:t>Journal of Accounting &amp; Organizational Change</w:t>
      </w:r>
      <w:r w:rsidRPr="00AD0AC3">
        <w:rPr>
          <w:rFonts w:ascii="Arial" w:hAnsi="Arial" w:cs="Arial"/>
        </w:rPr>
        <w:t xml:space="preserve">. Available at: </w:t>
      </w:r>
      <w:hyperlink r:id="rId15" w:history="1">
        <w:r w:rsidRPr="00AD0AC3">
          <w:rPr>
            <w:rStyle w:val="Hyperlink"/>
            <w:rFonts w:ascii="Arial" w:hAnsi="Arial" w:cs="Arial"/>
          </w:rPr>
          <w:t>https://doi.org/10.1108/JAOC-09-2021-0130</w:t>
        </w:r>
      </w:hyperlink>
    </w:p>
    <w:p w14:paraId="498B3287" w14:textId="77777777" w:rsidR="00AD0AC3" w:rsidRPr="00AD0AC3" w:rsidRDefault="00AD0AC3" w:rsidP="00AD0AC3">
      <w:pPr>
        <w:pStyle w:val="p1"/>
        <w:rPr>
          <w:rFonts w:ascii="Arial" w:hAnsi="Arial" w:cs="Arial"/>
        </w:rPr>
      </w:pPr>
      <w:r w:rsidRPr="00AD0AC3">
        <w:rPr>
          <w:rFonts w:ascii="Arial" w:hAnsi="Arial" w:cs="Arial"/>
        </w:rPr>
        <w:t xml:space="preserve">Atrill, P. and McLaney, E. (2021) </w:t>
      </w:r>
      <w:r w:rsidRPr="00AD0AC3">
        <w:rPr>
          <w:rFonts w:ascii="Arial" w:hAnsi="Arial" w:cs="Arial"/>
          <w:i/>
          <w:iCs/>
        </w:rPr>
        <w:t>Management Accounting for Decision Makers</w:t>
      </w:r>
      <w:r w:rsidRPr="00AD0AC3">
        <w:rPr>
          <w:rFonts w:ascii="Arial" w:hAnsi="Arial" w:cs="Arial"/>
        </w:rPr>
        <w:t xml:space="preserve">. Harlow: Pearson. Available at: </w:t>
      </w:r>
      <w:hyperlink r:id="rId16" w:history="1">
        <w:r w:rsidRPr="00AD0AC3">
          <w:rPr>
            <w:rStyle w:val="Hyperlink"/>
            <w:rFonts w:ascii="Arial" w:hAnsi="Arial" w:cs="Arial"/>
          </w:rPr>
          <w:t>https://www.pearson.com/en-gb/subject-catalog/p/management-accounting-for-decision-makers/P200000003479</w:t>
        </w:r>
      </w:hyperlink>
    </w:p>
    <w:p w14:paraId="325333C3" w14:textId="77777777" w:rsidR="00AD0AC3" w:rsidRPr="00AD0AC3" w:rsidRDefault="00AD0AC3" w:rsidP="00AD0AC3">
      <w:pPr>
        <w:pStyle w:val="p1"/>
        <w:rPr>
          <w:rFonts w:ascii="Arial" w:hAnsi="Arial" w:cs="Arial"/>
        </w:rPr>
      </w:pPr>
      <w:r w:rsidRPr="00AD0AC3">
        <w:rPr>
          <w:rFonts w:ascii="Arial" w:hAnsi="Arial" w:cs="Arial"/>
        </w:rPr>
        <w:t xml:space="preserve">Calotă, T.O. et al. (2020) ‘Profit and loss account’, in </w:t>
      </w:r>
      <w:r w:rsidRPr="00AD0AC3">
        <w:rPr>
          <w:rFonts w:ascii="Arial" w:hAnsi="Arial" w:cs="Arial"/>
          <w:i/>
          <w:iCs/>
        </w:rPr>
        <w:t>Management accounting standards</w:t>
      </w:r>
      <w:r w:rsidRPr="00AD0AC3">
        <w:rPr>
          <w:rFonts w:ascii="Arial" w:hAnsi="Arial" w:cs="Arial"/>
        </w:rPr>
        <w:t xml:space="preserve">. Available at: </w:t>
      </w:r>
      <w:hyperlink r:id="rId17" w:history="1">
        <w:r w:rsidRPr="00AD0AC3">
          <w:rPr>
            <w:rStyle w:val="Hyperlink"/>
            <w:rFonts w:ascii="Arial" w:hAnsi="Arial" w:cs="Arial"/>
          </w:rPr>
          <w:t>https://doi.org/10.4018/978-1-7998-0178-8.ch004</w:t>
        </w:r>
      </w:hyperlink>
    </w:p>
    <w:p w14:paraId="33944B37" w14:textId="77777777" w:rsidR="00AD0AC3" w:rsidRPr="00AD0AC3" w:rsidRDefault="00AD0AC3" w:rsidP="00AD0AC3">
      <w:pPr>
        <w:pStyle w:val="p1"/>
        <w:rPr>
          <w:rFonts w:ascii="Arial" w:hAnsi="Arial" w:cs="Arial"/>
        </w:rPr>
      </w:pPr>
      <w:r w:rsidRPr="00AD0AC3">
        <w:rPr>
          <w:rFonts w:ascii="Arial" w:hAnsi="Arial" w:cs="Arial"/>
        </w:rPr>
        <w:t xml:space="preserve">Campos, V., Sanchis, J.R. and Ejarque, A.T. (2024) ‘Financial management and competitiveness’, </w:t>
      </w:r>
      <w:r w:rsidRPr="00AD0AC3">
        <w:rPr>
          <w:rFonts w:ascii="Arial" w:hAnsi="Arial" w:cs="Arial"/>
          <w:i/>
          <w:iCs/>
        </w:rPr>
        <w:t>International Entrepreneurship and Management Journal</w:t>
      </w:r>
      <w:r w:rsidRPr="00AD0AC3">
        <w:rPr>
          <w:rFonts w:ascii="Arial" w:hAnsi="Arial" w:cs="Arial"/>
        </w:rPr>
        <w:t xml:space="preserve">. Available at: </w:t>
      </w:r>
      <w:hyperlink r:id="rId18" w:history="1">
        <w:r w:rsidRPr="00AD0AC3">
          <w:rPr>
            <w:rStyle w:val="Hyperlink"/>
            <w:rFonts w:ascii="Arial" w:hAnsi="Arial" w:cs="Arial"/>
          </w:rPr>
          <w:t>https://doi.org/10.1007/s11365-023-00928-4</w:t>
        </w:r>
      </w:hyperlink>
    </w:p>
    <w:p w14:paraId="7F8130D3" w14:textId="77777777" w:rsidR="00AD0AC3" w:rsidRPr="00AD0AC3" w:rsidRDefault="00AD0AC3" w:rsidP="00AD0AC3">
      <w:pPr>
        <w:pStyle w:val="p1"/>
        <w:rPr>
          <w:rFonts w:ascii="Arial" w:hAnsi="Arial" w:cs="Arial"/>
        </w:rPr>
      </w:pPr>
      <w:r w:rsidRPr="00AD0AC3">
        <w:rPr>
          <w:rFonts w:ascii="Arial" w:hAnsi="Arial" w:cs="Arial"/>
        </w:rPr>
        <w:t xml:space="preserve">Corporate Finance Institute (2023a) ‘Cash flow’. Available at: </w:t>
      </w:r>
      <w:hyperlink r:id="rId19" w:history="1">
        <w:r w:rsidRPr="00AD0AC3">
          <w:rPr>
            <w:rStyle w:val="Hyperlink"/>
            <w:rFonts w:ascii="Arial" w:hAnsi="Arial" w:cs="Arial"/>
          </w:rPr>
          <w:t>https://corporatefinanceinstitute.com/resources/accounting/cash-flow/</w:t>
        </w:r>
      </w:hyperlink>
    </w:p>
    <w:p w14:paraId="6653FDB3" w14:textId="77777777" w:rsidR="00AD0AC3" w:rsidRPr="00AD0AC3" w:rsidRDefault="00AD0AC3" w:rsidP="00AD0AC3">
      <w:pPr>
        <w:pStyle w:val="p1"/>
        <w:rPr>
          <w:rFonts w:ascii="Arial" w:hAnsi="Arial" w:cs="Arial"/>
        </w:rPr>
      </w:pPr>
      <w:r w:rsidRPr="00AD0AC3">
        <w:rPr>
          <w:rFonts w:ascii="Arial" w:hAnsi="Arial" w:cs="Arial"/>
        </w:rPr>
        <w:t xml:space="preserve">Corporate Finance Institute (2023b) ‘Inventory’. Available at: </w:t>
      </w:r>
      <w:hyperlink r:id="rId20" w:history="1">
        <w:r w:rsidRPr="00AD0AC3">
          <w:rPr>
            <w:rStyle w:val="Hyperlink"/>
            <w:rFonts w:ascii="Arial" w:hAnsi="Arial" w:cs="Arial"/>
          </w:rPr>
          <w:t>https://corporatefinanceinstitute.com/resources/accounting/inventory/</w:t>
        </w:r>
      </w:hyperlink>
    </w:p>
    <w:p w14:paraId="7D9460DF" w14:textId="77777777" w:rsidR="00AD0AC3" w:rsidRPr="00AD0AC3" w:rsidRDefault="00AD0AC3" w:rsidP="00AD0AC3">
      <w:pPr>
        <w:pStyle w:val="p1"/>
        <w:rPr>
          <w:rFonts w:ascii="Arial" w:hAnsi="Arial" w:cs="Arial"/>
        </w:rPr>
      </w:pPr>
      <w:r w:rsidRPr="00AD0AC3">
        <w:rPr>
          <w:rFonts w:ascii="Arial" w:hAnsi="Arial" w:cs="Arial"/>
        </w:rPr>
        <w:t xml:space="preserve">Corporate Finance Institute (2023c) ‘Working capital’. Available at: </w:t>
      </w:r>
      <w:hyperlink r:id="rId21" w:history="1">
        <w:r w:rsidRPr="00AD0AC3">
          <w:rPr>
            <w:rStyle w:val="Hyperlink"/>
            <w:rFonts w:ascii="Arial" w:hAnsi="Arial" w:cs="Arial"/>
          </w:rPr>
          <w:t>https://corporatefinanceinstitute.com/resources/accounting/working-capital/</w:t>
        </w:r>
      </w:hyperlink>
    </w:p>
    <w:p w14:paraId="21D77E4E" w14:textId="77777777" w:rsidR="00AD0AC3" w:rsidRPr="00AD0AC3" w:rsidRDefault="00AD0AC3" w:rsidP="00AD0AC3">
      <w:pPr>
        <w:pStyle w:val="p1"/>
        <w:rPr>
          <w:rFonts w:ascii="Arial" w:hAnsi="Arial" w:cs="Arial"/>
        </w:rPr>
      </w:pPr>
      <w:r w:rsidRPr="00AD0AC3">
        <w:rPr>
          <w:rFonts w:ascii="Arial" w:hAnsi="Arial" w:cs="Arial"/>
        </w:rPr>
        <w:t xml:space="preserve">Datar, S.M. and Rajan, M.V. (2021) </w:t>
      </w:r>
      <w:r w:rsidRPr="00AD0AC3">
        <w:rPr>
          <w:rFonts w:ascii="Arial" w:hAnsi="Arial" w:cs="Arial"/>
          <w:i/>
          <w:iCs/>
        </w:rPr>
        <w:t>Horngren’s Cost Accounting</w:t>
      </w:r>
      <w:r w:rsidRPr="00AD0AC3">
        <w:rPr>
          <w:rFonts w:ascii="Arial" w:hAnsi="Arial" w:cs="Arial"/>
        </w:rPr>
        <w:t xml:space="preserve">. Harlow: Pearson. Available at: </w:t>
      </w:r>
      <w:hyperlink r:id="rId22" w:history="1">
        <w:r w:rsidRPr="00AD0AC3">
          <w:rPr>
            <w:rStyle w:val="Hyperlink"/>
            <w:rFonts w:ascii="Arial" w:hAnsi="Arial" w:cs="Arial"/>
          </w:rPr>
          <w:t>https://www.pearson.com/en-gb/subject-catalog/p/horngrens-cost-accounting/P200000003484</w:t>
        </w:r>
      </w:hyperlink>
    </w:p>
    <w:p w14:paraId="3DDDC324" w14:textId="77777777" w:rsidR="00AD0AC3" w:rsidRPr="00AD0AC3" w:rsidRDefault="00AD0AC3" w:rsidP="00AD0AC3">
      <w:pPr>
        <w:pStyle w:val="p1"/>
        <w:rPr>
          <w:rFonts w:ascii="Arial" w:hAnsi="Arial" w:cs="Arial"/>
        </w:rPr>
      </w:pPr>
      <w:r w:rsidRPr="00AD0AC3">
        <w:rPr>
          <w:rFonts w:ascii="Arial" w:hAnsi="Arial" w:cs="Arial"/>
        </w:rPr>
        <w:t xml:space="preserve">Drury, C. (2021) </w:t>
      </w:r>
      <w:r w:rsidRPr="00AD0AC3">
        <w:rPr>
          <w:rFonts w:ascii="Arial" w:hAnsi="Arial" w:cs="Arial"/>
          <w:i/>
          <w:iCs/>
        </w:rPr>
        <w:t>Management and Cost Accounting</w:t>
      </w:r>
      <w:r w:rsidRPr="00AD0AC3">
        <w:rPr>
          <w:rFonts w:ascii="Arial" w:hAnsi="Arial" w:cs="Arial"/>
        </w:rPr>
        <w:t xml:space="preserve">. 11th edn. Harlow: Pearson. Available at: </w:t>
      </w:r>
      <w:hyperlink r:id="rId23" w:history="1">
        <w:r w:rsidRPr="00AD0AC3">
          <w:rPr>
            <w:rStyle w:val="Hyperlink"/>
            <w:rFonts w:ascii="Arial" w:hAnsi="Arial" w:cs="Arial"/>
          </w:rPr>
          <w:t>https://www.pearson.com/en-gb/subject-catalog/p/management-and-cost-accounting/P200000003466</w:t>
        </w:r>
      </w:hyperlink>
    </w:p>
    <w:p w14:paraId="6D9B5B3E" w14:textId="1D0E68A7" w:rsidR="00AD0AC3" w:rsidRPr="00AD0AC3" w:rsidRDefault="00AD0AC3" w:rsidP="00AD0AC3">
      <w:pPr>
        <w:pStyle w:val="p1"/>
        <w:rPr>
          <w:rFonts w:ascii="Arial" w:hAnsi="Arial" w:cs="Arial"/>
        </w:rPr>
      </w:pPr>
      <w:r w:rsidRPr="00AD0AC3">
        <w:rPr>
          <w:rFonts w:ascii="Arial" w:hAnsi="Arial" w:cs="Arial"/>
        </w:rPr>
        <w:t>Glei</w:t>
      </w:r>
      <w:r w:rsidR="00025340">
        <w:rPr>
          <w:rFonts w:ascii="Arial" w:hAnsi="Arial" w:cs="Arial"/>
        </w:rPr>
        <w:t>b</w:t>
      </w:r>
      <w:r w:rsidRPr="00AD0AC3">
        <w:rPr>
          <w:rFonts w:ascii="Arial" w:hAnsi="Arial" w:cs="Arial"/>
        </w:rPr>
        <w:t xml:space="preserve">ner, W., Günther, T. and Walkshäusl, C. (2022) ‘Financial sustainability’, </w:t>
      </w:r>
      <w:r w:rsidRPr="00AD0AC3">
        <w:rPr>
          <w:rFonts w:ascii="Arial" w:hAnsi="Arial" w:cs="Arial"/>
          <w:i/>
          <w:iCs/>
        </w:rPr>
        <w:t>Journal of Business Economics</w:t>
      </w:r>
      <w:r w:rsidRPr="00AD0AC3">
        <w:rPr>
          <w:rFonts w:ascii="Arial" w:hAnsi="Arial" w:cs="Arial"/>
        </w:rPr>
        <w:t xml:space="preserve">. Available at: </w:t>
      </w:r>
      <w:hyperlink r:id="rId24" w:history="1">
        <w:r w:rsidRPr="00AD0AC3">
          <w:rPr>
            <w:rStyle w:val="Hyperlink"/>
            <w:rFonts w:ascii="Arial" w:hAnsi="Arial" w:cs="Arial"/>
          </w:rPr>
          <w:t>https://doi.org/10.1007/s11573-022-01081-0</w:t>
        </w:r>
      </w:hyperlink>
    </w:p>
    <w:p w14:paraId="633F762A" w14:textId="77777777" w:rsidR="00AD0AC3" w:rsidRPr="00AD0AC3" w:rsidRDefault="00AD0AC3" w:rsidP="00AD0AC3">
      <w:pPr>
        <w:pStyle w:val="p1"/>
        <w:rPr>
          <w:rFonts w:ascii="Arial" w:hAnsi="Arial" w:cs="Arial"/>
        </w:rPr>
      </w:pPr>
      <w:r w:rsidRPr="00AD0AC3">
        <w:rPr>
          <w:rFonts w:ascii="Arial" w:hAnsi="Arial" w:cs="Arial"/>
        </w:rPr>
        <w:t xml:space="preserve">Hanlon, M., Yeung, K. and Zuo, L. (2022) ‘Behavioral economics of accounting’, </w:t>
      </w:r>
      <w:r w:rsidRPr="00AD0AC3">
        <w:rPr>
          <w:rFonts w:ascii="Arial" w:hAnsi="Arial" w:cs="Arial"/>
          <w:i/>
          <w:iCs/>
        </w:rPr>
        <w:t>Contemporary Accounting Research</w:t>
      </w:r>
      <w:r w:rsidRPr="00AD0AC3">
        <w:rPr>
          <w:rFonts w:ascii="Arial" w:hAnsi="Arial" w:cs="Arial"/>
        </w:rPr>
        <w:t xml:space="preserve">. Available at: </w:t>
      </w:r>
      <w:hyperlink r:id="rId25" w:history="1">
        <w:r w:rsidRPr="00AD0AC3">
          <w:rPr>
            <w:rStyle w:val="Hyperlink"/>
            <w:rFonts w:ascii="Arial" w:hAnsi="Arial" w:cs="Arial"/>
          </w:rPr>
          <w:t>https://doi.org/10.1111/1911-3846.12739</w:t>
        </w:r>
      </w:hyperlink>
    </w:p>
    <w:p w14:paraId="14A52651" w14:textId="77777777" w:rsidR="00AD0AC3" w:rsidRPr="00AD0AC3" w:rsidRDefault="00AD0AC3" w:rsidP="00AD0AC3">
      <w:pPr>
        <w:pStyle w:val="p2"/>
        <w:rPr>
          <w:rFonts w:ascii="Arial" w:hAnsi="Arial" w:cs="Arial"/>
        </w:rPr>
      </w:pPr>
    </w:p>
    <w:p w14:paraId="1EBBAAF9" w14:textId="77777777" w:rsidR="00AD0AC3" w:rsidRPr="00AD0AC3" w:rsidRDefault="00AD0AC3" w:rsidP="00AD0AC3">
      <w:pPr>
        <w:pStyle w:val="p1"/>
        <w:rPr>
          <w:rFonts w:ascii="Arial" w:hAnsi="Arial" w:cs="Arial"/>
        </w:rPr>
      </w:pPr>
      <w:r w:rsidRPr="00AD0AC3">
        <w:rPr>
          <w:rFonts w:ascii="Arial" w:hAnsi="Arial" w:cs="Arial"/>
        </w:rPr>
        <w:lastRenderedPageBreak/>
        <w:t xml:space="preserve">Isibor, N.J. et al. (2022) ‘Financial control framework’, </w:t>
      </w:r>
      <w:r w:rsidRPr="00AD0AC3">
        <w:rPr>
          <w:rFonts w:ascii="Arial" w:hAnsi="Arial" w:cs="Arial"/>
          <w:i/>
          <w:iCs/>
        </w:rPr>
        <w:t>International Journal of Multidisciplinary Research and Growth Evaluation</w:t>
      </w:r>
      <w:r w:rsidRPr="00AD0AC3">
        <w:rPr>
          <w:rFonts w:ascii="Arial" w:hAnsi="Arial" w:cs="Arial"/>
        </w:rPr>
        <w:t xml:space="preserve">. Available at: </w:t>
      </w:r>
      <w:hyperlink r:id="rId26" w:history="1">
        <w:r w:rsidRPr="00AD0AC3">
          <w:rPr>
            <w:rStyle w:val="Hyperlink"/>
            <w:rFonts w:ascii="Arial" w:hAnsi="Arial" w:cs="Arial"/>
          </w:rPr>
          <w:t>https://www.allmultidisciplinaryjournal.com/uploads/archives/20250312174231_MGE-2025-2-055.1.pdf</w:t>
        </w:r>
      </w:hyperlink>
    </w:p>
    <w:p w14:paraId="6F881263" w14:textId="77777777" w:rsidR="00AD0AC3" w:rsidRPr="00AD0AC3" w:rsidRDefault="00AD0AC3" w:rsidP="00AD0AC3">
      <w:pPr>
        <w:pStyle w:val="p1"/>
        <w:rPr>
          <w:rFonts w:ascii="Arial" w:hAnsi="Arial" w:cs="Arial"/>
        </w:rPr>
      </w:pPr>
      <w:r w:rsidRPr="00AD0AC3">
        <w:rPr>
          <w:rFonts w:ascii="Arial" w:hAnsi="Arial" w:cs="Arial"/>
        </w:rPr>
        <w:t xml:space="preserve">Investopedia (2023a) ‘Cash flow’. Available at: </w:t>
      </w:r>
      <w:hyperlink r:id="rId27" w:history="1">
        <w:r w:rsidRPr="00AD0AC3">
          <w:rPr>
            <w:rStyle w:val="Hyperlink"/>
            <w:rFonts w:ascii="Arial" w:hAnsi="Arial" w:cs="Arial"/>
          </w:rPr>
          <w:t>https://www.investopedia.com/terms/c/cashflow.asp</w:t>
        </w:r>
      </w:hyperlink>
    </w:p>
    <w:p w14:paraId="08230541" w14:textId="77777777" w:rsidR="00AD0AC3" w:rsidRPr="00AD0AC3" w:rsidRDefault="00AD0AC3" w:rsidP="00AD0AC3">
      <w:pPr>
        <w:pStyle w:val="p1"/>
        <w:rPr>
          <w:rFonts w:ascii="Arial" w:hAnsi="Arial" w:cs="Arial"/>
        </w:rPr>
      </w:pPr>
      <w:r w:rsidRPr="00AD0AC3">
        <w:rPr>
          <w:rFonts w:ascii="Arial" w:hAnsi="Arial" w:cs="Arial"/>
        </w:rPr>
        <w:t xml:space="preserve">Investopedia (2023b) ‘Inventory management’. Available at: </w:t>
      </w:r>
      <w:hyperlink r:id="rId28" w:history="1">
        <w:r w:rsidRPr="00AD0AC3">
          <w:rPr>
            <w:rStyle w:val="Hyperlink"/>
            <w:rFonts w:ascii="Arial" w:hAnsi="Arial" w:cs="Arial"/>
          </w:rPr>
          <w:t>https://www.investopedia.com/terms/i/inventory-management.asp</w:t>
        </w:r>
      </w:hyperlink>
    </w:p>
    <w:p w14:paraId="41FC0935" w14:textId="77777777" w:rsidR="00AD0AC3" w:rsidRPr="00AD0AC3" w:rsidRDefault="00AD0AC3" w:rsidP="00AD0AC3">
      <w:pPr>
        <w:pStyle w:val="p1"/>
        <w:rPr>
          <w:rFonts w:ascii="Arial" w:hAnsi="Arial" w:cs="Arial"/>
        </w:rPr>
      </w:pPr>
      <w:r w:rsidRPr="00AD0AC3">
        <w:rPr>
          <w:rFonts w:ascii="Arial" w:hAnsi="Arial" w:cs="Arial"/>
        </w:rPr>
        <w:t>Investopedia (2023c) ‘Liquidity’. Available at: https</w:t>
      </w:r>
      <w:hyperlink r:id="rId29" w:history="1">
        <w:r w:rsidRPr="00AD0AC3">
          <w:rPr>
            <w:rStyle w:val="Hyperlink"/>
            <w:rFonts w:ascii="Arial" w:hAnsi="Arial" w:cs="Arial"/>
          </w:rPr>
          <w:t>://www.investopedia.com/terms/l/liquidity.asp</w:t>
        </w:r>
      </w:hyperlink>
    </w:p>
    <w:p w14:paraId="1E84EEB2" w14:textId="77777777" w:rsidR="00AD0AC3" w:rsidRPr="00AD0AC3" w:rsidRDefault="00AD0AC3" w:rsidP="00AD0AC3">
      <w:pPr>
        <w:pStyle w:val="p1"/>
        <w:rPr>
          <w:rFonts w:ascii="Arial" w:hAnsi="Arial" w:cs="Arial"/>
        </w:rPr>
      </w:pPr>
      <w:r w:rsidRPr="00AD0AC3">
        <w:rPr>
          <w:rFonts w:ascii="Arial" w:hAnsi="Arial" w:cs="Arial"/>
        </w:rPr>
        <w:t xml:space="preserve">Investopedia (2023d) ‘Working capital’. Available at: </w:t>
      </w:r>
      <w:hyperlink r:id="rId30" w:history="1">
        <w:r w:rsidRPr="00AD0AC3">
          <w:rPr>
            <w:rStyle w:val="Hyperlink"/>
            <w:rFonts w:ascii="Arial" w:hAnsi="Arial" w:cs="Arial"/>
          </w:rPr>
          <w:t>https://www.investopedia.com/terms/w/workingcapital.asp</w:t>
        </w:r>
      </w:hyperlink>
    </w:p>
    <w:p w14:paraId="019FFC1C" w14:textId="77777777" w:rsidR="00AD0AC3" w:rsidRPr="00AD0AC3" w:rsidRDefault="00AD0AC3" w:rsidP="00AD0AC3">
      <w:pPr>
        <w:pStyle w:val="p1"/>
        <w:rPr>
          <w:rFonts w:ascii="Arial" w:hAnsi="Arial" w:cs="Arial"/>
        </w:rPr>
      </w:pPr>
      <w:r w:rsidRPr="00AD0AC3">
        <w:rPr>
          <w:rFonts w:ascii="Arial" w:hAnsi="Arial" w:cs="Arial"/>
        </w:rPr>
        <w:t xml:space="preserve">Leonidou, L.C. et al. (2022) ‘SME strategy and performance’, </w:t>
      </w:r>
      <w:r w:rsidRPr="00AD0AC3">
        <w:rPr>
          <w:rFonts w:ascii="Arial" w:hAnsi="Arial" w:cs="Arial"/>
          <w:i/>
          <w:iCs/>
        </w:rPr>
        <w:t>Journal of International Marketing</w:t>
      </w:r>
      <w:r w:rsidRPr="00AD0AC3">
        <w:rPr>
          <w:rFonts w:ascii="Arial" w:hAnsi="Arial" w:cs="Arial"/>
        </w:rPr>
        <w:t xml:space="preserve">. Available at: </w:t>
      </w:r>
      <w:hyperlink r:id="rId31" w:history="1">
        <w:r w:rsidRPr="00AD0AC3">
          <w:rPr>
            <w:rStyle w:val="Hyperlink"/>
            <w:rFonts w:ascii="Arial" w:hAnsi="Arial" w:cs="Arial"/>
          </w:rPr>
          <w:t>https://doi.org/10.1177/1069031X211064278</w:t>
        </w:r>
      </w:hyperlink>
    </w:p>
    <w:p w14:paraId="5993C31D" w14:textId="77777777" w:rsidR="00AD0AC3" w:rsidRPr="00AD0AC3" w:rsidRDefault="00AD0AC3" w:rsidP="00AD0AC3">
      <w:pPr>
        <w:pStyle w:val="p1"/>
        <w:rPr>
          <w:rFonts w:ascii="Arial" w:hAnsi="Arial" w:cs="Arial"/>
        </w:rPr>
      </w:pPr>
      <w:r w:rsidRPr="00AD0AC3">
        <w:rPr>
          <w:rFonts w:ascii="Arial" w:hAnsi="Arial" w:cs="Arial"/>
        </w:rPr>
        <w:t xml:space="preserve">Ma, L. et al. (2022) ‘Strategic management accounting in SMEs’, </w:t>
      </w:r>
      <w:r w:rsidRPr="00AD0AC3">
        <w:rPr>
          <w:rFonts w:ascii="Arial" w:hAnsi="Arial" w:cs="Arial"/>
          <w:i/>
          <w:iCs/>
        </w:rPr>
        <w:t>Economies</w:t>
      </w:r>
      <w:r w:rsidRPr="00AD0AC3">
        <w:rPr>
          <w:rFonts w:ascii="Arial" w:hAnsi="Arial" w:cs="Arial"/>
        </w:rPr>
        <w:t xml:space="preserve">. Available at: </w:t>
      </w:r>
      <w:hyperlink r:id="rId32" w:history="1">
        <w:r w:rsidRPr="00AD0AC3">
          <w:rPr>
            <w:rStyle w:val="Hyperlink"/>
            <w:rFonts w:ascii="Arial" w:hAnsi="Arial" w:cs="Arial"/>
          </w:rPr>
          <w:t>https://doi.org/10.3390/economies10040074</w:t>
        </w:r>
      </w:hyperlink>
    </w:p>
    <w:p w14:paraId="6AEEC96F" w14:textId="77777777" w:rsidR="00AD0AC3" w:rsidRPr="00AD0AC3" w:rsidRDefault="00AD0AC3" w:rsidP="00AD0AC3">
      <w:pPr>
        <w:pStyle w:val="p1"/>
        <w:rPr>
          <w:rFonts w:ascii="Arial" w:hAnsi="Arial" w:cs="Arial"/>
        </w:rPr>
      </w:pPr>
      <w:r w:rsidRPr="00AD0AC3">
        <w:rPr>
          <w:rFonts w:ascii="Arial" w:hAnsi="Arial" w:cs="Arial"/>
        </w:rPr>
        <w:t xml:space="preserve">Mandipa, G. and Sibindi, A.B. (2022) ‘Working capital in retail’, </w:t>
      </w:r>
      <w:r w:rsidRPr="00AD0AC3">
        <w:rPr>
          <w:rFonts w:ascii="Arial" w:hAnsi="Arial" w:cs="Arial"/>
          <w:i/>
          <w:iCs/>
        </w:rPr>
        <w:t>Risks</w:t>
      </w:r>
      <w:r w:rsidRPr="00AD0AC3">
        <w:rPr>
          <w:rFonts w:ascii="Arial" w:hAnsi="Arial" w:cs="Arial"/>
        </w:rPr>
        <w:t xml:space="preserve">. Available at: </w:t>
      </w:r>
      <w:hyperlink r:id="rId33" w:history="1">
        <w:r w:rsidRPr="00AD0AC3">
          <w:rPr>
            <w:rStyle w:val="Hyperlink"/>
            <w:rFonts w:ascii="Arial" w:hAnsi="Arial" w:cs="Arial"/>
          </w:rPr>
          <w:t>https://www.mdpi.com/2227-9091/10/3/63</w:t>
        </w:r>
      </w:hyperlink>
    </w:p>
    <w:p w14:paraId="11F9F5FB" w14:textId="77777777" w:rsidR="00AD0AC3" w:rsidRPr="00AD0AC3" w:rsidRDefault="00AD0AC3" w:rsidP="00AD0AC3">
      <w:pPr>
        <w:pStyle w:val="p1"/>
        <w:rPr>
          <w:rFonts w:ascii="Arial" w:hAnsi="Arial" w:cs="Arial"/>
        </w:rPr>
      </w:pPr>
      <w:r w:rsidRPr="00AD0AC3">
        <w:rPr>
          <w:rFonts w:ascii="Arial" w:hAnsi="Arial" w:cs="Arial"/>
        </w:rPr>
        <w:t xml:space="preserve">McKinsey &amp; Company (2021) </w:t>
      </w:r>
      <w:r w:rsidRPr="00AD0AC3">
        <w:rPr>
          <w:rFonts w:ascii="Arial" w:hAnsi="Arial" w:cs="Arial"/>
          <w:i/>
          <w:iCs/>
        </w:rPr>
        <w:t>Fashion sourcing report</w:t>
      </w:r>
      <w:r w:rsidRPr="00AD0AC3">
        <w:rPr>
          <w:rFonts w:ascii="Arial" w:hAnsi="Arial" w:cs="Arial"/>
        </w:rPr>
        <w:t xml:space="preserve">. Available at: </w:t>
      </w:r>
      <w:hyperlink r:id="rId34" w:history="1">
        <w:r w:rsidRPr="00AD0AC3">
          <w:rPr>
            <w:rStyle w:val="Hyperlink"/>
            <w:rFonts w:ascii="Arial" w:hAnsi="Arial" w:cs="Arial"/>
          </w:rPr>
          <w:t>https://www.mckinsey.com/~/media/mckinsey/industries/retail/our%20insights/revamping%20fashion%20sourcing%20speed%20and%20flexibility%20to%20the%20fore/revamping-fashion-sourcing-speed-and-flexibility-to-the-fore.pdf</w:t>
        </w:r>
      </w:hyperlink>
    </w:p>
    <w:p w14:paraId="6A43C5F7" w14:textId="77777777" w:rsidR="00AD0AC3" w:rsidRPr="00AD0AC3" w:rsidRDefault="00AD0AC3" w:rsidP="00AD0AC3">
      <w:pPr>
        <w:pStyle w:val="p1"/>
        <w:rPr>
          <w:rFonts w:ascii="Arial" w:hAnsi="Arial" w:cs="Arial"/>
        </w:rPr>
      </w:pPr>
      <w:r w:rsidRPr="00AD0AC3">
        <w:rPr>
          <w:rFonts w:ascii="Arial" w:hAnsi="Arial" w:cs="Arial"/>
        </w:rPr>
        <w:t xml:space="preserve">McKinsey &amp; Company (2022) ‘Markdowns in retail’. Available at: </w:t>
      </w:r>
      <w:hyperlink r:id="rId35" w:history="1">
        <w:r w:rsidRPr="00AD0AC3">
          <w:rPr>
            <w:rStyle w:val="Hyperlink"/>
            <w:rFonts w:ascii="Arial" w:hAnsi="Arial" w:cs="Arial"/>
          </w:rPr>
          <w:t>https://www.mckinsey.com/industries/retail/our-insights/hitting-the-mark-why-markdowns-matter-more-than-ever</w:t>
        </w:r>
      </w:hyperlink>
    </w:p>
    <w:p w14:paraId="57C2B10B" w14:textId="77777777" w:rsidR="00AD0AC3" w:rsidRPr="00AD0AC3" w:rsidRDefault="00AD0AC3" w:rsidP="00AD0AC3">
      <w:pPr>
        <w:pStyle w:val="p1"/>
        <w:rPr>
          <w:rFonts w:ascii="Arial" w:hAnsi="Arial" w:cs="Arial"/>
        </w:rPr>
      </w:pPr>
      <w:r w:rsidRPr="00AD0AC3">
        <w:rPr>
          <w:rFonts w:ascii="Arial" w:hAnsi="Arial" w:cs="Arial"/>
        </w:rPr>
        <w:t xml:space="preserve">McKinsey &amp; Company (2023a) ‘Inventory glut’. Available at: </w:t>
      </w:r>
      <w:hyperlink r:id="rId36" w:history="1">
        <w:r w:rsidRPr="00AD0AC3">
          <w:rPr>
            <w:rStyle w:val="Hyperlink"/>
            <w:rFonts w:ascii="Arial" w:hAnsi="Arial" w:cs="Arial"/>
          </w:rPr>
          <w:t>https://www.mckinsey.com/industries/retail/our-insights/thinking-beyond-markdowns-to-tackle-retails-inventory-glut</w:t>
        </w:r>
      </w:hyperlink>
    </w:p>
    <w:p w14:paraId="4BBAC98F" w14:textId="77777777" w:rsidR="00AD0AC3" w:rsidRPr="00AD0AC3" w:rsidRDefault="00AD0AC3" w:rsidP="00AD0AC3">
      <w:pPr>
        <w:pStyle w:val="p1"/>
        <w:rPr>
          <w:rFonts w:ascii="Arial" w:hAnsi="Arial" w:cs="Arial"/>
        </w:rPr>
      </w:pPr>
      <w:r w:rsidRPr="00AD0AC3">
        <w:rPr>
          <w:rFonts w:ascii="Arial" w:hAnsi="Arial" w:cs="Arial"/>
        </w:rPr>
        <w:t xml:space="preserve">McKinsey &amp; Company (2023b) ‘Holiday shopping trends’. Available at: </w:t>
      </w:r>
      <w:hyperlink r:id="rId37" w:history="1">
        <w:r w:rsidRPr="00AD0AC3">
          <w:rPr>
            <w:rStyle w:val="Hyperlink"/>
            <w:rFonts w:ascii="Arial" w:hAnsi="Arial" w:cs="Arial"/>
          </w:rPr>
          <w:t>https://www.mckinsey.com/industries/retail/our-insights/holiday-shopping-in-2023-it-started-early-and-will-end-late</w:t>
        </w:r>
      </w:hyperlink>
    </w:p>
    <w:p w14:paraId="5F415E0C" w14:textId="77777777" w:rsidR="00AD0AC3" w:rsidRPr="00AD0AC3" w:rsidRDefault="00AD0AC3" w:rsidP="00AD0AC3">
      <w:pPr>
        <w:pStyle w:val="p1"/>
        <w:rPr>
          <w:rFonts w:ascii="Arial" w:hAnsi="Arial" w:cs="Arial"/>
        </w:rPr>
      </w:pPr>
      <w:r w:rsidRPr="00AD0AC3">
        <w:rPr>
          <w:rFonts w:ascii="Arial" w:hAnsi="Arial" w:cs="Arial"/>
        </w:rPr>
        <w:t xml:space="preserve">Nagle, T.T., Müller, G. and Gruyaert, E. (2023) </w:t>
      </w:r>
      <w:r w:rsidRPr="00AD0AC3">
        <w:rPr>
          <w:rFonts w:ascii="Arial" w:hAnsi="Arial" w:cs="Arial"/>
          <w:i/>
          <w:iCs/>
        </w:rPr>
        <w:t>The Strategy and Tactics of Pricing</w:t>
      </w:r>
      <w:r w:rsidRPr="00AD0AC3">
        <w:rPr>
          <w:rFonts w:ascii="Arial" w:hAnsi="Arial" w:cs="Arial"/>
        </w:rPr>
        <w:t xml:space="preserve">. Abingdon: Routledge. Available at: </w:t>
      </w:r>
      <w:hyperlink r:id="rId38" w:history="1">
        <w:r w:rsidRPr="00AD0AC3">
          <w:rPr>
            <w:rStyle w:val="Hyperlink"/>
            <w:rFonts w:ascii="Arial" w:hAnsi="Arial" w:cs="Arial"/>
          </w:rPr>
          <w:t>https://www.routledge.com/The-Strategy-and-Tactics-of-Pricing/Nagle-Muller-Gruyaert/p/book/9781138737512</w:t>
        </w:r>
      </w:hyperlink>
    </w:p>
    <w:p w14:paraId="4B72EA4F" w14:textId="77777777" w:rsidR="00AD0AC3" w:rsidRPr="00AD0AC3" w:rsidRDefault="00AD0AC3" w:rsidP="00AD0AC3">
      <w:pPr>
        <w:pStyle w:val="p1"/>
        <w:rPr>
          <w:rFonts w:ascii="Arial" w:hAnsi="Arial" w:cs="Arial"/>
        </w:rPr>
      </w:pPr>
      <w:r w:rsidRPr="00AD0AC3">
        <w:rPr>
          <w:rFonts w:ascii="Arial" w:hAnsi="Arial" w:cs="Arial"/>
        </w:rPr>
        <w:t xml:space="preserve">Olayinka, A.A. (2022) ‘Financial statement analysis’, </w:t>
      </w:r>
      <w:r w:rsidRPr="00AD0AC3">
        <w:rPr>
          <w:rFonts w:ascii="Arial" w:hAnsi="Arial" w:cs="Arial"/>
          <w:i/>
          <w:iCs/>
        </w:rPr>
        <w:t>International Journal of Financial, Accounting, and Management</w:t>
      </w:r>
      <w:r w:rsidRPr="00AD0AC3">
        <w:rPr>
          <w:rFonts w:ascii="Arial" w:hAnsi="Arial" w:cs="Arial"/>
        </w:rPr>
        <w:t xml:space="preserve">. Available at: </w:t>
      </w:r>
      <w:hyperlink r:id="rId39" w:history="1">
        <w:r w:rsidRPr="00AD0AC3">
          <w:rPr>
            <w:rStyle w:val="Hyperlink"/>
            <w:rFonts w:ascii="Arial" w:hAnsi="Arial" w:cs="Arial"/>
          </w:rPr>
          <w:t>https://www.researchgate.net/publication/361292771</w:t>
        </w:r>
      </w:hyperlink>
    </w:p>
    <w:p w14:paraId="1293C340" w14:textId="77777777" w:rsidR="00AD0AC3" w:rsidRPr="00AD0AC3" w:rsidRDefault="00AD0AC3" w:rsidP="00AD0AC3">
      <w:pPr>
        <w:pStyle w:val="p2"/>
        <w:rPr>
          <w:rFonts w:ascii="Arial" w:hAnsi="Arial" w:cs="Arial"/>
        </w:rPr>
      </w:pPr>
    </w:p>
    <w:p w14:paraId="49B62CF7" w14:textId="77777777" w:rsidR="00AD0AC3" w:rsidRPr="00AD0AC3" w:rsidRDefault="00AD0AC3" w:rsidP="00AD0AC3">
      <w:pPr>
        <w:pStyle w:val="p1"/>
        <w:rPr>
          <w:rFonts w:ascii="Arial" w:hAnsi="Arial" w:cs="Arial"/>
        </w:rPr>
      </w:pPr>
      <w:r w:rsidRPr="00AD0AC3">
        <w:rPr>
          <w:rFonts w:ascii="Arial" w:hAnsi="Arial" w:cs="Arial"/>
        </w:rPr>
        <w:t xml:space="preserve">Oncioiu, I. et al. (2020) ‘Accounting manipulation’, in </w:t>
      </w:r>
      <w:r w:rsidRPr="00AD0AC3">
        <w:rPr>
          <w:rFonts w:ascii="Arial" w:hAnsi="Arial" w:cs="Arial"/>
          <w:i/>
          <w:iCs/>
        </w:rPr>
        <w:t>Management accounting standards</w:t>
      </w:r>
      <w:r w:rsidRPr="00AD0AC3">
        <w:rPr>
          <w:rFonts w:ascii="Arial" w:hAnsi="Arial" w:cs="Arial"/>
        </w:rPr>
        <w:t xml:space="preserve">. Available at: </w:t>
      </w:r>
      <w:hyperlink r:id="rId40" w:history="1">
        <w:r w:rsidRPr="00AD0AC3">
          <w:rPr>
            <w:rStyle w:val="Hyperlink"/>
            <w:rFonts w:ascii="Arial" w:hAnsi="Arial" w:cs="Arial"/>
          </w:rPr>
          <w:t>https://doi.org/10.4018/978-1-7998-0178-8.ch008</w:t>
        </w:r>
      </w:hyperlink>
    </w:p>
    <w:p w14:paraId="15C36584" w14:textId="77777777" w:rsidR="00AD0AC3" w:rsidRPr="00AD0AC3" w:rsidRDefault="00AD0AC3" w:rsidP="00AD0AC3">
      <w:pPr>
        <w:pStyle w:val="p1"/>
        <w:rPr>
          <w:rFonts w:ascii="Arial" w:hAnsi="Arial" w:cs="Arial"/>
        </w:rPr>
      </w:pPr>
      <w:r w:rsidRPr="00AD0AC3">
        <w:rPr>
          <w:rFonts w:ascii="Arial" w:hAnsi="Arial" w:cs="Arial"/>
        </w:rPr>
        <w:t xml:space="preserve">Ramlall, R. et al. (2024) ‘Budgeting deficiencies’, </w:t>
      </w:r>
      <w:r w:rsidRPr="00AD0AC3">
        <w:rPr>
          <w:rFonts w:ascii="Arial" w:hAnsi="Arial" w:cs="Arial"/>
          <w:i/>
          <w:iCs/>
        </w:rPr>
        <w:t>South African Journal of Business Management</w:t>
      </w:r>
      <w:r w:rsidRPr="00AD0AC3">
        <w:rPr>
          <w:rFonts w:ascii="Arial" w:hAnsi="Arial" w:cs="Arial"/>
        </w:rPr>
        <w:t xml:space="preserve">. Available at: </w:t>
      </w:r>
      <w:hyperlink r:id="rId41" w:history="1">
        <w:r w:rsidRPr="00AD0AC3">
          <w:rPr>
            <w:rStyle w:val="Hyperlink"/>
            <w:rFonts w:ascii="Arial" w:hAnsi="Arial" w:cs="Arial"/>
          </w:rPr>
          <w:t>https://sajbm.org/index.php/sajbm/article/view/4348/2968</w:t>
        </w:r>
      </w:hyperlink>
    </w:p>
    <w:p w14:paraId="7C18BEC4" w14:textId="77777777" w:rsidR="00AD0AC3" w:rsidRPr="00AD0AC3" w:rsidRDefault="00AD0AC3" w:rsidP="00AD0AC3">
      <w:pPr>
        <w:pStyle w:val="p1"/>
        <w:rPr>
          <w:rFonts w:ascii="Arial" w:hAnsi="Arial" w:cs="Arial"/>
        </w:rPr>
      </w:pPr>
      <w:r w:rsidRPr="00AD0AC3">
        <w:rPr>
          <w:rFonts w:ascii="Arial" w:hAnsi="Arial" w:cs="Arial"/>
        </w:rPr>
        <w:t xml:space="preserve">Rey-Ares, L. et al. (2021) ‘Working capital and profitability’, </w:t>
      </w:r>
      <w:r w:rsidRPr="00AD0AC3">
        <w:rPr>
          <w:rFonts w:ascii="Arial" w:hAnsi="Arial" w:cs="Arial"/>
          <w:i/>
          <w:iCs/>
        </w:rPr>
        <w:t>Journal of Business Research</w:t>
      </w:r>
      <w:r w:rsidRPr="00AD0AC3">
        <w:rPr>
          <w:rFonts w:ascii="Arial" w:hAnsi="Arial" w:cs="Arial"/>
        </w:rPr>
        <w:t xml:space="preserve">. Available at: </w:t>
      </w:r>
      <w:hyperlink r:id="rId42" w:history="1">
        <w:r w:rsidRPr="00AD0AC3">
          <w:rPr>
            <w:rStyle w:val="Hyperlink"/>
            <w:rFonts w:ascii="Arial" w:hAnsi="Arial" w:cs="Arial"/>
          </w:rPr>
          <w:t>https://www.sciencedirect.com/science/article/pii/S0308597X21001949</w:t>
        </w:r>
      </w:hyperlink>
    </w:p>
    <w:p w14:paraId="391A5ADB" w14:textId="77777777" w:rsidR="00AD0AC3" w:rsidRPr="00AD0AC3" w:rsidRDefault="00AD0AC3" w:rsidP="00AD0AC3">
      <w:pPr>
        <w:pStyle w:val="p1"/>
        <w:rPr>
          <w:rFonts w:ascii="Arial" w:hAnsi="Arial" w:cs="Arial"/>
        </w:rPr>
      </w:pPr>
      <w:r w:rsidRPr="00AD0AC3">
        <w:rPr>
          <w:rFonts w:ascii="Arial" w:hAnsi="Arial" w:cs="Arial"/>
        </w:rPr>
        <w:t xml:space="preserve">Schaltegger, S. et al. (2022) ‘Sustainability management accounting’, </w:t>
      </w:r>
      <w:r w:rsidRPr="00AD0AC3">
        <w:rPr>
          <w:rFonts w:ascii="Arial" w:hAnsi="Arial" w:cs="Arial"/>
          <w:i/>
          <w:iCs/>
        </w:rPr>
        <w:t>International Journal of Management Reviews</w:t>
      </w:r>
      <w:r w:rsidRPr="00AD0AC3">
        <w:rPr>
          <w:rFonts w:ascii="Arial" w:hAnsi="Arial" w:cs="Arial"/>
        </w:rPr>
        <w:t xml:space="preserve">. Available at: </w:t>
      </w:r>
      <w:hyperlink r:id="rId43" w:history="1">
        <w:r w:rsidRPr="00AD0AC3">
          <w:rPr>
            <w:rStyle w:val="Hyperlink"/>
            <w:rFonts w:ascii="Arial" w:hAnsi="Arial" w:cs="Arial"/>
          </w:rPr>
          <w:t>https://doi.org/10.1111/ijmr.12288</w:t>
        </w:r>
      </w:hyperlink>
    </w:p>
    <w:p w14:paraId="32D03CE0" w14:textId="77777777" w:rsidR="00AD0AC3" w:rsidRPr="00AD0AC3" w:rsidRDefault="00AD0AC3" w:rsidP="00AD0AC3">
      <w:pPr>
        <w:pStyle w:val="p1"/>
        <w:rPr>
          <w:rFonts w:ascii="Arial" w:hAnsi="Arial" w:cs="Arial"/>
        </w:rPr>
      </w:pPr>
      <w:r w:rsidRPr="00AD0AC3">
        <w:rPr>
          <w:rFonts w:ascii="Arial" w:hAnsi="Arial" w:cs="Arial"/>
        </w:rPr>
        <w:t xml:space="preserve">Schroeder, R.G., Clark, M.W. and Cathey, J.M. (2022) </w:t>
      </w:r>
      <w:r w:rsidRPr="00AD0AC3">
        <w:rPr>
          <w:rFonts w:ascii="Arial" w:hAnsi="Arial" w:cs="Arial"/>
          <w:i/>
          <w:iCs/>
        </w:rPr>
        <w:t>Financial Accounting Theory and Analysis</w:t>
      </w:r>
      <w:r w:rsidRPr="00AD0AC3">
        <w:rPr>
          <w:rFonts w:ascii="Arial" w:hAnsi="Arial" w:cs="Arial"/>
        </w:rPr>
        <w:t xml:space="preserve">. Hoboken: Wiley. Available at: </w:t>
      </w:r>
      <w:hyperlink r:id="rId44" w:history="1">
        <w:r w:rsidRPr="00AD0AC3">
          <w:rPr>
            <w:rStyle w:val="Hyperlink"/>
            <w:rFonts w:ascii="Arial" w:hAnsi="Arial" w:cs="Arial"/>
          </w:rPr>
          <w:t>https://books.google.co.uk/books?id=8F6LEAAAQBAJ</w:t>
        </w:r>
      </w:hyperlink>
    </w:p>
    <w:p w14:paraId="40915957" w14:textId="77777777" w:rsidR="00AD0AC3" w:rsidRPr="00AD0AC3" w:rsidRDefault="00AD0AC3" w:rsidP="00AD0AC3">
      <w:pPr>
        <w:pStyle w:val="p1"/>
        <w:rPr>
          <w:rFonts w:ascii="Arial" w:hAnsi="Arial" w:cs="Arial"/>
        </w:rPr>
      </w:pPr>
      <w:r w:rsidRPr="00AD0AC3">
        <w:rPr>
          <w:rFonts w:ascii="Arial" w:hAnsi="Arial" w:cs="Arial"/>
        </w:rPr>
        <w:t xml:space="preserve">Tamaș, A.S. et al. (2020) ‘Planning and budgeting process’, in </w:t>
      </w:r>
      <w:r w:rsidRPr="00AD0AC3">
        <w:rPr>
          <w:rFonts w:ascii="Arial" w:hAnsi="Arial" w:cs="Arial"/>
          <w:i/>
          <w:iCs/>
        </w:rPr>
        <w:t>Management accounting standards</w:t>
      </w:r>
      <w:r w:rsidRPr="00AD0AC3">
        <w:rPr>
          <w:rFonts w:ascii="Arial" w:hAnsi="Arial" w:cs="Arial"/>
        </w:rPr>
        <w:t xml:space="preserve">. Available at: </w:t>
      </w:r>
      <w:hyperlink r:id="rId45" w:history="1">
        <w:r w:rsidRPr="00AD0AC3">
          <w:rPr>
            <w:rStyle w:val="Hyperlink"/>
            <w:rFonts w:ascii="Arial" w:hAnsi="Arial" w:cs="Arial"/>
          </w:rPr>
          <w:t>https://doi.org/10.4018/978-1-7998-0178-8.ch003</w:t>
        </w:r>
      </w:hyperlink>
    </w:p>
    <w:p w14:paraId="31B80E59" w14:textId="77777777" w:rsidR="00AD0AC3" w:rsidRPr="00AD0AC3" w:rsidRDefault="00AD0AC3" w:rsidP="00AD0AC3">
      <w:pPr>
        <w:pStyle w:val="p1"/>
        <w:rPr>
          <w:rFonts w:ascii="Arial" w:hAnsi="Arial" w:cs="Arial"/>
        </w:rPr>
      </w:pPr>
      <w:r w:rsidRPr="00AD0AC3">
        <w:rPr>
          <w:rFonts w:ascii="Arial" w:hAnsi="Arial" w:cs="Arial"/>
        </w:rPr>
        <w:t xml:space="preserve">Turkeș, M. et al. (2020) ‘Manager decisions and sustainability’, in </w:t>
      </w:r>
      <w:r w:rsidRPr="00AD0AC3">
        <w:rPr>
          <w:rFonts w:ascii="Arial" w:hAnsi="Arial" w:cs="Arial"/>
          <w:i/>
          <w:iCs/>
        </w:rPr>
        <w:t>Management accounting standards</w:t>
      </w:r>
      <w:r w:rsidRPr="00AD0AC3">
        <w:rPr>
          <w:rFonts w:ascii="Arial" w:hAnsi="Arial" w:cs="Arial"/>
        </w:rPr>
        <w:t xml:space="preserve">. Available at: </w:t>
      </w:r>
      <w:hyperlink r:id="rId46" w:history="1">
        <w:r w:rsidRPr="00AD0AC3">
          <w:rPr>
            <w:rStyle w:val="Hyperlink"/>
            <w:rFonts w:ascii="Arial" w:hAnsi="Arial" w:cs="Arial"/>
          </w:rPr>
          <w:t>https://doi.org/10.4018/978-1-7998-0178-8.ch007</w:t>
        </w:r>
      </w:hyperlink>
    </w:p>
    <w:p w14:paraId="32A16DE7" w14:textId="0AA9D08C" w:rsidR="00AD0AC3" w:rsidRPr="00AD0AC3" w:rsidRDefault="00AD0AC3" w:rsidP="00AD0AC3">
      <w:pPr>
        <w:pStyle w:val="p1"/>
        <w:rPr>
          <w:rFonts w:ascii="Arial" w:hAnsi="Arial" w:cs="Arial"/>
        </w:rPr>
      </w:pPr>
      <w:r>
        <w:rPr>
          <w:rFonts w:ascii="Arial" w:hAnsi="Arial" w:cs="Arial"/>
        </w:rPr>
        <w:t>V</w:t>
      </w:r>
      <w:r w:rsidRPr="00AD0AC3">
        <w:rPr>
          <w:rFonts w:ascii="Arial" w:hAnsi="Arial" w:cs="Arial"/>
        </w:rPr>
        <w:t xml:space="preserve">an den Boom, R.-P. (2020) ‘Financial risk management’, </w:t>
      </w:r>
      <w:r w:rsidRPr="00AD0AC3">
        <w:rPr>
          <w:rFonts w:ascii="Arial" w:hAnsi="Arial" w:cs="Arial"/>
          <w:i/>
          <w:iCs/>
        </w:rPr>
        <w:t>International Business Research</w:t>
      </w:r>
      <w:r w:rsidRPr="00AD0AC3">
        <w:rPr>
          <w:rFonts w:ascii="Arial" w:hAnsi="Arial" w:cs="Arial"/>
        </w:rPr>
        <w:t xml:space="preserve">. Available at: </w:t>
      </w:r>
      <w:hyperlink r:id="rId47" w:history="1">
        <w:r w:rsidRPr="00AD0AC3">
          <w:rPr>
            <w:rStyle w:val="Hyperlink"/>
            <w:rFonts w:ascii="Arial" w:hAnsi="Arial" w:cs="Arial"/>
          </w:rPr>
          <w:t>https://doi.org/10.5539/ibr.v13n10p85</w:t>
        </w:r>
      </w:hyperlink>
    </w:p>
    <w:p w14:paraId="45361795" w14:textId="77777777" w:rsidR="00AD0AC3" w:rsidRPr="00AD0AC3" w:rsidRDefault="00AD0AC3" w:rsidP="00AD0AC3">
      <w:pPr>
        <w:pStyle w:val="p1"/>
        <w:rPr>
          <w:rFonts w:ascii="Arial" w:hAnsi="Arial" w:cs="Arial"/>
        </w:rPr>
      </w:pPr>
      <w:r w:rsidRPr="00AD0AC3">
        <w:rPr>
          <w:rFonts w:ascii="Arial" w:hAnsi="Arial" w:cs="Arial"/>
        </w:rPr>
        <w:t xml:space="preserve">Wagenhofer, A. (2024) ‘Sustainability reporting’, </w:t>
      </w:r>
      <w:r w:rsidRPr="00AD0AC3">
        <w:rPr>
          <w:rFonts w:ascii="Arial" w:hAnsi="Arial" w:cs="Arial"/>
          <w:i/>
          <w:iCs/>
        </w:rPr>
        <w:t>Accounting in Europe</w:t>
      </w:r>
      <w:r w:rsidRPr="00AD0AC3">
        <w:rPr>
          <w:rFonts w:ascii="Arial" w:hAnsi="Arial" w:cs="Arial"/>
        </w:rPr>
        <w:t xml:space="preserve">. Available at: </w:t>
      </w:r>
      <w:hyperlink r:id="rId48" w:history="1">
        <w:r w:rsidRPr="00AD0AC3">
          <w:rPr>
            <w:rStyle w:val="Hyperlink"/>
            <w:rFonts w:ascii="Arial" w:hAnsi="Arial" w:cs="Arial"/>
          </w:rPr>
          <w:t>https://www.tandfonline.com/doi/full/10.1080/17449480.2023.2218398</w:t>
        </w:r>
      </w:hyperlink>
    </w:p>
    <w:p w14:paraId="218747D5" w14:textId="77777777" w:rsidR="00AD0AC3" w:rsidRPr="00AD0AC3" w:rsidRDefault="00AD0AC3" w:rsidP="00AD0AC3">
      <w:pPr>
        <w:pStyle w:val="p1"/>
        <w:rPr>
          <w:rFonts w:ascii="Arial" w:hAnsi="Arial" w:cs="Arial"/>
        </w:rPr>
      </w:pPr>
      <w:r w:rsidRPr="00AD0AC3">
        <w:rPr>
          <w:rFonts w:ascii="Arial" w:hAnsi="Arial" w:cs="Arial"/>
        </w:rPr>
        <w:t xml:space="preserve">Wanzala, R.W. et al. (2024) ‘Working capital performance’, </w:t>
      </w:r>
      <w:r w:rsidRPr="00AD0AC3">
        <w:rPr>
          <w:rFonts w:ascii="Arial" w:hAnsi="Arial" w:cs="Arial"/>
          <w:i/>
          <w:iCs/>
        </w:rPr>
        <w:t>Risks</w:t>
      </w:r>
      <w:r w:rsidRPr="00AD0AC3">
        <w:rPr>
          <w:rFonts w:ascii="Arial" w:hAnsi="Arial" w:cs="Arial"/>
        </w:rPr>
        <w:t xml:space="preserve">. Available at: </w:t>
      </w:r>
      <w:hyperlink r:id="rId49" w:history="1">
        <w:r w:rsidRPr="00AD0AC3">
          <w:rPr>
            <w:rStyle w:val="Hyperlink"/>
            <w:rFonts w:ascii="Arial" w:hAnsi="Arial" w:cs="Arial"/>
          </w:rPr>
          <w:t>https://www.mdpi.com/2227-9091/12/8/119</w:t>
        </w:r>
      </w:hyperlink>
    </w:p>
    <w:p w14:paraId="49FC543E" w14:textId="77777777" w:rsidR="00AD0AC3" w:rsidRPr="00AD0AC3" w:rsidRDefault="00AD0AC3" w:rsidP="00AD0AC3">
      <w:pPr>
        <w:pStyle w:val="p1"/>
        <w:rPr>
          <w:rFonts w:ascii="Arial" w:hAnsi="Arial" w:cs="Arial"/>
        </w:rPr>
      </w:pPr>
      <w:r w:rsidRPr="00AD0AC3">
        <w:rPr>
          <w:rFonts w:ascii="Arial" w:hAnsi="Arial" w:cs="Arial"/>
        </w:rPr>
        <w:t xml:space="preserve">Wati, M. et al. (2024) ‘Financial management training’, </w:t>
      </w:r>
      <w:r w:rsidRPr="00AD0AC3">
        <w:rPr>
          <w:rFonts w:ascii="Arial" w:hAnsi="Arial" w:cs="Arial"/>
          <w:i/>
          <w:iCs/>
        </w:rPr>
        <w:t>Quantitative Economics and Management Studies</w:t>
      </w:r>
      <w:r w:rsidRPr="00AD0AC3">
        <w:rPr>
          <w:rFonts w:ascii="Arial" w:hAnsi="Arial" w:cs="Arial"/>
        </w:rPr>
        <w:t xml:space="preserve">. Available at: </w:t>
      </w:r>
      <w:hyperlink r:id="rId50" w:history="1">
        <w:r w:rsidRPr="00AD0AC3">
          <w:rPr>
            <w:rStyle w:val="Hyperlink"/>
            <w:rFonts w:ascii="Arial" w:hAnsi="Arial" w:cs="Arial"/>
          </w:rPr>
          <w:t>https://doi.org/10.35877/454RI.qems2676</w:t>
        </w:r>
      </w:hyperlink>
    </w:p>
    <w:p w14:paraId="47805664" w14:textId="77777777" w:rsidR="00AD0AC3" w:rsidRPr="00AD0AC3" w:rsidRDefault="00AD0AC3" w:rsidP="00AD0AC3">
      <w:pPr>
        <w:pStyle w:val="p1"/>
        <w:rPr>
          <w:rFonts w:ascii="Arial" w:hAnsi="Arial" w:cs="Arial"/>
        </w:rPr>
      </w:pPr>
      <w:r w:rsidRPr="00AD0AC3">
        <w:rPr>
          <w:rFonts w:ascii="Arial" w:hAnsi="Arial" w:cs="Arial"/>
        </w:rPr>
        <w:t xml:space="preserve">Wahyudi, S.M. (2026) ‘Risk management and growth’, </w:t>
      </w:r>
      <w:r w:rsidRPr="00AD0AC3">
        <w:rPr>
          <w:rFonts w:ascii="Arial" w:hAnsi="Arial" w:cs="Arial"/>
          <w:i/>
          <w:iCs/>
        </w:rPr>
        <w:t>KEUNIS</w:t>
      </w:r>
      <w:r w:rsidRPr="00AD0AC3">
        <w:rPr>
          <w:rFonts w:ascii="Arial" w:hAnsi="Arial" w:cs="Arial"/>
        </w:rPr>
        <w:t xml:space="preserve">. Available at: </w:t>
      </w:r>
      <w:hyperlink r:id="rId51" w:history="1">
        <w:r w:rsidRPr="00AD0AC3">
          <w:rPr>
            <w:rStyle w:val="Hyperlink"/>
            <w:rFonts w:ascii="Arial" w:hAnsi="Arial" w:cs="Arial"/>
          </w:rPr>
          <w:t>https://doi.org/10.32497/keunis.v14i1.6792</w:t>
        </w:r>
      </w:hyperlink>
    </w:p>
    <w:p w14:paraId="13EB346F" w14:textId="77777777" w:rsidR="008D742E" w:rsidRPr="008D742E" w:rsidRDefault="008D742E" w:rsidP="008D742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C2955CC" w14:textId="77777777" w:rsidR="008D742E" w:rsidRPr="00AD1535" w:rsidRDefault="008D742E" w:rsidP="00AD153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9075C21" w14:textId="77777777" w:rsidR="00AD1535" w:rsidRPr="00AD1535" w:rsidRDefault="00AD1535" w:rsidP="00AD153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BEAFB42" w14:textId="77777777" w:rsidR="00685C69" w:rsidRPr="004F403E" w:rsidRDefault="00685C69" w:rsidP="004F403E">
      <w:pPr>
        <w:spacing w:before="100" w:beforeAutospacing="1" w:after="100" w:afterAutospacing="1" w:line="240" w:lineRule="auto"/>
        <w:ind w:firstLine="851"/>
        <w:jc w:val="both"/>
        <w:rPr>
          <w:rFonts w:ascii="Arial" w:eastAsia="Times New Roman" w:hAnsi="Arial" w:cs="Arial"/>
          <w:kern w:val="0"/>
          <w:lang w:eastAsia="en-GB"/>
          <w14:ligatures w14:val="none"/>
        </w:rPr>
      </w:pPr>
    </w:p>
    <w:p w14:paraId="7F217130" w14:textId="77777777" w:rsidR="00DD6DF8" w:rsidRPr="004F403E" w:rsidRDefault="00DD6DF8" w:rsidP="00164EB8">
      <w:pPr>
        <w:spacing w:line="240" w:lineRule="auto"/>
        <w:jc w:val="both"/>
        <w:rPr>
          <w:rFonts w:ascii="Arial" w:hAnsi="Arial" w:cs="Arial"/>
        </w:rPr>
      </w:pPr>
    </w:p>
    <w:sectPr w:rsidR="00DD6DF8" w:rsidRPr="004F403E">
      <w:footerReference w:type="even"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099897" w14:textId="77777777" w:rsidR="004F42CD" w:rsidRDefault="004F42CD" w:rsidP="00230BC2">
      <w:pPr>
        <w:spacing w:after="0" w:line="240" w:lineRule="auto"/>
      </w:pPr>
      <w:r>
        <w:separator/>
      </w:r>
    </w:p>
  </w:endnote>
  <w:endnote w:type="continuationSeparator" w:id="0">
    <w:p w14:paraId="37D5BD9A" w14:textId="77777777" w:rsidR="004F42CD" w:rsidRDefault="004F42CD" w:rsidP="00230B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50372444"/>
      <w:docPartObj>
        <w:docPartGallery w:val="Page Numbers (Bottom of Page)"/>
        <w:docPartUnique/>
      </w:docPartObj>
    </w:sdtPr>
    <w:sdtContent>
      <w:p w14:paraId="299FB5A9" w14:textId="403038F1" w:rsidR="00230BC2" w:rsidRDefault="00230BC2" w:rsidP="005040C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189AC31" w14:textId="77777777" w:rsidR="00230BC2" w:rsidRDefault="00230B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12070552"/>
      <w:docPartObj>
        <w:docPartGallery w:val="Page Numbers (Bottom of Page)"/>
        <w:docPartUnique/>
      </w:docPartObj>
    </w:sdtPr>
    <w:sdtContent>
      <w:p w14:paraId="356B28A8" w14:textId="06DBB2FB" w:rsidR="00230BC2" w:rsidRDefault="00230BC2" w:rsidP="005040C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AD538E" w14:textId="77777777" w:rsidR="00230BC2" w:rsidRDefault="00230B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1E1434" w14:textId="77777777" w:rsidR="004F42CD" w:rsidRDefault="004F42CD" w:rsidP="00230BC2">
      <w:pPr>
        <w:spacing w:after="0" w:line="240" w:lineRule="auto"/>
      </w:pPr>
      <w:r>
        <w:separator/>
      </w:r>
    </w:p>
  </w:footnote>
  <w:footnote w:type="continuationSeparator" w:id="0">
    <w:p w14:paraId="3F02C16B" w14:textId="77777777" w:rsidR="004F42CD" w:rsidRDefault="004F42CD" w:rsidP="00230B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C69"/>
    <w:rsid w:val="00016E8D"/>
    <w:rsid w:val="00025340"/>
    <w:rsid w:val="00045830"/>
    <w:rsid w:val="000B2DA4"/>
    <w:rsid w:val="000F2AD9"/>
    <w:rsid w:val="000F3D65"/>
    <w:rsid w:val="00164EB8"/>
    <w:rsid w:val="00230BC2"/>
    <w:rsid w:val="0024634E"/>
    <w:rsid w:val="002A1956"/>
    <w:rsid w:val="002C7673"/>
    <w:rsid w:val="00327800"/>
    <w:rsid w:val="00346EE5"/>
    <w:rsid w:val="00366900"/>
    <w:rsid w:val="003917C8"/>
    <w:rsid w:val="00391B73"/>
    <w:rsid w:val="0049269A"/>
    <w:rsid w:val="004E4130"/>
    <w:rsid w:val="004F403E"/>
    <w:rsid w:val="004F42CD"/>
    <w:rsid w:val="005A1503"/>
    <w:rsid w:val="00685C69"/>
    <w:rsid w:val="006E56B5"/>
    <w:rsid w:val="00701A51"/>
    <w:rsid w:val="00752E9B"/>
    <w:rsid w:val="00831F28"/>
    <w:rsid w:val="008A40C6"/>
    <w:rsid w:val="008D742E"/>
    <w:rsid w:val="009513CC"/>
    <w:rsid w:val="0098546E"/>
    <w:rsid w:val="00A00C50"/>
    <w:rsid w:val="00A64DCB"/>
    <w:rsid w:val="00AD0AC3"/>
    <w:rsid w:val="00AD1535"/>
    <w:rsid w:val="00AD5217"/>
    <w:rsid w:val="00B657E1"/>
    <w:rsid w:val="00B82958"/>
    <w:rsid w:val="00B948DF"/>
    <w:rsid w:val="00C102D4"/>
    <w:rsid w:val="00C42AA3"/>
    <w:rsid w:val="00CC08AA"/>
    <w:rsid w:val="00D4787B"/>
    <w:rsid w:val="00DD6DF8"/>
    <w:rsid w:val="00E31722"/>
    <w:rsid w:val="00E5047C"/>
    <w:rsid w:val="00E65473"/>
    <w:rsid w:val="00F51183"/>
    <w:rsid w:val="00F74495"/>
    <w:rsid w:val="00FA2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C7D57"/>
  <w15:chartTrackingRefBased/>
  <w15:docId w15:val="{7DC7287F-22F4-A441-8713-987DA91E5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5C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5C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85C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5C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5C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5C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5C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5C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5C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5C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5C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85C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5C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5C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5C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5C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5C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5C69"/>
    <w:rPr>
      <w:rFonts w:eastAsiaTheme="majorEastAsia" w:cstheme="majorBidi"/>
      <w:color w:val="272727" w:themeColor="text1" w:themeTint="D8"/>
    </w:rPr>
  </w:style>
  <w:style w:type="paragraph" w:styleId="Title">
    <w:name w:val="Title"/>
    <w:basedOn w:val="Normal"/>
    <w:next w:val="Normal"/>
    <w:link w:val="TitleChar"/>
    <w:uiPriority w:val="10"/>
    <w:qFormat/>
    <w:rsid w:val="00685C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5C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5C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5C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5C69"/>
    <w:pPr>
      <w:spacing w:before="160"/>
      <w:jc w:val="center"/>
    </w:pPr>
    <w:rPr>
      <w:i/>
      <w:iCs/>
      <w:color w:val="404040" w:themeColor="text1" w:themeTint="BF"/>
    </w:rPr>
  </w:style>
  <w:style w:type="character" w:customStyle="1" w:styleId="QuoteChar">
    <w:name w:val="Quote Char"/>
    <w:basedOn w:val="DefaultParagraphFont"/>
    <w:link w:val="Quote"/>
    <w:uiPriority w:val="29"/>
    <w:rsid w:val="00685C69"/>
    <w:rPr>
      <w:i/>
      <w:iCs/>
      <w:color w:val="404040" w:themeColor="text1" w:themeTint="BF"/>
    </w:rPr>
  </w:style>
  <w:style w:type="paragraph" w:styleId="ListParagraph">
    <w:name w:val="List Paragraph"/>
    <w:basedOn w:val="Normal"/>
    <w:uiPriority w:val="34"/>
    <w:qFormat/>
    <w:rsid w:val="00685C69"/>
    <w:pPr>
      <w:ind w:left="720"/>
      <w:contextualSpacing/>
    </w:pPr>
  </w:style>
  <w:style w:type="character" w:styleId="IntenseEmphasis">
    <w:name w:val="Intense Emphasis"/>
    <w:basedOn w:val="DefaultParagraphFont"/>
    <w:uiPriority w:val="21"/>
    <w:qFormat/>
    <w:rsid w:val="00685C69"/>
    <w:rPr>
      <w:i/>
      <w:iCs/>
      <w:color w:val="0F4761" w:themeColor="accent1" w:themeShade="BF"/>
    </w:rPr>
  </w:style>
  <w:style w:type="paragraph" w:styleId="IntenseQuote">
    <w:name w:val="Intense Quote"/>
    <w:basedOn w:val="Normal"/>
    <w:next w:val="Normal"/>
    <w:link w:val="IntenseQuoteChar"/>
    <w:uiPriority w:val="30"/>
    <w:qFormat/>
    <w:rsid w:val="00685C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5C69"/>
    <w:rPr>
      <w:i/>
      <w:iCs/>
      <w:color w:val="0F4761" w:themeColor="accent1" w:themeShade="BF"/>
    </w:rPr>
  </w:style>
  <w:style w:type="character" w:styleId="IntenseReference">
    <w:name w:val="Intense Reference"/>
    <w:basedOn w:val="DefaultParagraphFont"/>
    <w:uiPriority w:val="32"/>
    <w:qFormat/>
    <w:rsid w:val="00685C69"/>
    <w:rPr>
      <w:b/>
      <w:bCs/>
      <w:smallCaps/>
      <w:color w:val="0F4761" w:themeColor="accent1" w:themeShade="BF"/>
      <w:spacing w:val="5"/>
    </w:rPr>
  </w:style>
  <w:style w:type="paragraph" w:customStyle="1" w:styleId="p1">
    <w:name w:val="p1"/>
    <w:basedOn w:val="Normal"/>
    <w:rsid w:val="00685C6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685C69"/>
  </w:style>
  <w:style w:type="character" w:customStyle="1" w:styleId="s2">
    <w:name w:val="s2"/>
    <w:basedOn w:val="DefaultParagraphFont"/>
    <w:rsid w:val="00685C69"/>
  </w:style>
  <w:style w:type="paragraph" w:customStyle="1" w:styleId="p3">
    <w:name w:val="p3"/>
    <w:basedOn w:val="Normal"/>
    <w:rsid w:val="00685C6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4">
    <w:name w:val="p4"/>
    <w:basedOn w:val="Normal"/>
    <w:rsid w:val="00685C6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2">
    <w:name w:val="p2"/>
    <w:basedOn w:val="Normal"/>
    <w:rsid w:val="0049269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D0AC3"/>
    <w:rPr>
      <w:color w:val="467886" w:themeColor="hyperlink"/>
      <w:u w:val="single"/>
    </w:rPr>
  </w:style>
  <w:style w:type="character" w:styleId="FollowedHyperlink">
    <w:name w:val="FollowedHyperlink"/>
    <w:basedOn w:val="DefaultParagraphFont"/>
    <w:uiPriority w:val="99"/>
    <w:semiHidden/>
    <w:unhideWhenUsed/>
    <w:rsid w:val="00AD0AC3"/>
    <w:rPr>
      <w:color w:val="96607D" w:themeColor="followedHyperlink"/>
      <w:u w:val="single"/>
    </w:rPr>
  </w:style>
  <w:style w:type="paragraph" w:styleId="Footer">
    <w:name w:val="footer"/>
    <w:basedOn w:val="Normal"/>
    <w:link w:val="FooterChar"/>
    <w:uiPriority w:val="99"/>
    <w:unhideWhenUsed/>
    <w:rsid w:val="00230B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BC2"/>
  </w:style>
  <w:style w:type="character" w:styleId="PageNumber">
    <w:name w:val="page number"/>
    <w:basedOn w:val="DefaultParagraphFont"/>
    <w:uiPriority w:val="99"/>
    <w:semiHidden/>
    <w:unhideWhenUsed/>
    <w:rsid w:val="00230BC2"/>
  </w:style>
  <w:style w:type="paragraph" w:styleId="TOCHeading">
    <w:name w:val="TOC Heading"/>
    <w:basedOn w:val="Heading1"/>
    <w:next w:val="Normal"/>
    <w:uiPriority w:val="39"/>
    <w:unhideWhenUsed/>
    <w:qFormat/>
    <w:rsid w:val="003917C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917C8"/>
    <w:pPr>
      <w:spacing w:before="120" w:after="0"/>
    </w:pPr>
    <w:rPr>
      <w:b/>
      <w:bCs/>
      <w:i/>
      <w:iCs/>
    </w:rPr>
  </w:style>
  <w:style w:type="paragraph" w:styleId="TOC2">
    <w:name w:val="toc 2"/>
    <w:basedOn w:val="Normal"/>
    <w:next w:val="Normal"/>
    <w:autoRedefine/>
    <w:uiPriority w:val="39"/>
    <w:unhideWhenUsed/>
    <w:rsid w:val="003917C8"/>
    <w:pPr>
      <w:spacing w:before="120" w:after="0"/>
      <w:ind w:left="240"/>
    </w:pPr>
    <w:rPr>
      <w:b/>
      <w:bCs/>
      <w:sz w:val="22"/>
      <w:szCs w:val="22"/>
    </w:rPr>
  </w:style>
  <w:style w:type="paragraph" w:styleId="TOC3">
    <w:name w:val="toc 3"/>
    <w:basedOn w:val="Normal"/>
    <w:next w:val="Normal"/>
    <w:autoRedefine/>
    <w:uiPriority w:val="39"/>
    <w:unhideWhenUsed/>
    <w:rsid w:val="003917C8"/>
    <w:pPr>
      <w:spacing w:after="0"/>
      <w:ind w:left="480"/>
    </w:pPr>
    <w:rPr>
      <w:sz w:val="20"/>
      <w:szCs w:val="20"/>
    </w:rPr>
  </w:style>
  <w:style w:type="paragraph" w:styleId="TOC4">
    <w:name w:val="toc 4"/>
    <w:basedOn w:val="Normal"/>
    <w:next w:val="Normal"/>
    <w:autoRedefine/>
    <w:uiPriority w:val="39"/>
    <w:semiHidden/>
    <w:unhideWhenUsed/>
    <w:rsid w:val="003917C8"/>
    <w:pPr>
      <w:spacing w:after="0"/>
      <w:ind w:left="720"/>
    </w:pPr>
    <w:rPr>
      <w:sz w:val="20"/>
      <w:szCs w:val="20"/>
    </w:rPr>
  </w:style>
  <w:style w:type="paragraph" w:styleId="TOC5">
    <w:name w:val="toc 5"/>
    <w:basedOn w:val="Normal"/>
    <w:next w:val="Normal"/>
    <w:autoRedefine/>
    <w:uiPriority w:val="39"/>
    <w:semiHidden/>
    <w:unhideWhenUsed/>
    <w:rsid w:val="003917C8"/>
    <w:pPr>
      <w:spacing w:after="0"/>
      <w:ind w:left="960"/>
    </w:pPr>
    <w:rPr>
      <w:sz w:val="20"/>
      <w:szCs w:val="20"/>
    </w:rPr>
  </w:style>
  <w:style w:type="paragraph" w:styleId="TOC6">
    <w:name w:val="toc 6"/>
    <w:basedOn w:val="Normal"/>
    <w:next w:val="Normal"/>
    <w:autoRedefine/>
    <w:uiPriority w:val="39"/>
    <w:semiHidden/>
    <w:unhideWhenUsed/>
    <w:rsid w:val="003917C8"/>
    <w:pPr>
      <w:spacing w:after="0"/>
      <w:ind w:left="1200"/>
    </w:pPr>
    <w:rPr>
      <w:sz w:val="20"/>
      <w:szCs w:val="20"/>
    </w:rPr>
  </w:style>
  <w:style w:type="paragraph" w:styleId="TOC7">
    <w:name w:val="toc 7"/>
    <w:basedOn w:val="Normal"/>
    <w:next w:val="Normal"/>
    <w:autoRedefine/>
    <w:uiPriority w:val="39"/>
    <w:semiHidden/>
    <w:unhideWhenUsed/>
    <w:rsid w:val="003917C8"/>
    <w:pPr>
      <w:spacing w:after="0"/>
      <w:ind w:left="1440"/>
    </w:pPr>
    <w:rPr>
      <w:sz w:val="20"/>
      <w:szCs w:val="20"/>
    </w:rPr>
  </w:style>
  <w:style w:type="paragraph" w:styleId="TOC8">
    <w:name w:val="toc 8"/>
    <w:basedOn w:val="Normal"/>
    <w:next w:val="Normal"/>
    <w:autoRedefine/>
    <w:uiPriority w:val="39"/>
    <w:semiHidden/>
    <w:unhideWhenUsed/>
    <w:rsid w:val="003917C8"/>
    <w:pPr>
      <w:spacing w:after="0"/>
      <w:ind w:left="1680"/>
    </w:pPr>
    <w:rPr>
      <w:sz w:val="20"/>
      <w:szCs w:val="20"/>
    </w:rPr>
  </w:style>
  <w:style w:type="paragraph" w:styleId="TOC9">
    <w:name w:val="toc 9"/>
    <w:basedOn w:val="Normal"/>
    <w:next w:val="Normal"/>
    <w:autoRedefine/>
    <w:uiPriority w:val="39"/>
    <w:semiHidden/>
    <w:unhideWhenUsed/>
    <w:rsid w:val="003917C8"/>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Excel_Worksheet2.xlsx"/><Relationship Id="rId18" Type="http://schemas.openxmlformats.org/officeDocument/2006/relationships/hyperlink" Target="https://doi.org/10.1007/s11365-023-00928-4" TargetMode="External"/><Relationship Id="rId26" Type="http://schemas.openxmlformats.org/officeDocument/2006/relationships/hyperlink" Target="https://www.allmultidisciplinaryjournal.com/uploads/archives/20250312174231_MGE-2025-2-055.1.pdf" TargetMode="External"/><Relationship Id="rId39" Type="http://schemas.openxmlformats.org/officeDocument/2006/relationships/hyperlink" Target="https://www.researchgate.net/publication/361292771" TargetMode="External"/><Relationship Id="rId21" Type="http://schemas.openxmlformats.org/officeDocument/2006/relationships/hyperlink" Target="https://corporatefinanceinstitute.com/resources/accounting/working-capital/" TargetMode="External"/><Relationship Id="rId34" Type="http://schemas.openxmlformats.org/officeDocument/2006/relationships/hyperlink" Target="https://www.mckinsey.com/~/media/mckinsey/industries/retail/our%20insights/revamping%20fashion%20sourcing%20speed%20and%20flexibility%20to%20the%20fore/revamping-fashion-sourcing-speed-and-flexibility-to-the-fore.pdf" TargetMode="External"/><Relationship Id="rId42" Type="http://schemas.openxmlformats.org/officeDocument/2006/relationships/hyperlink" Target="https://www.sciencedirect.com/science/article/pii/S0308597X21001949" TargetMode="External"/><Relationship Id="rId47" Type="http://schemas.openxmlformats.org/officeDocument/2006/relationships/hyperlink" Target="https://doi.org/10.5539/ibr.v13n10p85" TargetMode="External"/><Relationship Id="rId50" Type="http://schemas.openxmlformats.org/officeDocument/2006/relationships/hyperlink" Target="https://doi.org/10.35877/454RI.qems2676" TargetMode="External"/><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pearson.com/en-gb/subject-catalog/p/management-accounting-for-decision-makers/P200000003479" TargetMode="External"/><Relationship Id="rId29" Type="http://schemas.openxmlformats.org/officeDocument/2006/relationships/hyperlink" Target="http://www.investopedia.com/terms/l/liquidity.asp" TargetMode="External"/><Relationship Id="rId11" Type="http://schemas.openxmlformats.org/officeDocument/2006/relationships/package" Target="embeddings/Microsoft_Excel_Worksheet1.xlsx"/><Relationship Id="rId24" Type="http://schemas.openxmlformats.org/officeDocument/2006/relationships/hyperlink" Target="https://doi.org/10.1007/s11573-022-01081-0" TargetMode="External"/><Relationship Id="rId32" Type="http://schemas.openxmlformats.org/officeDocument/2006/relationships/hyperlink" Target="https://doi.org/10.3390/economies10040074" TargetMode="External"/><Relationship Id="rId37" Type="http://schemas.openxmlformats.org/officeDocument/2006/relationships/hyperlink" Target="https://www.mckinsey.com/industries/retail/our-insights/holiday-shopping-in-2023-it-started-early-and-will-end-late" TargetMode="External"/><Relationship Id="rId40" Type="http://schemas.openxmlformats.org/officeDocument/2006/relationships/hyperlink" Target="https://doi.org/10.4018/978-1-7998-0178-8.ch008" TargetMode="External"/><Relationship Id="rId45" Type="http://schemas.openxmlformats.org/officeDocument/2006/relationships/hyperlink" Target="https://doi.org/10.4018/978-1-7998-0178-8.ch003" TargetMode="External"/><Relationship Id="rId53"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emf"/><Relationship Id="rId19" Type="http://schemas.openxmlformats.org/officeDocument/2006/relationships/hyperlink" Target="https://corporatefinanceinstitute.com/resources/accounting/cash-flow/" TargetMode="External"/><Relationship Id="rId31" Type="http://schemas.openxmlformats.org/officeDocument/2006/relationships/hyperlink" Target="https://doi.org/10.1177/1069031X211064278" TargetMode="External"/><Relationship Id="rId44" Type="http://schemas.openxmlformats.org/officeDocument/2006/relationships/hyperlink" Target="https://books.google.co.uk/books?id=8F6LEAAAQBAJ"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package" Target="embeddings/Microsoft_Excel_Worksheet.xlsx"/><Relationship Id="rId14" Type="http://schemas.openxmlformats.org/officeDocument/2006/relationships/hyperlink" Target="https://www.tandfonline.com/doi/full/10.1080/23311975.2024.2354846" TargetMode="External"/><Relationship Id="rId22" Type="http://schemas.openxmlformats.org/officeDocument/2006/relationships/hyperlink" Target="https://corporatefinanceinstitute.com/resources/accounting/working-capital/" TargetMode="External"/><Relationship Id="rId27" Type="http://schemas.openxmlformats.org/officeDocument/2006/relationships/hyperlink" Target="https://www.investopedia.com/terms/c/cashflow.asp" TargetMode="External"/><Relationship Id="rId30" Type="http://schemas.openxmlformats.org/officeDocument/2006/relationships/hyperlink" Target="https://www.investopedia.com/terms/w/workingcapital.asp" TargetMode="External"/><Relationship Id="rId35" Type="http://schemas.openxmlformats.org/officeDocument/2006/relationships/hyperlink" Target="https://www.mckinsey.com/industries/retail/our-insights/hitting-the-mark-why-markdowns-matter-more-than-ever" TargetMode="External"/><Relationship Id="rId43" Type="http://schemas.openxmlformats.org/officeDocument/2006/relationships/hyperlink" Target="https://doi.org/10.1111/ijmr.12288" TargetMode="External"/><Relationship Id="rId48" Type="http://schemas.openxmlformats.org/officeDocument/2006/relationships/hyperlink" Target="https://www.tandfonline.com/doi/full/10.1080/17449480.2023.2218398" TargetMode="External"/><Relationship Id="rId8" Type="http://schemas.openxmlformats.org/officeDocument/2006/relationships/image" Target="media/image2.emf"/><Relationship Id="rId51" Type="http://schemas.openxmlformats.org/officeDocument/2006/relationships/hyperlink" Target="https://doi.org/10.32497/keunis.v14i1.6792" TargetMode="External"/><Relationship Id="rId3" Type="http://schemas.openxmlformats.org/officeDocument/2006/relationships/settings" Target="settings.xml"/><Relationship Id="rId12" Type="http://schemas.openxmlformats.org/officeDocument/2006/relationships/image" Target="media/image4.emf"/><Relationship Id="rId17" Type="http://schemas.openxmlformats.org/officeDocument/2006/relationships/hyperlink" Target="https://doi.org/10.4018/978-1-7998-0178-8.ch004" TargetMode="External"/><Relationship Id="rId25" Type="http://schemas.openxmlformats.org/officeDocument/2006/relationships/hyperlink" Target="https://doi.org/10.1111/1911-3846.12739" TargetMode="External"/><Relationship Id="rId33" Type="http://schemas.openxmlformats.org/officeDocument/2006/relationships/hyperlink" Target="https://www.mdpi.com/2227-9091/10/3/63" TargetMode="External"/><Relationship Id="rId38" Type="http://schemas.openxmlformats.org/officeDocument/2006/relationships/hyperlink" Target="https://www.routledge.com/The-Strategy-and-Tactics-of-Pricing/Nagle-Muller-Gruyaert/p/book/9781138737512" TargetMode="External"/><Relationship Id="rId46" Type="http://schemas.openxmlformats.org/officeDocument/2006/relationships/hyperlink" Target="https://doi.org/10.4018/978-1-7998-0178-8.ch007" TargetMode="External"/><Relationship Id="rId20" Type="http://schemas.openxmlformats.org/officeDocument/2006/relationships/hyperlink" Target="https://corporatefinanceinstitute.com/resources/accounting/inventory/" TargetMode="External"/><Relationship Id="rId41" Type="http://schemas.openxmlformats.org/officeDocument/2006/relationships/hyperlink" Target="https://sajbm.org/index.php/sajbm/article/view/4348/2968"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doi.org/10.1108/JAOC-09-2021-0130" TargetMode="External"/><Relationship Id="rId23" Type="http://schemas.openxmlformats.org/officeDocument/2006/relationships/hyperlink" Target="https://www.pearson.com/en-gb/subject-catalog/p/management-and-cost-accounting/P200000003466" TargetMode="External"/><Relationship Id="rId28" Type="http://schemas.openxmlformats.org/officeDocument/2006/relationships/hyperlink" Target="https://www.investopedia.com/terms/i/inventory-management.asp" TargetMode="External"/><Relationship Id="rId36" Type="http://schemas.openxmlformats.org/officeDocument/2006/relationships/hyperlink" Target="https://www.mckinsey.com/industries/retail/our-insights/thinking-beyond-markdowns-to-tackle-retails-inventory-glut" TargetMode="External"/><Relationship Id="rId49" Type="http://schemas.openxmlformats.org/officeDocument/2006/relationships/hyperlink" Target="https://www.mdpi.com/2227-9091/12/8/1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BC0B49-441B-EC4D-AE77-9AE434112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205</TotalTime>
  <Pages>17</Pages>
  <Words>5418</Words>
  <Characters>35331</Characters>
  <Application>Microsoft Office Word</Application>
  <DocSecurity>0</DocSecurity>
  <Lines>609</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Tutuiu</dc:creator>
  <cp:keywords/>
  <dc:description/>
  <cp:lastModifiedBy>Alex Tutuiu</cp:lastModifiedBy>
  <cp:revision>29</cp:revision>
  <dcterms:created xsi:type="dcterms:W3CDTF">2026-03-19T17:00:00Z</dcterms:created>
  <dcterms:modified xsi:type="dcterms:W3CDTF">2026-03-20T16:13:00Z</dcterms:modified>
</cp:coreProperties>
</file>