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0"/>
          <w:szCs w:val="40"/>
        </w:rPr>
      </w:pPr>
      <w:r w:rsidDel="00000000" w:rsidR="00000000" w:rsidRPr="00000000">
        <w:rPr>
          <w:rtl w:val="0"/>
        </w:rPr>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jc w:val="center"/>
        <w:rPr>
          <w:sz w:val="40"/>
          <w:szCs w:val="40"/>
        </w:rPr>
      </w:pPr>
      <w:r w:rsidDel="00000000" w:rsidR="00000000" w:rsidRPr="00000000">
        <w:rPr>
          <w:rtl w:val="0"/>
        </w:rPr>
      </w:r>
    </w:p>
    <w:p w:rsidR="00000000" w:rsidDel="00000000" w:rsidP="00000000" w:rsidRDefault="00000000" w:rsidRPr="00000000" w14:paraId="00000004">
      <w:pPr>
        <w:jc w:val="center"/>
        <w:rPr>
          <w:sz w:val="40"/>
          <w:szCs w:val="40"/>
        </w:rPr>
      </w:pPr>
      <w:r w:rsidDel="00000000" w:rsidR="00000000" w:rsidRPr="00000000">
        <w:rPr>
          <w:rtl w:val="0"/>
        </w:rPr>
      </w:r>
    </w:p>
    <w:p w:rsidR="00000000" w:rsidDel="00000000" w:rsidP="00000000" w:rsidRDefault="00000000" w:rsidRPr="00000000" w14:paraId="00000005">
      <w:pPr>
        <w:jc w:val="center"/>
        <w:rPr>
          <w:sz w:val="40"/>
          <w:szCs w:val="40"/>
        </w:rPr>
      </w:pPr>
      <w:r w:rsidDel="00000000" w:rsidR="00000000" w:rsidRPr="00000000">
        <w:rPr>
          <w:rtl w:val="0"/>
        </w:rPr>
      </w:r>
    </w:p>
    <w:p w:rsidR="00000000" w:rsidDel="00000000" w:rsidP="00000000" w:rsidRDefault="00000000" w:rsidRPr="00000000" w14:paraId="00000006">
      <w:pPr>
        <w:jc w:val="center"/>
        <w:rPr>
          <w:sz w:val="40"/>
          <w:szCs w:val="40"/>
        </w:rPr>
      </w:pPr>
      <w:r w:rsidDel="00000000" w:rsidR="00000000" w:rsidRPr="00000000">
        <w:rPr>
          <w:rtl w:val="0"/>
        </w:rPr>
      </w:r>
    </w:p>
    <w:p w:rsidR="00000000" w:rsidDel="00000000" w:rsidP="00000000" w:rsidRDefault="00000000" w:rsidRPr="00000000" w14:paraId="00000007">
      <w:pPr>
        <w:jc w:val="center"/>
        <w:rPr>
          <w:sz w:val="40"/>
          <w:szCs w:val="40"/>
        </w:rPr>
      </w:pPr>
      <w:r w:rsidDel="00000000" w:rsidR="00000000" w:rsidRPr="00000000">
        <w:rPr>
          <w:rtl w:val="0"/>
        </w:rPr>
      </w:r>
    </w:p>
    <w:p w:rsidR="00000000" w:rsidDel="00000000" w:rsidP="00000000" w:rsidRDefault="00000000" w:rsidRPr="00000000" w14:paraId="00000008">
      <w:pPr>
        <w:jc w:val="center"/>
        <w:rPr>
          <w:sz w:val="40"/>
          <w:szCs w:val="40"/>
        </w:rPr>
      </w:pPr>
      <w:r w:rsidDel="00000000" w:rsidR="00000000" w:rsidRPr="00000000">
        <w:rPr>
          <w:rtl w:val="0"/>
        </w:rPr>
      </w:r>
    </w:p>
    <w:p w:rsidR="00000000" w:rsidDel="00000000" w:rsidP="00000000" w:rsidRDefault="00000000" w:rsidRPr="00000000" w14:paraId="00000009">
      <w:pPr>
        <w:jc w:val="left"/>
        <w:rPr>
          <w:sz w:val="40"/>
          <w:szCs w:val="40"/>
        </w:rPr>
      </w:pPr>
      <w:r w:rsidDel="00000000" w:rsidR="00000000" w:rsidRPr="00000000">
        <w:rPr>
          <w:rtl w:val="0"/>
        </w:rPr>
      </w:r>
    </w:p>
    <w:p w:rsidR="00000000" w:rsidDel="00000000" w:rsidP="00000000" w:rsidRDefault="00000000" w:rsidRPr="00000000" w14:paraId="0000000A">
      <w:pPr>
        <w:jc w:val="center"/>
        <w:rPr>
          <w:sz w:val="40"/>
          <w:szCs w:val="40"/>
        </w:rPr>
      </w:pPr>
      <w:r w:rsidDel="00000000" w:rsidR="00000000" w:rsidRPr="00000000">
        <w:rPr>
          <w:sz w:val="40"/>
          <w:szCs w:val="40"/>
          <w:rtl w:val="0"/>
        </w:rPr>
        <w:t xml:space="preserve">Essay 2</w:t>
      </w:r>
    </w:p>
    <w:p w:rsidR="00000000" w:rsidDel="00000000" w:rsidP="00000000" w:rsidRDefault="00000000" w:rsidRPr="00000000" w14:paraId="0000000B">
      <w:pPr>
        <w:jc w:val="center"/>
        <w:rPr>
          <w:sz w:val="40"/>
          <w:szCs w:val="40"/>
        </w:rPr>
      </w:pPr>
      <w:r w:rsidDel="00000000" w:rsidR="00000000" w:rsidRPr="00000000">
        <w:rPr>
          <w:sz w:val="40"/>
          <w:szCs w:val="40"/>
          <w:rtl w:val="0"/>
        </w:rPr>
        <w:t xml:space="preserve">Sky Journal</w:t>
      </w:r>
    </w:p>
    <w:p w:rsidR="00000000" w:rsidDel="00000000" w:rsidP="00000000" w:rsidRDefault="00000000" w:rsidRPr="00000000" w14:paraId="0000000C">
      <w:pPr>
        <w:jc w:val="center"/>
        <w:rPr>
          <w:sz w:val="40"/>
          <w:szCs w:val="40"/>
        </w:rPr>
      </w:pPr>
      <w:r w:rsidDel="00000000" w:rsidR="00000000" w:rsidRPr="00000000">
        <w:rPr>
          <w:rtl w:val="0"/>
        </w:rPr>
      </w:r>
    </w:p>
    <w:p w:rsidR="00000000" w:rsidDel="00000000" w:rsidP="00000000" w:rsidRDefault="00000000" w:rsidRPr="00000000" w14:paraId="0000000D">
      <w:pPr>
        <w:jc w:val="center"/>
        <w:rPr>
          <w:sz w:val="40"/>
          <w:szCs w:val="40"/>
        </w:rPr>
      </w:pPr>
      <w:r w:rsidDel="00000000" w:rsidR="00000000" w:rsidRPr="00000000">
        <w:rPr>
          <w:sz w:val="40"/>
          <w:szCs w:val="40"/>
          <w:rtl w:val="0"/>
        </w:rPr>
        <w:t xml:space="preserve">by: Trish Doon</w:t>
      </w:r>
    </w:p>
    <w:p w:rsidR="00000000" w:rsidDel="00000000" w:rsidP="00000000" w:rsidRDefault="00000000" w:rsidRPr="00000000" w14:paraId="0000000E">
      <w:pPr>
        <w:jc w:val="center"/>
        <w:rPr>
          <w:sz w:val="40"/>
          <w:szCs w:val="40"/>
        </w:rPr>
      </w:pPr>
      <w:r w:rsidDel="00000000" w:rsidR="00000000" w:rsidRPr="00000000">
        <w:rPr>
          <w:rtl w:val="0"/>
        </w:rPr>
      </w:r>
    </w:p>
    <w:p w:rsidR="00000000" w:rsidDel="00000000" w:rsidP="00000000" w:rsidRDefault="00000000" w:rsidRPr="00000000" w14:paraId="0000000F">
      <w:pPr>
        <w:jc w:val="left"/>
        <w:rPr>
          <w:sz w:val="40"/>
          <w:szCs w:val="40"/>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Patricia Doon </w:t>
      </w:r>
    </w:p>
    <w:p w:rsidR="00000000" w:rsidDel="00000000" w:rsidP="00000000" w:rsidRDefault="00000000" w:rsidRPr="00000000" w14:paraId="00000013">
      <w:pPr>
        <w:rPr>
          <w:sz w:val="24"/>
          <w:szCs w:val="24"/>
        </w:rPr>
      </w:pPr>
      <w:r w:rsidDel="00000000" w:rsidR="00000000" w:rsidRPr="00000000">
        <w:rPr>
          <w:sz w:val="24"/>
          <w:szCs w:val="24"/>
          <w:rtl w:val="0"/>
        </w:rPr>
        <w:t xml:space="preserve">HPCA7015 - Essay #2 - Sky Journal</w:t>
      </w:r>
    </w:p>
    <w:p w:rsidR="00000000" w:rsidDel="00000000" w:rsidP="00000000" w:rsidRDefault="00000000" w:rsidRPr="00000000" w14:paraId="00000014">
      <w:pPr>
        <w:rPr>
          <w:sz w:val="24"/>
          <w:szCs w:val="24"/>
        </w:rPr>
      </w:pPr>
      <w:r w:rsidDel="00000000" w:rsidR="00000000" w:rsidRPr="00000000">
        <w:rPr>
          <w:sz w:val="24"/>
          <w:szCs w:val="24"/>
          <w:rtl w:val="0"/>
        </w:rPr>
        <w:t xml:space="preserve">Due Date: 12/4/2021</w:t>
      </w:r>
    </w:p>
    <w:p w:rsidR="00000000" w:rsidDel="00000000" w:rsidP="00000000" w:rsidRDefault="00000000" w:rsidRPr="00000000" w14:paraId="00000015">
      <w:pPr>
        <w:rPr>
          <w:sz w:val="24"/>
          <w:szCs w:val="24"/>
        </w:rPr>
      </w:pPr>
      <w:r w:rsidDel="00000000" w:rsidR="00000000" w:rsidRPr="00000000">
        <w:rPr>
          <w:sz w:val="24"/>
          <w:szCs w:val="24"/>
          <w:rtl w:val="0"/>
        </w:rPr>
        <w:t xml:space="preserve">Foundations of Cultural Astronomy and Astrology</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Patricia Doon </w:t>
      </w:r>
    </w:p>
    <w:p w:rsidR="00000000" w:rsidDel="00000000" w:rsidP="00000000" w:rsidRDefault="00000000" w:rsidRPr="00000000" w14:paraId="0000001A">
      <w:pPr>
        <w:rPr>
          <w:sz w:val="24"/>
          <w:szCs w:val="24"/>
        </w:rPr>
      </w:pPr>
      <w:r w:rsidDel="00000000" w:rsidR="00000000" w:rsidRPr="00000000">
        <w:rPr>
          <w:sz w:val="24"/>
          <w:szCs w:val="24"/>
          <w:rtl w:val="0"/>
        </w:rPr>
        <w:t xml:space="preserve">HPCA7015 - Essay #2 - Sky Journal</w:t>
      </w:r>
    </w:p>
    <w:p w:rsidR="00000000" w:rsidDel="00000000" w:rsidP="00000000" w:rsidRDefault="00000000" w:rsidRPr="00000000" w14:paraId="0000001B">
      <w:pPr>
        <w:rPr>
          <w:sz w:val="24"/>
          <w:szCs w:val="24"/>
        </w:rPr>
      </w:pPr>
      <w:r w:rsidDel="00000000" w:rsidR="00000000" w:rsidRPr="00000000">
        <w:rPr>
          <w:sz w:val="24"/>
          <w:szCs w:val="24"/>
          <w:rtl w:val="0"/>
        </w:rPr>
        <w:t xml:space="preserve">Due Date: 12/4/2021</w:t>
      </w:r>
    </w:p>
    <w:p w:rsidR="00000000" w:rsidDel="00000000" w:rsidP="00000000" w:rsidRDefault="00000000" w:rsidRPr="00000000" w14:paraId="0000001C">
      <w:pPr>
        <w:rPr>
          <w:sz w:val="24"/>
          <w:szCs w:val="24"/>
        </w:rPr>
      </w:pPr>
      <w:r w:rsidDel="00000000" w:rsidR="00000000" w:rsidRPr="00000000">
        <w:rPr>
          <w:sz w:val="24"/>
          <w:szCs w:val="24"/>
          <w:rtl w:val="0"/>
        </w:rPr>
        <w:t xml:space="preserve">Foundations of Cultural Astronomy and Astrology</w:t>
      </w:r>
    </w:p>
    <w:p w:rsidR="00000000" w:rsidDel="00000000" w:rsidP="00000000" w:rsidRDefault="00000000" w:rsidRPr="00000000" w14:paraId="0000001D">
      <w:pPr>
        <w:rPr>
          <w:b w:val="1"/>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In keeping a sky journal, I chose to focus on the phases of the Moon between November 1, and November 12, 2021.  Living in a rural area, away from city lights, it is magnificent to witness the brilliance of the night sky and most evenings between the hours of 7 and 8pm, we take a walk down to the farm or through adjoining golf course with the dogs and if my children are home, they join. Our home and the surrounding area is made up of mature trees with wide canopies. Only when we look directly overhead can we view the stars.  The moon makes its way through the night sky and seems to follow our route as we walk.  The walks invite contemplation. </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It was particularly dark at night when I started keeping my journal.  The moon was a waning crescent with just a sliver peeking through. As the nights progressed and the moon transitioned into the new moon phase, we experienced a feeling of complete darkness envelop us.  The stars continued to shine and sparkle, but the lack of luminescence lighting our way clearly belonged to the moon.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My home is on a peninsula surrounded by the ocean. The ebb and flow of the tide is a visual reminder of the moon’s phase. The tides around the new moon in November during which I kept my journal held the space of very high at 14.81’ and also extremely low at .29’.  At low tide it felt like we could approach the horizon from the sandy beach, and opposing high tide left very little of the beach to explore. I tend to venture to the beach only during the day, however for this period of time, I did venture out to witness the enormity of the sky over the vastness of the ocean. </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For my sky journal, I noted the times of the moonrise and moon setting and was surprised to learn the moon rise was in the early morning during the time of writing. It also informed my understanding of the absolute darkness on either side of the new moon.  It was late autumn and the trees had lost many of their leaves. The branches of the magnificent Maple and Oak trees created a lens to view the waxing moon. Several evenings wispy clouds moved across the night sky and in between the movement framed the crescent moon like a vintage vignette photograph. </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The allure of the moon in the night air is alive in the allegory. I was reminded of the play Endymion and his unabashed love of the moon.</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There are many layers to the play, but the one in which I focused is the qualities of the moon interwoven throughout.  </w:t>
      </w:r>
    </w:p>
    <w:p w:rsidR="00000000" w:rsidDel="00000000" w:rsidP="00000000" w:rsidRDefault="00000000" w:rsidRPr="00000000" w14:paraId="00000027">
      <w:pPr>
        <w:rPr>
          <w:sz w:val="24"/>
          <w:szCs w:val="24"/>
        </w:rPr>
      </w:pPr>
      <w:r w:rsidDel="00000000" w:rsidR="00000000" w:rsidRPr="00000000">
        <w:rPr>
          <w:sz w:val="24"/>
          <w:szCs w:val="24"/>
          <w:rtl w:val="0"/>
        </w:rPr>
        <w:t xml:space="preserve">“How To Make Love to the Moon: Intimacy and Erotic Distance in John Lyly’s Endymion” by Gillian Knoll, recognizes the Cynthia/moon character and referred to her in a multitude of ways, “each with its own sense, suggests not only ambiguity but also multiplicity and abundance. It cues the presence of the moon (at times waxing, at times waning) in every utterance of Cynthia’s name, just as it signals the presence of a female body behind each reference to the moon’s celestial one.”</w:t>
      </w:r>
      <w:r w:rsidDel="00000000" w:rsidR="00000000" w:rsidRPr="00000000">
        <w:rPr>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Knoll introduces Gaston Bachelard’s writings on “the intimate relationship between small and large.” She references The Poetics of Space, in which Bachelard describes ‘“intimate immensity” as a special mode of daydreaming in which the dreamer forms a powerful bond with an immense, mysterious, often cosmic object of contemplation that comes to stand for the world, much like Endymion’s Cynthia. Such a relation requires a vast distance between the dreamer and the immense phenomenon he contemplates, demanding the dreamer’s smallness on one hand and the world’s immensity on the other.”  The moon by its very nature feels intimate and nurturing.   “It is easy to see why Endymion insists on loving Cynthia in her most physically alienating, distant, literally colossal form. It offers him access to an experience that Bachelard terms as a “dynamic . . . expansion of being” — anything but “static” or “undramatic,” as Lyly’s drama is so often characterized.”’</w:t>
      </w:r>
      <w:r w:rsidDel="00000000" w:rsidR="00000000" w:rsidRPr="00000000">
        <w:rPr>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Knoll quotes Bachelard, who was famous for his original writings in science and poetry, from ‘Poetry of Space’ it is a “love duet between dreamer and world, making man and the world into two wedded creatures that are paradoxically united in the dialogue of their solitude.”</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I immediately connected with this phrase. A number years ago, I was staying with a friend who lives on the tip of Mexico on the Baja Peninsula.  Her home overlooks the marina with a clear view of the western horizon.  My visit was at the same time as the full moon, and together she and I watched the moonrise and advance across the sky each evening. It was the first time I witnessed the movement of the moon in its full course. The moon for me has become a natural cycle of life after living in a place of darkness.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The contrast of Bachelards interests in science and poetry demonstrated his belief that masculine consciousness (animus); striving towards scientific objectivity through reasoning, must be complemented by the nocturnal, feminine consciousness (anima), and poetic subjectivity and the imaginary.</w:t>
      </w:r>
      <w:r w:rsidDel="00000000" w:rsidR="00000000" w:rsidRPr="00000000">
        <w:rPr>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Science and poetry is artfully demonstrated through cultivation of plants. Throughout the world there are extensive beliefs of the moon’s impact on the growth of plants. For those who are attuned and spend time under the light of the moon, that impact feels real. There are a number of articles which look to provide reason and scientific backup to dispel the nonsense behind these beliefs, and in fact there does not appear to be much scientific evidence to support a fact based approach to a lunar calendar of gardening.</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The Farmer’s Almanac, a trusted resource for farmers and gardeners since its first publication in 1818 asserts that gardening by the Moon has always been their philosophy, and their annual publication includes a planting by the moon planning calendar. It asserts their readers have and continue to find success managing their gardens and crops through this method.()  “Those who swear by this ancient growing method say the water in both the ground and in plants are affected by the gravitational pull of the Sun and Moon, just like ocean tides are. Just as the tides are highest during the new and full phases of the Moon, this theory holds, seeds, too, will absorb the most water during these times.”</w:t>
      </w:r>
      <w:r w:rsidDel="00000000" w:rsidR="00000000" w:rsidRPr="00000000">
        <w:rPr>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The practice of gardening by the Moon is as old as agriculture itself.  Planting by the Moon, however, is more complex and a deeper knowing. The phase of the Moon within a calendar is only part of the planning. Planning also requires knowledge of the Moon’s place as it moves through the zodiac during the year.  Astrology interprets the influence that the Sun and Moon have while they are in a specific zodiacal sign, and considers the elemental energy and other characteristics of that moon.</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Planting is seen as a symbiotic relationship within nature cultivated by the gardener or farmer and there is a natural honoring of the flow that resides within. </w:t>
      </w:r>
    </w:p>
    <w:p w:rsidR="00000000" w:rsidDel="00000000" w:rsidP="00000000" w:rsidRDefault="00000000" w:rsidRPr="00000000" w14:paraId="00000034">
      <w:pPr>
        <w:rPr>
          <w:sz w:val="24"/>
          <w:szCs w:val="24"/>
        </w:rPr>
      </w:pPr>
      <w:r w:rsidDel="00000000" w:rsidR="00000000" w:rsidRPr="00000000">
        <w:rPr>
          <w:sz w:val="24"/>
          <w:szCs w:val="24"/>
          <w:rtl w:val="0"/>
        </w:rPr>
        <w:t xml:space="preserve">Over time the deeper honoring of the cycle of night and day has been supplanted by desire for illumination and dispeling of darkness. “Night was commonly conceived as the domain of Satan in which his powers magnified and assorted evil spirits lurked: night demons, imps, hobgoblins, ghouls, boggarts, elves and witches. Without illumination, the shadowy world seemed to contain a host of malign and insubstantial entities, and imaginations, stimulated by ghost stories, folk beliefs and religiously inspired terrors were cultivated. Ghosts and poltergeists, and interpretations of landscape—such as the notion that ‘will o’ the wisp’ was conjured by fairies in order to lead travellers to their doom in swamps—were accompanied by a host of more concrete perils, reinforcing pervasive nyctophobia. As well as these fearful imaginary geographies, numerous hazards lay in wait for those venturing out after nightfall in the medieval town or city. Piles of rubbish, ditches and culverts carrying waste, excrement-laden streets and overhanging timbers meant that finding a path was fraught with risk. Many accidents occurred as people stumbled into the dangers posed by fallen trees, thick underbrush, steep hillsides and open trenches.  In addition, the footpads, murderers, burglars and arsonists for whom night proved cover, and the later increase in violent gangs and criminals in the early modern city provided further reason to stay indoors.”</w:t>
      </w:r>
      <w:r w:rsidDel="00000000" w:rsidR="00000000" w:rsidRPr="00000000">
        <w:rPr>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To protect themselves from the real and perceived threats brought on by the cover of the darkness of night, people performed the daily ritual of ‘shutting in’, bolting doors and latching windows as they settled in for the night. Communities typically have some sort of a watch which in earlier times took the form of a guard wandering the streets or set up in a tower today it is community policing on the look out for interlopers and activities of nocturnal ne’er do wells.</w:t>
      </w:r>
      <w:r w:rsidDel="00000000" w:rsidR="00000000" w:rsidRPr="00000000">
        <w:rPr>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An emerging concept of Dark Design considers ‘nocturnal design values’ and poses the question “if Artificial Lighting and Darkness in the Architectural and Urban Practices night means the ephemeral, the fragile, the spontaneous, how does one construct this element without distorting it?”  Dark design positions darkness as the primary element to in an effort to better understand the coexistence of light and dark, the effects and possibilities available when we are not limited in use of light or the absence of light. Our conditioning to darkness is deeply rooted in archetypes, cultural norms, and bound to a region’s history, geography and social circumstances.</w:t>
      </w:r>
      <w:r w:rsidDel="00000000" w:rsidR="00000000" w:rsidRPr="00000000">
        <w:rPr>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Dark Design considers it useful to include those elements that are often dismissed or limited when designing exteriors. David Gissen, a professor at Parsons School of Design and the New School University in New York, works at the intersection of architecture, history, and experimental design. His book, ‘Subnatures’ examines “forms of nature deemed primitive (mud and dankness), filthy (smoke, dust, and exhaust), fearsome (gas or debris), or uncontrollable (weeds, insects, and pigeons).” In general, many consider Subnatures a form of darkness we would rather ignore and what is equally interesting, many times these darker elements are created by human consumption (smoke, dust, exhaust, gas, debris).</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 It is proposed by Nick Dunn that Dark Design should follow Donna Haraway, a multispecies feminist, and learn to bring the earth and all its inhabitants into our creations. Haraway conceptualizes this time in which we live as the era of Chthulucene, one of ongoing multispecies stories and practices of becoming in precarious times. She exerts this is a time in which human and nonhuman life are inextricably linked in interdependent practices. If we can work with these entanglements or “troubles” as she refers to them, rather than deny them.</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Dark Design seeks to integrate dark spaces with green spaces, and blue spaces all of which naturally play with aspects of depth and light.</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Light pollution is currently deemed a necessary by-product of urban life. Dark Design calls for engaging in new ways to reimagine our relationships with darkness and alternatives for artificial lighting that enable humans, non-humans, and the planet to flourish.”</w:t>
      </w:r>
      <w:r w:rsidDel="00000000" w:rsidR="00000000" w:rsidRPr="00000000">
        <w:rPr>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Conclusion: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When I am exposed to darkness, I feel vulnerable. Initially I cannot see what is in front of me, my other senses become heightened and attuned. I hear the rustle of night time creatures, the howling of coyotes on the hunt. It feels like the wilding of the night is enveloping me in my own fears. I can feel deeply the fear of not knowing what is in front of me, similar to what I imagine those shutting in at night feel creating a sense of safety. However, when I pause, and look up at the sky a feeling of support, nurturing nudges the fear aside.  The vastness of the sky overhead, the consistency of the stars, the enormity of the moon, and the reliable pattern of the progression of waning and waxing becomes a comfortable rhythm similar to that of the gardener. There is a song written by David Mallet that goes “inch by inch, row by row, gonna make this garden grow”.</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The feeling of what we resists persists and if I look to ward off the darkness, it is really my inner darkness that is showing up. If I embrace the yin and yang, that night leads to day leads to darkness, leads to light, I can find myself settling into acceptance and a deeper respect for the gardener who has the patience with each cycle of the calendar to see the value and the rewards that take time to grow.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ind w:left="0" w:firstLine="0"/>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043">
      <w:pPr>
        <w:ind w:left="0" w:firstLine="0"/>
        <w:rPr>
          <w:sz w:val="24"/>
          <w:szCs w:val="24"/>
        </w:rPr>
      </w:pPr>
      <w:r w:rsidDel="00000000" w:rsidR="00000000" w:rsidRPr="00000000">
        <w:rPr>
          <w:rtl w:val="0"/>
        </w:rPr>
      </w:r>
    </w:p>
    <w:p w:rsidR="00000000" w:rsidDel="00000000" w:rsidP="00000000" w:rsidRDefault="00000000" w:rsidRPr="00000000" w14:paraId="00000044">
      <w:pPr>
        <w:spacing w:line="240" w:lineRule="auto"/>
        <w:rPr/>
      </w:pPr>
      <w:r w:rsidDel="00000000" w:rsidR="00000000" w:rsidRPr="00000000">
        <w:rPr>
          <w:rtl w:val="0"/>
        </w:rPr>
        <w:t xml:space="preserve">Endymion, John Lyly c.1588</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Farmer’s Almanac -  https://www.farmersalmanac.com</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Gissen, David - Subnature : architecture's other environments —1st ed. p. cm. Includes bibliographical references and index.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pacing w:line="240" w:lineRule="auto"/>
        <w:rPr/>
      </w:pPr>
      <w:r w:rsidDel="00000000" w:rsidR="00000000" w:rsidRPr="00000000">
        <w:rPr>
          <w:rtl w:val="0"/>
        </w:rPr>
        <w:t xml:space="preserve">Olga Mayoral, Jordi Solbes, José Cantó and Tatiana Pina - What Has Been Thought and Taught on the Lunar Influence on Plants in Agriculture? Perspective from Physics and Biology. Department of Science Education, Universitat de València (UV)</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spacing w:line="240" w:lineRule="auto"/>
        <w:rPr>
          <w:color w:val="1a1a1a"/>
          <w:highlight w:val="white"/>
        </w:rPr>
      </w:pPr>
      <w:r w:rsidDel="00000000" w:rsidR="00000000" w:rsidRPr="00000000">
        <w:rPr>
          <w:rtl w:val="0"/>
        </w:rPr>
        <w:t xml:space="preserve">Dunn, Nick - Dark Design: Reimagining Nocturnal Ambiances. Proceedings of the 4th International Congress on Ambiances, Alliesthesia: Senses, Inventions, Worlds, Reseau International Ambiances, Dec 2020,</w:t>
      </w:r>
      <w:r w:rsidDel="00000000" w:rsidR="00000000" w:rsidRPr="00000000">
        <w:rPr>
          <w:color w:val="1a1a1a"/>
          <w:rtl w:val="0"/>
        </w:rPr>
        <w:t xml:space="preserve"> </w:t>
      </w:r>
      <w:r w:rsidDel="00000000" w:rsidR="00000000" w:rsidRPr="00000000">
        <w:rPr>
          <w:color w:val="1a1a1a"/>
          <w:highlight w:val="white"/>
          <w:rtl w:val="0"/>
        </w:rPr>
        <w:t xml:space="preserve"> e-conference, France. pp. 114-119</w:t>
      </w:r>
    </w:p>
    <w:p w:rsidR="00000000" w:rsidDel="00000000" w:rsidP="00000000" w:rsidRDefault="00000000" w:rsidRPr="00000000" w14:paraId="0000004D">
      <w:pPr>
        <w:spacing w:line="240" w:lineRule="auto"/>
        <w:rPr>
          <w:color w:val="1a1a1a"/>
          <w:highlight w:val="white"/>
        </w:rPr>
      </w:pPr>
      <w:r w:rsidDel="00000000" w:rsidR="00000000" w:rsidRPr="00000000">
        <w:rPr>
          <w:rtl w:val="0"/>
        </w:rPr>
      </w:r>
    </w:p>
    <w:p w:rsidR="00000000" w:rsidDel="00000000" w:rsidP="00000000" w:rsidRDefault="00000000" w:rsidRPr="00000000" w14:paraId="0000004E">
      <w:pPr>
        <w:spacing w:line="240" w:lineRule="auto"/>
        <w:rPr>
          <w:color w:val="1a1a1a"/>
          <w:highlight w:val="white"/>
        </w:rPr>
      </w:pPr>
      <w:r w:rsidDel="00000000" w:rsidR="00000000" w:rsidRPr="00000000">
        <w:rPr>
          <w:color w:val="1a1a1a"/>
          <w:highlight w:val="white"/>
          <w:rtl w:val="0"/>
        </w:rPr>
        <w:t xml:space="preserve">Haraway, Donna J - </w:t>
      </w:r>
      <w:r w:rsidDel="00000000" w:rsidR="00000000" w:rsidRPr="00000000">
        <w:rPr>
          <w:color w:val="1a1a1a"/>
          <w:rtl w:val="0"/>
        </w:rPr>
        <w:t xml:space="preserve">Staying with the Trouble</w:t>
      </w:r>
      <w:r w:rsidDel="00000000" w:rsidR="00000000" w:rsidRPr="00000000">
        <w:rPr>
          <w:color w:val="1a1a1a"/>
          <w:highlight w:val="white"/>
          <w:rtl w:val="0"/>
        </w:rPr>
        <w:t xml:space="preserve">: </w:t>
      </w:r>
      <w:r w:rsidDel="00000000" w:rsidR="00000000" w:rsidRPr="00000000">
        <w:rPr>
          <w:color w:val="1a1a1a"/>
          <w:rtl w:val="0"/>
        </w:rPr>
        <w:t xml:space="preserve">Making Kin in the Chthulucene</w:t>
      </w:r>
      <w:r w:rsidDel="00000000" w:rsidR="00000000" w:rsidRPr="00000000">
        <w:rPr>
          <w:color w:val="1a1a1a"/>
          <w:highlight w:val="white"/>
          <w:rtl w:val="0"/>
        </w:rPr>
        <w:t xml:space="preserve">. Durham, NC: Duke University Press, 2016</w:t>
      </w:r>
    </w:p>
    <w:p w:rsidR="00000000" w:rsidDel="00000000" w:rsidP="00000000" w:rsidRDefault="00000000" w:rsidRPr="00000000" w14:paraId="0000004F">
      <w:pPr>
        <w:spacing w:line="240" w:lineRule="auto"/>
        <w:rPr>
          <w:color w:val="1a1a1a"/>
          <w:highlight w:val="white"/>
        </w:rPr>
      </w:pPr>
      <w:r w:rsidDel="00000000" w:rsidR="00000000" w:rsidRPr="00000000">
        <w:rPr>
          <w:rtl w:val="0"/>
        </w:rPr>
      </w:r>
    </w:p>
    <w:p w:rsidR="00000000" w:rsidDel="00000000" w:rsidP="00000000" w:rsidRDefault="00000000" w:rsidRPr="00000000" w14:paraId="00000050">
      <w:pPr>
        <w:spacing w:line="240" w:lineRule="auto"/>
        <w:rPr/>
      </w:pPr>
      <w:r w:rsidDel="00000000" w:rsidR="00000000" w:rsidRPr="00000000">
        <w:rPr>
          <w:rtl w:val="0"/>
        </w:rPr>
        <w:t xml:space="preserve">Edensor, Tim - The Gloomy City: Rethinking the relationship between light and dark. Urban Studies 52(3) pg 422–438, February 2015. </w:t>
      </w:r>
    </w:p>
    <w:p w:rsidR="00000000" w:rsidDel="00000000" w:rsidP="00000000" w:rsidRDefault="00000000" w:rsidRPr="00000000" w14:paraId="00000051">
      <w:pPr>
        <w:spacing w:line="240" w:lineRule="auto"/>
        <w:rPr>
          <w:color w:val="1a1a1a"/>
          <w:highlight w:val="white"/>
        </w:rPr>
      </w:pPr>
      <w:r w:rsidDel="00000000" w:rsidR="00000000" w:rsidRPr="00000000">
        <w:rPr>
          <w:rtl w:val="0"/>
        </w:rPr>
      </w:r>
    </w:p>
    <w:p w:rsidR="00000000" w:rsidDel="00000000" w:rsidP="00000000" w:rsidRDefault="00000000" w:rsidRPr="00000000" w14:paraId="00000052">
      <w:pPr>
        <w:spacing w:line="240" w:lineRule="auto"/>
        <w:rPr>
          <w:color w:val="1a1a1a"/>
          <w:highlight w:val="white"/>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numPr>
          <w:ilvl w:val="0"/>
          <w:numId w:val="1"/>
        </w:numPr>
        <w:ind w:left="720" w:hanging="360"/>
        <w:rPr>
          <w:sz w:val="24"/>
          <w:szCs w:val="24"/>
        </w:rPr>
      </w:pPr>
      <w:r w:rsidDel="00000000" w:rsidR="00000000" w:rsidRPr="00000000">
        <w:rPr>
          <w:rtl w:val="0"/>
        </w:rPr>
      </w:r>
    </w:p>
    <w:p w:rsidR="00000000" w:rsidDel="00000000" w:rsidP="00000000" w:rsidRDefault="00000000" w:rsidRPr="00000000" w14:paraId="00000055">
      <w:pPr>
        <w:numPr>
          <w:ilvl w:val="0"/>
          <w:numId w:val="1"/>
        </w:numPr>
        <w:ind w:left="720" w:hanging="360"/>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Endymion, John Lyly c.1588</w:t>
      </w:r>
    </w:p>
  </w:footnote>
  <w:footnote w:id="1">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How To Make Love to the Moon: Intimacy and Erotic Distance in John Lyly’s Endymion</w:t>
      </w:r>
    </w:p>
    <w:p w:rsidR="00000000" w:rsidDel="00000000" w:rsidP="00000000" w:rsidRDefault="00000000" w:rsidRPr="00000000" w14:paraId="0000005A">
      <w:pPr>
        <w:rPr>
          <w:sz w:val="20"/>
          <w:szCs w:val="20"/>
        </w:rPr>
      </w:pPr>
      <w:r w:rsidDel="00000000" w:rsidR="00000000" w:rsidRPr="00000000">
        <w:rPr>
          <w:sz w:val="20"/>
          <w:szCs w:val="20"/>
          <w:rtl w:val="0"/>
        </w:rPr>
        <w:t xml:space="preserve">By: Gillian Knoll. Shakespeare Quarterly, Volume 65, Number 2, Summer 2014, pp. 164-179</w:t>
      </w:r>
    </w:p>
    <w:p w:rsidR="00000000" w:rsidDel="00000000" w:rsidP="00000000" w:rsidRDefault="00000000" w:rsidRPr="00000000" w14:paraId="0000005B">
      <w:pPr>
        <w:rPr>
          <w:sz w:val="20"/>
          <w:szCs w:val="20"/>
        </w:rPr>
      </w:pPr>
      <w:r w:rsidDel="00000000" w:rsidR="00000000" w:rsidRPr="00000000">
        <w:rPr>
          <w:sz w:val="20"/>
          <w:szCs w:val="20"/>
          <w:rtl w:val="0"/>
        </w:rPr>
        <w:t xml:space="preserve">(Article). Published by Oxford University Press. Pg 166</w:t>
      </w:r>
    </w:p>
    <w:p w:rsidR="00000000" w:rsidDel="00000000" w:rsidP="00000000" w:rsidRDefault="00000000" w:rsidRPr="00000000" w14:paraId="0000005C">
      <w:pPr>
        <w:rPr>
          <w:sz w:val="20"/>
          <w:szCs w:val="20"/>
        </w:rPr>
      </w:pPr>
      <w:r w:rsidDel="00000000" w:rsidR="00000000" w:rsidRPr="00000000">
        <w:rPr>
          <w:rtl w:val="0"/>
        </w:rPr>
      </w:r>
    </w:p>
  </w:footnote>
  <w:footnote w:id="2">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How To Make Love to the Moon: Intimacy and Erotic Distance in John Lyly’s Endymion</w:t>
      </w:r>
    </w:p>
    <w:p w:rsidR="00000000" w:rsidDel="00000000" w:rsidP="00000000" w:rsidRDefault="00000000" w:rsidRPr="00000000" w14:paraId="0000005E">
      <w:pPr>
        <w:rPr>
          <w:sz w:val="20"/>
          <w:szCs w:val="20"/>
        </w:rPr>
      </w:pPr>
      <w:r w:rsidDel="00000000" w:rsidR="00000000" w:rsidRPr="00000000">
        <w:rPr>
          <w:sz w:val="20"/>
          <w:szCs w:val="20"/>
          <w:rtl w:val="0"/>
        </w:rPr>
        <w:t xml:space="preserve">By: Gillian Knoll. Shakespeare Quarterly, Volume 65, Number 2, Summer 2014, pp. 164-179</w:t>
      </w:r>
    </w:p>
    <w:p w:rsidR="00000000" w:rsidDel="00000000" w:rsidP="00000000" w:rsidRDefault="00000000" w:rsidRPr="00000000" w14:paraId="0000005F">
      <w:pPr>
        <w:rPr>
          <w:sz w:val="20"/>
          <w:szCs w:val="20"/>
        </w:rPr>
      </w:pPr>
      <w:r w:rsidDel="00000000" w:rsidR="00000000" w:rsidRPr="00000000">
        <w:rPr>
          <w:sz w:val="20"/>
          <w:szCs w:val="20"/>
          <w:rtl w:val="0"/>
        </w:rPr>
        <w:t xml:space="preserve">(Article). Published by Oxford University Press. Pg 167</w:t>
      </w:r>
    </w:p>
    <w:p w:rsidR="00000000" w:rsidDel="00000000" w:rsidP="00000000" w:rsidRDefault="00000000" w:rsidRPr="00000000" w14:paraId="00000060">
      <w:pPr>
        <w:rPr>
          <w:sz w:val="20"/>
          <w:szCs w:val="20"/>
        </w:rPr>
      </w:pPr>
      <w:r w:rsidDel="00000000" w:rsidR="00000000" w:rsidRPr="00000000">
        <w:rPr>
          <w:rtl w:val="0"/>
        </w:rPr>
      </w:r>
    </w:p>
  </w:footnote>
  <w:footnote w:id="3">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How To Make Love to the Moon: Intimacy and Erotic Distance in John Lyly’s Endymion</w:t>
      </w:r>
    </w:p>
    <w:p w:rsidR="00000000" w:rsidDel="00000000" w:rsidP="00000000" w:rsidRDefault="00000000" w:rsidRPr="00000000" w14:paraId="00000062">
      <w:pPr>
        <w:rPr>
          <w:sz w:val="20"/>
          <w:szCs w:val="20"/>
        </w:rPr>
      </w:pPr>
      <w:r w:rsidDel="00000000" w:rsidR="00000000" w:rsidRPr="00000000">
        <w:rPr>
          <w:sz w:val="20"/>
          <w:szCs w:val="20"/>
          <w:rtl w:val="0"/>
        </w:rPr>
        <w:t xml:space="preserve">By: Gillian Knoll. Shakespeare Quarterly, Volume 65, Number 2, Summer 2014, pp. 164-179</w:t>
      </w:r>
    </w:p>
    <w:p w:rsidR="00000000" w:rsidDel="00000000" w:rsidP="00000000" w:rsidRDefault="00000000" w:rsidRPr="00000000" w14:paraId="00000063">
      <w:pPr>
        <w:rPr>
          <w:sz w:val="20"/>
          <w:szCs w:val="20"/>
        </w:rPr>
      </w:pPr>
      <w:r w:rsidDel="00000000" w:rsidR="00000000" w:rsidRPr="00000000">
        <w:rPr>
          <w:sz w:val="20"/>
          <w:szCs w:val="20"/>
          <w:rtl w:val="0"/>
        </w:rPr>
        <w:t xml:space="preserve">(Article). Published by Oxford University Press. Pg 167</w:t>
      </w:r>
    </w:p>
    <w:p w:rsidR="00000000" w:rsidDel="00000000" w:rsidP="00000000" w:rsidRDefault="00000000" w:rsidRPr="00000000" w14:paraId="00000064">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 </w:t>
      </w:r>
      <w:hyperlink r:id="rId1">
        <w:r w:rsidDel="00000000" w:rsidR="00000000" w:rsidRPr="00000000">
          <w:rPr>
            <w:color w:val="1155cc"/>
            <w:sz w:val="20"/>
            <w:szCs w:val="20"/>
            <w:u w:val="single"/>
            <w:rtl w:val="0"/>
          </w:rPr>
          <w:t xml:space="preserve">https://www.rep.routledge.com/articles/biographical/bachelard-gaston-1884-1962/v-1</w:t>
        </w:r>
      </w:hyperlink>
      <w:r w:rsidDel="00000000" w:rsidR="00000000" w:rsidRPr="00000000">
        <w:rPr>
          <w:rtl w:val="0"/>
        </w:rPr>
      </w:r>
    </w:p>
    <w:p w:rsidR="00000000" w:rsidDel="00000000" w:rsidP="00000000" w:rsidRDefault="00000000" w:rsidRPr="00000000" w14:paraId="00000066">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What Has Been Thought and Taught on the Lunar Influence on Plants in Agriculture? Perspective from</w:t>
      </w:r>
    </w:p>
    <w:p w:rsidR="00000000" w:rsidDel="00000000" w:rsidP="00000000" w:rsidRDefault="00000000" w:rsidRPr="00000000" w14:paraId="00000068">
      <w:pPr>
        <w:rPr>
          <w:sz w:val="20"/>
          <w:szCs w:val="20"/>
        </w:rPr>
      </w:pPr>
      <w:r w:rsidDel="00000000" w:rsidR="00000000" w:rsidRPr="00000000">
        <w:rPr>
          <w:sz w:val="20"/>
          <w:szCs w:val="20"/>
          <w:rtl w:val="0"/>
        </w:rPr>
        <w:t xml:space="preserve">Physics and Biology. Olga Mayoral, Jordi Solbes, José Cantó and Tatiana Pina. Department of Science Education, Universitat de València (UV)</w:t>
      </w:r>
    </w:p>
    <w:p w:rsidR="00000000" w:rsidDel="00000000" w:rsidP="00000000" w:rsidRDefault="00000000" w:rsidRPr="00000000" w14:paraId="00000069">
      <w:pPr>
        <w:rPr>
          <w:sz w:val="20"/>
          <w:szCs w:val="20"/>
        </w:rPr>
      </w:pPr>
      <w:r w:rsidDel="00000000" w:rsidR="00000000" w:rsidRPr="00000000">
        <w:rPr>
          <w:rtl w:val="0"/>
        </w:rPr>
      </w:r>
    </w:p>
  </w:footnote>
  <w:footnote w:id="6">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Farmer’s Almanac - </w:t>
      </w:r>
      <w:hyperlink r:id="rId2">
        <w:r w:rsidDel="00000000" w:rsidR="00000000" w:rsidRPr="00000000">
          <w:rPr>
            <w:color w:val="1155cc"/>
            <w:sz w:val="20"/>
            <w:szCs w:val="20"/>
            <w:u w:val="single"/>
            <w:rtl w:val="0"/>
          </w:rPr>
          <w:t xml:space="preserve">https://www.farmersalmanac.com/why-garden-by-the-moon-20824</w:t>
        </w:r>
      </w:hyperlink>
      <w:r w:rsidDel="00000000" w:rsidR="00000000" w:rsidRPr="00000000">
        <w:rPr>
          <w:rtl w:val="0"/>
        </w:rPr>
      </w:r>
    </w:p>
    <w:p w:rsidR="00000000" w:rsidDel="00000000" w:rsidP="00000000" w:rsidRDefault="00000000" w:rsidRPr="00000000" w14:paraId="0000006B">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Farmer’s Almanac - </w:t>
      </w:r>
      <w:hyperlink r:id="rId3">
        <w:r w:rsidDel="00000000" w:rsidR="00000000" w:rsidRPr="00000000">
          <w:rPr>
            <w:color w:val="1155cc"/>
            <w:sz w:val="20"/>
            <w:szCs w:val="20"/>
            <w:u w:val="single"/>
            <w:rtl w:val="0"/>
          </w:rPr>
          <w:t xml:space="preserve">https://www.farmersalmanac.com/why-garden-by-the-moon-20824</w:t>
        </w:r>
      </w:hyperlink>
      <w:r w:rsidDel="00000000" w:rsidR="00000000" w:rsidRPr="00000000">
        <w:rPr>
          <w:rtl w:val="0"/>
        </w:rPr>
      </w:r>
    </w:p>
    <w:p w:rsidR="00000000" w:rsidDel="00000000" w:rsidP="00000000" w:rsidRDefault="00000000" w:rsidRPr="00000000" w14:paraId="0000006D">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Gloomy city: Rethinking the relationship between light and dark by Tim Edensor Urban Studies 52(3) pg 422–438, February 2015. Pg. 424</w:t>
      </w:r>
    </w:p>
    <w:p w:rsidR="00000000" w:rsidDel="00000000" w:rsidP="00000000" w:rsidRDefault="00000000" w:rsidRPr="00000000" w14:paraId="0000006F">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Gloomy city: Rethinking the relationship between light and dark by Tim Edensor Urban Studies 52(3) pg 422–438, February 2015. Pg. 424</w:t>
      </w:r>
    </w:p>
    <w:p w:rsidR="00000000" w:rsidDel="00000000" w:rsidP="00000000" w:rsidRDefault="00000000" w:rsidRPr="00000000" w14:paraId="00000071">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072">
      <w:pPr>
        <w:spacing w:line="240" w:lineRule="auto"/>
        <w:rPr>
          <w:color w:val="1a1a1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Dark Design: Reimagining Nocturnal Ambiances by Nick Dunn Proceedings of the 4th International Congress on Ambiances, Alloaethesia: Senses, Inventions, Worlds, Reseau International Ambiances, Dec 2020,</w:t>
      </w:r>
      <w:r w:rsidDel="00000000" w:rsidR="00000000" w:rsidRPr="00000000">
        <w:rPr>
          <w:color w:val="1a1a1a"/>
          <w:sz w:val="20"/>
          <w:szCs w:val="20"/>
          <w:rtl w:val="0"/>
        </w:rPr>
        <w:t xml:space="preserve"> </w:t>
      </w:r>
      <w:r w:rsidDel="00000000" w:rsidR="00000000" w:rsidRPr="00000000">
        <w:rPr>
          <w:color w:val="1a1a1a"/>
          <w:sz w:val="20"/>
          <w:szCs w:val="20"/>
          <w:highlight w:val="white"/>
          <w:rtl w:val="0"/>
        </w:rPr>
        <w:t xml:space="preserve"> e-conference, France. pp. 114-119</w:t>
      </w:r>
      <w:r w:rsidDel="00000000" w:rsidR="00000000" w:rsidRPr="00000000">
        <w:rPr>
          <w:rtl w:val="0"/>
        </w:rPr>
      </w:r>
    </w:p>
  </w:footnote>
  <w:footnote w:id="11">
    <w:p w:rsidR="00000000" w:rsidDel="00000000" w:rsidP="00000000" w:rsidRDefault="00000000" w:rsidRPr="00000000" w14:paraId="00000073">
      <w:pPr>
        <w:spacing w:line="240" w:lineRule="auto"/>
        <w:rPr>
          <w:color w:val="1a1a1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Gissen, </w:t>
      </w:r>
      <w:hyperlink r:id="rId4">
        <w:r w:rsidDel="00000000" w:rsidR="00000000" w:rsidRPr="00000000">
          <w:rPr>
            <w:color w:val="1a1a1a"/>
            <w:sz w:val="20"/>
            <w:szCs w:val="20"/>
            <w:rtl w:val="0"/>
          </w:rPr>
          <w:t xml:space="preserve">David</w:t>
        </w:r>
      </w:hyperlink>
      <w:r w:rsidDel="00000000" w:rsidR="00000000" w:rsidRPr="00000000">
        <w:rPr>
          <w:color w:val="1a1a1a"/>
          <w:sz w:val="20"/>
          <w:szCs w:val="20"/>
          <w:rtl w:val="0"/>
        </w:rPr>
        <w:t xml:space="preserve"> - </w:t>
      </w:r>
      <w:r w:rsidDel="00000000" w:rsidR="00000000" w:rsidRPr="00000000">
        <w:rPr>
          <w:color w:val="1a1a1a"/>
          <w:sz w:val="20"/>
          <w:szCs w:val="20"/>
          <w:rtl w:val="0"/>
        </w:rPr>
        <w:t xml:space="preserve">Subnature: Architecture's Other Environments, </w:t>
      </w:r>
      <w:r w:rsidDel="00000000" w:rsidR="00000000" w:rsidRPr="00000000">
        <w:rPr>
          <w:color w:val="1a1a1a"/>
          <w:sz w:val="20"/>
          <w:szCs w:val="20"/>
          <w:rtl w:val="0"/>
        </w:rPr>
        <w:t xml:space="preserve">Princeton Architecture Press, 2009 </w:t>
      </w:r>
      <w:r w:rsidDel="00000000" w:rsidR="00000000" w:rsidRPr="00000000">
        <w:fldChar w:fldCharType="begin"/>
        <w:instrText xml:space="preserve"> HYPERLINK "https://newschool.academia.edu/DavidGissen?swp=tc-au-8167925" </w:instrText>
        <w:fldChar w:fldCharType="separate"/>
      </w:r>
      <w:r w:rsidDel="00000000" w:rsidR="00000000" w:rsidRPr="00000000">
        <w:rPr>
          <w:rtl w:val="0"/>
        </w:rPr>
      </w:r>
    </w:p>
    <w:p w:rsidR="00000000" w:rsidDel="00000000" w:rsidP="00000000" w:rsidRDefault="00000000" w:rsidRPr="00000000" w14:paraId="00000074">
      <w:pPr>
        <w:spacing w:line="240" w:lineRule="auto"/>
        <w:rPr>
          <w:color w:val="1a1a1a"/>
          <w:sz w:val="20"/>
          <w:szCs w:val="20"/>
        </w:rPr>
      </w:pPr>
      <w:r w:rsidDel="00000000" w:rsidR="00000000" w:rsidRPr="00000000">
        <w:fldChar w:fldCharType="end"/>
      </w:r>
      <w:r w:rsidDel="00000000" w:rsidR="00000000" w:rsidRPr="00000000">
        <w:rPr>
          <w:rtl w:val="0"/>
        </w:rPr>
      </w:r>
    </w:p>
  </w:footnote>
  <w:footnote w:id="12">
    <w:p w:rsidR="00000000" w:rsidDel="00000000" w:rsidP="00000000" w:rsidRDefault="00000000" w:rsidRPr="00000000" w14:paraId="00000075">
      <w:pPr>
        <w:spacing w:line="240" w:lineRule="auto"/>
        <w:rPr>
          <w:color w:val="1a1a1a"/>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a1a1a"/>
          <w:sz w:val="20"/>
          <w:szCs w:val="20"/>
          <w:highlight w:val="white"/>
          <w:rtl w:val="0"/>
        </w:rPr>
        <w:t xml:space="preserve">Haraway, Donna J - </w:t>
      </w:r>
      <w:r w:rsidDel="00000000" w:rsidR="00000000" w:rsidRPr="00000000">
        <w:rPr>
          <w:color w:val="1a1a1a"/>
          <w:sz w:val="20"/>
          <w:szCs w:val="20"/>
          <w:rtl w:val="0"/>
        </w:rPr>
        <w:t xml:space="preserve">Staying with the Trouble</w:t>
      </w:r>
      <w:r w:rsidDel="00000000" w:rsidR="00000000" w:rsidRPr="00000000">
        <w:rPr>
          <w:color w:val="1a1a1a"/>
          <w:sz w:val="20"/>
          <w:szCs w:val="20"/>
          <w:highlight w:val="white"/>
          <w:rtl w:val="0"/>
        </w:rPr>
        <w:t xml:space="preserve">: </w:t>
      </w:r>
      <w:r w:rsidDel="00000000" w:rsidR="00000000" w:rsidRPr="00000000">
        <w:rPr>
          <w:color w:val="1a1a1a"/>
          <w:sz w:val="20"/>
          <w:szCs w:val="20"/>
          <w:rtl w:val="0"/>
        </w:rPr>
        <w:t xml:space="preserve">Making Kin in the Chthulucene</w:t>
      </w:r>
      <w:r w:rsidDel="00000000" w:rsidR="00000000" w:rsidRPr="00000000">
        <w:rPr>
          <w:color w:val="1a1a1a"/>
          <w:sz w:val="20"/>
          <w:szCs w:val="20"/>
          <w:highlight w:val="white"/>
          <w:rtl w:val="0"/>
        </w:rPr>
        <w:t xml:space="preserve">. Durham, NC: Duke University Press, 2016</w:t>
      </w:r>
    </w:p>
    <w:p w:rsidR="00000000" w:rsidDel="00000000" w:rsidP="00000000" w:rsidRDefault="00000000" w:rsidRPr="00000000" w14:paraId="00000076">
      <w:pPr>
        <w:spacing w:line="240" w:lineRule="auto"/>
        <w:rPr>
          <w:color w:val="1a1a1a"/>
          <w:sz w:val="20"/>
          <w:szCs w:val="20"/>
          <w:highlight w:val="white"/>
        </w:rPr>
      </w:pPr>
      <w:r w:rsidDel="00000000" w:rsidR="00000000" w:rsidRPr="00000000">
        <w:rPr>
          <w:rtl w:val="0"/>
        </w:rPr>
      </w:r>
    </w:p>
  </w:footnote>
  <w:footnote w:id="13">
    <w:p w:rsidR="00000000" w:rsidDel="00000000" w:rsidP="00000000" w:rsidRDefault="00000000" w:rsidRPr="00000000" w14:paraId="00000077">
      <w:pPr>
        <w:spacing w:line="240" w:lineRule="auto"/>
        <w:rPr>
          <w:color w:val="1a1a1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Dark Design: Reimagining Nocturnal Ambiances by Nick Dunn Proceedings of the 4th International Congress on Ambiances, Alloaethesia: Senses, Inventions, Worlds, Reseau International Ambiances, Dec 2020,</w:t>
      </w:r>
      <w:r w:rsidDel="00000000" w:rsidR="00000000" w:rsidRPr="00000000">
        <w:rPr>
          <w:color w:val="1a1a1a"/>
          <w:sz w:val="20"/>
          <w:szCs w:val="20"/>
          <w:rtl w:val="0"/>
        </w:rPr>
        <w:t xml:space="preserve"> </w:t>
      </w:r>
      <w:r w:rsidDel="00000000" w:rsidR="00000000" w:rsidRPr="00000000">
        <w:rPr>
          <w:color w:val="1a1a1a"/>
          <w:sz w:val="20"/>
          <w:szCs w:val="20"/>
          <w:highlight w:val="white"/>
          <w:rtl w:val="0"/>
        </w:rPr>
        <w:t xml:space="preserve"> e-conference, France. pp. 114-119</w:t>
      </w:r>
      <w:r w:rsidDel="00000000" w:rsidR="00000000" w:rsidRPr="00000000">
        <w:rPr>
          <w:rtl w:val="0"/>
        </w:rPr>
      </w:r>
    </w:p>
    <w:p w:rsidR="00000000" w:rsidDel="00000000" w:rsidP="00000000" w:rsidRDefault="00000000" w:rsidRPr="00000000" w14:paraId="00000078">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079">
      <w:pPr>
        <w:spacing w:line="240" w:lineRule="auto"/>
        <w:rPr>
          <w:color w:val="1a1a1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Dark Design: Reimagining Nocturnal Ambiances by Nick Dunn Proceedings of the 4th International Congress on Ambiances, Alloaethesia: Senses, Inventions, Worlds, Reseau International Ambiances, Dec 2020,</w:t>
      </w:r>
      <w:r w:rsidDel="00000000" w:rsidR="00000000" w:rsidRPr="00000000">
        <w:rPr>
          <w:color w:val="1a1a1a"/>
          <w:sz w:val="20"/>
          <w:szCs w:val="20"/>
          <w:rtl w:val="0"/>
        </w:rPr>
        <w:t xml:space="preserve"> </w:t>
      </w:r>
      <w:r w:rsidDel="00000000" w:rsidR="00000000" w:rsidRPr="00000000">
        <w:rPr>
          <w:color w:val="1a1a1a"/>
          <w:sz w:val="20"/>
          <w:szCs w:val="20"/>
          <w:highlight w:val="white"/>
          <w:rtl w:val="0"/>
        </w:rPr>
        <w:t xml:space="preserve"> e-conference, France. pp. 114-119</w:t>
      </w:r>
      <w:r w:rsidDel="00000000" w:rsidR="00000000" w:rsidRPr="00000000">
        <w:rPr>
          <w:rtl w:val="0"/>
        </w:rPr>
      </w:r>
    </w:p>
    <w:p w:rsidR="00000000" w:rsidDel="00000000" w:rsidP="00000000" w:rsidRDefault="00000000" w:rsidRPr="00000000" w14:paraId="0000007A">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https://en.wikipedia.org/wiki/Garden_Song</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 Id="rId2" Type="http://schemas.openxmlformats.org/officeDocument/2006/relationships/hyperlink" Target="about:blank" TargetMode="External"/><Relationship Id="rId3"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