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9ECE9A5" w14:textId="69DCF7AA" w:rsidR="00AC00CB" w:rsidRPr="005B1A3E" w:rsidRDefault="00AC00CB" w:rsidP="005B1A3E">
      <w:pPr>
        <w:rPr>
          <w:rFonts w:ascii="Arial" w:hAnsi="Arial" w:cs="Arial"/>
          <w:sz w:val="22"/>
        </w:rPr>
      </w:pPr>
    </w:p>
    <w:p w14:paraId="6D9A6F1B" w14:textId="77777777" w:rsidR="00600EE3" w:rsidRPr="005B1A3E" w:rsidRDefault="00600EE3" w:rsidP="005B1A3E">
      <w:pPr>
        <w:rPr>
          <w:rFonts w:ascii="Arial" w:hAnsi="Arial" w:cs="Arial"/>
          <w:b/>
          <w:bCs/>
          <w:color w:val="002060"/>
          <w:sz w:val="22"/>
        </w:rPr>
      </w:pPr>
    </w:p>
    <w:p w14:paraId="56E539C1" w14:textId="77777777" w:rsidR="00600EE3" w:rsidRPr="005B1A3E" w:rsidRDefault="00600EE3" w:rsidP="005B1A3E">
      <w:pPr>
        <w:rPr>
          <w:rFonts w:ascii="Arial" w:hAnsi="Arial" w:cs="Arial"/>
          <w:b/>
          <w:bCs/>
          <w:color w:val="002060"/>
          <w:sz w:val="22"/>
        </w:rPr>
      </w:pPr>
    </w:p>
    <w:p w14:paraId="2C50EA48" w14:textId="77777777" w:rsidR="00600EE3" w:rsidRPr="005B1A3E" w:rsidRDefault="00600EE3" w:rsidP="005B1A3E">
      <w:pPr>
        <w:rPr>
          <w:rFonts w:ascii="Arial" w:hAnsi="Arial" w:cs="Arial"/>
          <w:b/>
          <w:bCs/>
          <w:color w:val="002060"/>
          <w:sz w:val="22"/>
        </w:rPr>
      </w:pPr>
    </w:p>
    <w:p w14:paraId="79BA9D76" w14:textId="046DA5E1" w:rsidR="00600EE3" w:rsidRPr="005B1A3E" w:rsidRDefault="00600EE3" w:rsidP="005B1A3E">
      <w:pPr>
        <w:jc w:val="center"/>
        <w:rPr>
          <w:rFonts w:ascii="Arial" w:hAnsi="Arial" w:cs="Arial"/>
          <w:b/>
          <w:bCs/>
          <w:color w:val="002060"/>
          <w:sz w:val="22"/>
        </w:rPr>
      </w:pPr>
      <w:r w:rsidRPr="005B1A3E">
        <w:rPr>
          <w:rFonts w:ascii="Arial" w:hAnsi="Arial" w:cs="Arial"/>
          <w:b/>
          <w:bCs/>
          <w:color w:val="002060"/>
          <w:sz w:val="22"/>
        </w:rPr>
        <w:t>Advisory Report on International Listing AIM</w:t>
      </w:r>
      <w:r w:rsidR="00DE6BA6">
        <w:rPr>
          <w:rFonts w:ascii="Arial" w:hAnsi="Arial" w:cs="Arial"/>
          <w:b/>
          <w:bCs/>
          <w:color w:val="002060"/>
          <w:sz w:val="22"/>
        </w:rPr>
        <w:t>(</w:t>
      </w:r>
      <w:r w:rsidR="00DE6BA6" w:rsidRPr="00DE6BA6">
        <w:rPr>
          <w:rFonts w:ascii="Arial" w:hAnsi="Arial" w:cs="Arial"/>
          <w:b/>
          <w:bCs/>
          <w:color w:val="002060"/>
          <w:sz w:val="22"/>
        </w:rPr>
        <w:t>Alternative investment Market</w:t>
      </w:r>
      <w:r w:rsidR="00DE6BA6">
        <w:rPr>
          <w:rFonts w:ascii="Arial" w:hAnsi="Arial" w:cs="Arial"/>
          <w:b/>
          <w:bCs/>
          <w:color w:val="002060"/>
          <w:sz w:val="22"/>
        </w:rPr>
        <w:t>)</w:t>
      </w:r>
      <w:r w:rsidRPr="005B1A3E">
        <w:rPr>
          <w:rFonts w:ascii="Arial" w:hAnsi="Arial" w:cs="Arial"/>
          <w:b/>
          <w:bCs/>
          <w:color w:val="002060"/>
          <w:sz w:val="22"/>
        </w:rPr>
        <w:t>Preparation, Corporate Governance and Ownership Structure</w:t>
      </w:r>
    </w:p>
    <w:tbl>
      <w:tblPr>
        <w:tblStyle w:val="TableGrid"/>
        <w:tblpPr w:leftFromText="180" w:rightFromText="180" w:vertAnchor="page" w:horzAnchor="margin" w:tblpY="8361"/>
        <w:tblW w:w="0" w:type="auto"/>
        <w:tblLook w:val="04A0" w:firstRow="1" w:lastRow="0" w:firstColumn="1" w:lastColumn="0" w:noHBand="0" w:noVBand="1"/>
      </w:tblPr>
      <w:tblGrid>
        <w:gridCol w:w="9180"/>
      </w:tblGrid>
      <w:tr w:rsidR="00600EE3" w:rsidRPr="005B1A3E" w14:paraId="2A51E525" w14:textId="77777777" w:rsidTr="00600EE3">
        <w:tc>
          <w:tcPr>
            <w:tcW w:w="9180" w:type="dxa"/>
          </w:tcPr>
          <w:p w14:paraId="4DD2C810" w14:textId="77777777" w:rsidR="00600EE3" w:rsidRPr="005B1A3E" w:rsidRDefault="00600EE3" w:rsidP="005B1A3E">
            <w:pPr>
              <w:pStyle w:val="NoSpacing"/>
              <w:spacing w:line="360" w:lineRule="auto"/>
              <w:rPr>
                <w:rFonts w:ascii="Arial" w:hAnsi="Arial" w:cs="Arial"/>
                <w:b/>
                <w:bCs/>
                <w:sz w:val="22"/>
                <w:lang w:val="en-GB"/>
              </w:rPr>
            </w:pPr>
            <w:bookmarkStart w:id="0" w:name="_Hlk147049247"/>
            <w:r w:rsidRPr="005B1A3E">
              <w:rPr>
                <w:rFonts w:ascii="Arial" w:hAnsi="Arial" w:cs="Arial"/>
                <w:b/>
                <w:bCs/>
                <w:sz w:val="22"/>
                <w:lang w:val="en-GB"/>
              </w:rPr>
              <w:t xml:space="preserve">Programme Name: </w:t>
            </w:r>
            <w:r w:rsidRPr="005B1A3E">
              <w:rPr>
                <w:rFonts w:ascii="Arial" w:hAnsi="Arial" w:cs="Arial"/>
                <w:b/>
                <w:bCs/>
                <w:sz w:val="22"/>
              </w:rPr>
              <w:t>BA (Hons) Business Management</w:t>
            </w:r>
          </w:p>
        </w:tc>
      </w:tr>
      <w:tr w:rsidR="00600EE3" w:rsidRPr="005B1A3E" w14:paraId="03C68621" w14:textId="77777777" w:rsidTr="00600EE3">
        <w:tc>
          <w:tcPr>
            <w:tcW w:w="9180" w:type="dxa"/>
          </w:tcPr>
          <w:p w14:paraId="328A6EB9" w14:textId="229101E5" w:rsidR="00600EE3" w:rsidRPr="005B1A3E" w:rsidRDefault="00600EE3" w:rsidP="005B1A3E">
            <w:pPr>
              <w:pStyle w:val="NoSpacing"/>
              <w:spacing w:line="360" w:lineRule="auto"/>
              <w:rPr>
                <w:rFonts w:ascii="Arial" w:hAnsi="Arial" w:cs="Arial"/>
                <w:b/>
                <w:sz w:val="22"/>
              </w:rPr>
            </w:pPr>
            <w:r w:rsidRPr="005B1A3E">
              <w:rPr>
                <w:rFonts w:ascii="Arial" w:hAnsi="Arial" w:cs="Arial"/>
                <w:b/>
                <w:bCs/>
                <w:sz w:val="22"/>
                <w:lang w:val="en-GB"/>
              </w:rPr>
              <w:t xml:space="preserve">Module Name: </w:t>
            </w:r>
            <w:r w:rsidR="00BD6FF9">
              <w:rPr>
                <w:rFonts w:ascii="Arial" w:hAnsi="Arial" w:cs="Arial"/>
                <w:b/>
                <w:sz w:val="22"/>
              </w:rPr>
              <w:t xml:space="preserve">International Financial </w:t>
            </w:r>
            <w:r w:rsidRPr="005B1A3E">
              <w:rPr>
                <w:rFonts w:ascii="Arial" w:hAnsi="Arial" w:cs="Arial"/>
                <w:b/>
                <w:sz w:val="22"/>
              </w:rPr>
              <w:t xml:space="preserve"> Management</w:t>
            </w:r>
          </w:p>
        </w:tc>
      </w:tr>
      <w:tr w:rsidR="005B1A3E" w:rsidRPr="005B1A3E" w14:paraId="0ABAD516" w14:textId="77777777" w:rsidTr="00600EE3">
        <w:tc>
          <w:tcPr>
            <w:tcW w:w="9180" w:type="dxa"/>
          </w:tcPr>
          <w:p w14:paraId="08D5BCDB" w14:textId="19EA58D3" w:rsidR="005B1A3E" w:rsidRPr="005B1A3E" w:rsidRDefault="005B1A3E" w:rsidP="005B1A3E">
            <w:pPr>
              <w:pStyle w:val="NoSpacing"/>
              <w:spacing w:line="360" w:lineRule="auto"/>
              <w:rPr>
                <w:rFonts w:ascii="Arial" w:hAnsi="Arial" w:cs="Arial"/>
                <w:b/>
                <w:bCs/>
                <w:sz w:val="22"/>
                <w:lang w:val="en-GB"/>
              </w:rPr>
            </w:pPr>
            <w:r w:rsidRPr="005B1A3E">
              <w:rPr>
                <w:rFonts w:ascii="Arial" w:hAnsi="Arial" w:cs="Arial"/>
                <w:b/>
                <w:bCs/>
                <w:sz w:val="22"/>
                <w:lang w:val="en-GB"/>
              </w:rPr>
              <w:t xml:space="preserve">Module Code: </w:t>
            </w:r>
            <w:r w:rsidR="00BD6FF9">
              <w:rPr>
                <w:rFonts w:ascii="Arial" w:hAnsi="Arial" w:cs="Arial"/>
                <w:b/>
                <w:sz w:val="22"/>
              </w:rPr>
              <w:t>LCBB6002</w:t>
            </w:r>
          </w:p>
        </w:tc>
      </w:tr>
      <w:tr w:rsidR="00600EE3" w:rsidRPr="005B1A3E" w14:paraId="0F1DE190" w14:textId="77777777" w:rsidTr="00600EE3">
        <w:tc>
          <w:tcPr>
            <w:tcW w:w="9180" w:type="dxa"/>
          </w:tcPr>
          <w:p w14:paraId="72144812" w14:textId="32379F45" w:rsidR="00600EE3" w:rsidRPr="005B1A3E" w:rsidRDefault="00600EE3" w:rsidP="005B1A3E">
            <w:pPr>
              <w:pStyle w:val="NoSpacing"/>
              <w:spacing w:line="360" w:lineRule="auto"/>
              <w:rPr>
                <w:rFonts w:ascii="Arial" w:hAnsi="Arial" w:cs="Arial"/>
                <w:b/>
                <w:bCs/>
                <w:sz w:val="22"/>
                <w:lang w:val="en-GB"/>
              </w:rPr>
            </w:pPr>
            <w:r w:rsidRPr="005B1A3E">
              <w:rPr>
                <w:rFonts w:ascii="Arial" w:hAnsi="Arial" w:cs="Arial"/>
                <w:b/>
                <w:bCs/>
                <w:sz w:val="22"/>
                <w:lang w:val="en-GB"/>
              </w:rPr>
              <w:t>Assessment Title: Written Report</w:t>
            </w:r>
            <w:r w:rsidR="002D18A1">
              <w:rPr>
                <w:rFonts w:ascii="Arial" w:hAnsi="Arial" w:cs="Arial"/>
                <w:b/>
                <w:bCs/>
                <w:sz w:val="22"/>
                <w:lang w:val="en-GB"/>
              </w:rPr>
              <w:t>(Component 1)</w:t>
            </w:r>
          </w:p>
        </w:tc>
      </w:tr>
      <w:tr w:rsidR="00600EE3" w:rsidRPr="005B1A3E" w14:paraId="5B92F5D8" w14:textId="77777777" w:rsidTr="00600EE3">
        <w:tc>
          <w:tcPr>
            <w:tcW w:w="9180" w:type="dxa"/>
          </w:tcPr>
          <w:p w14:paraId="08631115" w14:textId="7CD9AF51" w:rsidR="00600EE3" w:rsidRPr="005B1A3E" w:rsidRDefault="00BD6FF9" w:rsidP="005B1A3E">
            <w:pPr>
              <w:pStyle w:val="NoSpacing"/>
              <w:spacing w:line="360" w:lineRule="auto"/>
              <w:rPr>
                <w:rFonts w:ascii="Arial" w:hAnsi="Arial" w:cs="Arial"/>
                <w:b/>
                <w:bCs/>
                <w:sz w:val="22"/>
                <w:lang w:val="en-GB"/>
              </w:rPr>
            </w:pPr>
            <w:r>
              <w:rPr>
                <w:rFonts w:ascii="Arial" w:hAnsi="Arial" w:cs="Arial"/>
                <w:b/>
                <w:bCs/>
                <w:sz w:val="22"/>
                <w:lang w:val="en-GB"/>
              </w:rPr>
              <w:t xml:space="preserve">ID </w:t>
            </w:r>
            <w:r w:rsidR="00600EE3" w:rsidRPr="005B1A3E">
              <w:rPr>
                <w:rFonts w:ascii="Arial" w:hAnsi="Arial" w:cs="Arial"/>
                <w:b/>
                <w:bCs/>
                <w:sz w:val="22"/>
                <w:lang w:val="en-GB"/>
              </w:rPr>
              <w:t>Number:</w:t>
            </w:r>
            <w:r>
              <w:rPr>
                <w:rFonts w:ascii="Arial" w:hAnsi="Arial" w:cs="Arial"/>
                <w:b/>
                <w:bCs/>
                <w:sz w:val="22"/>
                <w:lang w:val="en-GB"/>
              </w:rPr>
              <w:t xml:space="preserve"> 1815081</w:t>
            </w:r>
          </w:p>
        </w:tc>
      </w:tr>
      <w:tr w:rsidR="00600EE3" w:rsidRPr="005B1A3E" w14:paraId="633B84CC" w14:textId="77777777" w:rsidTr="00600EE3">
        <w:trPr>
          <w:trHeight w:val="422"/>
        </w:trPr>
        <w:tc>
          <w:tcPr>
            <w:tcW w:w="9180" w:type="dxa"/>
          </w:tcPr>
          <w:p w14:paraId="2FEE478C" w14:textId="3B9DD419" w:rsidR="00600EE3" w:rsidRPr="005B1A3E" w:rsidRDefault="002D247D" w:rsidP="005B1A3E">
            <w:pPr>
              <w:pStyle w:val="NoSpacing"/>
              <w:spacing w:line="360" w:lineRule="auto"/>
              <w:rPr>
                <w:rFonts w:ascii="Arial" w:hAnsi="Arial" w:cs="Arial"/>
                <w:b/>
                <w:bCs/>
                <w:sz w:val="22"/>
                <w:lang w:val="en-GB"/>
              </w:rPr>
            </w:pPr>
            <w:r>
              <w:rPr>
                <w:rFonts w:ascii="Arial" w:hAnsi="Arial" w:cs="Arial"/>
                <w:b/>
                <w:bCs/>
                <w:sz w:val="22"/>
                <w:lang w:val="en-GB"/>
              </w:rPr>
              <w:t>Lecturer</w:t>
            </w:r>
            <w:r w:rsidR="00600EE3" w:rsidRPr="005B1A3E">
              <w:rPr>
                <w:rFonts w:ascii="Arial" w:hAnsi="Arial" w:cs="Arial"/>
                <w:b/>
                <w:bCs/>
                <w:sz w:val="22"/>
                <w:lang w:val="en-GB"/>
              </w:rPr>
              <w:t xml:space="preserve"> Name:</w:t>
            </w:r>
            <w:r w:rsidR="00BD6FF9">
              <w:rPr>
                <w:rFonts w:ascii="Arial" w:hAnsi="Arial" w:cs="Arial"/>
                <w:b/>
                <w:bCs/>
                <w:sz w:val="22"/>
                <w:lang w:val="en-GB"/>
              </w:rPr>
              <w:t xml:space="preserve"> Mudassar Hasan</w:t>
            </w:r>
          </w:p>
        </w:tc>
      </w:tr>
      <w:tr w:rsidR="00600EE3" w:rsidRPr="005B1A3E" w14:paraId="455A98AB" w14:textId="77777777" w:rsidTr="00600EE3">
        <w:tc>
          <w:tcPr>
            <w:tcW w:w="9180" w:type="dxa"/>
          </w:tcPr>
          <w:p w14:paraId="7D627620" w14:textId="465C7323" w:rsidR="00600EE3" w:rsidRPr="005B1A3E" w:rsidRDefault="00600EE3" w:rsidP="005B1A3E">
            <w:pPr>
              <w:pStyle w:val="NoSpacing"/>
              <w:spacing w:line="360" w:lineRule="auto"/>
              <w:rPr>
                <w:rFonts w:ascii="Arial" w:hAnsi="Arial" w:cs="Arial"/>
                <w:b/>
                <w:bCs/>
                <w:sz w:val="22"/>
                <w:lang w:val="en-GB"/>
              </w:rPr>
            </w:pPr>
            <w:r w:rsidRPr="005B1A3E">
              <w:rPr>
                <w:rFonts w:ascii="Arial" w:hAnsi="Arial" w:cs="Arial"/>
                <w:b/>
                <w:bCs/>
                <w:sz w:val="22"/>
                <w:lang w:val="en-GB"/>
              </w:rPr>
              <w:t>Word Count: 1500</w:t>
            </w:r>
            <w:r w:rsidR="00BD6FF9">
              <w:rPr>
                <w:rFonts w:ascii="Arial" w:hAnsi="Arial" w:cs="Arial"/>
                <w:b/>
                <w:bCs/>
                <w:sz w:val="22"/>
                <w:lang w:val="en-GB"/>
              </w:rPr>
              <w:t>+-</w:t>
            </w:r>
          </w:p>
        </w:tc>
      </w:tr>
      <w:bookmarkEnd w:id="0"/>
    </w:tbl>
    <w:p w14:paraId="15B28B91" w14:textId="387E0A4E" w:rsidR="00B32EC2" w:rsidRPr="005B1A3E" w:rsidRDefault="00B32EC2" w:rsidP="005B1A3E">
      <w:pPr>
        <w:rPr>
          <w:rFonts w:ascii="Arial" w:hAnsi="Arial" w:cs="Arial"/>
          <w:sz w:val="22"/>
        </w:rPr>
      </w:pPr>
      <w:r w:rsidRPr="005B1A3E">
        <w:rPr>
          <w:rFonts w:ascii="Arial" w:hAnsi="Arial" w:cs="Arial"/>
          <w:sz w:val="22"/>
        </w:rPr>
        <w:br w:type="page"/>
      </w:r>
    </w:p>
    <w:sdt>
      <w:sdtPr>
        <w:rPr>
          <w:rFonts w:ascii="Arial" w:eastAsiaTheme="minorHAnsi" w:hAnsi="Arial" w:cs="Arial"/>
          <w:color w:val="auto"/>
          <w:kern w:val="2"/>
          <w:sz w:val="22"/>
          <w:szCs w:val="22"/>
          <w14:ligatures w14:val="standardContextual"/>
        </w:rPr>
        <w:id w:val="943588318"/>
        <w:docPartObj>
          <w:docPartGallery w:val="Table of Contents"/>
          <w:docPartUnique/>
        </w:docPartObj>
      </w:sdtPr>
      <w:sdtEndPr>
        <w:rPr>
          <w:b/>
          <w:bCs/>
          <w:noProof/>
        </w:rPr>
      </w:sdtEndPr>
      <w:sdtContent>
        <w:p w14:paraId="1FA5BAF9" w14:textId="5A51C90E" w:rsidR="00AC00CB" w:rsidRPr="005B1A3E" w:rsidRDefault="00AC00CB" w:rsidP="005B1A3E">
          <w:pPr>
            <w:pStyle w:val="TOCHeading"/>
            <w:spacing w:line="360" w:lineRule="auto"/>
            <w:jc w:val="both"/>
            <w:rPr>
              <w:rFonts w:ascii="Arial" w:hAnsi="Arial" w:cs="Arial"/>
              <w:b/>
              <w:bCs/>
              <w:sz w:val="22"/>
              <w:szCs w:val="22"/>
            </w:rPr>
          </w:pPr>
          <w:r w:rsidRPr="005B1A3E">
            <w:rPr>
              <w:rFonts w:ascii="Arial" w:hAnsi="Arial" w:cs="Arial"/>
              <w:b/>
              <w:bCs/>
              <w:sz w:val="22"/>
              <w:szCs w:val="22"/>
            </w:rPr>
            <w:t>Table of Contents</w:t>
          </w:r>
        </w:p>
        <w:p w14:paraId="12C5CBB9" w14:textId="77777777" w:rsidR="005B1A3E" w:rsidRPr="005B1A3E" w:rsidRDefault="00AC00CB" w:rsidP="005B1A3E">
          <w:pPr>
            <w:pStyle w:val="TOC1"/>
            <w:tabs>
              <w:tab w:val="right" w:leader="dot" w:pos="9350"/>
            </w:tabs>
            <w:rPr>
              <w:rFonts w:ascii="Arial" w:eastAsiaTheme="minorEastAsia" w:hAnsi="Arial" w:cs="Arial"/>
              <w:noProof/>
              <w:kern w:val="0"/>
              <w:sz w:val="22"/>
              <w:lang w:val="en-GB" w:eastAsia="en-GB"/>
              <w14:ligatures w14:val="none"/>
            </w:rPr>
          </w:pPr>
          <w:r w:rsidRPr="005B1A3E">
            <w:rPr>
              <w:rFonts w:ascii="Arial" w:hAnsi="Arial" w:cs="Arial"/>
              <w:sz w:val="22"/>
            </w:rPr>
            <w:fldChar w:fldCharType="begin"/>
          </w:r>
          <w:r w:rsidRPr="005B1A3E">
            <w:rPr>
              <w:rFonts w:ascii="Arial" w:hAnsi="Arial" w:cs="Arial"/>
              <w:sz w:val="22"/>
            </w:rPr>
            <w:instrText xml:space="preserve"> TOC \o "1-3" \h \z \u </w:instrText>
          </w:r>
          <w:r w:rsidRPr="005B1A3E">
            <w:rPr>
              <w:rFonts w:ascii="Arial" w:hAnsi="Arial" w:cs="Arial"/>
              <w:sz w:val="22"/>
            </w:rPr>
            <w:fldChar w:fldCharType="separate"/>
          </w:r>
          <w:hyperlink w:anchor="_Toc201344771" w:history="1">
            <w:r w:rsidR="005B1A3E" w:rsidRPr="005B1A3E">
              <w:rPr>
                <w:rStyle w:val="Hyperlink"/>
                <w:rFonts w:ascii="Arial" w:hAnsi="Arial" w:cs="Arial"/>
                <w:noProof/>
                <w:sz w:val="22"/>
              </w:rPr>
              <w:t>Executive Summary</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_Toc201344771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3</w:t>
            </w:r>
            <w:r w:rsidR="005B1A3E" w:rsidRPr="005B1A3E">
              <w:rPr>
                <w:rFonts w:ascii="Arial" w:hAnsi="Arial" w:cs="Arial"/>
                <w:noProof/>
                <w:webHidden/>
                <w:sz w:val="22"/>
              </w:rPr>
              <w:fldChar w:fldCharType="end"/>
            </w:r>
          </w:hyperlink>
        </w:p>
        <w:p w14:paraId="4925447C" w14:textId="77777777" w:rsidR="005B1A3E" w:rsidRPr="005B1A3E" w:rsidRDefault="007D78BA" w:rsidP="005B1A3E">
          <w:pPr>
            <w:pStyle w:val="TOC1"/>
            <w:tabs>
              <w:tab w:val="right" w:leader="dot" w:pos="9350"/>
            </w:tabs>
            <w:rPr>
              <w:rFonts w:ascii="Arial" w:eastAsiaTheme="minorEastAsia" w:hAnsi="Arial" w:cs="Arial"/>
              <w:noProof/>
              <w:kern w:val="0"/>
              <w:sz w:val="22"/>
              <w:lang w:val="en-GB" w:eastAsia="en-GB"/>
              <w14:ligatures w14:val="none"/>
            </w:rPr>
          </w:pPr>
          <w:hyperlink w:anchor="_Toc201344772" w:history="1">
            <w:r w:rsidR="005B1A3E" w:rsidRPr="005B1A3E">
              <w:rPr>
                <w:rStyle w:val="Hyperlink"/>
                <w:rFonts w:ascii="Arial" w:hAnsi="Arial" w:cs="Arial"/>
                <w:noProof/>
                <w:sz w:val="22"/>
              </w:rPr>
              <w:t>Introduction</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_Toc201344772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4</w:t>
            </w:r>
            <w:r w:rsidR="005B1A3E" w:rsidRPr="005B1A3E">
              <w:rPr>
                <w:rFonts w:ascii="Arial" w:hAnsi="Arial" w:cs="Arial"/>
                <w:noProof/>
                <w:webHidden/>
                <w:sz w:val="22"/>
              </w:rPr>
              <w:fldChar w:fldCharType="end"/>
            </w:r>
          </w:hyperlink>
        </w:p>
        <w:p w14:paraId="35C11F71" w14:textId="77777777" w:rsidR="005B1A3E" w:rsidRPr="005B1A3E" w:rsidRDefault="007D78BA" w:rsidP="005B1A3E">
          <w:pPr>
            <w:pStyle w:val="TOC1"/>
            <w:tabs>
              <w:tab w:val="right" w:leader="dot" w:pos="9350"/>
            </w:tabs>
            <w:rPr>
              <w:rFonts w:ascii="Arial" w:eastAsiaTheme="minorEastAsia" w:hAnsi="Arial" w:cs="Arial"/>
              <w:noProof/>
              <w:kern w:val="0"/>
              <w:sz w:val="22"/>
              <w:lang w:val="en-GB" w:eastAsia="en-GB"/>
              <w14:ligatures w14:val="none"/>
            </w:rPr>
          </w:pPr>
          <w:hyperlink w:anchor="_Toc201344773" w:history="1">
            <w:r w:rsidR="005B1A3E" w:rsidRPr="005B1A3E">
              <w:rPr>
                <w:rStyle w:val="Hyperlink"/>
                <w:rFonts w:ascii="Arial" w:hAnsi="Arial" w:cs="Arial"/>
                <w:noProof/>
                <w:sz w:val="22"/>
              </w:rPr>
              <w:t>Discussion of Findings</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_Toc201344773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4</w:t>
            </w:r>
            <w:r w:rsidR="005B1A3E" w:rsidRPr="005B1A3E">
              <w:rPr>
                <w:rFonts w:ascii="Arial" w:hAnsi="Arial" w:cs="Arial"/>
                <w:noProof/>
                <w:webHidden/>
                <w:sz w:val="22"/>
              </w:rPr>
              <w:fldChar w:fldCharType="end"/>
            </w:r>
          </w:hyperlink>
        </w:p>
        <w:p w14:paraId="4CDFF616" w14:textId="77777777" w:rsidR="005B1A3E" w:rsidRPr="005B1A3E" w:rsidRDefault="007D78BA" w:rsidP="005B1A3E">
          <w:pPr>
            <w:pStyle w:val="TOC3"/>
            <w:tabs>
              <w:tab w:val="right" w:leader="dot" w:pos="9350"/>
            </w:tabs>
            <w:rPr>
              <w:rFonts w:ascii="Arial" w:eastAsiaTheme="minorEastAsia" w:hAnsi="Arial" w:cs="Arial"/>
              <w:noProof/>
              <w:kern w:val="0"/>
              <w:sz w:val="22"/>
              <w:lang w:val="en-GB" w:eastAsia="en-GB"/>
              <w14:ligatures w14:val="none"/>
            </w:rPr>
          </w:pPr>
          <w:hyperlink w:anchor="_Toc201344774" w:history="1">
            <w:r w:rsidR="005B1A3E" w:rsidRPr="005B1A3E">
              <w:rPr>
                <w:rStyle w:val="Hyperlink"/>
                <w:rFonts w:ascii="Arial" w:hAnsi="Arial" w:cs="Arial"/>
                <w:noProof/>
                <w:sz w:val="22"/>
              </w:rPr>
              <w:t>Agency Theory and Corporate</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_Toc201344774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4</w:t>
            </w:r>
            <w:r w:rsidR="005B1A3E" w:rsidRPr="005B1A3E">
              <w:rPr>
                <w:rFonts w:ascii="Arial" w:hAnsi="Arial" w:cs="Arial"/>
                <w:noProof/>
                <w:webHidden/>
                <w:sz w:val="22"/>
              </w:rPr>
              <w:fldChar w:fldCharType="end"/>
            </w:r>
          </w:hyperlink>
        </w:p>
        <w:p w14:paraId="46F08122" w14:textId="77777777" w:rsidR="005B1A3E" w:rsidRPr="005B1A3E" w:rsidRDefault="007D78BA" w:rsidP="005B1A3E">
          <w:pPr>
            <w:pStyle w:val="TOC3"/>
            <w:tabs>
              <w:tab w:val="right" w:leader="dot" w:pos="9350"/>
            </w:tabs>
            <w:rPr>
              <w:rFonts w:ascii="Arial" w:eastAsiaTheme="minorEastAsia" w:hAnsi="Arial" w:cs="Arial"/>
              <w:noProof/>
              <w:kern w:val="0"/>
              <w:sz w:val="22"/>
              <w:lang w:val="en-GB" w:eastAsia="en-GB"/>
              <w14:ligatures w14:val="none"/>
            </w:rPr>
          </w:pPr>
          <w:hyperlink w:anchor="_Toc201344775" w:history="1">
            <w:r w:rsidR="005B1A3E" w:rsidRPr="005B1A3E">
              <w:rPr>
                <w:rStyle w:val="Hyperlink"/>
                <w:rFonts w:ascii="Arial" w:hAnsi="Arial" w:cs="Arial"/>
                <w:noProof/>
                <w:sz w:val="22"/>
              </w:rPr>
              <w:t>30 percent Shareholding and Control</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_Toc201344775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5</w:t>
            </w:r>
            <w:r w:rsidR="005B1A3E" w:rsidRPr="005B1A3E">
              <w:rPr>
                <w:rFonts w:ascii="Arial" w:hAnsi="Arial" w:cs="Arial"/>
                <w:noProof/>
                <w:webHidden/>
                <w:sz w:val="22"/>
              </w:rPr>
              <w:fldChar w:fldCharType="end"/>
            </w:r>
          </w:hyperlink>
        </w:p>
        <w:p w14:paraId="1396D8B6" w14:textId="77777777" w:rsidR="005B1A3E" w:rsidRPr="005B1A3E" w:rsidRDefault="007D78BA" w:rsidP="005B1A3E">
          <w:pPr>
            <w:pStyle w:val="TOC3"/>
            <w:tabs>
              <w:tab w:val="right" w:leader="dot" w:pos="9350"/>
            </w:tabs>
            <w:rPr>
              <w:rFonts w:ascii="Arial" w:eastAsiaTheme="minorEastAsia" w:hAnsi="Arial" w:cs="Arial"/>
              <w:noProof/>
              <w:kern w:val="0"/>
              <w:sz w:val="22"/>
              <w:lang w:val="en-GB" w:eastAsia="en-GB"/>
              <w14:ligatures w14:val="none"/>
            </w:rPr>
          </w:pPr>
          <w:hyperlink w:anchor="_Toc201344776" w:history="1">
            <w:r w:rsidR="005B1A3E" w:rsidRPr="005B1A3E">
              <w:rPr>
                <w:rStyle w:val="Hyperlink"/>
                <w:rFonts w:ascii="Arial" w:hAnsi="Arial" w:cs="Arial"/>
                <w:noProof/>
                <w:sz w:val="22"/>
              </w:rPr>
              <w:t>Scheme of Director Remuneration</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_Toc201344776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6</w:t>
            </w:r>
            <w:r w:rsidR="005B1A3E" w:rsidRPr="005B1A3E">
              <w:rPr>
                <w:rFonts w:ascii="Arial" w:hAnsi="Arial" w:cs="Arial"/>
                <w:noProof/>
                <w:webHidden/>
                <w:sz w:val="22"/>
              </w:rPr>
              <w:fldChar w:fldCharType="end"/>
            </w:r>
          </w:hyperlink>
        </w:p>
        <w:p w14:paraId="1D046C0D" w14:textId="77777777" w:rsidR="005B1A3E" w:rsidRPr="005B1A3E" w:rsidRDefault="007D78BA" w:rsidP="005B1A3E">
          <w:pPr>
            <w:pStyle w:val="TOC2"/>
            <w:tabs>
              <w:tab w:val="right" w:leader="dot" w:pos="9350"/>
            </w:tabs>
            <w:rPr>
              <w:rFonts w:ascii="Arial" w:eastAsiaTheme="minorEastAsia" w:hAnsi="Arial" w:cs="Arial"/>
              <w:noProof/>
              <w:kern w:val="0"/>
              <w:sz w:val="22"/>
              <w:lang w:val="en-GB" w:eastAsia="en-GB"/>
              <w14:ligatures w14:val="none"/>
            </w:rPr>
          </w:pPr>
          <w:hyperlink w:anchor="_Toc201344777" w:history="1">
            <w:r w:rsidR="005B1A3E" w:rsidRPr="005B1A3E">
              <w:rPr>
                <w:rStyle w:val="Hyperlink"/>
                <w:rFonts w:ascii="Arial" w:hAnsi="Arial" w:cs="Arial"/>
                <w:noProof/>
                <w:sz w:val="22"/>
              </w:rPr>
              <w:t>Institutional Differences: Netherlands, Shanghai and UK</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_Toc201344777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7</w:t>
            </w:r>
            <w:r w:rsidR="005B1A3E" w:rsidRPr="005B1A3E">
              <w:rPr>
                <w:rFonts w:ascii="Arial" w:hAnsi="Arial" w:cs="Arial"/>
                <w:noProof/>
                <w:webHidden/>
                <w:sz w:val="22"/>
              </w:rPr>
              <w:fldChar w:fldCharType="end"/>
            </w:r>
          </w:hyperlink>
        </w:p>
        <w:p w14:paraId="4DB1EF76" w14:textId="77777777" w:rsidR="005B1A3E" w:rsidRPr="005B1A3E" w:rsidRDefault="007D78BA" w:rsidP="005B1A3E">
          <w:pPr>
            <w:pStyle w:val="TOC1"/>
            <w:tabs>
              <w:tab w:val="right" w:leader="dot" w:pos="9350"/>
            </w:tabs>
            <w:rPr>
              <w:rFonts w:ascii="Arial" w:eastAsiaTheme="minorEastAsia" w:hAnsi="Arial" w:cs="Arial"/>
              <w:noProof/>
              <w:kern w:val="0"/>
              <w:sz w:val="22"/>
              <w:lang w:val="en-GB" w:eastAsia="en-GB"/>
              <w14:ligatures w14:val="none"/>
            </w:rPr>
          </w:pPr>
          <w:hyperlink w:anchor="_Toc201344778" w:history="1">
            <w:r w:rsidR="005B1A3E" w:rsidRPr="005B1A3E">
              <w:rPr>
                <w:rStyle w:val="Hyperlink"/>
                <w:rFonts w:ascii="Arial" w:hAnsi="Arial" w:cs="Arial"/>
                <w:noProof/>
                <w:sz w:val="22"/>
              </w:rPr>
              <w:t>Recommendations</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_Toc201344778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8</w:t>
            </w:r>
            <w:r w:rsidR="005B1A3E" w:rsidRPr="005B1A3E">
              <w:rPr>
                <w:rFonts w:ascii="Arial" w:hAnsi="Arial" w:cs="Arial"/>
                <w:noProof/>
                <w:webHidden/>
                <w:sz w:val="22"/>
              </w:rPr>
              <w:fldChar w:fldCharType="end"/>
            </w:r>
          </w:hyperlink>
        </w:p>
        <w:p w14:paraId="3E3C594F" w14:textId="77777777" w:rsidR="005B1A3E" w:rsidRPr="005B1A3E" w:rsidRDefault="007D78BA" w:rsidP="005B1A3E">
          <w:pPr>
            <w:pStyle w:val="TOC1"/>
            <w:tabs>
              <w:tab w:val="right" w:leader="dot" w:pos="9350"/>
            </w:tabs>
            <w:rPr>
              <w:rFonts w:ascii="Arial" w:eastAsiaTheme="minorEastAsia" w:hAnsi="Arial" w:cs="Arial"/>
              <w:noProof/>
              <w:kern w:val="0"/>
              <w:sz w:val="22"/>
              <w:lang w:val="en-GB" w:eastAsia="en-GB"/>
              <w14:ligatures w14:val="none"/>
            </w:rPr>
          </w:pPr>
          <w:hyperlink w:anchor="_Toc201344779" w:history="1">
            <w:r w:rsidR="005B1A3E" w:rsidRPr="005B1A3E">
              <w:rPr>
                <w:rStyle w:val="Hyperlink"/>
                <w:rFonts w:ascii="Arial" w:hAnsi="Arial" w:cs="Arial"/>
                <w:noProof/>
                <w:sz w:val="22"/>
              </w:rPr>
              <w:t>Conclusion</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_Toc201344779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9</w:t>
            </w:r>
            <w:r w:rsidR="005B1A3E" w:rsidRPr="005B1A3E">
              <w:rPr>
                <w:rFonts w:ascii="Arial" w:hAnsi="Arial" w:cs="Arial"/>
                <w:noProof/>
                <w:webHidden/>
                <w:sz w:val="22"/>
              </w:rPr>
              <w:fldChar w:fldCharType="end"/>
            </w:r>
          </w:hyperlink>
        </w:p>
        <w:p w14:paraId="2C3B0491" w14:textId="77777777" w:rsidR="005B1A3E" w:rsidRPr="005B1A3E" w:rsidRDefault="007D78BA" w:rsidP="005B1A3E">
          <w:pPr>
            <w:pStyle w:val="TOC1"/>
            <w:tabs>
              <w:tab w:val="right" w:leader="dot" w:pos="9350"/>
            </w:tabs>
            <w:rPr>
              <w:rFonts w:ascii="Arial" w:eastAsiaTheme="minorEastAsia" w:hAnsi="Arial" w:cs="Arial"/>
              <w:noProof/>
              <w:kern w:val="0"/>
              <w:sz w:val="22"/>
              <w:lang w:val="en-GB" w:eastAsia="en-GB"/>
              <w14:ligatures w14:val="none"/>
            </w:rPr>
          </w:pPr>
          <w:hyperlink w:anchor="_Toc201344780" w:history="1">
            <w:r w:rsidR="005B1A3E" w:rsidRPr="005B1A3E">
              <w:rPr>
                <w:rStyle w:val="Hyperlink"/>
                <w:rFonts w:ascii="Arial" w:hAnsi="Arial" w:cs="Arial"/>
                <w:noProof/>
                <w:sz w:val="22"/>
              </w:rPr>
              <w:t>References</w:t>
            </w:r>
            <w:r w:rsidR="005B1A3E" w:rsidRPr="005B1A3E">
              <w:rPr>
                <w:rFonts w:ascii="Arial" w:hAnsi="Arial" w:cs="Arial"/>
                <w:noProof/>
                <w:webHidden/>
                <w:sz w:val="22"/>
              </w:rPr>
              <w:tab/>
            </w:r>
            <w:r w:rsidR="005B1A3E" w:rsidRPr="005B1A3E">
              <w:rPr>
                <w:rFonts w:ascii="Arial" w:hAnsi="Arial" w:cs="Arial"/>
                <w:noProof/>
                <w:webHidden/>
                <w:sz w:val="22"/>
              </w:rPr>
              <w:fldChar w:fldCharType="begin"/>
            </w:r>
            <w:r w:rsidR="005B1A3E" w:rsidRPr="005B1A3E">
              <w:rPr>
                <w:rFonts w:ascii="Arial" w:hAnsi="Arial" w:cs="Arial"/>
                <w:noProof/>
                <w:webHidden/>
                <w:sz w:val="22"/>
              </w:rPr>
              <w:instrText xml:space="preserve"> PAGEREF _Toc201344780 \h </w:instrText>
            </w:r>
            <w:r w:rsidR="005B1A3E" w:rsidRPr="005B1A3E">
              <w:rPr>
                <w:rFonts w:ascii="Arial" w:hAnsi="Arial" w:cs="Arial"/>
                <w:noProof/>
                <w:webHidden/>
                <w:sz w:val="22"/>
              </w:rPr>
            </w:r>
            <w:r w:rsidR="005B1A3E" w:rsidRPr="005B1A3E">
              <w:rPr>
                <w:rFonts w:ascii="Arial" w:hAnsi="Arial" w:cs="Arial"/>
                <w:noProof/>
                <w:webHidden/>
                <w:sz w:val="22"/>
              </w:rPr>
              <w:fldChar w:fldCharType="separate"/>
            </w:r>
            <w:r w:rsidR="005B1A3E" w:rsidRPr="005B1A3E">
              <w:rPr>
                <w:rFonts w:ascii="Arial" w:hAnsi="Arial" w:cs="Arial"/>
                <w:noProof/>
                <w:webHidden/>
                <w:sz w:val="22"/>
              </w:rPr>
              <w:t>10</w:t>
            </w:r>
            <w:r w:rsidR="005B1A3E" w:rsidRPr="005B1A3E">
              <w:rPr>
                <w:rFonts w:ascii="Arial" w:hAnsi="Arial" w:cs="Arial"/>
                <w:noProof/>
                <w:webHidden/>
                <w:sz w:val="22"/>
              </w:rPr>
              <w:fldChar w:fldCharType="end"/>
            </w:r>
          </w:hyperlink>
        </w:p>
        <w:p w14:paraId="3402B242" w14:textId="0B3B85A5" w:rsidR="00AC00CB" w:rsidRPr="005B1A3E" w:rsidRDefault="00AC00CB" w:rsidP="005B1A3E">
          <w:pPr>
            <w:rPr>
              <w:rFonts w:ascii="Arial" w:hAnsi="Arial" w:cs="Arial"/>
              <w:sz w:val="22"/>
            </w:rPr>
          </w:pPr>
          <w:r w:rsidRPr="005B1A3E">
            <w:rPr>
              <w:rFonts w:ascii="Arial" w:hAnsi="Arial" w:cs="Arial"/>
              <w:b/>
              <w:bCs/>
              <w:noProof/>
              <w:sz w:val="22"/>
            </w:rPr>
            <w:fldChar w:fldCharType="end"/>
          </w:r>
        </w:p>
      </w:sdtContent>
    </w:sdt>
    <w:p w14:paraId="370224E8" w14:textId="684E9FC3" w:rsidR="00B32EC2" w:rsidRPr="005B1A3E" w:rsidRDefault="00B32EC2" w:rsidP="005B1A3E">
      <w:pPr>
        <w:rPr>
          <w:rFonts w:ascii="Arial" w:hAnsi="Arial" w:cs="Arial"/>
          <w:sz w:val="22"/>
        </w:rPr>
      </w:pPr>
      <w:r w:rsidRPr="005B1A3E">
        <w:rPr>
          <w:rFonts w:ascii="Arial" w:hAnsi="Arial" w:cs="Arial"/>
          <w:sz w:val="22"/>
        </w:rPr>
        <w:br w:type="page"/>
      </w:r>
    </w:p>
    <w:p w14:paraId="6059CBAF" w14:textId="77777777" w:rsidR="00315CEF" w:rsidRPr="005B1A3E" w:rsidRDefault="00315CEF" w:rsidP="005B1A3E">
      <w:pPr>
        <w:pStyle w:val="Heading1"/>
        <w:rPr>
          <w:rFonts w:ascii="Arial" w:hAnsi="Arial" w:cs="Arial"/>
          <w:sz w:val="22"/>
          <w:szCs w:val="22"/>
        </w:rPr>
      </w:pPr>
      <w:bookmarkStart w:id="1" w:name="_Toc201344771"/>
      <w:r w:rsidRPr="005B1A3E">
        <w:rPr>
          <w:rFonts w:ascii="Arial" w:hAnsi="Arial" w:cs="Arial"/>
          <w:sz w:val="22"/>
          <w:szCs w:val="22"/>
        </w:rPr>
        <w:lastRenderedPageBreak/>
        <w:t>Executive Summary</w:t>
      </w:r>
      <w:bookmarkEnd w:id="1"/>
      <w:r w:rsidRPr="005B1A3E">
        <w:rPr>
          <w:rFonts w:ascii="Arial" w:hAnsi="Arial" w:cs="Arial"/>
          <w:sz w:val="22"/>
          <w:szCs w:val="22"/>
        </w:rPr>
        <w:t xml:space="preserve"> </w:t>
      </w:r>
    </w:p>
    <w:p w14:paraId="2B53E09F" w14:textId="68DE4F25" w:rsidR="00B32EC2" w:rsidRPr="005B1A3E" w:rsidRDefault="00FD2343" w:rsidP="005B1A3E">
      <w:pPr>
        <w:rPr>
          <w:rFonts w:ascii="Arial" w:hAnsi="Arial" w:cs="Arial"/>
          <w:sz w:val="22"/>
        </w:rPr>
      </w:pPr>
      <w:r w:rsidRPr="005B1A3E">
        <w:rPr>
          <w:rFonts w:ascii="Arial" w:hAnsi="Arial" w:cs="Arial"/>
          <w:sz w:val="22"/>
        </w:rPr>
        <w:t>This report is to advice the Board of Directors of a family</w:t>
      </w:r>
      <w:r w:rsidR="003624D0" w:rsidRPr="005B1A3E">
        <w:rPr>
          <w:rFonts w:ascii="Arial" w:hAnsi="Arial" w:cs="Arial"/>
          <w:sz w:val="22"/>
        </w:rPr>
        <w:t>-</w:t>
      </w:r>
      <w:r w:rsidRPr="005B1A3E">
        <w:rPr>
          <w:rFonts w:ascii="Arial" w:hAnsi="Arial" w:cs="Arial"/>
          <w:sz w:val="22"/>
        </w:rPr>
        <w:t>owned limited service company which has an intention of listing itself in the trade in the UK market as alternative investment market (AIM). The board is made up of four shareholder siblings and it aims to hold on to this control but be open to corporate governance, agency theory and international listing practices. In this report, the fundamental ideas of corporate governance and agency theory are explained, the strategic control level retained in a 30 percent stockholding discussed, the best practice in the aspect of director remuneration, and the institutional alternatives of listing in the UK, Shanghai, or Netherlands. Practical understandable recommendations are given to help the board to go through such tricky issues and to act in correspondence to the principles of international financial management.</w:t>
      </w:r>
      <w:r w:rsidR="00B32EC2" w:rsidRPr="005B1A3E">
        <w:rPr>
          <w:rFonts w:ascii="Arial" w:hAnsi="Arial" w:cs="Arial"/>
          <w:sz w:val="22"/>
        </w:rPr>
        <w:br w:type="page"/>
      </w:r>
    </w:p>
    <w:p w14:paraId="31002A58" w14:textId="77777777" w:rsidR="00315CEF" w:rsidRPr="005B1A3E" w:rsidRDefault="00315CEF" w:rsidP="005B1A3E">
      <w:pPr>
        <w:pStyle w:val="Heading1"/>
        <w:rPr>
          <w:rFonts w:ascii="Arial" w:hAnsi="Arial" w:cs="Arial"/>
          <w:sz w:val="22"/>
          <w:szCs w:val="22"/>
        </w:rPr>
      </w:pPr>
      <w:bookmarkStart w:id="2" w:name="_Toc201344772"/>
      <w:r w:rsidRPr="005B1A3E">
        <w:rPr>
          <w:rFonts w:ascii="Arial" w:hAnsi="Arial" w:cs="Arial"/>
          <w:sz w:val="22"/>
          <w:szCs w:val="22"/>
        </w:rPr>
        <w:lastRenderedPageBreak/>
        <w:t>Introduction</w:t>
      </w:r>
      <w:bookmarkEnd w:id="2"/>
      <w:r w:rsidRPr="005B1A3E">
        <w:rPr>
          <w:rFonts w:ascii="Arial" w:hAnsi="Arial" w:cs="Arial"/>
          <w:sz w:val="22"/>
          <w:szCs w:val="22"/>
        </w:rPr>
        <w:t xml:space="preserve"> </w:t>
      </w:r>
    </w:p>
    <w:p w14:paraId="4D5C162C" w14:textId="793BE804" w:rsidR="00FD2343" w:rsidRPr="005B1A3E" w:rsidRDefault="00FD2343" w:rsidP="005B1A3E">
      <w:pPr>
        <w:rPr>
          <w:rFonts w:ascii="Arial" w:hAnsi="Arial" w:cs="Arial"/>
          <w:sz w:val="22"/>
        </w:rPr>
      </w:pPr>
      <w:r w:rsidRPr="005B1A3E">
        <w:rPr>
          <w:rFonts w:ascii="Arial" w:hAnsi="Arial" w:cs="Arial"/>
          <w:sz w:val="22"/>
        </w:rPr>
        <w:t>Change of ownership of a privately owned business to a publicly traded share entails massive regulations, operational and governance shift. AIM</w:t>
      </w:r>
      <w:bookmarkStart w:id="3" w:name="_GoBack"/>
      <w:bookmarkEnd w:id="3"/>
      <w:r w:rsidRPr="005B1A3E">
        <w:rPr>
          <w:rFonts w:ascii="Arial" w:hAnsi="Arial" w:cs="Arial"/>
          <w:sz w:val="22"/>
        </w:rPr>
        <w:t xml:space="preserve"> listing in the UK also creates a new regime of transparency, accountability and alignment of strategy with the shareholders. The fact that this firm is family owned and that the four sibling directors had equal ownership becoming complicated as they seek to keep the strategic control after the listing, even though their share is reduced to 30%</w:t>
      </w:r>
      <w:r w:rsidR="00F3611E" w:rsidRPr="005B1A3E">
        <w:rPr>
          <w:rFonts w:ascii="Arial" w:hAnsi="Arial" w:cs="Arial"/>
          <w:sz w:val="22"/>
        </w:rPr>
        <w:t xml:space="preserve"> (Das, et al., 2024)</w:t>
      </w:r>
      <w:r w:rsidRPr="005B1A3E">
        <w:rPr>
          <w:rFonts w:ascii="Arial" w:hAnsi="Arial" w:cs="Arial"/>
          <w:sz w:val="22"/>
        </w:rPr>
        <w:t xml:space="preserve">. The issue of the board has been handled in this report by combining theory of international financial management and international financial management practice, especially in regard to corporate governance, agency theory, director remuneration, and international listing surroundings. </w:t>
      </w:r>
    </w:p>
    <w:p w14:paraId="7C5D84CA" w14:textId="77777777" w:rsidR="00315CEF" w:rsidRPr="005B1A3E" w:rsidRDefault="00315CEF" w:rsidP="005B1A3E">
      <w:pPr>
        <w:pStyle w:val="Heading1"/>
        <w:rPr>
          <w:rFonts w:ascii="Arial" w:hAnsi="Arial" w:cs="Arial"/>
          <w:sz w:val="22"/>
          <w:szCs w:val="22"/>
        </w:rPr>
      </w:pPr>
      <w:bookmarkStart w:id="4" w:name="_Toc201344773"/>
      <w:r w:rsidRPr="005B1A3E">
        <w:rPr>
          <w:rFonts w:ascii="Arial" w:hAnsi="Arial" w:cs="Arial"/>
          <w:sz w:val="22"/>
          <w:szCs w:val="22"/>
        </w:rPr>
        <w:t>Discussion of Findings</w:t>
      </w:r>
      <w:bookmarkEnd w:id="4"/>
    </w:p>
    <w:p w14:paraId="58A624AF" w14:textId="77777777" w:rsidR="00E601D2" w:rsidRPr="005B1A3E" w:rsidRDefault="00E601D2" w:rsidP="005B1A3E">
      <w:pPr>
        <w:pStyle w:val="Heading3"/>
        <w:rPr>
          <w:rFonts w:ascii="Arial" w:hAnsi="Arial" w:cs="Arial"/>
          <w:sz w:val="22"/>
          <w:szCs w:val="22"/>
        </w:rPr>
      </w:pPr>
      <w:bookmarkStart w:id="5" w:name="_Toc201344774"/>
      <w:r w:rsidRPr="005B1A3E">
        <w:rPr>
          <w:rFonts w:ascii="Arial" w:hAnsi="Arial" w:cs="Arial"/>
          <w:sz w:val="22"/>
          <w:szCs w:val="22"/>
        </w:rPr>
        <w:t>Agency Theory and Corporate</w:t>
      </w:r>
      <w:bookmarkEnd w:id="5"/>
      <w:r w:rsidRPr="005B1A3E">
        <w:rPr>
          <w:rFonts w:ascii="Arial" w:hAnsi="Arial" w:cs="Arial"/>
          <w:sz w:val="22"/>
          <w:szCs w:val="22"/>
        </w:rPr>
        <w:t xml:space="preserve"> </w:t>
      </w:r>
    </w:p>
    <w:p w14:paraId="6B27A734" w14:textId="6A274C6E" w:rsidR="00E601D2" w:rsidRPr="005B1A3E" w:rsidRDefault="00E601D2" w:rsidP="005B1A3E">
      <w:pPr>
        <w:rPr>
          <w:rFonts w:ascii="Arial" w:hAnsi="Arial" w:cs="Arial"/>
          <w:sz w:val="22"/>
        </w:rPr>
      </w:pPr>
      <w:r w:rsidRPr="005B1A3E">
        <w:rPr>
          <w:rFonts w:ascii="Arial" w:hAnsi="Arial" w:cs="Arial"/>
          <w:sz w:val="22"/>
        </w:rPr>
        <w:t xml:space="preserve">Corporate governance refers to </w:t>
      </w:r>
      <w:r w:rsidR="00F3611E" w:rsidRPr="005B1A3E">
        <w:rPr>
          <w:rFonts w:ascii="Arial" w:hAnsi="Arial" w:cs="Arial"/>
          <w:sz w:val="22"/>
        </w:rPr>
        <w:t xml:space="preserve">the </w:t>
      </w:r>
      <w:r w:rsidRPr="005B1A3E">
        <w:rPr>
          <w:rFonts w:ascii="Arial" w:hAnsi="Arial" w:cs="Arial"/>
          <w:sz w:val="22"/>
        </w:rPr>
        <w:t xml:space="preserve">structures, procedures and interactions that companies are </w:t>
      </w:r>
      <w:r w:rsidR="00F3611E" w:rsidRPr="005B1A3E">
        <w:rPr>
          <w:rFonts w:ascii="Arial" w:hAnsi="Arial" w:cs="Arial"/>
          <w:sz w:val="22"/>
        </w:rPr>
        <w:t>guide</w:t>
      </w:r>
      <w:r w:rsidRPr="005B1A3E">
        <w:rPr>
          <w:rFonts w:ascii="Arial" w:hAnsi="Arial" w:cs="Arial"/>
          <w:sz w:val="22"/>
        </w:rPr>
        <w:t xml:space="preserve"> and </w:t>
      </w:r>
      <w:r w:rsidR="00F3611E" w:rsidRPr="005B1A3E">
        <w:rPr>
          <w:rFonts w:ascii="Arial" w:hAnsi="Arial" w:cs="Arial"/>
          <w:sz w:val="22"/>
        </w:rPr>
        <w:t>control companies</w:t>
      </w:r>
      <w:r w:rsidRPr="005B1A3E">
        <w:rPr>
          <w:rFonts w:ascii="Arial" w:hAnsi="Arial" w:cs="Arial"/>
          <w:sz w:val="22"/>
        </w:rPr>
        <w:t xml:space="preserve">. It also sets the structures of decision-making, responsibility, and risk appraisal that </w:t>
      </w:r>
      <w:r w:rsidR="00F3611E" w:rsidRPr="005B1A3E">
        <w:rPr>
          <w:rFonts w:ascii="Arial" w:hAnsi="Arial" w:cs="Arial"/>
          <w:sz w:val="22"/>
        </w:rPr>
        <w:t>coordinate</w:t>
      </w:r>
      <w:r w:rsidRPr="005B1A3E">
        <w:rPr>
          <w:rFonts w:ascii="Arial" w:hAnsi="Arial" w:cs="Arial"/>
          <w:sz w:val="22"/>
        </w:rPr>
        <w:t xml:space="preserve"> the management efforts with the stakeholder</w:t>
      </w:r>
      <w:r w:rsidR="00F3611E" w:rsidRPr="005B1A3E">
        <w:rPr>
          <w:rFonts w:ascii="Arial" w:hAnsi="Arial" w:cs="Arial"/>
          <w:sz w:val="22"/>
        </w:rPr>
        <w:t xml:space="preserve"> (Mensah, et al., 2024)</w:t>
      </w:r>
      <w:r w:rsidRPr="005B1A3E">
        <w:rPr>
          <w:rFonts w:ascii="Arial" w:hAnsi="Arial" w:cs="Arial"/>
          <w:sz w:val="22"/>
        </w:rPr>
        <w:t xml:space="preserve">. </w:t>
      </w:r>
      <w:r w:rsidR="00F3611E" w:rsidRPr="005B1A3E">
        <w:rPr>
          <w:rFonts w:ascii="Arial" w:hAnsi="Arial" w:cs="Arial"/>
          <w:sz w:val="22"/>
        </w:rPr>
        <w:t>To list</w:t>
      </w:r>
      <w:r w:rsidRPr="005B1A3E">
        <w:rPr>
          <w:rFonts w:ascii="Arial" w:hAnsi="Arial" w:cs="Arial"/>
          <w:sz w:val="22"/>
        </w:rPr>
        <w:t xml:space="preserve"> on the UK Alternative Investment Market (AIM), the company needs to conform to </w:t>
      </w:r>
      <w:r w:rsidR="00F3611E" w:rsidRPr="005B1A3E">
        <w:rPr>
          <w:rFonts w:ascii="Arial" w:hAnsi="Arial" w:cs="Arial"/>
          <w:sz w:val="22"/>
        </w:rPr>
        <w:t xml:space="preserve">the </w:t>
      </w:r>
      <w:r w:rsidRPr="005B1A3E">
        <w:rPr>
          <w:rFonts w:ascii="Arial" w:hAnsi="Arial" w:cs="Arial"/>
          <w:sz w:val="22"/>
        </w:rPr>
        <w:t xml:space="preserve">QCA Corporate Governance Code. Specifically tailored to companies with small and mid-cap operations, this code focuses on thriving board leadership, accountability, </w:t>
      </w:r>
      <w:r w:rsidR="00F3611E" w:rsidRPr="005B1A3E">
        <w:rPr>
          <w:rFonts w:ascii="Arial" w:hAnsi="Arial" w:cs="Arial"/>
          <w:sz w:val="22"/>
        </w:rPr>
        <w:t>integrity, and</w:t>
      </w:r>
      <w:r w:rsidRPr="005B1A3E">
        <w:rPr>
          <w:rFonts w:ascii="Arial" w:hAnsi="Arial" w:cs="Arial"/>
          <w:sz w:val="22"/>
        </w:rPr>
        <w:t xml:space="preserve"> stakeholder engagement (QCA, 2018). AIM does not require strict adherence </w:t>
      </w:r>
      <w:r w:rsidR="00F3611E" w:rsidRPr="005B1A3E">
        <w:rPr>
          <w:rFonts w:ascii="Arial" w:hAnsi="Arial" w:cs="Arial"/>
          <w:sz w:val="22"/>
        </w:rPr>
        <w:t>to</w:t>
      </w:r>
      <w:r w:rsidRPr="005B1A3E">
        <w:rPr>
          <w:rFonts w:ascii="Arial" w:hAnsi="Arial" w:cs="Arial"/>
          <w:sz w:val="22"/>
        </w:rPr>
        <w:t xml:space="preserve"> the UK Corporate Governance Code</w:t>
      </w:r>
      <w:r w:rsidR="00F3611E" w:rsidRPr="005B1A3E">
        <w:rPr>
          <w:rFonts w:ascii="Arial" w:hAnsi="Arial" w:cs="Arial"/>
          <w:sz w:val="22"/>
        </w:rPr>
        <w:t>,</w:t>
      </w:r>
      <w:r w:rsidRPr="005B1A3E">
        <w:rPr>
          <w:rFonts w:ascii="Arial" w:hAnsi="Arial" w:cs="Arial"/>
          <w:sz w:val="22"/>
        </w:rPr>
        <w:t xml:space="preserve"> but </w:t>
      </w:r>
      <w:r w:rsidR="00F3611E" w:rsidRPr="005B1A3E">
        <w:rPr>
          <w:rFonts w:ascii="Arial" w:hAnsi="Arial" w:cs="Arial"/>
          <w:sz w:val="22"/>
        </w:rPr>
        <w:t>it</w:t>
      </w:r>
      <w:r w:rsidRPr="005B1A3E">
        <w:rPr>
          <w:rFonts w:ascii="Arial" w:hAnsi="Arial" w:cs="Arial"/>
          <w:sz w:val="22"/>
        </w:rPr>
        <w:t xml:space="preserve"> </w:t>
      </w:r>
      <w:r w:rsidR="00F3611E" w:rsidRPr="005B1A3E">
        <w:rPr>
          <w:rFonts w:ascii="Arial" w:hAnsi="Arial" w:cs="Arial"/>
          <w:sz w:val="22"/>
        </w:rPr>
        <w:t>requires</w:t>
      </w:r>
      <w:r w:rsidRPr="005B1A3E">
        <w:rPr>
          <w:rFonts w:ascii="Arial" w:hAnsi="Arial" w:cs="Arial"/>
          <w:sz w:val="22"/>
        </w:rPr>
        <w:t xml:space="preserve"> that companies should comply with its provisions or explain their actions. This flexibility is advantageous to the smaller firms and will still require a systematic and open rule on governance</w:t>
      </w:r>
      <w:r w:rsidR="00F3611E" w:rsidRPr="005B1A3E">
        <w:rPr>
          <w:rFonts w:ascii="Arial" w:hAnsi="Arial" w:cs="Arial"/>
          <w:sz w:val="22"/>
        </w:rPr>
        <w:t xml:space="preserve"> (Gebhardt et al., 2024)</w:t>
      </w:r>
      <w:r w:rsidRPr="005B1A3E">
        <w:rPr>
          <w:rFonts w:ascii="Arial" w:hAnsi="Arial" w:cs="Arial"/>
          <w:sz w:val="22"/>
        </w:rPr>
        <w:t>.</w:t>
      </w:r>
    </w:p>
    <w:p w14:paraId="525F13CC" w14:textId="1F3B9CCA" w:rsidR="00E601D2" w:rsidRPr="005B1A3E" w:rsidRDefault="00E601D2" w:rsidP="005B1A3E">
      <w:pPr>
        <w:rPr>
          <w:rFonts w:ascii="Arial" w:hAnsi="Arial" w:cs="Arial"/>
          <w:sz w:val="22"/>
        </w:rPr>
      </w:pPr>
      <w:r w:rsidRPr="005B1A3E">
        <w:rPr>
          <w:rFonts w:ascii="Arial" w:hAnsi="Arial" w:cs="Arial"/>
          <w:sz w:val="22"/>
        </w:rPr>
        <w:t xml:space="preserve">When compared with the agency theory, </w:t>
      </w:r>
      <w:r w:rsidR="00F3611E" w:rsidRPr="005B1A3E">
        <w:rPr>
          <w:rFonts w:ascii="Arial" w:hAnsi="Arial" w:cs="Arial"/>
          <w:sz w:val="22"/>
        </w:rPr>
        <w:t>(Gebhardt et al., 2024</w:t>
      </w:r>
      <w:r w:rsidRPr="005B1A3E">
        <w:rPr>
          <w:rFonts w:ascii="Arial" w:hAnsi="Arial" w:cs="Arial"/>
          <w:sz w:val="22"/>
        </w:rPr>
        <w:t>) explain the relationship between the principal-agent</w:t>
      </w:r>
      <w:r w:rsidR="00F3611E" w:rsidRPr="005B1A3E">
        <w:rPr>
          <w:rFonts w:ascii="Arial" w:hAnsi="Arial" w:cs="Arial"/>
          <w:sz w:val="22"/>
        </w:rPr>
        <w:t>,</w:t>
      </w:r>
      <w:r w:rsidRPr="005B1A3E">
        <w:rPr>
          <w:rFonts w:ascii="Arial" w:hAnsi="Arial" w:cs="Arial"/>
          <w:sz w:val="22"/>
        </w:rPr>
        <w:t xml:space="preserve"> whose </w:t>
      </w:r>
      <w:r w:rsidR="00F3611E" w:rsidRPr="005B1A3E">
        <w:rPr>
          <w:rFonts w:ascii="Arial" w:hAnsi="Arial" w:cs="Arial"/>
          <w:sz w:val="22"/>
        </w:rPr>
        <w:t>principals</w:t>
      </w:r>
      <w:r w:rsidRPr="005B1A3E">
        <w:rPr>
          <w:rFonts w:ascii="Arial" w:hAnsi="Arial" w:cs="Arial"/>
          <w:sz w:val="22"/>
        </w:rPr>
        <w:t xml:space="preserve"> are the shareholders and agents who consist of the directors. In privately owned businesses</w:t>
      </w:r>
      <w:r w:rsidR="00F3611E" w:rsidRPr="005B1A3E">
        <w:rPr>
          <w:rFonts w:ascii="Arial" w:hAnsi="Arial" w:cs="Arial"/>
          <w:sz w:val="22"/>
        </w:rPr>
        <w:t>,</w:t>
      </w:r>
      <w:r w:rsidRPr="005B1A3E">
        <w:rPr>
          <w:rFonts w:ascii="Arial" w:hAnsi="Arial" w:cs="Arial"/>
          <w:sz w:val="22"/>
        </w:rPr>
        <w:t xml:space="preserve"> especially those that are run by a family, this gap is minor. Nevertheless, in </w:t>
      </w:r>
      <w:r w:rsidR="00F3611E" w:rsidRPr="005B1A3E">
        <w:rPr>
          <w:rFonts w:ascii="Arial" w:hAnsi="Arial" w:cs="Arial"/>
          <w:sz w:val="22"/>
        </w:rPr>
        <w:t xml:space="preserve">the </w:t>
      </w:r>
      <w:r w:rsidRPr="005B1A3E">
        <w:rPr>
          <w:rFonts w:ascii="Arial" w:hAnsi="Arial" w:cs="Arial"/>
          <w:sz w:val="22"/>
        </w:rPr>
        <w:t>case of public listing</w:t>
      </w:r>
      <w:r w:rsidR="00F3611E" w:rsidRPr="005B1A3E">
        <w:rPr>
          <w:rFonts w:ascii="Arial" w:hAnsi="Arial" w:cs="Arial"/>
          <w:sz w:val="22"/>
        </w:rPr>
        <w:t>,</w:t>
      </w:r>
      <w:r w:rsidRPr="005B1A3E">
        <w:rPr>
          <w:rFonts w:ascii="Arial" w:hAnsi="Arial" w:cs="Arial"/>
          <w:sz w:val="22"/>
        </w:rPr>
        <w:t xml:space="preserve"> the external investors are introduced</w:t>
      </w:r>
      <w:r w:rsidR="00F3611E" w:rsidRPr="005B1A3E">
        <w:rPr>
          <w:rFonts w:ascii="Arial" w:hAnsi="Arial" w:cs="Arial"/>
          <w:sz w:val="22"/>
        </w:rPr>
        <w:t>,</w:t>
      </w:r>
      <w:r w:rsidRPr="005B1A3E">
        <w:rPr>
          <w:rFonts w:ascii="Arial" w:hAnsi="Arial" w:cs="Arial"/>
          <w:sz w:val="22"/>
        </w:rPr>
        <w:t xml:space="preserve"> and the risk of conflict of </w:t>
      </w:r>
      <w:r w:rsidR="00F3611E" w:rsidRPr="005B1A3E">
        <w:rPr>
          <w:rFonts w:ascii="Arial" w:hAnsi="Arial" w:cs="Arial"/>
          <w:sz w:val="22"/>
        </w:rPr>
        <w:t>interest</w:t>
      </w:r>
      <w:r w:rsidRPr="005B1A3E">
        <w:rPr>
          <w:rFonts w:ascii="Arial" w:hAnsi="Arial" w:cs="Arial"/>
          <w:sz w:val="22"/>
        </w:rPr>
        <w:t xml:space="preserve"> grows</w:t>
      </w:r>
      <w:r w:rsidR="00F3611E" w:rsidRPr="005B1A3E">
        <w:rPr>
          <w:rFonts w:ascii="Arial" w:hAnsi="Arial" w:cs="Arial"/>
          <w:sz w:val="22"/>
        </w:rPr>
        <w:t xml:space="preserve"> (Das, et al., 2024)</w:t>
      </w:r>
      <w:r w:rsidRPr="005B1A3E">
        <w:rPr>
          <w:rFonts w:ascii="Arial" w:hAnsi="Arial" w:cs="Arial"/>
          <w:sz w:val="22"/>
        </w:rPr>
        <w:t>. In the case of family directors, they may inherit long</w:t>
      </w:r>
      <w:r w:rsidR="00F3611E" w:rsidRPr="005B1A3E">
        <w:rPr>
          <w:rFonts w:ascii="Arial" w:hAnsi="Arial" w:cs="Arial"/>
          <w:sz w:val="22"/>
        </w:rPr>
        <w:t>-</w:t>
      </w:r>
      <w:r w:rsidRPr="005B1A3E">
        <w:rPr>
          <w:rFonts w:ascii="Arial" w:hAnsi="Arial" w:cs="Arial"/>
          <w:sz w:val="22"/>
        </w:rPr>
        <w:t>term control and legacy</w:t>
      </w:r>
      <w:r w:rsidR="00F3611E" w:rsidRPr="005B1A3E">
        <w:rPr>
          <w:rFonts w:ascii="Arial" w:hAnsi="Arial" w:cs="Arial"/>
          <w:sz w:val="22"/>
        </w:rPr>
        <w:t>;</w:t>
      </w:r>
      <w:r w:rsidRPr="005B1A3E">
        <w:rPr>
          <w:rFonts w:ascii="Arial" w:hAnsi="Arial" w:cs="Arial"/>
          <w:sz w:val="22"/>
        </w:rPr>
        <w:t xml:space="preserve"> however, the institutional investors may prefer short-term returns.</w:t>
      </w:r>
    </w:p>
    <w:p w14:paraId="24874E4E" w14:textId="77777777" w:rsidR="00E601D2" w:rsidRPr="005B1A3E" w:rsidRDefault="00E601D2" w:rsidP="005B1A3E">
      <w:pPr>
        <w:rPr>
          <w:rFonts w:ascii="Arial" w:hAnsi="Arial" w:cs="Arial"/>
          <w:sz w:val="22"/>
        </w:rPr>
      </w:pPr>
    </w:p>
    <w:p w14:paraId="1EBF3E9F" w14:textId="77777777" w:rsidR="00BD6FF9" w:rsidRDefault="00BD6FF9" w:rsidP="005B1A3E">
      <w:pPr>
        <w:rPr>
          <w:rFonts w:ascii="Arial" w:hAnsi="Arial" w:cs="Arial"/>
          <w:sz w:val="22"/>
        </w:rPr>
      </w:pPr>
    </w:p>
    <w:p w14:paraId="29D21987" w14:textId="77777777" w:rsidR="00BD6FF9" w:rsidRDefault="00BD6FF9" w:rsidP="005B1A3E">
      <w:pPr>
        <w:rPr>
          <w:rFonts w:ascii="Arial" w:hAnsi="Arial" w:cs="Arial"/>
          <w:sz w:val="22"/>
        </w:rPr>
      </w:pPr>
    </w:p>
    <w:p w14:paraId="59916F72" w14:textId="1B083D3F" w:rsidR="00E601D2" w:rsidRPr="005B1A3E" w:rsidRDefault="00E601D2" w:rsidP="005B1A3E">
      <w:pPr>
        <w:rPr>
          <w:rFonts w:ascii="Arial" w:hAnsi="Arial" w:cs="Arial"/>
          <w:sz w:val="22"/>
        </w:rPr>
      </w:pPr>
      <w:r w:rsidRPr="005B1A3E">
        <w:rPr>
          <w:rFonts w:ascii="Arial" w:hAnsi="Arial" w:cs="Arial"/>
          <w:sz w:val="22"/>
        </w:rPr>
        <w:lastRenderedPageBreak/>
        <w:t>To meet these issues of agency, the firm ought to:</w:t>
      </w:r>
    </w:p>
    <w:p w14:paraId="6A1D8313" w14:textId="43F4C304" w:rsidR="00E601D2" w:rsidRPr="005B1A3E" w:rsidRDefault="00E601D2" w:rsidP="005B1A3E">
      <w:pPr>
        <w:pStyle w:val="ListParagraph"/>
        <w:numPr>
          <w:ilvl w:val="0"/>
          <w:numId w:val="3"/>
        </w:numPr>
        <w:rPr>
          <w:rFonts w:ascii="Arial" w:hAnsi="Arial" w:cs="Arial"/>
          <w:sz w:val="22"/>
        </w:rPr>
      </w:pPr>
      <w:r w:rsidRPr="005B1A3E">
        <w:rPr>
          <w:rFonts w:ascii="Arial" w:hAnsi="Arial" w:cs="Arial"/>
          <w:sz w:val="22"/>
        </w:rPr>
        <w:t>Assign non-executive directors (NEDs) who are independent and will offer objective control.</w:t>
      </w:r>
    </w:p>
    <w:p w14:paraId="20F4589B" w14:textId="3C9BCC23" w:rsidR="00E601D2" w:rsidRPr="005B1A3E" w:rsidRDefault="00E601D2" w:rsidP="005B1A3E">
      <w:pPr>
        <w:pStyle w:val="ListParagraph"/>
        <w:numPr>
          <w:ilvl w:val="0"/>
          <w:numId w:val="3"/>
        </w:numPr>
        <w:rPr>
          <w:rFonts w:ascii="Arial" w:hAnsi="Arial" w:cs="Arial"/>
          <w:sz w:val="22"/>
        </w:rPr>
      </w:pPr>
      <w:r w:rsidRPr="005B1A3E">
        <w:rPr>
          <w:rFonts w:ascii="Arial" w:hAnsi="Arial" w:cs="Arial"/>
          <w:sz w:val="22"/>
        </w:rPr>
        <w:t>Most importantly, create board subcommittees on audit, nomination and remuneration to provide checks and balances.</w:t>
      </w:r>
    </w:p>
    <w:p w14:paraId="3A8492B1" w14:textId="0DC9180D" w:rsidR="00E601D2" w:rsidRPr="005B1A3E" w:rsidRDefault="00E601D2" w:rsidP="005B1A3E">
      <w:pPr>
        <w:pStyle w:val="ListParagraph"/>
        <w:numPr>
          <w:ilvl w:val="0"/>
          <w:numId w:val="3"/>
        </w:numPr>
        <w:rPr>
          <w:rFonts w:ascii="Arial" w:hAnsi="Arial" w:cs="Arial"/>
          <w:sz w:val="22"/>
        </w:rPr>
      </w:pPr>
      <w:r w:rsidRPr="005B1A3E">
        <w:rPr>
          <w:rFonts w:ascii="Arial" w:hAnsi="Arial" w:cs="Arial"/>
          <w:sz w:val="22"/>
        </w:rPr>
        <w:t>Absence of Roles &amp; Responsibilities At the same time, it is important that the roles and responsibilities be defined so that the conflicts and inefficiencies are eliminated.</w:t>
      </w:r>
    </w:p>
    <w:p w14:paraId="581EB797" w14:textId="503D2542" w:rsidR="00E601D2" w:rsidRPr="005B1A3E" w:rsidRDefault="00E601D2" w:rsidP="005B1A3E">
      <w:pPr>
        <w:rPr>
          <w:rFonts w:ascii="Arial" w:hAnsi="Arial" w:cs="Arial"/>
          <w:sz w:val="22"/>
        </w:rPr>
      </w:pPr>
      <w:r w:rsidRPr="005B1A3E">
        <w:rPr>
          <w:rFonts w:ascii="Arial" w:hAnsi="Arial" w:cs="Arial"/>
          <w:sz w:val="22"/>
        </w:rPr>
        <w:t xml:space="preserve">Failure to adhere to such practices would also lead to a decline of investor confidence and an increased governance risk profile of the company, which may affect the stock performance and valuation </w:t>
      </w:r>
      <w:r w:rsidR="00F3611E" w:rsidRPr="005B1A3E">
        <w:rPr>
          <w:rFonts w:ascii="Arial" w:hAnsi="Arial" w:cs="Arial"/>
          <w:sz w:val="22"/>
        </w:rPr>
        <w:t>(Nasiri, et al., 2025)</w:t>
      </w:r>
      <w:r w:rsidRPr="005B1A3E">
        <w:rPr>
          <w:rFonts w:ascii="Arial" w:hAnsi="Arial" w:cs="Arial"/>
          <w:sz w:val="22"/>
        </w:rPr>
        <w:t>.</w:t>
      </w:r>
    </w:p>
    <w:p w14:paraId="7B5EFB33" w14:textId="05D7D109" w:rsidR="00E601D2" w:rsidRPr="005B1A3E" w:rsidRDefault="00E601D2" w:rsidP="005B1A3E">
      <w:pPr>
        <w:pStyle w:val="Heading3"/>
        <w:rPr>
          <w:rFonts w:ascii="Arial" w:hAnsi="Arial" w:cs="Arial"/>
          <w:sz w:val="22"/>
          <w:szCs w:val="22"/>
        </w:rPr>
      </w:pPr>
      <w:bookmarkStart w:id="6" w:name="_Toc201344775"/>
      <w:r w:rsidRPr="005B1A3E">
        <w:rPr>
          <w:rFonts w:ascii="Arial" w:hAnsi="Arial" w:cs="Arial"/>
          <w:sz w:val="22"/>
          <w:szCs w:val="22"/>
        </w:rPr>
        <w:t>30 percent Shareholding and Control</w:t>
      </w:r>
      <w:bookmarkEnd w:id="6"/>
      <w:r w:rsidRPr="005B1A3E">
        <w:rPr>
          <w:rFonts w:ascii="Arial" w:hAnsi="Arial" w:cs="Arial"/>
          <w:sz w:val="22"/>
          <w:szCs w:val="22"/>
        </w:rPr>
        <w:t xml:space="preserve"> </w:t>
      </w:r>
    </w:p>
    <w:p w14:paraId="2344DD0A" w14:textId="542F9E9D" w:rsidR="00E601D2" w:rsidRPr="005B1A3E" w:rsidRDefault="00E601D2" w:rsidP="005B1A3E">
      <w:pPr>
        <w:rPr>
          <w:rFonts w:ascii="Arial" w:hAnsi="Arial" w:cs="Arial"/>
          <w:sz w:val="22"/>
        </w:rPr>
      </w:pPr>
      <w:r w:rsidRPr="005B1A3E">
        <w:rPr>
          <w:rFonts w:ascii="Arial" w:hAnsi="Arial" w:cs="Arial"/>
          <w:sz w:val="22"/>
        </w:rPr>
        <w:t>The big issue here is that the family shareholding is cut to 30 percent after listing. This gives it capital to develop but puts the company at the mercy of external forces</w:t>
      </w:r>
      <w:r w:rsidR="00F3611E" w:rsidRPr="005B1A3E">
        <w:rPr>
          <w:rFonts w:ascii="Arial" w:hAnsi="Arial" w:cs="Arial"/>
          <w:sz w:val="22"/>
        </w:rPr>
        <w:t xml:space="preserve"> (Annesi, et al., 2024)</w:t>
      </w:r>
      <w:r w:rsidRPr="005B1A3E">
        <w:rPr>
          <w:rFonts w:ascii="Arial" w:hAnsi="Arial" w:cs="Arial"/>
          <w:sz w:val="22"/>
        </w:rPr>
        <w:t xml:space="preserve">. However, such strategic mechanisms also exist, which enable minority shareholders to exercise effective control: </w:t>
      </w:r>
    </w:p>
    <w:p w14:paraId="4EFFFA48" w14:textId="3232A1D3" w:rsidR="00E601D2" w:rsidRPr="005B1A3E" w:rsidRDefault="00E601D2" w:rsidP="005B1A3E">
      <w:pPr>
        <w:pStyle w:val="ListParagraph"/>
        <w:numPr>
          <w:ilvl w:val="0"/>
          <w:numId w:val="4"/>
        </w:numPr>
        <w:rPr>
          <w:rFonts w:ascii="Arial" w:hAnsi="Arial" w:cs="Arial"/>
          <w:sz w:val="22"/>
        </w:rPr>
      </w:pPr>
      <w:r w:rsidRPr="005B1A3E">
        <w:rPr>
          <w:rFonts w:ascii="Arial" w:hAnsi="Arial" w:cs="Arial"/>
          <w:sz w:val="22"/>
        </w:rPr>
        <w:t xml:space="preserve">Dual-class shares- These are shares apportioned with varying levels of voting rights (e.g. 10 votes each to the share in Class A and 1 vote/share in Class B etc.). This mechanism assists founders maintain control where ownership is diminished. It is not however common with the AIM and can be perceived negatively on the part of institutional investors who value accountability and equality </w:t>
      </w:r>
      <w:r w:rsidR="00F3611E" w:rsidRPr="005B1A3E">
        <w:rPr>
          <w:rFonts w:ascii="Arial" w:hAnsi="Arial" w:cs="Arial"/>
          <w:sz w:val="22"/>
        </w:rPr>
        <w:t>(Das, et al., 2024)</w:t>
      </w:r>
      <w:r w:rsidRPr="005B1A3E">
        <w:rPr>
          <w:rFonts w:ascii="Arial" w:hAnsi="Arial" w:cs="Arial"/>
          <w:sz w:val="22"/>
        </w:rPr>
        <w:t xml:space="preserve">. </w:t>
      </w:r>
    </w:p>
    <w:p w14:paraId="58CEFD46" w14:textId="180D3D93" w:rsidR="00E601D2" w:rsidRPr="005B1A3E" w:rsidRDefault="00E601D2" w:rsidP="005B1A3E">
      <w:pPr>
        <w:pStyle w:val="ListParagraph"/>
        <w:numPr>
          <w:ilvl w:val="0"/>
          <w:numId w:val="4"/>
        </w:numPr>
        <w:rPr>
          <w:rFonts w:ascii="Arial" w:hAnsi="Arial" w:cs="Arial"/>
          <w:sz w:val="22"/>
        </w:rPr>
      </w:pPr>
      <w:r w:rsidRPr="005B1A3E">
        <w:rPr>
          <w:rFonts w:ascii="Arial" w:hAnsi="Arial" w:cs="Arial"/>
          <w:sz w:val="22"/>
        </w:rPr>
        <w:t>Shareholder agreements: They may contain additional clauses which guard the decision-making abilities of the family, ex. strategic changes, mergers and dividends require the consent of the family.</w:t>
      </w:r>
    </w:p>
    <w:p w14:paraId="0E274F6B" w14:textId="77777777" w:rsidR="00E601D2" w:rsidRPr="005B1A3E" w:rsidRDefault="00E601D2" w:rsidP="005B1A3E">
      <w:pPr>
        <w:pStyle w:val="ListParagraph"/>
        <w:numPr>
          <w:ilvl w:val="0"/>
          <w:numId w:val="4"/>
        </w:numPr>
        <w:rPr>
          <w:rFonts w:ascii="Arial" w:hAnsi="Arial" w:cs="Arial"/>
          <w:sz w:val="22"/>
        </w:rPr>
      </w:pPr>
      <w:r w:rsidRPr="005B1A3E">
        <w:rPr>
          <w:rFonts w:ascii="Arial" w:hAnsi="Arial" w:cs="Arial"/>
          <w:sz w:val="22"/>
        </w:rPr>
        <w:t>Board representation: Provided that business operations continue to be dominated by family members, direct control over strategic direction should be maintained that preferably is maintained through having family members serve as executive directors on the board.</w:t>
      </w:r>
    </w:p>
    <w:p w14:paraId="151E8142" w14:textId="77777777" w:rsidR="00E601D2" w:rsidRPr="005B1A3E" w:rsidRDefault="00E601D2" w:rsidP="005B1A3E">
      <w:pPr>
        <w:rPr>
          <w:rFonts w:ascii="Arial" w:hAnsi="Arial" w:cs="Arial"/>
          <w:sz w:val="22"/>
        </w:rPr>
      </w:pPr>
    </w:p>
    <w:p w14:paraId="4E517C18" w14:textId="77777777" w:rsidR="00E601D2" w:rsidRPr="005B1A3E" w:rsidRDefault="00E601D2" w:rsidP="005B1A3E">
      <w:pPr>
        <w:pStyle w:val="ListParagraph"/>
        <w:numPr>
          <w:ilvl w:val="0"/>
          <w:numId w:val="4"/>
        </w:numPr>
        <w:rPr>
          <w:rFonts w:ascii="Arial" w:hAnsi="Arial" w:cs="Arial"/>
          <w:sz w:val="22"/>
        </w:rPr>
      </w:pPr>
      <w:r w:rsidRPr="005B1A3E">
        <w:rPr>
          <w:rFonts w:ascii="Arial" w:hAnsi="Arial" w:cs="Arial"/>
          <w:sz w:val="22"/>
        </w:rPr>
        <w:t>Staggered elections of the board: Under this structure, not all the seats in the board will be standing re-election at a particular time making them harder on hostile takeovers.</w:t>
      </w:r>
    </w:p>
    <w:p w14:paraId="27128AA0" w14:textId="77777777" w:rsidR="00E601D2" w:rsidRPr="005B1A3E" w:rsidRDefault="00E601D2" w:rsidP="005B1A3E">
      <w:pPr>
        <w:rPr>
          <w:rFonts w:ascii="Arial" w:hAnsi="Arial" w:cs="Arial"/>
          <w:sz w:val="22"/>
        </w:rPr>
      </w:pPr>
    </w:p>
    <w:p w14:paraId="0F38EFF8" w14:textId="2FBE954B" w:rsidR="00E601D2" w:rsidRPr="005B1A3E" w:rsidRDefault="00E601D2" w:rsidP="005B1A3E">
      <w:pPr>
        <w:rPr>
          <w:rFonts w:ascii="Arial" w:hAnsi="Arial" w:cs="Arial"/>
          <w:sz w:val="22"/>
        </w:rPr>
      </w:pPr>
      <w:r w:rsidRPr="005B1A3E">
        <w:rPr>
          <w:rFonts w:ascii="Arial" w:hAnsi="Arial" w:cs="Arial"/>
          <w:sz w:val="22"/>
        </w:rPr>
        <w:lastRenderedPageBreak/>
        <w:t xml:space="preserve">Although these tools may be in use to maintain the control, it should be cautiously applied. This may cause a scepticism about their investments and an underpricing, as investors grow sceptical of the lack of transparency or perceived entrenchment </w:t>
      </w:r>
      <w:r w:rsidR="00F3611E" w:rsidRPr="005B1A3E">
        <w:rPr>
          <w:rFonts w:ascii="Arial" w:hAnsi="Arial" w:cs="Arial"/>
          <w:sz w:val="22"/>
        </w:rPr>
        <w:t>(Mensh, et al., 2024)</w:t>
      </w:r>
      <w:r w:rsidRPr="005B1A3E">
        <w:rPr>
          <w:rFonts w:ascii="Arial" w:hAnsi="Arial" w:cs="Arial"/>
          <w:sz w:val="22"/>
        </w:rPr>
        <w:t>. Therefore, any mechanism that causes a control has to be explained to the market in a transparent manner.</w:t>
      </w:r>
    </w:p>
    <w:p w14:paraId="4B36D9F4" w14:textId="0848CB16" w:rsidR="0029187C" w:rsidRPr="005B1A3E" w:rsidRDefault="0029187C" w:rsidP="005B1A3E">
      <w:pPr>
        <w:pStyle w:val="Heading3"/>
        <w:rPr>
          <w:rFonts w:ascii="Arial" w:hAnsi="Arial" w:cs="Arial"/>
          <w:sz w:val="22"/>
          <w:szCs w:val="22"/>
        </w:rPr>
      </w:pPr>
      <w:bookmarkStart w:id="7" w:name="_Toc201344776"/>
      <w:r w:rsidRPr="005B1A3E">
        <w:rPr>
          <w:rFonts w:ascii="Arial" w:hAnsi="Arial" w:cs="Arial"/>
          <w:sz w:val="22"/>
          <w:szCs w:val="22"/>
        </w:rPr>
        <w:t>Scheme of Director Remuneration</w:t>
      </w:r>
      <w:bookmarkEnd w:id="7"/>
      <w:r w:rsidRPr="005B1A3E">
        <w:rPr>
          <w:rFonts w:ascii="Arial" w:hAnsi="Arial" w:cs="Arial"/>
          <w:sz w:val="22"/>
          <w:szCs w:val="22"/>
        </w:rPr>
        <w:t xml:space="preserve"> </w:t>
      </w:r>
    </w:p>
    <w:p w14:paraId="27DE3DFC" w14:textId="4735854D" w:rsidR="00AC00CB" w:rsidRPr="005B1A3E" w:rsidRDefault="00AC00CB" w:rsidP="005B1A3E">
      <w:pPr>
        <w:rPr>
          <w:rFonts w:ascii="Arial" w:hAnsi="Arial" w:cs="Arial"/>
          <w:sz w:val="22"/>
        </w:rPr>
      </w:pPr>
      <w:r w:rsidRPr="005B1A3E">
        <w:rPr>
          <w:rFonts w:ascii="Arial" w:hAnsi="Arial" w:cs="Arial"/>
          <w:sz w:val="22"/>
        </w:rPr>
        <w:t>Director compensation must compete with talent, and align incentives, and also create accountability. The structure of AIM companies is normally composed of:</w:t>
      </w:r>
    </w:p>
    <w:p w14:paraId="610C0FE3" w14:textId="3E3B47A4" w:rsidR="00AC00CB" w:rsidRPr="005B1A3E" w:rsidRDefault="00AC00CB" w:rsidP="005B1A3E">
      <w:pPr>
        <w:pStyle w:val="ListParagraph"/>
        <w:numPr>
          <w:ilvl w:val="0"/>
          <w:numId w:val="7"/>
        </w:numPr>
        <w:rPr>
          <w:rFonts w:ascii="Arial" w:hAnsi="Arial" w:cs="Arial"/>
          <w:sz w:val="22"/>
        </w:rPr>
      </w:pPr>
      <w:r w:rsidRPr="005B1A3E">
        <w:rPr>
          <w:rFonts w:ascii="Arial" w:hAnsi="Arial" w:cs="Arial"/>
          <w:sz w:val="22"/>
        </w:rPr>
        <w:t>Fixed salary: It depends on market norm and line of responsibility.</w:t>
      </w:r>
    </w:p>
    <w:p w14:paraId="3F2FDA5F" w14:textId="03383859" w:rsidR="00AC00CB" w:rsidRPr="005B1A3E" w:rsidRDefault="00AC00CB" w:rsidP="005B1A3E">
      <w:pPr>
        <w:pStyle w:val="ListParagraph"/>
        <w:numPr>
          <w:ilvl w:val="0"/>
          <w:numId w:val="7"/>
        </w:numPr>
        <w:rPr>
          <w:rFonts w:ascii="Arial" w:hAnsi="Arial" w:cs="Arial"/>
          <w:sz w:val="22"/>
        </w:rPr>
      </w:pPr>
      <w:r w:rsidRPr="005B1A3E">
        <w:rPr>
          <w:rFonts w:ascii="Arial" w:hAnsi="Arial" w:cs="Arial"/>
          <w:sz w:val="22"/>
        </w:rPr>
        <w:t>Short-term incentives: Bonus plans that are based on financial parameters.</w:t>
      </w:r>
    </w:p>
    <w:p w14:paraId="114344A7" w14:textId="153B2E75" w:rsidR="00AC00CB" w:rsidRPr="005B1A3E" w:rsidRDefault="00AC00CB" w:rsidP="005B1A3E">
      <w:pPr>
        <w:pStyle w:val="ListParagraph"/>
        <w:numPr>
          <w:ilvl w:val="0"/>
          <w:numId w:val="7"/>
        </w:numPr>
        <w:rPr>
          <w:rFonts w:ascii="Arial" w:hAnsi="Arial" w:cs="Arial"/>
          <w:sz w:val="22"/>
        </w:rPr>
      </w:pPr>
      <w:r w:rsidRPr="005B1A3E">
        <w:rPr>
          <w:rFonts w:ascii="Arial" w:hAnsi="Arial" w:cs="Arial"/>
          <w:sz w:val="22"/>
        </w:rPr>
        <w:t>Long-term compensation Long-term Incentives (LTIPS): Stock options or restricted stock units (RSUs) that are tied to strategic KPIs and shareholder returns in the period of 3-5 years.</w:t>
      </w:r>
    </w:p>
    <w:p w14:paraId="05F6E124" w14:textId="1A71F2A8" w:rsidR="00AC00CB" w:rsidRPr="005B1A3E" w:rsidRDefault="00AC00CB" w:rsidP="005B1A3E">
      <w:pPr>
        <w:rPr>
          <w:rFonts w:ascii="Arial" w:hAnsi="Arial" w:cs="Arial"/>
          <w:sz w:val="22"/>
        </w:rPr>
      </w:pPr>
      <w:r w:rsidRPr="005B1A3E">
        <w:rPr>
          <w:rFonts w:ascii="Arial" w:hAnsi="Arial" w:cs="Arial"/>
          <w:sz w:val="22"/>
        </w:rPr>
        <w:t>Best guidelines in establishing director remunerations would be:</w:t>
      </w:r>
    </w:p>
    <w:p w14:paraId="728BD681" w14:textId="2076DAB2" w:rsidR="00AC00CB" w:rsidRPr="005B1A3E" w:rsidRDefault="00AC00CB" w:rsidP="005B1A3E">
      <w:pPr>
        <w:pStyle w:val="ListParagraph"/>
        <w:numPr>
          <w:ilvl w:val="0"/>
          <w:numId w:val="8"/>
        </w:numPr>
        <w:rPr>
          <w:rFonts w:ascii="Arial" w:hAnsi="Arial" w:cs="Arial"/>
          <w:sz w:val="22"/>
        </w:rPr>
      </w:pPr>
      <w:r w:rsidRPr="005B1A3E">
        <w:rPr>
          <w:rFonts w:ascii="Arial" w:hAnsi="Arial" w:cs="Arial"/>
          <w:sz w:val="22"/>
        </w:rPr>
        <w:t>Establishment of a Remuneration Committee that has a number of independent NEDs.</w:t>
      </w:r>
    </w:p>
    <w:p w14:paraId="187D4D34" w14:textId="0AB092F8" w:rsidR="00AC00CB" w:rsidRPr="005B1A3E" w:rsidRDefault="00AC00CB" w:rsidP="005B1A3E">
      <w:pPr>
        <w:pStyle w:val="ListParagraph"/>
        <w:numPr>
          <w:ilvl w:val="0"/>
          <w:numId w:val="8"/>
        </w:numPr>
        <w:rPr>
          <w:rFonts w:ascii="Arial" w:hAnsi="Arial" w:cs="Arial"/>
          <w:sz w:val="22"/>
        </w:rPr>
      </w:pPr>
      <w:r w:rsidRPr="005B1A3E">
        <w:rPr>
          <w:rFonts w:ascii="Arial" w:hAnsi="Arial" w:cs="Arial"/>
          <w:sz w:val="22"/>
        </w:rPr>
        <w:t>The use of peer benchmarks and the recommendations of the organizations like the UK Corporate Governance Code (FRC, 2018).</w:t>
      </w:r>
    </w:p>
    <w:p w14:paraId="2BC01FB8" w14:textId="289AE9FA" w:rsidR="00AC00CB" w:rsidRPr="005B1A3E" w:rsidRDefault="00AC00CB" w:rsidP="005B1A3E">
      <w:pPr>
        <w:pStyle w:val="ListParagraph"/>
        <w:numPr>
          <w:ilvl w:val="0"/>
          <w:numId w:val="8"/>
        </w:numPr>
        <w:rPr>
          <w:rFonts w:ascii="Arial" w:hAnsi="Arial" w:cs="Arial"/>
          <w:sz w:val="22"/>
        </w:rPr>
      </w:pPr>
      <w:r w:rsidRPr="005B1A3E">
        <w:rPr>
          <w:rFonts w:ascii="Arial" w:hAnsi="Arial" w:cs="Arial"/>
          <w:sz w:val="22"/>
        </w:rPr>
        <w:t>Clear disclosure of the pay ratios, performance thresholds and the clawback.</w:t>
      </w:r>
    </w:p>
    <w:p w14:paraId="3E68B092" w14:textId="6192419F" w:rsidR="00B32EC2" w:rsidRPr="005B1A3E" w:rsidRDefault="00AC00CB" w:rsidP="005B1A3E">
      <w:pPr>
        <w:rPr>
          <w:rFonts w:ascii="Arial" w:hAnsi="Arial" w:cs="Arial"/>
          <w:sz w:val="22"/>
        </w:rPr>
      </w:pPr>
      <w:r w:rsidRPr="005B1A3E">
        <w:rPr>
          <w:rFonts w:ascii="Arial" w:hAnsi="Arial" w:cs="Arial"/>
          <w:sz w:val="22"/>
        </w:rPr>
        <w:t xml:space="preserve">Good remuneration policies are used to alleviate agency costs, because the remuneration policies tend to align the management interests with long run shareholders value </w:t>
      </w:r>
      <w:r w:rsidR="00F3611E" w:rsidRPr="005B1A3E">
        <w:rPr>
          <w:rFonts w:ascii="Arial" w:hAnsi="Arial" w:cs="Arial"/>
          <w:sz w:val="22"/>
        </w:rPr>
        <w:t>(Das, et al., 2024)</w:t>
      </w:r>
      <w:r w:rsidRPr="005B1A3E">
        <w:rPr>
          <w:rFonts w:ascii="Arial" w:hAnsi="Arial" w:cs="Arial"/>
          <w:sz w:val="22"/>
        </w:rPr>
        <w:t>.</w:t>
      </w:r>
      <w:r w:rsidR="00B32EC2" w:rsidRPr="005B1A3E">
        <w:rPr>
          <w:rFonts w:ascii="Arial" w:hAnsi="Arial" w:cs="Arial"/>
          <w:sz w:val="22"/>
        </w:rPr>
        <w:br w:type="page"/>
      </w:r>
    </w:p>
    <w:p w14:paraId="237FD11C" w14:textId="45D0877D" w:rsidR="0029187C" w:rsidRPr="005B1A3E" w:rsidRDefault="0029187C" w:rsidP="005B1A3E">
      <w:pPr>
        <w:pStyle w:val="Heading2"/>
        <w:rPr>
          <w:rFonts w:ascii="Arial" w:hAnsi="Arial" w:cs="Arial"/>
          <w:sz w:val="22"/>
          <w:szCs w:val="22"/>
        </w:rPr>
      </w:pPr>
      <w:bookmarkStart w:id="8" w:name="_Toc201344777"/>
      <w:r w:rsidRPr="005B1A3E">
        <w:rPr>
          <w:rFonts w:ascii="Arial" w:hAnsi="Arial" w:cs="Arial"/>
          <w:sz w:val="22"/>
          <w:szCs w:val="22"/>
        </w:rPr>
        <w:lastRenderedPageBreak/>
        <w:t>Institutional Differences: Netherlands, Shanghai and UK</w:t>
      </w:r>
      <w:bookmarkEnd w:id="8"/>
    </w:p>
    <w:p w14:paraId="1F8449BE" w14:textId="7AF31B23" w:rsidR="0029187C" w:rsidRPr="005B1A3E" w:rsidRDefault="0029187C" w:rsidP="005B1A3E">
      <w:pPr>
        <w:rPr>
          <w:rFonts w:ascii="Arial" w:hAnsi="Arial" w:cs="Arial"/>
          <w:sz w:val="22"/>
        </w:rPr>
      </w:pPr>
      <w:r w:rsidRPr="005B1A3E">
        <w:rPr>
          <w:rFonts w:ascii="Arial" w:hAnsi="Arial" w:cs="Arial"/>
          <w:sz w:val="22"/>
        </w:rPr>
        <w:t>The location of the listing provided deems to have far stretched implications on governance, investor relations and regulatory compliance. The board is also looking at Shanghai and Netherlands listings although AIM is the main concern. In every jurisdiction, there would be different institutional settings.</w:t>
      </w:r>
    </w:p>
    <w:p w14:paraId="310DD1DF" w14:textId="77777777" w:rsidR="0029187C" w:rsidRPr="005B1A3E" w:rsidRDefault="0029187C" w:rsidP="005B1A3E">
      <w:pPr>
        <w:rPr>
          <w:rFonts w:ascii="Arial" w:hAnsi="Arial" w:cs="Arial"/>
          <w:b/>
          <w:bCs/>
          <w:sz w:val="22"/>
        </w:rPr>
      </w:pPr>
      <w:r w:rsidRPr="005B1A3E">
        <w:rPr>
          <w:rFonts w:ascii="Arial" w:hAnsi="Arial" w:cs="Arial"/>
          <w:b/>
          <w:bCs/>
          <w:sz w:val="22"/>
        </w:rPr>
        <w:t>AIM Market UK</w:t>
      </w:r>
    </w:p>
    <w:p w14:paraId="3EE18D35" w14:textId="77777777" w:rsidR="0029187C" w:rsidRPr="005B1A3E" w:rsidRDefault="0029187C" w:rsidP="005B1A3E">
      <w:pPr>
        <w:rPr>
          <w:rFonts w:ascii="Arial" w:hAnsi="Arial" w:cs="Arial"/>
          <w:sz w:val="22"/>
        </w:rPr>
      </w:pPr>
      <w:r w:rsidRPr="005B1A3E">
        <w:rPr>
          <w:rFonts w:ascii="Arial" w:hAnsi="Arial" w:cs="Arial"/>
          <w:sz w:val="22"/>
        </w:rPr>
        <w:t>The AIM in the UK is regulated by the Finance conduct authority (FCA) and is flexible to the smaller companies. Through the QCA Code, governance has adopted a model that states that it is to comply and explain, which encourages the independence of the board, transparency, and engagement on stakeholders. The requirements with regards to listing are generally modest and there exists solid exposure to institutional investors who understand the best practice in governance.</w:t>
      </w:r>
    </w:p>
    <w:p w14:paraId="3C355A00" w14:textId="77777777" w:rsidR="0029187C" w:rsidRPr="005B1A3E" w:rsidRDefault="0029187C" w:rsidP="005B1A3E">
      <w:pPr>
        <w:rPr>
          <w:rFonts w:ascii="Arial" w:hAnsi="Arial" w:cs="Arial"/>
          <w:b/>
          <w:bCs/>
          <w:sz w:val="22"/>
        </w:rPr>
      </w:pPr>
      <w:r w:rsidRPr="005B1A3E">
        <w:rPr>
          <w:rFonts w:ascii="Arial" w:hAnsi="Arial" w:cs="Arial"/>
          <w:b/>
          <w:bCs/>
          <w:sz w:val="22"/>
        </w:rPr>
        <w:t xml:space="preserve">Shanghai Stock Exchange (SSE) </w:t>
      </w:r>
    </w:p>
    <w:p w14:paraId="26E4E2F6" w14:textId="5A31B8EC" w:rsidR="0029187C" w:rsidRPr="005B1A3E" w:rsidRDefault="0029187C" w:rsidP="005B1A3E">
      <w:pPr>
        <w:rPr>
          <w:rFonts w:ascii="Arial" w:hAnsi="Arial" w:cs="Arial"/>
          <w:sz w:val="22"/>
        </w:rPr>
      </w:pPr>
      <w:r w:rsidRPr="005B1A3E">
        <w:rPr>
          <w:rFonts w:ascii="Arial" w:hAnsi="Arial" w:cs="Arial"/>
          <w:sz w:val="22"/>
        </w:rPr>
        <w:t xml:space="preserve">The China Securities regulatory commission (CSRC) regulates the SSE. Although China has made tremendous developments, the norms of governance highly depend on the state ownership and political control. The governmental organizations tend to exert strong influence on the listed companies and the protection of the investors, so, especially the minority shareholders </w:t>
      </w:r>
      <w:r w:rsidR="00BA5ECA" w:rsidRPr="005B1A3E">
        <w:rPr>
          <w:rFonts w:ascii="Arial" w:hAnsi="Arial" w:cs="Arial"/>
          <w:sz w:val="22"/>
        </w:rPr>
        <w:t>are</w:t>
      </w:r>
      <w:r w:rsidRPr="005B1A3E">
        <w:rPr>
          <w:rFonts w:ascii="Arial" w:hAnsi="Arial" w:cs="Arial"/>
          <w:sz w:val="22"/>
        </w:rPr>
        <w:t xml:space="preserve"> minimal. Also, the system of obstacles to the free flow of capital (repatriation), weak transparency in regulation, and the underdeveloped rights of investors are significant foreign-or family-controlled companies </w:t>
      </w:r>
      <w:r w:rsidR="00F3611E" w:rsidRPr="005B1A3E">
        <w:rPr>
          <w:rFonts w:ascii="Arial" w:hAnsi="Arial" w:cs="Arial"/>
          <w:sz w:val="22"/>
        </w:rPr>
        <w:t>(Supriyanto, et al., 2024)</w:t>
      </w:r>
      <w:r w:rsidRPr="005B1A3E">
        <w:rPr>
          <w:rFonts w:ascii="Arial" w:hAnsi="Arial" w:cs="Arial"/>
          <w:sz w:val="22"/>
        </w:rPr>
        <w:t>.</w:t>
      </w:r>
    </w:p>
    <w:p w14:paraId="45641DE4" w14:textId="77777777" w:rsidR="0029187C" w:rsidRPr="005B1A3E" w:rsidRDefault="0029187C" w:rsidP="005B1A3E">
      <w:pPr>
        <w:rPr>
          <w:rFonts w:ascii="Arial" w:hAnsi="Arial" w:cs="Arial"/>
          <w:b/>
          <w:bCs/>
          <w:sz w:val="22"/>
        </w:rPr>
      </w:pPr>
      <w:r w:rsidRPr="005B1A3E">
        <w:rPr>
          <w:rFonts w:ascii="Arial" w:hAnsi="Arial" w:cs="Arial"/>
          <w:b/>
          <w:bCs/>
          <w:sz w:val="22"/>
        </w:rPr>
        <w:t xml:space="preserve">Netherlands (Avd Euronext Amsterdam) </w:t>
      </w:r>
    </w:p>
    <w:p w14:paraId="4F7D9953" w14:textId="7DF56DFC" w:rsidR="003065E3" w:rsidRPr="005B1A3E" w:rsidRDefault="0029187C" w:rsidP="005B1A3E">
      <w:pPr>
        <w:rPr>
          <w:rFonts w:ascii="Arial" w:hAnsi="Arial" w:cs="Arial"/>
          <w:sz w:val="22"/>
        </w:rPr>
      </w:pPr>
      <w:r w:rsidRPr="005B1A3E">
        <w:rPr>
          <w:rFonts w:ascii="Arial" w:hAnsi="Arial" w:cs="Arial"/>
          <w:sz w:val="22"/>
        </w:rPr>
        <w:t xml:space="preserve">The Dutch market is highly governed in terms of investor protection and the standards of governance with a provision of strong investor protection and standards of governance that are based on the Dutch Corporate Governance Code. Interestingly, Dutch corporations are in a position to employ the use of stichting (trust foundations which enable the division of control and economic ownership). This enables creation of the spread effect whereby founding shareholders are able to maintain power despite having a minority equity holding </w:t>
      </w:r>
      <w:r w:rsidR="00F3611E" w:rsidRPr="005B1A3E">
        <w:rPr>
          <w:rFonts w:ascii="Arial" w:hAnsi="Arial" w:cs="Arial"/>
          <w:sz w:val="22"/>
        </w:rPr>
        <w:t>(Lei, et al., 2024)</w:t>
      </w:r>
      <w:r w:rsidRPr="005B1A3E">
        <w:rPr>
          <w:rFonts w:ascii="Arial" w:hAnsi="Arial" w:cs="Arial"/>
          <w:sz w:val="22"/>
        </w:rPr>
        <w:t>. What is more, the Netherlands offers a unique combination of strong legal protection bundled with a free attitude to ownership patterns and stakeholder engagement, which attracts the companies aiming to balance capital availability and the need to retain control.</w:t>
      </w:r>
    </w:p>
    <w:p w14:paraId="4A384FB1" w14:textId="77777777" w:rsidR="003065E3" w:rsidRPr="005B1A3E" w:rsidRDefault="003065E3" w:rsidP="005B1A3E">
      <w:pPr>
        <w:rPr>
          <w:rFonts w:ascii="Arial" w:hAnsi="Arial" w:cs="Arial"/>
          <w:sz w:val="22"/>
        </w:rPr>
      </w:pPr>
      <w:r w:rsidRPr="005B1A3E">
        <w:rPr>
          <w:rFonts w:ascii="Arial" w:hAnsi="Arial" w:cs="Arial"/>
          <w:sz w:val="22"/>
        </w:rPr>
        <w:t>Comparative Table</w:t>
      </w:r>
    </w:p>
    <w:tbl>
      <w:tblPr>
        <w:tblStyle w:val="TableGrid"/>
        <w:tblW w:w="0" w:type="auto"/>
        <w:tblLook w:val="04A0" w:firstRow="1" w:lastRow="0" w:firstColumn="1" w:lastColumn="0" w:noHBand="0" w:noVBand="1"/>
      </w:tblPr>
      <w:tblGrid>
        <w:gridCol w:w="2695"/>
        <w:gridCol w:w="1979"/>
        <w:gridCol w:w="2338"/>
        <w:gridCol w:w="2338"/>
      </w:tblGrid>
      <w:tr w:rsidR="00F40E17" w:rsidRPr="005B1A3E" w14:paraId="41806177" w14:textId="77777777" w:rsidTr="00F40E17">
        <w:tc>
          <w:tcPr>
            <w:tcW w:w="2695" w:type="dxa"/>
          </w:tcPr>
          <w:p w14:paraId="77752FA0" w14:textId="4F29DDB2" w:rsidR="00F40E17" w:rsidRPr="005B1A3E" w:rsidRDefault="00F40E17" w:rsidP="005B1A3E">
            <w:pPr>
              <w:rPr>
                <w:rFonts w:ascii="Arial" w:hAnsi="Arial" w:cs="Arial"/>
                <w:b/>
                <w:bCs/>
                <w:sz w:val="22"/>
              </w:rPr>
            </w:pPr>
            <w:r w:rsidRPr="005B1A3E">
              <w:rPr>
                <w:rFonts w:ascii="Arial" w:hAnsi="Arial" w:cs="Arial"/>
                <w:b/>
                <w:bCs/>
                <w:sz w:val="22"/>
              </w:rPr>
              <w:lastRenderedPageBreak/>
              <w:t>Criteria</w:t>
            </w:r>
          </w:p>
        </w:tc>
        <w:tc>
          <w:tcPr>
            <w:tcW w:w="1979" w:type="dxa"/>
          </w:tcPr>
          <w:p w14:paraId="65B1089B" w14:textId="60028AAB" w:rsidR="00F40E17" w:rsidRPr="005B1A3E" w:rsidRDefault="00F40E17" w:rsidP="005B1A3E">
            <w:pPr>
              <w:rPr>
                <w:rFonts w:ascii="Arial" w:hAnsi="Arial" w:cs="Arial"/>
                <w:b/>
                <w:bCs/>
                <w:sz w:val="22"/>
              </w:rPr>
            </w:pPr>
            <w:r w:rsidRPr="005B1A3E">
              <w:rPr>
                <w:rFonts w:ascii="Arial" w:hAnsi="Arial" w:cs="Arial"/>
                <w:b/>
                <w:bCs/>
                <w:sz w:val="22"/>
              </w:rPr>
              <w:t>UK</w:t>
            </w:r>
          </w:p>
        </w:tc>
        <w:tc>
          <w:tcPr>
            <w:tcW w:w="2338" w:type="dxa"/>
          </w:tcPr>
          <w:p w14:paraId="53A40956" w14:textId="4CD8D9F8" w:rsidR="00F40E17" w:rsidRPr="005B1A3E" w:rsidRDefault="00F40E17" w:rsidP="005B1A3E">
            <w:pPr>
              <w:rPr>
                <w:rFonts w:ascii="Arial" w:hAnsi="Arial" w:cs="Arial"/>
                <w:b/>
                <w:bCs/>
                <w:sz w:val="22"/>
              </w:rPr>
            </w:pPr>
            <w:r w:rsidRPr="005B1A3E">
              <w:rPr>
                <w:rFonts w:ascii="Arial" w:hAnsi="Arial" w:cs="Arial"/>
                <w:b/>
                <w:bCs/>
                <w:sz w:val="22"/>
              </w:rPr>
              <w:t>Shanghai</w:t>
            </w:r>
          </w:p>
        </w:tc>
        <w:tc>
          <w:tcPr>
            <w:tcW w:w="2338" w:type="dxa"/>
          </w:tcPr>
          <w:p w14:paraId="5706F8B7" w14:textId="0EAAD21A" w:rsidR="00F40E17" w:rsidRPr="005B1A3E" w:rsidRDefault="00F40E17" w:rsidP="005B1A3E">
            <w:pPr>
              <w:rPr>
                <w:rFonts w:ascii="Arial" w:hAnsi="Arial" w:cs="Arial"/>
                <w:b/>
                <w:bCs/>
                <w:sz w:val="22"/>
              </w:rPr>
            </w:pPr>
            <w:r w:rsidRPr="005B1A3E">
              <w:rPr>
                <w:rFonts w:ascii="Arial" w:hAnsi="Arial" w:cs="Arial"/>
                <w:b/>
                <w:bCs/>
                <w:sz w:val="22"/>
              </w:rPr>
              <w:t>Netherlands</w:t>
            </w:r>
          </w:p>
        </w:tc>
      </w:tr>
      <w:tr w:rsidR="00F40E17" w:rsidRPr="005B1A3E" w14:paraId="0340E2E2" w14:textId="77777777" w:rsidTr="00F40E17">
        <w:tc>
          <w:tcPr>
            <w:tcW w:w="2695" w:type="dxa"/>
          </w:tcPr>
          <w:p w14:paraId="7527FC07" w14:textId="10FEA143" w:rsidR="00F40E17" w:rsidRPr="005B1A3E" w:rsidRDefault="00F40E17" w:rsidP="005B1A3E">
            <w:pPr>
              <w:rPr>
                <w:rFonts w:ascii="Arial" w:hAnsi="Arial" w:cs="Arial"/>
                <w:sz w:val="22"/>
              </w:rPr>
            </w:pPr>
            <w:r w:rsidRPr="005B1A3E">
              <w:rPr>
                <w:rFonts w:ascii="Arial" w:hAnsi="Arial" w:cs="Arial"/>
                <w:sz w:val="22"/>
              </w:rPr>
              <w:t>Listing Flexibility</w:t>
            </w:r>
          </w:p>
        </w:tc>
        <w:tc>
          <w:tcPr>
            <w:tcW w:w="1979" w:type="dxa"/>
          </w:tcPr>
          <w:p w14:paraId="19FC84AB" w14:textId="683FC2CE" w:rsidR="00F40E17" w:rsidRPr="005B1A3E" w:rsidRDefault="00F40E17" w:rsidP="005B1A3E">
            <w:pPr>
              <w:rPr>
                <w:rFonts w:ascii="Arial" w:hAnsi="Arial" w:cs="Arial"/>
                <w:sz w:val="22"/>
              </w:rPr>
            </w:pPr>
            <w:r w:rsidRPr="005B1A3E">
              <w:rPr>
                <w:rFonts w:ascii="Arial" w:hAnsi="Arial" w:cs="Arial"/>
                <w:sz w:val="22"/>
              </w:rPr>
              <w:t>High</w:t>
            </w:r>
          </w:p>
        </w:tc>
        <w:tc>
          <w:tcPr>
            <w:tcW w:w="2338" w:type="dxa"/>
          </w:tcPr>
          <w:p w14:paraId="077A4BCC" w14:textId="18319F2B" w:rsidR="00F40E17" w:rsidRPr="005B1A3E" w:rsidRDefault="00F40E17" w:rsidP="005B1A3E">
            <w:pPr>
              <w:rPr>
                <w:rFonts w:ascii="Arial" w:hAnsi="Arial" w:cs="Arial"/>
                <w:sz w:val="22"/>
              </w:rPr>
            </w:pPr>
            <w:r w:rsidRPr="005B1A3E">
              <w:rPr>
                <w:rFonts w:ascii="Arial" w:hAnsi="Arial" w:cs="Arial"/>
                <w:sz w:val="22"/>
              </w:rPr>
              <w:t>Moderate</w:t>
            </w:r>
          </w:p>
        </w:tc>
        <w:tc>
          <w:tcPr>
            <w:tcW w:w="2338" w:type="dxa"/>
          </w:tcPr>
          <w:p w14:paraId="79BA8302" w14:textId="1494FB0F" w:rsidR="00F40E17" w:rsidRPr="005B1A3E" w:rsidRDefault="00F40E17" w:rsidP="005B1A3E">
            <w:pPr>
              <w:rPr>
                <w:rFonts w:ascii="Arial" w:hAnsi="Arial" w:cs="Arial"/>
                <w:sz w:val="22"/>
              </w:rPr>
            </w:pPr>
            <w:r w:rsidRPr="005B1A3E">
              <w:rPr>
                <w:rFonts w:ascii="Arial" w:hAnsi="Arial" w:cs="Arial"/>
                <w:sz w:val="22"/>
              </w:rPr>
              <w:t>High</w:t>
            </w:r>
          </w:p>
        </w:tc>
      </w:tr>
      <w:tr w:rsidR="00F40E17" w:rsidRPr="005B1A3E" w14:paraId="1F593537" w14:textId="77777777" w:rsidTr="00F40E17">
        <w:tc>
          <w:tcPr>
            <w:tcW w:w="2695" w:type="dxa"/>
          </w:tcPr>
          <w:p w14:paraId="6B4CB504" w14:textId="52ED7EAD" w:rsidR="00F40E17" w:rsidRPr="005B1A3E" w:rsidRDefault="00F40E17" w:rsidP="005B1A3E">
            <w:pPr>
              <w:rPr>
                <w:rFonts w:ascii="Arial" w:hAnsi="Arial" w:cs="Arial"/>
                <w:sz w:val="22"/>
              </w:rPr>
            </w:pPr>
            <w:r w:rsidRPr="005B1A3E">
              <w:rPr>
                <w:rFonts w:ascii="Arial" w:hAnsi="Arial" w:cs="Arial"/>
                <w:sz w:val="22"/>
              </w:rPr>
              <w:t>Corporate Control Tools</w:t>
            </w:r>
          </w:p>
        </w:tc>
        <w:tc>
          <w:tcPr>
            <w:tcW w:w="1979" w:type="dxa"/>
          </w:tcPr>
          <w:p w14:paraId="78C94E24" w14:textId="1484E5AB" w:rsidR="00F40E17" w:rsidRPr="005B1A3E" w:rsidRDefault="00F40E17" w:rsidP="005B1A3E">
            <w:pPr>
              <w:rPr>
                <w:rFonts w:ascii="Arial" w:hAnsi="Arial" w:cs="Arial"/>
                <w:sz w:val="22"/>
              </w:rPr>
            </w:pPr>
            <w:r w:rsidRPr="005B1A3E">
              <w:rPr>
                <w:rFonts w:ascii="Arial" w:hAnsi="Arial" w:cs="Arial"/>
                <w:sz w:val="22"/>
              </w:rPr>
              <w:t>Limited</w:t>
            </w:r>
          </w:p>
        </w:tc>
        <w:tc>
          <w:tcPr>
            <w:tcW w:w="2338" w:type="dxa"/>
          </w:tcPr>
          <w:p w14:paraId="5DC7BD60" w14:textId="2FB33828" w:rsidR="00F40E17" w:rsidRPr="005B1A3E" w:rsidRDefault="00F40E17" w:rsidP="005B1A3E">
            <w:pPr>
              <w:rPr>
                <w:rFonts w:ascii="Arial" w:hAnsi="Arial" w:cs="Arial"/>
                <w:sz w:val="22"/>
              </w:rPr>
            </w:pPr>
            <w:r w:rsidRPr="005B1A3E">
              <w:rPr>
                <w:rFonts w:ascii="Arial" w:hAnsi="Arial" w:cs="Arial"/>
                <w:sz w:val="22"/>
              </w:rPr>
              <w:t>Strong state influence</w:t>
            </w:r>
          </w:p>
        </w:tc>
        <w:tc>
          <w:tcPr>
            <w:tcW w:w="2338" w:type="dxa"/>
          </w:tcPr>
          <w:p w14:paraId="52B90748" w14:textId="02435DFF" w:rsidR="00F40E17" w:rsidRPr="005B1A3E" w:rsidRDefault="00F40E17" w:rsidP="005B1A3E">
            <w:pPr>
              <w:rPr>
                <w:rFonts w:ascii="Arial" w:hAnsi="Arial" w:cs="Arial"/>
                <w:sz w:val="22"/>
              </w:rPr>
            </w:pPr>
            <w:r w:rsidRPr="005B1A3E">
              <w:rPr>
                <w:rFonts w:ascii="Arial" w:hAnsi="Arial" w:cs="Arial"/>
                <w:sz w:val="22"/>
              </w:rPr>
              <w:t xml:space="preserve">Use of </w:t>
            </w:r>
            <w:r w:rsidR="00BD6FF9" w:rsidRPr="005B1A3E">
              <w:rPr>
                <w:rFonts w:ascii="Arial" w:hAnsi="Arial" w:cs="Arial"/>
                <w:sz w:val="22"/>
              </w:rPr>
              <w:t>Stitching</w:t>
            </w:r>
          </w:p>
        </w:tc>
      </w:tr>
      <w:tr w:rsidR="00F40E17" w:rsidRPr="005B1A3E" w14:paraId="0AE96C51" w14:textId="77777777" w:rsidTr="00F40E17">
        <w:tc>
          <w:tcPr>
            <w:tcW w:w="2695" w:type="dxa"/>
          </w:tcPr>
          <w:p w14:paraId="3C5B5393" w14:textId="7CB496F8" w:rsidR="00F40E17" w:rsidRPr="005B1A3E" w:rsidRDefault="00F40E17" w:rsidP="005B1A3E">
            <w:pPr>
              <w:rPr>
                <w:rFonts w:ascii="Arial" w:hAnsi="Arial" w:cs="Arial"/>
                <w:sz w:val="22"/>
              </w:rPr>
            </w:pPr>
            <w:r w:rsidRPr="005B1A3E">
              <w:rPr>
                <w:rFonts w:ascii="Arial" w:hAnsi="Arial" w:cs="Arial"/>
                <w:sz w:val="22"/>
              </w:rPr>
              <w:t>Investor Protection</w:t>
            </w:r>
          </w:p>
        </w:tc>
        <w:tc>
          <w:tcPr>
            <w:tcW w:w="1979" w:type="dxa"/>
          </w:tcPr>
          <w:p w14:paraId="16A20B04" w14:textId="2340B8E9" w:rsidR="00F40E17" w:rsidRPr="005B1A3E" w:rsidRDefault="00F40E17" w:rsidP="005B1A3E">
            <w:pPr>
              <w:rPr>
                <w:rFonts w:ascii="Arial" w:hAnsi="Arial" w:cs="Arial"/>
                <w:sz w:val="22"/>
              </w:rPr>
            </w:pPr>
            <w:r w:rsidRPr="005B1A3E">
              <w:rPr>
                <w:rFonts w:ascii="Arial" w:hAnsi="Arial" w:cs="Arial"/>
                <w:sz w:val="22"/>
              </w:rPr>
              <w:t>Strong</w:t>
            </w:r>
          </w:p>
        </w:tc>
        <w:tc>
          <w:tcPr>
            <w:tcW w:w="2338" w:type="dxa"/>
          </w:tcPr>
          <w:p w14:paraId="618D5F69" w14:textId="5D3047BB" w:rsidR="00F40E17" w:rsidRPr="005B1A3E" w:rsidRDefault="00F40E17" w:rsidP="005B1A3E">
            <w:pPr>
              <w:rPr>
                <w:rFonts w:ascii="Arial" w:hAnsi="Arial" w:cs="Arial"/>
                <w:sz w:val="22"/>
              </w:rPr>
            </w:pPr>
            <w:r w:rsidRPr="005B1A3E">
              <w:rPr>
                <w:rFonts w:ascii="Arial" w:hAnsi="Arial" w:cs="Arial"/>
                <w:sz w:val="22"/>
              </w:rPr>
              <w:t>Developing</w:t>
            </w:r>
          </w:p>
        </w:tc>
        <w:tc>
          <w:tcPr>
            <w:tcW w:w="2338" w:type="dxa"/>
          </w:tcPr>
          <w:p w14:paraId="07921983" w14:textId="2DD6CC1D" w:rsidR="00F40E17" w:rsidRPr="005B1A3E" w:rsidRDefault="00F40E17" w:rsidP="005B1A3E">
            <w:pPr>
              <w:rPr>
                <w:rFonts w:ascii="Arial" w:hAnsi="Arial" w:cs="Arial"/>
                <w:sz w:val="22"/>
              </w:rPr>
            </w:pPr>
            <w:r w:rsidRPr="005B1A3E">
              <w:rPr>
                <w:rFonts w:ascii="Arial" w:hAnsi="Arial" w:cs="Arial"/>
                <w:sz w:val="22"/>
              </w:rPr>
              <w:t>Strong</w:t>
            </w:r>
          </w:p>
        </w:tc>
      </w:tr>
      <w:tr w:rsidR="00F40E17" w:rsidRPr="005B1A3E" w14:paraId="45E179F0" w14:textId="77777777" w:rsidTr="00F40E17">
        <w:trPr>
          <w:trHeight w:val="1214"/>
        </w:trPr>
        <w:tc>
          <w:tcPr>
            <w:tcW w:w="2695" w:type="dxa"/>
          </w:tcPr>
          <w:p w14:paraId="37ED1BF8" w14:textId="128879A1" w:rsidR="00F40E17" w:rsidRPr="005B1A3E" w:rsidRDefault="00F40E17" w:rsidP="005B1A3E">
            <w:pPr>
              <w:rPr>
                <w:rFonts w:ascii="Arial" w:hAnsi="Arial" w:cs="Arial"/>
                <w:sz w:val="22"/>
              </w:rPr>
            </w:pPr>
            <w:r w:rsidRPr="005B1A3E">
              <w:rPr>
                <w:rFonts w:ascii="Arial" w:hAnsi="Arial" w:cs="Arial"/>
                <w:sz w:val="22"/>
              </w:rPr>
              <w:t>Cultural/Legal Environment</w:t>
            </w:r>
          </w:p>
        </w:tc>
        <w:tc>
          <w:tcPr>
            <w:tcW w:w="1979" w:type="dxa"/>
          </w:tcPr>
          <w:p w14:paraId="1E56C9F2" w14:textId="69AF21E0" w:rsidR="00F40E17" w:rsidRPr="005B1A3E" w:rsidRDefault="00F40E17" w:rsidP="005B1A3E">
            <w:pPr>
              <w:rPr>
                <w:rFonts w:ascii="Arial" w:hAnsi="Arial" w:cs="Arial"/>
                <w:sz w:val="22"/>
              </w:rPr>
            </w:pPr>
            <w:r w:rsidRPr="005B1A3E">
              <w:rPr>
                <w:rFonts w:ascii="Arial" w:hAnsi="Arial" w:cs="Arial"/>
                <w:sz w:val="22"/>
              </w:rPr>
              <w:t>Common Law</w:t>
            </w:r>
          </w:p>
        </w:tc>
        <w:tc>
          <w:tcPr>
            <w:tcW w:w="2338" w:type="dxa"/>
          </w:tcPr>
          <w:p w14:paraId="028DFC05" w14:textId="746ED886" w:rsidR="00F40E17" w:rsidRPr="005B1A3E" w:rsidRDefault="00F40E17" w:rsidP="005B1A3E">
            <w:pPr>
              <w:rPr>
                <w:rFonts w:ascii="Arial" w:hAnsi="Arial" w:cs="Arial"/>
                <w:sz w:val="22"/>
              </w:rPr>
            </w:pPr>
            <w:r w:rsidRPr="005B1A3E">
              <w:rPr>
                <w:rFonts w:ascii="Arial" w:hAnsi="Arial" w:cs="Arial"/>
                <w:sz w:val="22"/>
              </w:rPr>
              <w:t>Civil Law (State-centric)</w:t>
            </w:r>
          </w:p>
        </w:tc>
        <w:tc>
          <w:tcPr>
            <w:tcW w:w="2338" w:type="dxa"/>
          </w:tcPr>
          <w:p w14:paraId="1C09FAA6" w14:textId="4656189E" w:rsidR="00F40E17" w:rsidRPr="005B1A3E" w:rsidRDefault="00F40E17" w:rsidP="005B1A3E">
            <w:pPr>
              <w:rPr>
                <w:rFonts w:ascii="Arial" w:hAnsi="Arial" w:cs="Arial"/>
                <w:sz w:val="22"/>
              </w:rPr>
            </w:pPr>
            <w:r w:rsidRPr="005B1A3E">
              <w:rPr>
                <w:rFonts w:ascii="Arial" w:hAnsi="Arial" w:cs="Arial"/>
                <w:sz w:val="22"/>
              </w:rPr>
              <w:t>Civil Law (Market oriented0</w:t>
            </w:r>
          </w:p>
        </w:tc>
      </w:tr>
    </w:tbl>
    <w:p w14:paraId="2425320A" w14:textId="77777777" w:rsidR="00F40E17" w:rsidRPr="005B1A3E" w:rsidRDefault="00F40E17" w:rsidP="005B1A3E">
      <w:pPr>
        <w:rPr>
          <w:rFonts w:ascii="Arial" w:hAnsi="Arial" w:cs="Arial"/>
          <w:sz w:val="22"/>
        </w:rPr>
      </w:pPr>
    </w:p>
    <w:p w14:paraId="55B1CBD4" w14:textId="0D77C1FA" w:rsidR="00FD2343" w:rsidRPr="005B1A3E" w:rsidRDefault="00F40E17" w:rsidP="005B1A3E">
      <w:pPr>
        <w:rPr>
          <w:rFonts w:ascii="Arial" w:hAnsi="Arial" w:cs="Arial"/>
          <w:sz w:val="22"/>
        </w:rPr>
      </w:pPr>
      <w:r w:rsidRPr="005B1A3E">
        <w:rPr>
          <w:rFonts w:ascii="Arial" w:hAnsi="Arial" w:cs="Arial"/>
          <w:sz w:val="22"/>
        </w:rPr>
        <w:t>Therefore, Netherlands can present a superior trad</w:t>
      </w:r>
      <w:r w:rsidR="00600EE3" w:rsidRPr="005B1A3E">
        <w:rPr>
          <w:rFonts w:ascii="Arial" w:hAnsi="Arial" w:cs="Arial"/>
          <w:sz w:val="22"/>
        </w:rPr>
        <w:t>-</w:t>
      </w:r>
      <w:r w:rsidRPr="005B1A3E">
        <w:rPr>
          <w:rFonts w:ascii="Arial" w:hAnsi="Arial" w:cs="Arial"/>
          <w:sz w:val="22"/>
        </w:rPr>
        <w:t xml:space="preserve"> off between the investor expectations and maintaining control than Shanghai, whereas the most familiar and flexible regulatory environment can be found in the UK.</w:t>
      </w:r>
    </w:p>
    <w:p w14:paraId="0D92B053" w14:textId="0DA089D9" w:rsidR="00FD2343" w:rsidRPr="005B1A3E" w:rsidRDefault="00FD2343" w:rsidP="005B1A3E">
      <w:pPr>
        <w:pStyle w:val="Heading1"/>
        <w:rPr>
          <w:rFonts w:ascii="Arial" w:hAnsi="Arial" w:cs="Arial"/>
          <w:sz w:val="22"/>
          <w:szCs w:val="22"/>
        </w:rPr>
      </w:pPr>
      <w:bookmarkStart w:id="9" w:name="_Toc201344778"/>
      <w:r w:rsidRPr="005B1A3E">
        <w:rPr>
          <w:rFonts w:ascii="Arial" w:hAnsi="Arial" w:cs="Arial"/>
          <w:sz w:val="22"/>
          <w:szCs w:val="22"/>
        </w:rPr>
        <w:t>Recommendations</w:t>
      </w:r>
      <w:bookmarkEnd w:id="9"/>
    </w:p>
    <w:p w14:paraId="748902A8" w14:textId="18EB3D51" w:rsidR="00FD2343" w:rsidRPr="005B1A3E" w:rsidRDefault="00FD2343" w:rsidP="005B1A3E">
      <w:pPr>
        <w:pStyle w:val="ListParagraph"/>
        <w:numPr>
          <w:ilvl w:val="0"/>
          <w:numId w:val="6"/>
        </w:numPr>
        <w:rPr>
          <w:rFonts w:ascii="Arial" w:hAnsi="Arial" w:cs="Arial"/>
          <w:sz w:val="22"/>
        </w:rPr>
      </w:pPr>
      <w:r w:rsidRPr="005B1A3E">
        <w:rPr>
          <w:rFonts w:ascii="Arial" w:hAnsi="Arial" w:cs="Arial"/>
          <w:sz w:val="22"/>
        </w:rPr>
        <w:t>Apply the QCA Corporate Governance Code and introduce the concepts of independent NEDs and board subcommittees (audit, nomenclature and remuneration).</w:t>
      </w:r>
    </w:p>
    <w:p w14:paraId="42A3E91A" w14:textId="139C169C" w:rsidR="00FD2343" w:rsidRPr="005B1A3E" w:rsidRDefault="00FD2343" w:rsidP="005B1A3E">
      <w:pPr>
        <w:pStyle w:val="ListParagraph"/>
        <w:numPr>
          <w:ilvl w:val="0"/>
          <w:numId w:val="6"/>
        </w:numPr>
        <w:rPr>
          <w:rFonts w:ascii="Arial" w:hAnsi="Arial" w:cs="Arial"/>
          <w:sz w:val="22"/>
        </w:rPr>
      </w:pPr>
      <w:r w:rsidRPr="005B1A3E">
        <w:rPr>
          <w:rFonts w:ascii="Arial" w:hAnsi="Arial" w:cs="Arial"/>
          <w:sz w:val="22"/>
        </w:rPr>
        <w:t>Write a shareholders governance agreement as a safeguard to strategic control rights after listing.</w:t>
      </w:r>
    </w:p>
    <w:p w14:paraId="185540AB" w14:textId="64D7750F" w:rsidR="00FD2343" w:rsidRPr="005B1A3E" w:rsidRDefault="00FD2343" w:rsidP="005B1A3E">
      <w:pPr>
        <w:pStyle w:val="ListParagraph"/>
        <w:numPr>
          <w:ilvl w:val="0"/>
          <w:numId w:val="6"/>
        </w:numPr>
        <w:rPr>
          <w:rFonts w:ascii="Arial" w:hAnsi="Arial" w:cs="Arial"/>
          <w:sz w:val="22"/>
        </w:rPr>
      </w:pPr>
      <w:r w:rsidRPr="005B1A3E">
        <w:rPr>
          <w:rFonts w:ascii="Arial" w:hAnsi="Arial" w:cs="Arial"/>
          <w:sz w:val="22"/>
        </w:rPr>
        <w:t>Think about implementing a long-term incentive plan (LTIP)</w:t>
      </w:r>
      <w:r w:rsidR="00600EE3" w:rsidRPr="005B1A3E">
        <w:rPr>
          <w:rFonts w:ascii="Arial" w:hAnsi="Arial" w:cs="Arial"/>
          <w:sz w:val="22"/>
        </w:rPr>
        <w:t xml:space="preserve"> </w:t>
      </w:r>
      <w:r w:rsidRPr="005B1A3E">
        <w:rPr>
          <w:rFonts w:ascii="Arial" w:hAnsi="Arial" w:cs="Arial"/>
          <w:sz w:val="22"/>
        </w:rPr>
        <w:t>well-defined key performance indicators (KPIs) linked to the value and shareholders returns of the firm.</w:t>
      </w:r>
    </w:p>
    <w:p w14:paraId="7787D899" w14:textId="0CE7F28E" w:rsidR="00FD2343" w:rsidRPr="005B1A3E" w:rsidRDefault="00FD2343" w:rsidP="005B1A3E">
      <w:pPr>
        <w:pStyle w:val="ListParagraph"/>
        <w:numPr>
          <w:ilvl w:val="0"/>
          <w:numId w:val="6"/>
        </w:numPr>
        <w:rPr>
          <w:rFonts w:ascii="Arial" w:hAnsi="Arial" w:cs="Arial"/>
          <w:sz w:val="22"/>
        </w:rPr>
      </w:pPr>
      <w:r w:rsidRPr="005B1A3E">
        <w:rPr>
          <w:rFonts w:ascii="Arial" w:hAnsi="Arial" w:cs="Arial"/>
          <w:sz w:val="22"/>
        </w:rPr>
        <w:t>Maintain open and compared remuneration practices, and which are reviewed every year by the Remuneration Committee.</w:t>
      </w:r>
    </w:p>
    <w:p w14:paraId="54E4A5D2" w14:textId="77777777" w:rsidR="00FD2343" w:rsidRPr="005B1A3E" w:rsidRDefault="00FD2343" w:rsidP="005B1A3E">
      <w:pPr>
        <w:pStyle w:val="ListParagraph"/>
        <w:numPr>
          <w:ilvl w:val="0"/>
          <w:numId w:val="6"/>
        </w:numPr>
        <w:rPr>
          <w:rFonts w:ascii="Arial" w:hAnsi="Arial" w:cs="Arial"/>
          <w:sz w:val="22"/>
        </w:rPr>
      </w:pPr>
      <w:r w:rsidRPr="005B1A3E">
        <w:rPr>
          <w:rFonts w:ascii="Arial" w:hAnsi="Arial" w:cs="Arial"/>
          <w:sz w:val="22"/>
        </w:rPr>
        <w:t>Favour AIM listing in the UK as it is more regulated and investors are familiar with it; and in case going international, the Netherlands can be considered as an alternate country since it has a fair environment in governance.</w:t>
      </w:r>
    </w:p>
    <w:p w14:paraId="62BA5389" w14:textId="77777777" w:rsidR="00FD2343" w:rsidRPr="005B1A3E" w:rsidRDefault="00FD2343" w:rsidP="005B1A3E">
      <w:pPr>
        <w:pStyle w:val="ListParagraph"/>
        <w:rPr>
          <w:rFonts w:ascii="Arial" w:hAnsi="Arial" w:cs="Arial"/>
          <w:sz w:val="22"/>
        </w:rPr>
      </w:pPr>
    </w:p>
    <w:p w14:paraId="37C9B413" w14:textId="5CF59868" w:rsidR="00B32EC2" w:rsidRPr="005B1A3E" w:rsidRDefault="00B32EC2" w:rsidP="005B1A3E">
      <w:pPr>
        <w:pStyle w:val="ListParagraph"/>
        <w:numPr>
          <w:ilvl w:val="0"/>
          <w:numId w:val="6"/>
        </w:numPr>
        <w:rPr>
          <w:rFonts w:ascii="Arial" w:hAnsi="Arial" w:cs="Arial"/>
          <w:sz w:val="22"/>
        </w:rPr>
      </w:pPr>
      <w:r w:rsidRPr="005B1A3E">
        <w:rPr>
          <w:rFonts w:ascii="Arial" w:hAnsi="Arial" w:cs="Arial"/>
          <w:sz w:val="22"/>
        </w:rPr>
        <w:br w:type="page"/>
      </w:r>
    </w:p>
    <w:p w14:paraId="402636A7" w14:textId="77777777" w:rsidR="00D30902" w:rsidRPr="005B1A3E" w:rsidRDefault="00D30902" w:rsidP="005B1A3E">
      <w:pPr>
        <w:pStyle w:val="Heading1"/>
        <w:rPr>
          <w:rFonts w:ascii="Arial" w:hAnsi="Arial" w:cs="Arial"/>
          <w:sz w:val="22"/>
          <w:szCs w:val="22"/>
        </w:rPr>
      </w:pPr>
      <w:bookmarkStart w:id="10" w:name="_Toc201344779"/>
      <w:r w:rsidRPr="005B1A3E">
        <w:rPr>
          <w:rFonts w:ascii="Arial" w:hAnsi="Arial" w:cs="Arial"/>
          <w:sz w:val="22"/>
          <w:szCs w:val="22"/>
        </w:rPr>
        <w:lastRenderedPageBreak/>
        <w:t>Conclusion</w:t>
      </w:r>
      <w:bookmarkEnd w:id="10"/>
      <w:r w:rsidRPr="005B1A3E">
        <w:rPr>
          <w:rFonts w:ascii="Arial" w:hAnsi="Arial" w:cs="Arial"/>
          <w:sz w:val="22"/>
          <w:szCs w:val="22"/>
        </w:rPr>
        <w:t xml:space="preserve"> </w:t>
      </w:r>
    </w:p>
    <w:p w14:paraId="150B8A59" w14:textId="207BC441" w:rsidR="00D30902" w:rsidRPr="005B1A3E" w:rsidRDefault="00D30902" w:rsidP="005B1A3E">
      <w:pPr>
        <w:rPr>
          <w:rFonts w:ascii="Arial" w:hAnsi="Arial" w:cs="Arial"/>
          <w:sz w:val="22"/>
        </w:rPr>
      </w:pPr>
      <w:r w:rsidRPr="005B1A3E">
        <w:rPr>
          <w:rFonts w:ascii="Arial" w:hAnsi="Arial" w:cs="Arial"/>
          <w:sz w:val="22"/>
        </w:rPr>
        <w:t>With the company ready to list on the AIM, one should expect major changes in the governance, transparency and shareholder relationships. Restructuring of privately held firms into publicly traded capital market subjects them to agency risks and these risks have to be curtailed by effective governance procedures. The maintenance of control can be performed by the well-engineered voting rights and the board governance. The remuneration of the directors has to be aligned to performance and expectations of shareholders. Lastly, the institutional setting can be very different and UK may be flexible and transparent, whereas other jurisdictions, such as the Netherland, have got some hybrid-preserving controls in the midst of a powerful regulatory policy.</w:t>
      </w:r>
    </w:p>
    <w:p w14:paraId="4724B101" w14:textId="77777777" w:rsidR="00D30902" w:rsidRPr="005B1A3E" w:rsidRDefault="00D30902" w:rsidP="005B1A3E">
      <w:pPr>
        <w:rPr>
          <w:rFonts w:ascii="Arial" w:hAnsi="Arial" w:cs="Arial"/>
          <w:sz w:val="22"/>
        </w:rPr>
      </w:pPr>
      <w:r w:rsidRPr="005B1A3E">
        <w:rPr>
          <w:rFonts w:ascii="Arial" w:hAnsi="Arial" w:cs="Arial"/>
          <w:sz w:val="22"/>
        </w:rPr>
        <w:br w:type="page"/>
      </w:r>
    </w:p>
    <w:p w14:paraId="2C6E5C7B" w14:textId="640CB205" w:rsidR="0092705C" w:rsidRPr="005B1A3E" w:rsidRDefault="00FD2343" w:rsidP="005B1A3E">
      <w:pPr>
        <w:pStyle w:val="Heading1"/>
        <w:rPr>
          <w:rFonts w:ascii="Arial" w:hAnsi="Arial" w:cs="Arial"/>
          <w:sz w:val="22"/>
          <w:szCs w:val="22"/>
        </w:rPr>
      </w:pPr>
      <w:bookmarkStart w:id="11" w:name="_Toc201344780"/>
      <w:r w:rsidRPr="005B1A3E">
        <w:rPr>
          <w:rFonts w:ascii="Arial" w:hAnsi="Arial" w:cs="Arial"/>
          <w:sz w:val="22"/>
          <w:szCs w:val="22"/>
        </w:rPr>
        <w:lastRenderedPageBreak/>
        <w:t>Refere</w:t>
      </w:r>
      <w:r w:rsidR="0092705C" w:rsidRPr="005B1A3E">
        <w:rPr>
          <w:rFonts w:ascii="Arial" w:hAnsi="Arial" w:cs="Arial"/>
          <w:sz w:val="22"/>
          <w:szCs w:val="22"/>
        </w:rPr>
        <w:t>nce</w:t>
      </w:r>
      <w:r w:rsidRPr="005B1A3E">
        <w:rPr>
          <w:rFonts w:ascii="Arial" w:hAnsi="Arial" w:cs="Arial"/>
          <w:sz w:val="22"/>
          <w:szCs w:val="22"/>
        </w:rPr>
        <w:t>s</w:t>
      </w:r>
      <w:bookmarkEnd w:id="11"/>
    </w:p>
    <w:p w14:paraId="24281E8C" w14:textId="3228A3D9" w:rsidR="00E277A6" w:rsidRPr="005B1A3E" w:rsidRDefault="003624D0" w:rsidP="005B1A3E">
      <w:pPr>
        <w:ind w:left="720" w:hanging="720"/>
        <w:rPr>
          <w:rFonts w:ascii="Arial" w:hAnsi="Arial" w:cs="Arial"/>
          <w:sz w:val="22"/>
        </w:rPr>
      </w:pPr>
      <w:r w:rsidRPr="005B1A3E">
        <w:rPr>
          <w:rFonts w:ascii="Arial" w:hAnsi="Arial" w:cs="Arial"/>
          <w:sz w:val="22"/>
        </w:rPr>
        <w:t>Das, S.C., 2024. Corporate governance in India: An evaluation. PHI Learning Pvt. Ltd.</w:t>
      </w:r>
    </w:p>
    <w:p w14:paraId="324E21C4" w14:textId="306DC7A5" w:rsidR="00E277A6" w:rsidRPr="005B1A3E" w:rsidRDefault="00E277A6" w:rsidP="005B1A3E">
      <w:pPr>
        <w:ind w:left="720" w:hanging="720"/>
        <w:rPr>
          <w:rFonts w:ascii="Arial" w:hAnsi="Arial" w:cs="Arial"/>
          <w:sz w:val="22"/>
        </w:rPr>
      </w:pPr>
      <w:r w:rsidRPr="005B1A3E">
        <w:rPr>
          <w:rFonts w:ascii="Arial" w:hAnsi="Arial" w:cs="Arial"/>
          <w:sz w:val="22"/>
        </w:rPr>
        <w:t>Arhinful, R., Mensah, L. and Amin, H.I.M., 2024. Does corporate governance influence corporate social responsibility in developing African countries? Evidence from manufacturing companies listed in Ghana and Nigeria's Stock Exchange. International Journal of Corporate Governance, 14(3), pp.247-271.</w:t>
      </w:r>
    </w:p>
    <w:p w14:paraId="42F63069" w14:textId="2A4A716D" w:rsidR="00E277A6" w:rsidRPr="005B1A3E" w:rsidRDefault="00E277A6" w:rsidP="005B1A3E">
      <w:pPr>
        <w:ind w:left="720" w:hanging="720"/>
        <w:rPr>
          <w:rFonts w:ascii="Arial" w:hAnsi="Arial" w:cs="Arial"/>
          <w:sz w:val="22"/>
        </w:rPr>
      </w:pPr>
      <w:r w:rsidRPr="005B1A3E">
        <w:rPr>
          <w:rFonts w:ascii="Arial" w:hAnsi="Arial" w:cs="Arial"/>
          <w:sz w:val="22"/>
        </w:rPr>
        <w:t>Gebhardt, M., Schneider, A., Siedler, F., Ottenstein, P. and Zülch, H., 2024. Climate reporting in the fast lane? The impact of corporate governance on the disclosure of climate</w:t>
      </w:r>
      <w:r w:rsidRPr="005B1A3E">
        <w:rPr>
          <w:rFonts w:ascii="Cambria Math" w:hAnsi="Cambria Math" w:cs="Cambria Math"/>
          <w:sz w:val="22"/>
        </w:rPr>
        <w:t>‐</w:t>
      </w:r>
      <w:r w:rsidRPr="005B1A3E">
        <w:rPr>
          <w:rFonts w:ascii="Arial" w:hAnsi="Arial" w:cs="Arial"/>
          <w:sz w:val="22"/>
        </w:rPr>
        <w:t>related risks and opportunities. Business strategy and the environment, 33(7), pp.7253-7272.</w:t>
      </w:r>
    </w:p>
    <w:p w14:paraId="072241C0" w14:textId="0637F45B" w:rsidR="00E277A6" w:rsidRPr="005B1A3E" w:rsidRDefault="00E277A6" w:rsidP="005B1A3E">
      <w:pPr>
        <w:ind w:left="720" w:hanging="720"/>
        <w:rPr>
          <w:rFonts w:ascii="Arial" w:hAnsi="Arial" w:cs="Arial"/>
          <w:sz w:val="22"/>
        </w:rPr>
      </w:pPr>
      <w:r w:rsidRPr="005B1A3E">
        <w:rPr>
          <w:rFonts w:ascii="Arial" w:hAnsi="Arial" w:cs="Arial"/>
          <w:sz w:val="22"/>
        </w:rPr>
        <w:t>Annesi, N., Battaglia, M., Ceglia, I. and Mercuri, F., 2025. Navigating paradoxes: Building a sustainable strategy for an integrated ESG corporate governance. Management Decision, 63(2), pp.531-559.</w:t>
      </w:r>
    </w:p>
    <w:p w14:paraId="49EE0D8B" w14:textId="365951A6" w:rsidR="00E277A6" w:rsidRPr="005B1A3E" w:rsidRDefault="00E277A6" w:rsidP="005B1A3E">
      <w:pPr>
        <w:ind w:left="720" w:hanging="720"/>
        <w:rPr>
          <w:rFonts w:ascii="Arial" w:hAnsi="Arial" w:cs="Arial"/>
          <w:sz w:val="22"/>
        </w:rPr>
      </w:pPr>
      <w:r w:rsidRPr="005B1A3E">
        <w:rPr>
          <w:rFonts w:ascii="Arial" w:hAnsi="Arial" w:cs="Arial"/>
          <w:sz w:val="22"/>
        </w:rPr>
        <w:t>Mensah, L., Arhinful, R. and Owusu-Sarfo, J.S., 2025. Enhancing cash flow management in Ghanaian financial institutions through effective corporate governance practices. Corporate Governance: The International Journal of Business in Society, 25(4), pp.707-734.</w:t>
      </w:r>
    </w:p>
    <w:p w14:paraId="4DD376B7" w14:textId="05B91C92" w:rsidR="00E277A6" w:rsidRPr="005B1A3E" w:rsidRDefault="00E277A6" w:rsidP="005B1A3E">
      <w:pPr>
        <w:ind w:left="720" w:hanging="720"/>
        <w:rPr>
          <w:rFonts w:ascii="Arial" w:hAnsi="Arial" w:cs="Arial"/>
          <w:sz w:val="22"/>
        </w:rPr>
      </w:pPr>
      <w:r w:rsidRPr="005B1A3E">
        <w:rPr>
          <w:rFonts w:ascii="Arial" w:hAnsi="Arial" w:cs="Arial"/>
          <w:sz w:val="22"/>
        </w:rPr>
        <w:t>Supriyanto, S. and Novriyanti, N., 2024. Good Corporate Governance and Corporate Social Responsibility on Financial Performance Through Earning Management. Jurnal Akuntansi, 16(1), pp.106-121.</w:t>
      </w:r>
    </w:p>
    <w:p w14:paraId="3322B349" w14:textId="56741154" w:rsidR="00E277A6" w:rsidRPr="005B1A3E" w:rsidRDefault="00E277A6" w:rsidP="005B1A3E">
      <w:pPr>
        <w:ind w:left="720" w:hanging="720"/>
        <w:rPr>
          <w:rFonts w:ascii="Arial" w:hAnsi="Arial" w:cs="Arial"/>
          <w:sz w:val="22"/>
        </w:rPr>
      </w:pPr>
      <w:r w:rsidRPr="005B1A3E">
        <w:rPr>
          <w:rFonts w:ascii="Arial" w:hAnsi="Arial" w:cs="Arial"/>
          <w:sz w:val="22"/>
        </w:rPr>
        <w:t>Nasiri, A., Ghasemi, M.S. and Richards-Carpenter, N.N., 2025. Firm-level determinants of financial leverage in SMEs: Evidence from the UK information technology sector. Journal of the International Council for Small Business, pp.1-14.</w:t>
      </w:r>
    </w:p>
    <w:p w14:paraId="28093822" w14:textId="1DD3BFF7" w:rsidR="00E277A6" w:rsidRPr="005B1A3E" w:rsidRDefault="00E277A6" w:rsidP="005B1A3E">
      <w:pPr>
        <w:ind w:left="720" w:hanging="720"/>
        <w:rPr>
          <w:rFonts w:ascii="Arial" w:hAnsi="Arial" w:cs="Arial"/>
          <w:sz w:val="22"/>
        </w:rPr>
      </w:pPr>
      <w:r w:rsidRPr="005B1A3E">
        <w:rPr>
          <w:rFonts w:ascii="Arial" w:hAnsi="Arial" w:cs="Arial"/>
          <w:sz w:val="22"/>
        </w:rPr>
        <w:t>Lei, Z. and Lu, H., 2024. Foreign investment and stock Price informativeness: Evidence from the Shanghai (Shenzhen)–Hong Kong stock connect. Journal of Accounting, Auditing &amp; Finance, 39(1), pp.181-204.</w:t>
      </w:r>
    </w:p>
    <w:p w14:paraId="4E69BFD8" w14:textId="68C8DF1F" w:rsidR="00E277A6" w:rsidRPr="005B1A3E" w:rsidRDefault="00E277A6" w:rsidP="005B1A3E">
      <w:pPr>
        <w:ind w:left="720" w:hanging="720"/>
        <w:rPr>
          <w:rFonts w:ascii="Arial" w:hAnsi="Arial" w:cs="Arial"/>
          <w:sz w:val="22"/>
        </w:rPr>
      </w:pPr>
      <w:r w:rsidRPr="005B1A3E">
        <w:rPr>
          <w:rFonts w:ascii="Arial" w:hAnsi="Arial" w:cs="Arial"/>
          <w:sz w:val="22"/>
        </w:rPr>
        <w:t>COSTA, L., VIEIRA, E. and MADALENO, M., 2024. The Impact of Business Investment on Euronext Stock Returns: A Study of Companies Listed at Amsterdam, Brussels, Paris, and Lisbon Stock Exchanges between the Years 2017 and 2022. IBIMA Business Review.</w:t>
      </w:r>
    </w:p>
    <w:p w14:paraId="2897FA77" w14:textId="019ED7A1" w:rsidR="00E277A6" w:rsidRPr="005B1A3E" w:rsidRDefault="00E277A6" w:rsidP="005B1A3E">
      <w:pPr>
        <w:ind w:left="720" w:hanging="720"/>
        <w:rPr>
          <w:rFonts w:ascii="Arial" w:hAnsi="Arial" w:cs="Arial"/>
          <w:sz w:val="22"/>
        </w:rPr>
      </w:pPr>
      <w:r w:rsidRPr="005B1A3E">
        <w:rPr>
          <w:rFonts w:ascii="Arial" w:hAnsi="Arial" w:cs="Arial"/>
          <w:sz w:val="22"/>
        </w:rPr>
        <w:lastRenderedPageBreak/>
        <w:t>Al-Faryan, M.A.S., 2024. Agency theory, corporate governance and corruption: an integrative literature review approach. </w:t>
      </w:r>
      <w:r w:rsidRPr="005B1A3E">
        <w:rPr>
          <w:rFonts w:ascii="Arial" w:hAnsi="Arial" w:cs="Arial"/>
          <w:i/>
          <w:iCs/>
          <w:sz w:val="22"/>
        </w:rPr>
        <w:t>Cogent social sciences</w:t>
      </w:r>
      <w:r w:rsidRPr="005B1A3E">
        <w:rPr>
          <w:rFonts w:ascii="Arial" w:hAnsi="Arial" w:cs="Arial"/>
          <w:sz w:val="22"/>
        </w:rPr>
        <w:t>, </w:t>
      </w:r>
      <w:r w:rsidRPr="005B1A3E">
        <w:rPr>
          <w:rFonts w:ascii="Arial" w:hAnsi="Arial" w:cs="Arial"/>
          <w:i/>
          <w:iCs/>
          <w:sz w:val="22"/>
        </w:rPr>
        <w:t>10</w:t>
      </w:r>
      <w:r w:rsidRPr="005B1A3E">
        <w:rPr>
          <w:rFonts w:ascii="Arial" w:hAnsi="Arial" w:cs="Arial"/>
          <w:sz w:val="22"/>
        </w:rPr>
        <w:t>(1), p.2337893.</w:t>
      </w:r>
    </w:p>
    <w:p w14:paraId="12AA17BD" w14:textId="4C533EAA" w:rsidR="0088220A" w:rsidRPr="005B1A3E" w:rsidRDefault="0088220A" w:rsidP="00BD6FF9">
      <w:pPr>
        <w:rPr>
          <w:rFonts w:ascii="Arial" w:hAnsi="Arial" w:cs="Arial"/>
          <w:sz w:val="22"/>
        </w:rPr>
      </w:pPr>
    </w:p>
    <w:sectPr w:rsidR="0088220A" w:rsidRPr="005B1A3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6072974" w14:textId="77777777" w:rsidR="007D78BA" w:rsidRDefault="007D78BA" w:rsidP="00B32EC2">
      <w:pPr>
        <w:spacing w:after="0" w:line="240" w:lineRule="auto"/>
      </w:pPr>
      <w:r>
        <w:separator/>
      </w:r>
    </w:p>
  </w:endnote>
  <w:endnote w:type="continuationSeparator" w:id="0">
    <w:p w14:paraId="3BA667F2" w14:textId="77777777" w:rsidR="007D78BA" w:rsidRDefault="007D78BA" w:rsidP="00B32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F316104" w14:textId="77777777" w:rsidR="007D78BA" w:rsidRDefault="007D78BA" w:rsidP="00B32EC2">
      <w:pPr>
        <w:spacing w:after="0" w:line="240" w:lineRule="auto"/>
      </w:pPr>
      <w:r>
        <w:separator/>
      </w:r>
    </w:p>
  </w:footnote>
  <w:footnote w:type="continuationSeparator" w:id="0">
    <w:p w14:paraId="5C21E4F0" w14:textId="77777777" w:rsidR="007D78BA" w:rsidRDefault="007D78BA" w:rsidP="00B32E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26643192"/>
      <w:docPartObj>
        <w:docPartGallery w:val="Page Numbers (Top of Page)"/>
        <w:docPartUnique/>
      </w:docPartObj>
    </w:sdtPr>
    <w:sdtEndPr>
      <w:rPr>
        <w:color w:val="7F7F7F" w:themeColor="background1" w:themeShade="7F"/>
        <w:spacing w:val="60"/>
      </w:rPr>
    </w:sdtEndPr>
    <w:sdtContent>
      <w:p w14:paraId="0A4C1E67" w14:textId="4CCA1A70" w:rsidR="00B32EC2" w:rsidRDefault="00B32EC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DE6BA6" w:rsidRPr="00DE6BA6">
          <w:rPr>
            <w:b/>
            <w:bCs/>
            <w:noProof/>
          </w:rPr>
          <w:t>2</w:t>
        </w:r>
        <w:r>
          <w:rPr>
            <w:b/>
            <w:bCs/>
            <w:noProof/>
          </w:rPr>
          <w:fldChar w:fldCharType="end"/>
        </w:r>
        <w:r>
          <w:rPr>
            <w:b/>
            <w:bCs/>
          </w:rPr>
          <w:t xml:space="preserve"> | </w:t>
        </w:r>
        <w:r>
          <w:rPr>
            <w:color w:val="7F7F7F" w:themeColor="background1" w:themeShade="7F"/>
            <w:spacing w:val="60"/>
          </w:rPr>
          <w:t>Page</w:t>
        </w:r>
      </w:p>
    </w:sdtContent>
  </w:sdt>
  <w:p w14:paraId="31DE11EB" w14:textId="77777777" w:rsidR="00B32EC2" w:rsidRDefault="00B32EC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5531FA"/>
    <w:multiLevelType w:val="hybridMultilevel"/>
    <w:tmpl w:val="0786E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2D14D8"/>
    <w:multiLevelType w:val="hybridMultilevel"/>
    <w:tmpl w:val="961EA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C1F78D7"/>
    <w:multiLevelType w:val="hybridMultilevel"/>
    <w:tmpl w:val="E7066036"/>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8E438A1"/>
    <w:multiLevelType w:val="hybridMultilevel"/>
    <w:tmpl w:val="5742E508"/>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nsid w:val="492C5C97"/>
    <w:multiLevelType w:val="hybridMultilevel"/>
    <w:tmpl w:val="C05E8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11C60F8"/>
    <w:multiLevelType w:val="hybridMultilevel"/>
    <w:tmpl w:val="A62C6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7483381"/>
    <w:multiLevelType w:val="hybridMultilevel"/>
    <w:tmpl w:val="1E6C54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FE94856"/>
    <w:multiLevelType w:val="hybridMultilevel"/>
    <w:tmpl w:val="3CAC25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1"/>
  </w:num>
  <w:num w:numId="5">
    <w:abstractNumId w:val="4"/>
  </w:num>
  <w:num w:numId="6">
    <w:abstractNumId w:val="7"/>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2EC2"/>
    <w:rsid w:val="001A64CD"/>
    <w:rsid w:val="0029187C"/>
    <w:rsid w:val="002D18A1"/>
    <w:rsid w:val="002D247D"/>
    <w:rsid w:val="003065E3"/>
    <w:rsid w:val="00315CEF"/>
    <w:rsid w:val="003624D0"/>
    <w:rsid w:val="004A2392"/>
    <w:rsid w:val="005B1A3E"/>
    <w:rsid w:val="005B5700"/>
    <w:rsid w:val="00600EE3"/>
    <w:rsid w:val="0070079B"/>
    <w:rsid w:val="007D4A33"/>
    <w:rsid w:val="007D78BA"/>
    <w:rsid w:val="007E0916"/>
    <w:rsid w:val="0088220A"/>
    <w:rsid w:val="0092705C"/>
    <w:rsid w:val="009449AC"/>
    <w:rsid w:val="00AC00CB"/>
    <w:rsid w:val="00B32EC2"/>
    <w:rsid w:val="00BA5ECA"/>
    <w:rsid w:val="00BD6FF9"/>
    <w:rsid w:val="00CA6D82"/>
    <w:rsid w:val="00D06137"/>
    <w:rsid w:val="00D30902"/>
    <w:rsid w:val="00DE6BA6"/>
    <w:rsid w:val="00E277A6"/>
    <w:rsid w:val="00E601D2"/>
    <w:rsid w:val="00F3611E"/>
    <w:rsid w:val="00F40E17"/>
    <w:rsid w:val="00FD23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4AF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2EC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2EC2"/>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B32EC2"/>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32EC2"/>
    <w:pPr>
      <w:keepNext/>
      <w:keepLines/>
      <w:spacing w:before="40" w:after="0"/>
      <w:outlineLvl w:val="2"/>
    </w:pPr>
    <w:rPr>
      <w:rFonts w:eastAsiaTheme="majorEastAsia" w:cstheme="majorBidi"/>
      <w:b/>
      <w:color w:val="0070C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EC2"/>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B32EC2"/>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B32EC2"/>
    <w:rPr>
      <w:rFonts w:ascii="Times New Roman" w:eastAsiaTheme="majorEastAsia" w:hAnsi="Times New Roman" w:cstheme="majorBidi"/>
      <w:b/>
      <w:color w:val="0070C0"/>
      <w:sz w:val="24"/>
      <w:szCs w:val="24"/>
    </w:rPr>
  </w:style>
  <w:style w:type="paragraph" w:styleId="Header">
    <w:name w:val="header"/>
    <w:basedOn w:val="Normal"/>
    <w:link w:val="HeaderChar"/>
    <w:uiPriority w:val="99"/>
    <w:unhideWhenUsed/>
    <w:rsid w:val="00B32E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2EC2"/>
    <w:rPr>
      <w:rFonts w:ascii="Times New Roman" w:hAnsi="Times New Roman"/>
      <w:sz w:val="24"/>
    </w:rPr>
  </w:style>
  <w:style w:type="paragraph" w:styleId="Footer">
    <w:name w:val="footer"/>
    <w:basedOn w:val="Normal"/>
    <w:link w:val="FooterChar"/>
    <w:uiPriority w:val="99"/>
    <w:unhideWhenUsed/>
    <w:rsid w:val="00B32E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2EC2"/>
    <w:rPr>
      <w:rFonts w:ascii="Times New Roman" w:hAnsi="Times New Roman"/>
      <w:sz w:val="24"/>
    </w:rPr>
  </w:style>
  <w:style w:type="paragraph" w:styleId="ListParagraph">
    <w:name w:val="List Paragraph"/>
    <w:basedOn w:val="Normal"/>
    <w:uiPriority w:val="34"/>
    <w:qFormat/>
    <w:rsid w:val="00315CEF"/>
    <w:pPr>
      <w:ind w:left="720"/>
      <w:contextualSpacing/>
    </w:pPr>
  </w:style>
  <w:style w:type="table" w:styleId="TableGrid">
    <w:name w:val="Table Grid"/>
    <w:basedOn w:val="TableNormal"/>
    <w:uiPriority w:val="59"/>
    <w:rsid w:val="00AC00C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C00CB"/>
    <w:pPr>
      <w:spacing w:after="0" w:line="240" w:lineRule="auto"/>
      <w:jc w:val="both"/>
    </w:pPr>
    <w:rPr>
      <w:rFonts w:ascii="Times New Roman" w:hAnsi="Times New Roman"/>
      <w:kern w:val="0"/>
      <w:sz w:val="24"/>
      <w14:ligatures w14:val="none"/>
    </w:rPr>
  </w:style>
  <w:style w:type="paragraph" w:styleId="TOCHeading">
    <w:name w:val="TOC Heading"/>
    <w:basedOn w:val="Heading1"/>
    <w:next w:val="Normal"/>
    <w:uiPriority w:val="39"/>
    <w:unhideWhenUsed/>
    <w:qFormat/>
    <w:rsid w:val="00AC00CB"/>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AC00CB"/>
    <w:pPr>
      <w:spacing w:after="100"/>
    </w:pPr>
  </w:style>
  <w:style w:type="paragraph" w:styleId="TOC2">
    <w:name w:val="toc 2"/>
    <w:basedOn w:val="Normal"/>
    <w:next w:val="Normal"/>
    <w:autoRedefine/>
    <w:uiPriority w:val="39"/>
    <w:unhideWhenUsed/>
    <w:rsid w:val="00AC00CB"/>
    <w:pPr>
      <w:spacing w:after="100"/>
      <w:ind w:left="240"/>
    </w:pPr>
  </w:style>
  <w:style w:type="paragraph" w:styleId="TOC3">
    <w:name w:val="toc 3"/>
    <w:basedOn w:val="Normal"/>
    <w:next w:val="Normal"/>
    <w:autoRedefine/>
    <w:uiPriority w:val="39"/>
    <w:unhideWhenUsed/>
    <w:rsid w:val="00AC00CB"/>
    <w:pPr>
      <w:spacing w:after="100"/>
      <w:ind w:left="480"/>
    </w:pPr>
  </w:style>
  <w:style w:type="character" w:styleId="Hyperlink">
    <w:name w:val="Hyperlink"/>
    <w:basedOn w:val="DefaultParagraphFont"/>
    <w:uiPriority w:val="99"/>
    <w:unhideWhenUsed/>
    <w:rsid w:val="00AC00CB"/>
    <w:rPr>
      <w:color w:val="0563C1" w:themeColor="hyperlink"/>
      <w:u w:val="single"/>
    </w:rPr>
  </w:style>
  <w:style w:type="paragraph" w:styleId="BalloonText">
    <w:name w:val="Balloon Text"/>
    <w:basedOn w:val="Normal"/>
    <w:link w:val="BalloonTextChar"/>
    <w:uiPriority w:val="99"/>
    <w:semiHidden/>
    <w:unhideWhenUsed/>
    <w:rsid w:val="005B1A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1A3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2EC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2EC2"/>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B32EC2"/>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32EC2"/>
    <w:pPr>
      <w:keepNext/>
      <w:keepLines/>
      <w:spacing w:before="40" w:after="0"/>
      <w:outlineLvl w:val="2"/>
    </w:pPr>
    <w:rPr>
      <w:rFonts w:eastAsiaTheme="majorEastAsia" w:cstheme="majorBidi"/>
      <w:b/>
      <w:color w:val="0070C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EC2"/>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B32EC2"/>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B32EC2"/>
    <w:rPr>
      <w:rFonts w:ascii="Times New Roman" w:eastAsiaTheme="majorEastAsia" w:hAnsi="Times New Roman" w:cstheme="majorBidi"/>
      <w:b/>
      <w:color w:val="0070C0"/>
      <w:sz w:val="24"/>
      <w:szCs w:val="24"/>
    </w:rPr>
  </w:style>
  <w:style w:type="paragraph" w:styleId="Header">
    <w:name w:val="header"/>
    <w:basedOn w:val="Normal"/>
    <w:link w:val="HeaderChar"/>
    <w:uiPriority w:val="99"/>
    <w:unhideWhenUsed/>
    <w:rsid w:val="00B32E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2EC2"/>
    <w:rPr>
      <w:rFonts w:ascii="Times New Roman" w:hAnsi="Times New Roman"/>
      <w:sz w:val="24"/>
    </w:rPr>
  </w:style>
  <w:style w:type="paragraph" w:styleId="Footer">
    <w:name w:val="footer"/>
    <w:basedOn w:val="Normal"/>
    <w:link w:val="FooterChar"/>
    <w:uiPriority w:val="99"/>
    <w:unhideWhenUsed/>
    <w:rsid w:val="00B32E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2EC2"/>
    <w:rPr>
      <w:rFonts w:ascii="Times New Roman" w:hAnsi="Times New Roman"/>
      <w:sz w:val="24"/>
    </w:rPr>
  </w:style>
  <w:style w:type="paragraph" w:styleId="ListParagraph">
    <w:name w:val="List Paragraph"/>
    <w:basedOn w:val="Normal"/>
    <w:uiPriority w:val="34"/>
    <w:qFormat/>
    <w:rsid w:val="00315CEF"/>
    <w:pPr>
      <w:ind w:left="720"/>
      <w:contextualSpacing/>
    </w:pPr>
  </w:style>
  <w:style w:type="table" w:styleId="TableGrid">
    <w:name w:val="Table Grid"/>
    <w:basedOn w:val="TableNormal"/>
    <w:uiPriority w:val="59"/>
    <w:rsid w:val="00AC00C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C00CB"/>
    <w:pPr>
      <w:spacing w:after="0" w:line="240" w:lineRule="auto"/>
      <w:jc w:val="both"/>
    </w:pPr>
    <w:rPr>
      <w:rFonts w:ascii="Times New Roman" w:hAnsi="Times New Roman"/>
      <w:kern w:val="0"/>
      <w:sz w:val="24"/>
      <w14:ligatures w14:val="none"/>
    </w:rPr>
  </w:style>
  <w:style w:type="paragraph" w:styleId="TOCHeading">
    <w:name w:val="TOC Heading"/>
    <w:basedOn w:val="Heading1"/>
    <w:next w:val="Normal"/>
    <w:uiPriority w:val="39"/>
    <w:unhideWhenUsed/>
    <w:qFormat/>
    <w:rsid w:val="00AC00CB"/>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AC00CB"/>
    <w:pPr>
      <w:spacing w:after="100"/>
    </w:pPr>
  </w:style>
  <w:style w:type="paragraph" w:styleId="TOC2">
    <w:name w:val="toc 2"/>
    <w:basedOn w:val="Normal"/>
    <w:next w:val="Normal"/>
    <w:autoRedefine/>
    <w:uiPriority w:val="39"/>
    <w:unhideWhenUsed/>
    <w:rsid w:val="00AC00CB"/>
    <w:pPr>
      <w:spacing w:after="100"/>
      <w:ind w:left="240"/>
    </w:pPr>
  </w:style>
  <w:style w:type="paragraph" w:styleId="TOC3">
    <w:name w:val="toc 3"/>
    <w:basedOn w:val="Normal"/>
    <w:next w:val="Normal"/>
    <w:autoRedefine/>
    <w:uiPriority w:val="39"/>
    <w:unhideWhenUsed/>
    <w:rsid w:val="00AC00CB"/>
    <w:pPr>
      <w:spacing w:after="100"/>
      <w:ind w:left="480"/>
    </w:pPr>
  </w:style>
  <w:style w:type="character" w:styleId="Hyperlink">
    <w:name w:val="Hyperlink"/>
    <w:basedOn w:val="DefaultParagraphFont"/>
    <w:uiPriority w:val="99"/>
    <w:unhideWhenUsed/>
    <w:rsid w:val="00AC00CB"/>
    <w:rPr>
      <w:color w:val="0563C1" w:themeColor="hyperlink"/>
      <w:u w:val="single"/>
    </w:rPr>
  </w:style>
  <w:style w:type="paragraph" w:styleId="BalloonText">
    <w:name w:val="Balloon Text"/>
    <w:basedOn w:val="Normal"/>
    <w:link w:val="BalloonTextChar"/>
    <w:uiPriority w:val="99"/>
    <w:semiHidden/>
    <w:unhideWhenUsed/>
    <w:rsid w:val="005B1A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1A3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91FA6D-3091-4832-B18A-67FF41A51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2187</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14630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robayat hasan</dc:creator>
  <cp:lastModifiedBy>Md. Abidur Rahman</cp:lastModifiedBy>
  <cp:revision>2</cp:revision>
  <dcterms:created xsi:type="dcterms:W3CDTF">2025-06-21T10:12:00Z</dcterms:created>
  <dcterms:modified xsi:type="dcterms:W3CDTF">2025-06-21T10:12:00Z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7abb7cef-2278-4162-9eba-983b87289a46</vt:lpwstr>
  </property>
</Properties>
</file>