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7E6" w:rsidRDefault="003147E6" w:rsidP="003147E6">
      <w:pPr>
        <w:ind w:left="576" w:hanging="576"/>
        <w:jc w:val="both"/>
      </w:pPr>
      <w:r>
        <w:rPr>
          <w:b/>
          <w:sz w:val="28"/>
          <w:szCs w:val="28"/>
        </w:rPr>
        <w:t xml:space="preserve">Cadbury Castle </w:t>
      </w:r>
    </w:p>
    <w:p w:rsidR="003147E6" w:rsidRDefault="003147E6" w:rsidP="003147E6">
      <w:pPr>
        <w:jc w:val="both"/>
        <w:rPr>
          <w:b/>
          <w:sz w:val="28"/>
          <w:szCs w:val="28"/>
        </w:rPr>
      </w:pPr>
    </w:p>
    <w:p w:rsidR="003147E6" w:rsidRDefault="003147E6" w:rsidP="003147E6">
      <w:pPr>
        <w:jc w:val="both"/>
        <w:rPr>
          <w:b/>
          <w:sz w:val="28"/>
          <w:szCs w:val="28"/>
        </w:rPr>
      </w:pPr>
    </w:p>
    <w:p w:rsidR="003147E6" w:rsidRDefault="003147E6" w:rsidP="003147E6">
      <w:pPr>
        <w:jc w:val="both"/>
        <w:rPr>
          <w:b/>
        </w:rPr>
      </w:pPr>
      <w:r>
        <w:rPr>
          <w:b/>
        </w:rPr>
        <w:t>‘</w:t>
      </w:r>
      <w:proofErr w:type="spellStart"/>
      <w:r>
        <w:rPr>
          <w:b/>
        </w:rPr>
        <w:t>Arture</w:t>
      </w:r>
      <w:proofErr w:type="spellEnd"/>
      <w:r>
        <w:rPr>
          <w:b/>
        </w:rPr>
        <w:t xml:space="preserve"> much </w:t>
      </w:r>
      <w:proofErr w:type="spellStart"/>
      <w:r>
        <w:rPr>
          <w:b/>
        </w:rPr>
        <w:t>resortid</w:t>
      </w:r>
      <w:proofErr w:type="spellEnd"/>
      <w:r>
        <w:rPr>
          <w:b/>
        </w:rPr>
        <w:t xml:space="preserve"> to </w:t>
      </w:r>
      <w:proofErr w:type="spellStart"/>
      <w:r>
        <w:rPr>
          <w:b/>
        </w:rPr>
        <w:t>Camalat</w:t>
      </w:r>
      <w:proofErr w:type="spellEnd"/>
      <w:r>
        <w:rPr>
          <w:b/>
        </w:rPr>
        <w:t>’</w:t>
      </w:r>
    </w:p>
    <w:p w:rsidR="003147E6" w:rsidRDefault="003147E6" w:rsidP="003147E6">
      <w:pPr>
        <w:jc w:val="both"/>
        <w:rPr>
          <w:b/>
        </w:rPr>
      </w:pPr>
    </w:p>
    <w:p w:rsidR="003147E6" w:rsidRDefault="003147E6" w:rsidP="003147E6">
      <w:pPr>
        <w:jc w:val="both"/>
      </w:pPr>
      <w:r>
        <w:t xml:space="preserve">The </w:t>
      </w:r>
      <w:proofErr w:type="spellStart"/>
      <w:r>
        <w:t>hillfort</w:t>
      </w:r>
      <w:proofErr w:type="spellEnd"/>
      <w:r>
        <w:t xml:space="preserve"> of South Cadbury is a huge multi-</w:t>
      </w:r>
      <w:proofErr w:type="spellStart"/>
      <w:r>
        <w:t>ramparted</w:t>
      </w:r>
      <w:proofErr w:type="spellEnd"/>
      <w:r>
        <w:t xml:space="preserve"> </w:t>
      </w:r>
      <w:proofErr w:type="spellStart"/>
      <w:r>
        <w:t>hillfort</w:t>
      </w:r>
      <w:proofErr w:type="spellEnd"/>
      <w:r>
        <w:t>, enclosing some 18 acres. The Tudor antiquary John Leland, passing through Somerset in 1542, described the hilltop in terms which have provoked ongoing interest. Here, he said</w:t>
      </w:r>
    </w:p>
    <w:p w:rsidR="003147E6" w:rsidRDefault="003147E6" w:rsidP="003147E6">
      <w:pPr>
        <w:jc w:val="both"/>
      </w:pPr>
    </w:p>
    <w:p w:rsidR="003147E6" w:rsidRDefault="003147E6" w:rsidP="003147E6">
      <w:pPr>
        <w:ind w:left="560"/>
        <w:jc w:val="both"/>
        <w:rPr>
          <w:sz w:val="20"/>
          <w:szCs w:val="20"/>
        </w:rPr>
      </w:pPr>
      <w:r>
        <w:rPr>
          <w:sz w:val="20"/>
          <w:szCs w:val="20"/>
        </w:rPr>
        <w:t xml:space="preserve">At the very south </w:t>
      </w:r>
      <w:proofErr w:type="spellStart"/>
      <w:r>
        <w:rPr>
          <w:sz w:val="20"/>
          <w:szCs w:val="20"/>
        </w:rPr>
        <w:t>ende</w:t>
      </w:r>
      <w:proofErr w:type="spellEnd"/>
      <w:r>
        <w:rPr>
          <w:sz w:val="20"/>
          <w:szCs w:val="20"/>
        </w:rPr>
        <w:t xml:space="preserve"> of the church of South-</w:t>
      </w:r>
      <w:proofErr w:type="spellStart"/>
      <w:r>
        <w:rPr>
          <w:sz w:val="20"/>
          <w:szCs w:val="20"/>
        </w:rPr>
        <w:t>Cadbyri</w:t>
      </w:r>
      <w:proofErr w:type="spellEnd"/>
      <w:r>
        <w:rPr>
          <w:sz w:val="20"/>
          <w:szCs w:val="20"/>
        </w:rPr>
        <w:t xml:space="preserve"> </w:t>
      </w:r>
      <w:proofErr w:type="spellStart"/>
      <w:r>
        <w:rPr>
          <w:sz w:val="20"/>
          <w:szCs w:val="20"/>
        </w:rPr>
        <w:t>standith</w:t>
      </w:r>
      <w:proofErr w:type="spellEnd"/>
      <w:r>
        <w:rPr>
          <w:sz w:val="20"/>
          <w:szCs w:val="20"/>
        </w:rPr>
        <w:t xml:space="preserve"> </w:t>
      </w:r>
      <w:proofErr w:type="spellStart"/>
      <w:r>
        <w:rPr>
          <w:sz w:val="20"/>
          <w:szCs w:val="20"/>
        </w:rPr>
        <w:t>Camallate</w:t>
      </w:r>
      <w:proofErr w:type="spellEnd"/>
      <w:r>
        <w:rPr>
          <w:sz w:val="20"/>
          <w:szCs w:val="20"/>
        </w:rPr>
        <w:t xml:space="preserve">, </w:t>
      </w:r>
      <w:proofErr w:type="spellStart"/>
      <w:r>
        <w:rPr>
          <w:sz w:val="20"/>
          <w:szCs w:val="20"/>
        </w:rPr>
        <w:t>sumtyme</w:t>
      </w:r>
      <w:proofErr w:type="spellEnd"/>
      <w:r>
        <w:rPr>
          <w:sz w:val="20"/>
          <w:szCs w:val="20"/>
        </w:rPr>
        <w:t xml:space="preserve"> a </w:t>
      </w:r>
      <w:proofErr w:type="spellStart"/>
      <w:r>
        <w:rPr>
          <w:sz w:val="20"/>
          <w:szCs w:val="20"/>
        </w:rPr>
        <w:t>famouse</w:t>
      </w:r>
      <w:proofErr w:type="spellEnd"/>
      <w:r>
        <w:rPr>
          <w:sz w:val="20"/>
          <w:szCs w:val="20"/>
        </w:rPr>
        <w:t xml:space="preserve"> </w:t>
      </w:r>
      <w:proofErr w:type="spellStart"/>
      <w:r>
        <w:rPr>
          <w:sz w:val="20"/>
          <w:szCs w:val="20"/>
        </w:rPr>
        <w:t>toun</w:t>
      </w:r>
      <w:proofErr w:type="spellEnd"/>
      <w:r>
        <w:rPr>
          <w:sz w:val="20"/>
          <w:szCs w:val="20"/>
        </w:rPr>
        <w:t xml:space="preserve"> or </w:t>
      </w:r>
      <w:proofErr w:type="spellStart"/>
      <w:r>
        <w:rPr>
          <w:sz w:val="20"/>
          <w:szCs w:val="20"/>
        </w:rPr>
        <w:t>castelle</w:t>
      </w:r>
      <w:proofErr w:type="spellEnd"/>
      <w:r>
        <w:rPr>
          <w:sz w:val="20"/>
          <w:szCs w:val="20"/>
        </w:rPr>
        <w:t xml:space="preserve">, </w:t>
      </w:r>
      <w:proofErr w:type="spellStart"/>
      <w:r>
        <w:rPr>
          <w:sz w:val="20"/>
          <w:szCs w:val="20"/>
        </w:rPr>
        <w:t>apon</w:t>
      </w:r>
      <w:proofErr w:type="spellEnd"/>
      <w:r>
        <w:rPr>
          <w:sz w:val="20"/>
          <w:szCs w:val="20"/>
        </w:rPr>
        <w:t xml:space="preserve"> a very </w:t>
      </w:r>
      <w:proofErr w:type="spellStart"/>
      <w:r>
        <w:rPr>
          <w:sz w:val="20"/>
          <w:szCs w:val="20"/>
        </w:rPr>
        <w:t>torre</w:t>
      </w:r>
      <w:proofErr w:type="spellEnd"/>
      <w:r>
        <w:rPr>
          <w:sz w:val="20"/>
          <w:szCs w:val="20"/>
        </w:rPr>
        <w:t xml:space="preserve"> or </w:t>
      </w:r>
      <w:proofErr w:type="spellStart"/>
      <w:r>
        <w:rPr>
          <w:sz w:val="20"/>
          <w:szCs w:val="20"/>
        </w:rPr>
        <w:t>hille</w:t>
      </w:r>
      <w:proofErr w:type="spellEnd"/>
      <w:r>
        <w:rPr>
          <w:sz w:val="20"/>
          <w:szCs w:val="20"/>
        </w:rPr>
        <w:t xml:space="preserve">, </w:t>
      </w:r>
      <w:proofErr w:type="spellStart"/>
      <w:r>
        <w:rPr>
          <w:sz w:val="20"/>
          <w:szCs w:val="20"/>
        </w:rPr>
        <w:t>wunderfully</w:t>
      </w:r>
      <w:proofErr w:type="spellEnd"/>
      <w:r>
        <w:rPr>
          <w:sz w:val="20"/>
          <w:szCs w:val="20"/>
        </w:rPr>
        <w:t xml:space="preserve"> </w:t>
      </w:r>
      <w:proofErr w:type="spellStart"/>
      <w:r>
        <w:rPr>
          <w:sz w:val="20"/>
          <w:szCs w:val="20"/>
        </w:rPr>
        <w:t>enstrengtheid</w:t>
      </w:r>
      <w:proofErr w:type="spellEnd"/>
      <w:r>
        <w:rPr>
          <w:sz w:val="20"/>
          <w:szCs w:val="20"/>
        </w:rPr>
        <w:t xml:space="preserve"> of nature. . . . The people can </w:t>
      </w:r>
      <w:proofErr w:type="spellStart"/>
      <w:r>
        <w:rPr>
          <w:sz w:val="20"/>
          <w:szCs w:val="20"/>
        </w:rPr>
        <w:t>telle</w:t>
      </w:r>
      <w:proofErr w:type="spellEnd"/>
      <w:r>
        <w:rPr>
          <w:sz w:val="20"/>
          <w:szCs w:val="20"/>
        </w:rPr>
        <w:t xml:space="preserve"> nothing </w:t>
      </w:r>
      <w:proofErr w:type="spellStart"/>
      <w:r>
        <w:rPr>
          <w:sz w:val="20"/>
          <w:szCs w:val="20"/>
        </w:rPr>
        <w:t>ther</w:t>
      </w:r>
      <w:proofErr w:type="spellEnd"/>
      <w:r>
        <w:rPr>
          <w:sz w:val="20"/>
          <w:szCs w:val="20"/>
        </w:rPr>
        <w:t xml:space="preserve"> but that they have hard say that </w:t>
      </w:r>
      <w:proofErr w:type="spellStart"/>
      <w:r>
        <w:rPr>
          <w:sz w:val="20"/>
          <w:szCs w:val="20"/>
        </w:rPr>
        <w:t>Arture</w:t>
      </w:r>
      <w:proofErr w:type="spellEnd"/>
      <w:r>
        <w:rPr>
          <w:sz w:val="20"/>
          <w:szCs w:val="20"/>
        </w:rPr>
        <w:t xml:space="preserve"> much </w:t>
      </w:r>
      <w:proofErr w:type="spellStart"/>
      <w:r>
        <w:rPr>
          <w:sz w:val="20"/>
          <w:szCs w:val="20"/>
        </w:rPr>
        <w:t>resortid</w:t>
      </w:r>
      <w:proofErr w:type="spellEnd"/>
      <w:r>
        <w:rPr>
          <w:sz w:val="20"/>
          <w:szCs w:val="20"/>
        </w:rPr>
        <w:t xml:space="preserve"> to </w:t>
      </w:r>
      <w:proofErr w:type="spellStart"/>
      <w:r>
        <w:rPr>
          <w:sz w:val="20"/>
          <w:szCs w:val="20"/>
        </w:rPr>
        <w:t>Camalat</w:t>
      </w:r>
      <w:proofErr w:type="spellEnd"/>
      <w:r>
        <w:rPr>
          <w:sz w:val="20"/>
          <w:szCs w:val="20"/>
        </w:rPr>
        <w:t xml:space="preserve">. </w:t>
      </w:r>
    </w:p>
    <w:p w:rsidR="003147E6" w:rsidRDefault="003147E6" w:rsidP="003147E6">
      <w:pPr>
        <w:jc w:val="both"/>
      </w:pPr>
    </w:p>
    <w:p w:rsidR="003147E6" w:rsidRDefault="003147E6" w:rsidP="003147E6">
      <w:pPr>
        <w:jc w:val="both"/>
      </w:pPr>
      <w:r>
        <w:t xml:space="preserve">In Leland’s time there were reports of ‘Roman’ (which may include post-Roman objects of broadly Roman type) objects being found there. William </w:t>
      </w:r>
      <w:proofErr w:type="spellStart"/>
      <w:r>
        <w:t>Stukely</w:t>
      </w:r>
      <w:proofErr w:type="spellEnd"/>
      <w:r>
        <w:t xml:space="preserve"> reported similar finds in the 1720s. These antiquaries were prepared to believe in an Arthur and a Camelot. That they were closer in time to the putative era of the historical Arthur by a few hundred years than are we </w:t>
      </w:r>
      <w:proofErr w:type="gramStart"/>
      <w:r>
        <w:t>adds</w:t>
      </w:r>
      <w:proofErr w:type="gramEnd"/>
      <w:r>
        <w:t xml:space="preserve"> no real weight to their information. The name of the River Camel, running nearby, may have inspired some local antiquary of the early modern era to associate this impressive site with the Camelot of legend. It may be that there was a high-medieval legend attached to the site. What is most important to remember is that the Arthur of the earliest British legends does not live at any ‘Camelot’—this is a French addition to the legend after the twelfth century. </w:t>
      </w:r>
    </w:p>
    <w:p w:rsidR="003147E6" w:rsidRDefault="003147E6" w:rsidP="003147E6">
      <w:pPr>
        <w:jc w:val="both"/>
      </w:pPr>
    </w:p>
    <w:p w:rsidR="003147E6" w:rsidRDefault="003147E6" w:rsidP="003147E6">
      <w:pPr>
        <w:jc w:val="both"/>
      </w:pPr>
      <w:r>
        <w:t xml:space="preserve">The basic </w:t>
      </w:r>
      <w:proofErr w:type="spellStart"/>
      <w:r>
        <w:t>contruction</w:t>
      </w:r>
      <w:proofErr w:type="spellEnd"/>
      <w:r>
        <w:t xml:space="preserve"> of the fort is of Iron Age type, comparable to the other great </w:t>
      </w:r>
      <w:proofErr w:type="spellStart"/>
      <w:r>
        <w:t>hillforts</w:t>
      </w:r>
      <w:proofErr w:type="spellEnd"/>
      <w:r>
        <w:t xml:space="preserve"> of the </w:t>
      </w:r>
      <w:proofErr w:type="spellStart"/>
      <w:r>
        <w:t>Durotriges</w:t>
      </w:r>
      <w:proofErr w:type="spellEnd"/>
      <w:r>
        <w:t xml:space="preserve">, the late-Iron Age kingdom of the south-west. These, of which the most famous is Maiden Castle in </w:t>
      </w:r>
      <w:proofErr w:type="spellStart"/>
      <w:r>
        <w:t>Dorsetshire</w:t>
      </w:r>
      <w:proofErr w:type="spellEnd"/>
      <w:r>
        <w:t xml:space="preserve">, were built in the last centuries prior to the Roman conquest (43 AD—), and had a great depth of concentric ramparts to combat the increasing use of projectile warfare. These forts were conquered in a campaign of the 50s through 70s AD. It was assumed that they were emptied and abandoned as part of a Roman policy of imposing control over the region. </w:t>
      </w:r>
    </w:p>
    <w:p w:rsidR="003147E6" w:rsidRDefault="003147E6" w:rsidP="003147E6">
      <w:pPr>
        <w:jc w:val="both"/>
      </w:pPr>
    </w:p>
    <w:p w:rsidR="003147E6" w:rsidRDefault="003147E6" w:rsidP="003147E6">
      <w:pPr>
        <w:jc w:val="both"/>
      </w:pPr>
      <w:r>
        <w:t xml:space="preserve">Attempts at excavation of South Cadbury were made in the late-nineteenth and early-twentieth </w:t>
      </w:r>
      <w:proofErr w:type="spellStart"/>
      <w:r>
        <w:t>centuries</w:t>
      </w:r>
      <w:proofErr w:type="spellEnd"/>
      <w:r>
        <w:t xml:space="preserve">. These excavations uncovered the same imported pottery types as were found at Tintagel a couple of decades later, though this would not be recognised until </w:t>
      </w:r>
      <w:proofErr w:type="spellStart"/>
      <w:r>
        <w:t>some time</w:t>
      </w:r>
      <w:proofErr w:type="spellEnd"/>
      <w:r>
        <w:t xml:space="preserve"> afterwards. The Roman style of the finds, however, at least seemed to speak to continuing use of the site into the later Roman period or beyond.</w:t>
      </w:r>
    </w:p>
    <w:p w:rsidR="003147E6" w:rsidRDefault="003147E6" w:rsidP="003147E6">
      <w:pPr>
        <w:jc w:val="both"/>
      </w:pPr>
    </w:p>
    <w:p w:rsidR="003147E6" w:rsidRDefault="003147E6" w:rsidP="003147E6">
      <w:pPr>
        <w:jc w:val="both"/>
      </w:pPr>
      <w:r>
        <w:t xml:space="preserve">The ‘Camelot’ legend upon the site would be of little or no interest, were it not for the fact that the site </w:t>
      </w:r>
      <w:r>
        <w:rPr>
          <w:i/>
        </w:rPr>
        <w:t xml:space="preserve">was </w:t>
      </w:r>
      <w:proofErr w:type="spellStart"/>
      <w:r>
        <w:t>recoccupied</w:t>
      </w:r>
      <w:proofErr w:type="spellEnd"/>
      <w:r>
        <w:t xml:space="preserve"> in the fifth/sixth century AD. Like so many of the sites associated by legend with Arthur it evinces settlement of the right period to connect with the context into which tradition places Arthur: resistance to the Saxon advance into the Celtic kingdoms. Gildas, in his </w:t>
      </w:r>
      <w:r>
        <w:rPr>
          <w:i/>
        </w:rPr>
        <w:t xml:space="preserve">De </w:t>
      </w:r>
      <w:proofErr w:type="spellStart"/>
      <w:r>
        <w:rPr>
          <w:i/>
        </w:rPr>
        <w:t>excidio</w:t>
      </w:r>
      <w:proofErr w:type="spellEnd"/>
      <w:r>
        <w:t xml:space="preserve">, describes how refugees from Saxon invasion in the fifth century took themselves, variously, across the sea or into the high places: ‘steep, forbidding, entrenched’; this phrase has been frequently interpreted to imply the re-use of these sites from the distant Celtic past. The interpretation of this phrase to indicate sites such as Cadbury is controversial, but at least plausible. </w:t>
      </w:r>
    </w:p>
    <w:p w:rsidR="003147E6" w:rsidRDefault="003147E6" w:rsidP="003147E6">
      <w:pPr>
        <w:jc w:val="both"/>
      </w:pPr>
    </w:p>
    <w:p w:rsidR="003147E6" w:rsidRDefault="003147E6" w:rsidP="003147E6">
      <w:pPr>
        <w:jc w:val="both"/>
      </w:pPr>
    </w:p>
    <w:p w:rsidR="003147E6" w:rsidRDefault="003147E6" w:rsidP="003147E6">
      <w:pPr>
        <w:jc w:val="both"/>
        <w:rPr>
          <w:b/>
        </w:rPr>
      </w:pPr>
      <w:r>
        <w:rPr>
          <w:b/>
        </w:rPr>
        <w:t>The ‘Camelot’ Campaign</w:t>
      </w:r>
    </w:p>
    <w:p w:rsidR="003147E6" w:rsidRDefault="003147E6" w:rsidP="003147E6">
      <w:pPr>
        <w:jc w:val="both"/>
      </w:pPr>
    </w:p>
    <w:p w:rsidR="003147E6" w:rsidRDefault="003147E6" w:rsidP="003147E6">
      <w:pPr>
        <w:jc w:val="both"/>
      </w:pPr>
      <w:r>
        <w:t xml:space="preserve">In the 1950s, following examination of objects collected by local antiquaries, it was realised that there was concrete evidence for sixth-century activity on the hilltop. A magazine article in 1965 inspired the formation of the Camelot Research Committee. Fundraising for this excavation was co-ordinated by Geoffrey Ashe, an author of popular books on the Arthurian legend, though the excavations were under the impeccable academic leadership of Leslie </w:t>
      </w:r>
      <w:proofErr w:type="spellStart"/>
      <w:r>
        <w:t>Alcock</w:t>
      </w:r>
      <w:proofErr w:type="spellEnd"/>
      <w:r>
        <w:t xml:space="preserve"> of the University College of Wales, Cardiff. The campaign lasted for five seasons, concentrating on sections of the ramparts, the gate area, and the ‘open area’ excavation of a central building complex. This selection mirrored the campaign of Sir Mortimer Wheeler, the President of the Research Committee, at Maiden Castle in the 1930s. The </w:t>
      </w:r>
      <w:proofErr w:type="gramStart"/>
      <w:r>
        <w:t>success  of</w:t>
      </w:r>
      <w:proofErr w:type="gramEnd"/>
      <w:r>
        <w:t xml:space="preserve"> the excavation in data collection reflected the experience of the research team. The ‘spin’ that was put upon the data, however, also reflected the Wheeler tradition.</w:t>
      </w:r>
    </w:p>
    <w:p w:rsidR="003147E6" w:rsidRDefault="003147E6" w:rsidP="003147E6">
      <w:pPr>
        <w:jc w:val="both"/>
      </w:pPr>
      <w:r>
        <w:tab/>
      </w:r>
    </w:p>
    <w:p w:rsidR="003147E6" w:rsidRDefault="003147E6" w:rsidP="003147E6">
      <w:pPr>
        <w:jc w:val="both"/>
      </w:pPr>
      <w:r>
        <w:t xml:space="preserve">The hilltop was revealed to have a very lengthy sequence of occupation; from the Neolithic through to the building of the various earth ramparts of the fort—leading up to its conquest by the Roman invaders around 70 AD A vestigial Roman period use was also evident. </w:t>
      </w:r>
    </w:p>
    <w:p w:rsidR="003147E6" w:rsidRDefault="003147E6" w:rsidP="003147E6">
      <w:pPr>
        <w:jc w:val="both"/>
      </w:pPr>
      <w:r>
        <w:tab/>
      </w:r>
    </w:p>
    <w:p w:rsidR="003147E6" w:rsidRDefault="003147E6" w:rsidP="003147E6">
      <w:pPr>
        <w:jc w:val="both"/>
      </w:pPr>
      <w:r>
        <w:t xml:space="preserve">A trench on the north side across the inner of the four ramparts showed that the inner rampart had a reconstructed crown, </w:t>
      </w:r>
      <w:proofErr w:type="spellStart"/>
      <w:r>
        <w:t>revetted</w:t>
      </w:r>
      <w:proofErr w:type="spellEnd"/>
      <w:r>
        <w:t xml:space="preserve"> on the inside by a rough stone face and on the outer by four feet of mortared stonework. This ultimately proved to be associated with an elaborate eleventh century Anglo Saxon use of the site.</w:t>
      </w:r>
      <w:r>
        <w:tab/>
        <w:t xml:space="preserve">What interested the Arthurian scholars, however, was an earlier medieval phase of refortification, revealed in a south side cut which took in all ramparts. This phase was later than the bank associated with the latest Iron Age pottery, but below the Anglo Saxon rampart. More clearly visible in other cuttings, it became clear that it took the character of a dry stone wall interspersed with vertical slots for timber reinforcement. This could be a characteristic Iron Age Celtic style of fortification—what is termed by Caesar </w:t>
      </w:r>
      <w:proofErr w:type="spellStart"/>
      <w:r>
        <w:rPr>
          <w:i/>
        </w:rPr>
        <w:t>murus</w:t>
      </w:r>
      <w:proofErr w:type="spellEnd"/>
      <w:r>
        <w:rPr>
          <w:i/>
        </w:rPr>
        <w:t xml:space="preserve"> </w:t>
      </w:r>
      <w:proofErr w:type="spellStart"/>
      <w:r>
        <w:rPr>
          <w:i/>
        </w:rPr>
        <w:t>gallicus</w:t>
      </w:r>
      <w:proofErr w:type="spellEnd"/>
      <w:r>
        <w:t>—but not in Iron Age Somerset. A find of imported pottery under the facing would show that this refortification was early medieval, not Iron Age.</w:t>
      </w:r>
    </w:p>
    <w:p w:rsidR="003147E6" w:rsidRDefault="003147E6" w:rsidP="003147E6">
      <w:pPr>
        <w:jc w:val="both"/>
      </w:pPr>
      <w:r>
        <w:tab/>
      </w:r>
    </w:p>
    <w:p w:rsidR="003147E6" w:rsidRDefault="003147E6" w:rsidP="003147E6">
      <w:pPr>
        <w:jc w:val="both"/>
      </w:pPr>
      <w:r>
        <w:t xml:space="preserve">In 1970 the finds were the most spectacular. Excavation of the southwest corner revealed a sixth century road surface. Through this, detectable as rectangular features as the road cobbling was cleaned, were a square pattern of beam slots. In each corner was a post hole, sixth to eight inches thick and cutting three feet into the Iron Age levels. Such a hole is easy to detect, even where the post has rotted away—the hole will be filled with a different soil (from the levels above) from the rest and will be often freer of stones. The rectangle of beam slots was exactly aligned with the end of the Dark Age walling and was obviously for a gate structure of some size, rectangular and supporting a tower of (estimating from the depth of the posts) ten feet or more in height. The tower straddled the road. </w:t>
      </w:r>
    </w:p>
    <w:p w:rsidR="003147E6" w:rsidRDefault="003147E6" w:rsidP="003147E6">
      <w:pPr>
        <w:jc w:val="both"/>
      </w:pPr>
      <w:r>
        <w:tab/>
      </w:r>
    </w:p>
    <w:p w:rsidR="003147E6" w:rsidRDefault="003147E6" w:rsidP="003147E6">
      <w:pPr>
        <w:jc w:val="both"/>
      </w:pPr>
      <w:r>
        <w:t xml:space="preserve">There is little doubt that refortification of this site on a fairly pretentious scale had taken place around the time that pottery from the Mediterranean was being used on the site (somewhere between 475 and 550 AD). </w:t>
      </w:r>
      <w:proofErr w:type="spellStart"/>
      <w:r>
        <w:t>Alcock</w:t>
      </w:r>
      <w:proofErr w:type="spellEnd"/>
      <w:r>
        <w:t xml:space="preserve"> would see the activities of some leader with a reasonably grand scheme in mind. The interpretation doubtless owes something to Sir Mortimer Wheeler’s interpretation of the latest Iron Age phase of Maiden Castle in Dorset, which he attributed to a ‘military mastermind’. If so, is the ‘mastermind’ at Cadbury, Arthur? </w:t>
      </w:r>
      <w:proofErr w:type="spellStart"/>
      <w:r>
        <w:t>Alcock</w:t>
      </w:r>
      <w:proofErr w:type="spellEnd"/>
      <w:r>
        <w:t xml:space="preserve"> would prefer ‘an Arthur type figure’. Is an ‘Arthur-type’ an archetype?</w:t>
      </w:r>
    </w:p>
    <w:p w:rsidR="003147E6" w:rsidRDefault="003147E6" w:rsidP="003147E6">
      <w:pPr>
        <w:jc w:val="both"/>
        <w:rPr>
          <w:b/>
        </w:rPr>
      </w:pPr>
    </w:p>
    <w:p w:rsidR="003147E6" w:rsidRDefault="003147E6" w:rsidP="003147E6">
      <w:pPr>
        <w:jc w:val="both"/>
        <w:rPr>
          <w:b/>
        </w:rPr>
      </w:pPr>
    </w:p>
    <w:p w:rsidR="003147E6" w:rsidRDefault="003147E6" w:rsidP="003147E6">
      <w:pPr>
        <w:jc w:val="both"/>
        <w:rPr>
          <w:b/>
        </w:rPr>
      </w:pPr>
      <w:r>
        <w:rPr>
          <w:b/>
        </w:rPr>
        <w:t>The Research Premise of the South Cadbury Excavations:</w:t>
      </w:r>
    </w:p>
    <w:p w:rsidR="003147E6" w:rsidRDefault="003147E6" w:rsidP="003147E6">
      <w:pPr>
        <w:jc w:val="both"/>
      </w:pPr>
    </w:p>
    <w:p w:rsidR="003147E6" w:rsidRDefault="003147E6" w:rsidP="003147E6">
      <w:pPr>
        <w:jc w:val="both"/>
      </w:pPr>
      <w:r>
        <w:t xml:space="preserve">To understand the strength and character of the reactions to </w:t>
      </w:r>
      <w:proofErr w:type="spellStart"/>
      <w:r>
        <w:t>Alcock’s</w:t>
      </w:r>
      <w:proofErr w:type="spellEnd"/>
      <w:r>
        <w:t xml:space="preserve"> interpretation of South Cadbury we need to step back and consider the genealogy of his approach both the </w:t>
      </w:r>
      <w:proofErr w:type="spellStart"/>
      <w:r>
        <w:t>the</w:t>
      </w:r>
      <w:proofErr w:type="spellEnd"/>
      <w:r>
        <w:t xml:space="preserve"> research design of the excavation, and of the publicity campaign which surrounded it. </w:t>
      </w:r>
    </w:p>
    <w:p w:rsidR="003147E6" w:rsidRDefault="003147E6" w:rsidP="003147E6">
      <w:pPr>
        <w:jc w:val="both"/>
      </w:pPr>
      <w:r>
        <w:tab/>
      </w:r>
    </w:p>
    <w:p w:rsidR="003147E6" w:rsidRDefault="003147E6" w:rsidP="003147E6">
      <w:pPr>
        <w:jc w:val="both"/>
      </w:pPr>
      <w:r>
        <w:t xml:space="preserve">The chair of the research committee for the South Cadbury excavation was Sir Mortimer Wheeler. </w:t>
      </w:r>
      <w:proofErr w:type="spellStart"/>
      <w:r>
        <w:t>Alcock</w:t>
      </w:r>
      <w:proofErr w:type="spellEnd"/>
      <w:r>
        <w:t xml:space="preserve"> had commenced his archaeological career as a Wheeler’s assistant in excavations at Mohenjo-Daro in Pakistan. </w:t>
      </w:r>
      <w:proofErr w:type="spellStart"/>
      <w:r>
        <w:t>Alcock</w:t>
      </w:r>
      <w:proofErr w:type="spellEnd"/>
      <w:r>
        <w:t xml:space="preserve">, on his return to Britain, had chosen to specialise in </w:t>
      </w:r>
      <w:proofErr w:type="spellStart"/>
      <w:r>
        <w:t>hillfort</w:t>
      </w:r>
      <w:proofErr w:type="spellEnd"/>
      <w:r>
        <w:t xml:space="preserve"> sites and had excavated several in Wales, at </w:t>
      </w:r>
      <w:proofErr w:type="spellStart"/>
      <w:r>
        <w:t>Castell</w:t>
      </w:r>
      <w:proofErr w:type="spellEnd"/>
      <w:r>
        <w:t xml:space="preserve"> </w:t>
      </w:r>
      <w:proofErr w:type="spellStart"/>
      <w:r>
        <w:t>Odo</w:t>
      </w:r>
      <w:proofErr w:type="spellEnd"/>
      <w:r>
        <w:t xml:space="preserve">, </w:t>
      </w:r>
      <w:proofErr w:type="spellStart"/>
      <w:r>
        <w:t>Degannwy</w:t>
      </w:r>
      <w:proofErr w:type="spellEnd"/>
      <w:r>
        <w:t xml:space="preserve"> and </w:t>
      </w:r>
      <w:proofErr w:type="spellStart"/>
      <w:r>
        <w:t>Dinas</w:t>
      </w:r>
      <w:proofErr w:type="spellEnd"/>
      <w:r>
        <w:t xml:space="preserve"> Powys, as well as directing the excavation of the gate area of </w:t>
      </w:r>
      <w:proofErr w:type="spellStart"/>
      <w:r>
        <w:t>Stanwick</w:t>
      </w:r>
      <w:proofErr w:type="spellEnd"/>
      <w:r>
        <w:t xml:space="preserve">, in Yorkshire under Wheeler’s direction. </w:t>
      </w:r>
    </w:p>
    <w:p w:rsidR="003147E6" w:rsidRDefault="003147E6" w:rsidP="003147E6">
      <w:pPr>
        <w:jc w:val="both"/>
      </w:pPr>
    </w:p>
    <w:p w:rsidR="003147E6" w:rsidRDefault="003147E6" w:rsidP="003147E6">
      <w:pPr>
        <w:jc w:val="both"/>
      </w:pPr>
      <w:r>
        <w:t xml:space="preserve">Much of Wheeler’s archaeological work in Britain, pre- and post-war, might be described as concerned with ‘proto-historic’ sites: sites of the early Roman period and of the last centuries prior to the Roman conquest of Britain and Northern Gaul, upon which the evidence of Roman literary sources arguably has some bearing. His excavations at </w:t>
      </w:r>
      <w:proofErr w:type="spellStart"/>
      <w:r>
        <w:t>Verulamiam</w:t>
      </w:r>
      <w:proofErr w:type="spellEnd"/>
      <w:r>
        <w:t xml:space="preserve"> (St Albans) sought to identify the earlier settlement of Caesar’s opponent </w:t>
      </w:r>
      <w:proofErr w:type="spellStart"/>
      <w:r>
        <w:t>Catavellaunus</w:t>
      </w:r>
      <w:proofErr w:type="spellEnd"/>
      <w:r>
        <w:t xml:space="preserve">; his excavations in Northern France were concerned with distinguishing late-prehistoric peoples such as the </w:t>
      </w:r>
      <w:proofErr w:type="spellStart"/>
      <w:r>
        <w:t>Belgae</w:t>
      </w:r>
      <w:proofErr w:type="spellEnd"/>
      <w:r>
        <w:t xml:space="preserve"> and </w:t>
      </w:r>
      <w:proofErr w:type="spellStart"/>
      <w:r>
        <w:t>Veneti</w:t>
      </w:r>
      <w:proofErr w:type="spellEnd"/>
      <w:r>
        <w:t xml:space="preserve">, described by Caesar. His final major excavation, at </w:t>
      </w:r>
      <w:proofErr w:type="spellStart"/>
      <w:r>
        <w:t>Stanwick</w:t>
      </w:r>
      <w:proofErr w:type="spellEnd"/>
      <w:r>
        <w:t xml:space="preserve">, most controversially of all, linked the site with the rising of </w:t>
      </w:r>
      <w:proofErr w:type="spellStart"/>
      <w:r>
        <w:t>Cartamandua</w:t>
      </w:r>
      <w:proofErr w:type="spellEnd"/>
      <w:r>
        <w:t xml:space="preserve">, described by Tacitus in the first century AD. </w:t>
      </w:r>
    </w:p>
    <w:p w:rsidR="003147E6" w:rsidRDefault="003147E6" w:rsidP="003147E6">
      <w:pPr>
        <w:jc w:val="both"/>
      </w:pPr>
    </w:p>
    <w:p w:rsidR="003147E6" w:rsidRDefault="003147E6" w:rsidP="003147E6">
      <w:pPr>
        <w:jc w:val="both"/>
      </w:pPr>
      <w:r>
        <w:t xml:space="preserve">These investigations of sites on the basis that they were able to be understood in the context of historic events occurred at a time when a younger generation of archaeologists, led especially by Christopher </w:t>
      </w:r>
      <w:proofErr w:type="spellStart"/>
      <w:r>
        <w:t>Hawkes</w:t>
      </w:r>
      <w:proofErr w:type="spellEnd"/>
      <w:r>
        <w:t>, were seeking to interpret the evidence of later prehistory in terms of economic and social models. They saw Wheeler’s attempts to associate these sites with historical events as simplistic and narrow in conception—akin to digging up Jerusalem, only to identify biblical events. Wheeler’s concern to section (</w:t>
      </w:r>
      <w:r>
        <w:rPr>
          <w:i/>
        </w:rPr>
        <w:t xml:space="preserve">i.e. </w:t>
      </w:r>
      <w:r>
        <w:t xml:space="preserve">put trenches through) ramparts of forts, to identify the relative construction of the fortifications, was seen as a pre-occupation arising from his military career—he was senior officer in both world wars—and an imperialist mindset. There was ideology on both sides. Wheeler, on arrival in India, had immediately homed-in on Gordon </w:t>
      </w:r>
      <w:proofErr w:type="spellStart"/>
      <w:r>
        <w:t>Childe’s</w:t>
      </w:r>
      <w:proofErr w:type="spellEnd"/>
      <w:r>
        <w:t xml:space="preserve"> interpretation of the Indus Valley culture as one without military organisation or fortification: demonstrating that the site of Harappa had massive ramparts. </w:t>
      </w:r>
      <w:proofErr w:type="spellStart"/>
      <w:r>
        <w:t>Childe’s</w:t>
      </w:r>
      <w:proofErr w:type="spellEnd"/>
      <w:r>
        <w:t xml:space="preserve"> desire for an ideal socialist state in prehistory was here set against the military-man’s keen eye for a fortification. </w:t>
      </w:r>
    </w:p>
    <w:p w:rsidR="003147E6" w:rsidRDefault="003147E6" w:rsidP="003147E6">
      <w:pPr>
        <w:jc w:val="both"/>
      </w:pPr>
    </w:p>
    <w:p w:rsidR="003147E6" w:rsidRDefault="003147E6" w:rsidP="003147E6">
      <w:pPr>
        <w:jc w:val="both"/>
      </w:pPr>
      <w:r>
        <w:t xml:space="preserve">It is important to see the work of Wheeler in its time. As Director-General of the Indian </w:t>
      </w:r>
      <w:proofErr w:type="spellStart"/>
      <w:r>
        <w:t>Archaelogical</w:t>
      </w:r>
      <w:proofErr w:type="spellEnd"/>
      <w:r>
        <w:t xml:space="preserve"> Service Wheeler’s much of Wheeler’s work focused on Roman finds in India. Moving from the benchmark of the secure chronologies of imported finds of Gaulish </w:t>
      </w:r>
      <w:proofErr w:type="spellStart"/>
      <w:r>
        <w:t>Samian</w:t>
      </w:r>
      <w:proofErr w:type="spellEnd"/>
      <w:r>
        <w:t xml:space="preserve"> ware and Roman imperial coinage, Wheeler made important contributions to the absolute dating of much of Indian prehistory. His emphasis on Roman finds ‘beyond the frontiers’ was on the basis that the Roman element, being mass-produced and ‘global’ in distribution, was recognisable and able to carry dates across frontiers to provide fixed benchmarks in local chronologies which were understood relatively, but not absolutely. His emphasis on rampart chronology he defended in similar vein: the rampart on a defended site often provides the securest vertical sequence for construction and occupation. </w:t>
      </w:r>
    </w:p>
    <w:p w:rsidR="003147E6" w:rsidRDefault="003147E6" w:rsidP="003147E6">
      <w:pPr>
        <w:jc w:val="both"/>
      </w:pPr>
    </w:p>
    <w:p w:rsidR="003147E6" w:rsidRDefault="003147E6" w:rsidP="003147E6">
      <w:pPr>
        <w:jc w:val="both"/>
      </w:pPr>
      <w:r>
        <w:t xml:space="preserve">Inevitably, however, such emphases invite the criticism that one is mainly concerned with foreign imperialism and militaristic aspects of society—and Wheeler’s at times regimented and paternalistic attitudes to excavation also invited unhelpful comparisons. He also early on recognised the value of media coverage and the need to provide ‘sound-bites’. While excavating the </w:t>
      </w:r>
      <w:proofErr w:type="spellStart"/>
      <w:r>
        <w:t>amphitheare</w:t>
      </w:r>
      <w:proofErr w:type="spellEnd"/>
      <w:r>
        <w:t xml:space="preserve"> of the Roman site of </w:t>
      </w:r>
      <w:proofErr w:type="spellStart"/>
      <w:r>
        <w:t>Caerleon</w:t>
      </w:r>
      <w:proofErr w:type="spellEnd"/>
      <w:r>
        <w:t xml:space="preserve"> in Wales, he was not averse to referring to the tradition that it was Arthur’s ‘round table’. </w:t>
      </w:r>
    </w:p>
    <w:p w:rsidR="003147E6" w:rsidRDefault="003147E6" w:rsidP="003147E6">
      <w:pPr>
        <w:jc w:val="both"/>
      </w:pPr>
    </w:p>
    <w:p w:rsidR="003147E6" w:rsidRDefault="003147E6" w:rsidP="003147E6">
      <w:pPr>
        <w:jc w:val="both"/>
      </w:pPr>
      <w:r>
        <w:t xml:space="preserve">This is to by no means imply that the excavations at South Cadbury were the work of Wheeler, though there is no doubt that, as Chair of the Research Committee, his example was formative. What is more to be noted is that the strategy of the excavation was a product of what we may term the ‘historical’ paradigm of which Wheeler was a pioneer. </w:t>
      </w:r>
      <w:proofErr w:type="spellStart"/>
      <w:r>
        <w:t>Alcock</w:t>
      </w:r>
      <w:proofErr w:type="spellEnd"/>
      <w:r>
        <w:t xml:space="preserve">, most notoriously, gave television interviews in which he was seen to suggest that an archaeological search for a putatively historical Arthur was a legitimate exercise—a theme repeated in his 1972 book </w:t>
      </w:r>
      <w:r>
        <w:rPr>
          <w:i/>
        </w:rPr>
        <w:t xml:space="preserve">Arthur’s Britain. </w:t>
      </w:r>
      <w:r>
        <w:t xml:space="preserve">When the rampart sections and the gateway yielded evidence of substantial redesign within a ‘sub-Roman’ tradition, he was not averse to couching it in terms of a military leader with a strong vision. </w:t>
      </w:r>
      <w:proofErr w:type="spellStart"/>
      <w:r>
        <w:t>Alcock’s</w:t>
      </w:r>
      <w:proofErr w:type="spellEnd"/>
      <w:r>
        <w:t xml:space="preserve"> methods nonetheless differed from those of Wheeler in including an open-area investigation of the centre of the site, which included a large timber hall. Wheeler’s excavation of the central area of Maiden Castle had attracted the most accusations that he—a self-consciously military man—was only interested in fortifications. The South Cadbury sites was discussed in wider terms than simply military function, and </w:t>
      </w:r>
      <w:proofErr w:type="spellStart"/>
      <w:r>
        <w:t>Alcock</w:t>
      </w:r>
      <w:proofErr w:type="spellEnd"/>
      <w:r>
        <w:t xml:space="preserve"> indeed has subsequently shown himself to be very much concerned with the same social issues as most </w:t>
      </w:r>
      <w:proofErr w:type="spellStart"/>
      <w:r>
        <w:t>prehistorians</w:t>
      </w:r>
      <w:proofErr w:type="spellEnd"/>
      <w:r>
        <w:t xml:space="preserve">. </w:t>
      </w:r>
    </w:p>
    <w:p w:rsidR="003147E6" w:rsidRDefault="003147E6" w:rsidP="003147E6">
      <w:pPr>
        <w:jc w:val="both"/>
      </w:pPr>
    </w:p>
    <w:p w:rsidR="003147E6" w:rsidRDefault="003147E6" w:rsidP="003147E6">
      <w:pPr>
        <w:jc w:val="both"/>
      </w:pPr>
      <w:r>
        <w:t xml:space="preserve">It was around the time of the South Cadbury excavations, however, that archaeologists in Britain began to see </w:t>
      </w:r>
      <w:proofErr w:type="gramStart"/>
      <w:r>
        <w:t>themselves</w:t>
      </w:r>
      <w:proofErr w:type="gramEnd"/>
      <w:r>
        <w:t xml:space="preserve"> escaping from the perceived shackles of ‘historical’ thinking—armed now with an independent absolute-dating tool in the form of radiocarbon analysis. Archaeologists such as David Clarke advocated the development of a new vision of prehistory and Roman/medieval archaeologists such as Philip </w:t>
      </w:r>
      <w:proofErr w:type="spellStart"/>
      <w:r>
        <w:t>Rahtz</w:t>
      </w:r>
      <w:proofErr w:type="spellEnd"/>
      <w:r>
        <w:t xml:space="preserve"> and Richard Reece pioneered new approaches to medieval sites. </w:t>
      </w:r>
    </w:p>
    <w:p w:rsidR="003147E6" w:rsidRDefault="003147E6" w:rsidP="003147E6">
      <w:pPr>
        <w:jc w:val="both"/>
      </w:pPr>
    </w:p>
    <w:p w:rsidR="003147E6" w:rsidRDefault="003147E6" w:rsidP="003147E6">
      <w:pPr>
        <w:jc w:val="both"/>
      </w:pPr>
    </w:p>
    <w:p w:rsidR="003147E6" w:rsidRDefault="003147E6" w:rsidP="003147E6">
      <w:pPr>
        <w:pStyle w:val="Heading3"/>
      </w:pPr>
      <w:r>
        <w:t>An Objective Look at South Cadbury</w:t>
      </w:r>
    </w:p>
    <w:p w:rsidR="003147E6" w:rsidRDefault="003147E6" w:rsidP="003147E6">
      <w:pPr>
        <w:jc w:val="both"/>
        <w:rPr>
          <w:b/>
          <w:bCs/>
        </w:rPr>
      </w:pPr>
    </w:p>
    <w:p w:rsidR="003147E6" w:rsidRDefault="003147E6" w:rsidP="003147E6">
      <w:pPr>
        <w:jc w:val="both"/>
      </w:pPr>
      <w:r>
        <w:t xml:space="preserve">Stepping aside from the politics of ‘New Archaeology’, we need to consider the significance of South Cadbury and its finds. </w:t>
      </w:r>
    </w:p>
    <w:p w:rsidR="003147E6" w:rsidRDefault="003147E6" w:rsidP="003147E6">
      <w:pPr>
        <w:jc w:val="both"/>
      </w:pPr>
    </w:p>
    <w:p w:rsidR="003147E6" w:rsidRDefault="003147E6" w:rsidP="003147E6">
      <w:pPr>
        <w:jc w:val="both"/>
      </w:pPr>
      <w:r>
        <w:t xml:space="preserve">The details of </w:t>
      </w:r>
      <w:proofErr w:type="spellStart"/>
      <w:r>
        <w:t>Alcock’s</w:t>
      </w:r>
      <w:proofErr w:type="spellEnd"/>
      <w:r>
        <w:t xml:space="preserve"> discoveries are well set out in the reports in the reading brick and you are advised to read them carefully. The present discussion will focus on some of the broad issues of interpretation that arise from them.</w:t>
      </w:r>
    </w:p>
    <w:p w:rsidR="003147E6" w:rsidRDefault="003147E6" w:rsidP="003147E6">
      <w:pPr>
        <w:jc w:val="both"/>
      </w:pPr>
    </w:p>
    <w:p w:rsidR="003147E6" w:rsidRDefault="003147E6" w:rsidP="003147E6">
      <w:pPr>
        <w:jc w:val="both"/>
      </w:pPr>
      <w:r>
        <w:t>In the evolving picture of the function and character of South Cadbury that is traceable through successive reports, we may trace some basic assumptions as their basis.</w:t>
      </w:r>
    </w:p>
    <w:p w:rsidR="003147E6" w:rsidRDefault="003147E6" w:rsidP="003147E6">
      <w:pPr>
        <w:jc w:val="both"/>
      </w:pPr>
    </w:p>
    <w:p w:rsidR="003147E6" w:rsidRDefault="003147E6" w:rsidP="003147E6">
      <w:pPr>
        <w:jc w:val="both"/>
      </w:pPr>
      <w:r>
        <w:t xml:space="preserve">That the </w:t>
      </w:r>
      <w:proofErr w:type="spellStart"/>
      <w:r>
        <w:t>hillfort</w:t>
      </w:r>
      <w:proofErr w:type="spellEnd"/>
      <w:r>
        <w:t xml:space="preserve"> of South Cadbury was the citadel of a significant ruler in the Iron Age is a reasonable one. Scholars of the Late Iron Age waver between a </w:t>
      </w:r>
      <w:proofErr w:type="gramStart"/>
      <w:r>
        <w:t>tendency</w:t>
      </w:r>
      <w:proofErr w:type="gramEnd"/>
      <w:r>
        <w:t xml:space="preserve"> to speak of these </w:t>
      </w:r>
      <w:proofErr w:type="spellStart"/>
      <w:r>
        <w:t>hillforts</w:t>
      </w:r>
      <w:proofErr w:type="spellEnd"/>
      <w:r>
        <w:t xml:space="preserve"> as ‘proto-urban’ or ‘urban’ formations. Roman sources, such as Caesar, in describing their Celtic opponents in the wars of conquest, depict a society with kings and chieftains—though this may reflect as much the desire for a named opponent as any real reflection on Celtic power structures. But the scale of the site may be reasonably held to reflect a choice on the part of the early builders.</w:t>
      </w:r>
    </w:p>
    <w:p w:rsidR="003147E6" w:rsidRDefault="003147E6" w:rsidP="003147E6">
      <w:pPr>
        <w:jc w:val="both"/>
      </w:pPr>
    </w:p>
    <w:p w:rsidR="003147E6" w:rsidRDefault="003147E6" w:rsidP="003147E6">
      <w:pPr>
        <w:jc w:val="both"/>
      </w:pPr>
      <w:r>
        <w:t xml:space="preserve">The assumption that South Cadbury is a major political centre in the Early Middle Ages may not be as easily indexed to the size of the site. A quite minor ruler with delusions of </w:t>
      </w:r>
      <w:proofErr w:type="spellStart"/>
      <w:r>
        <w:t>gradeur</w:t>
      </w:r>
      <w:proofErr w:type="spellEnd"/>
      <w:r>
        <w:t xml:space="preserve"> may take over a larger abandoned fort than their needs require. The scale of re-fortification, however, speaks to considerable investment.</w:t>
      </w:r>
    </w:p>
    <w:p w:rsidR="003147E6" w:rsidRDefault="003147E6" w:rsidP="003147E6">
      <w:pPr>
        <w:jc w:val="both"/>
      </w:pPr>
    </w:p>
    <w:p w:rsidR="003147E6" w:rsidRDefault="003147E6" w:rsidP="003147E6">
      <w:pPr>
        <w:jc w:val="both"/>
      </w:pPr>
      <w:r>
        <w:t xml:space="preserve">The fact that ‘sub-Roman’ imports such as wine and oil, their presence indicated by the </w:t>
      </w:r>
      <w:proofErr w:type="spellStart"/>
      <w:r>
        <w:t>Mediterrean</w:t>
      </w:r>
      <w:proofErr w:type="spellEnd"/>
      <w:r>
        <w:t xml:space="preserve"> wares, may have been consumed on the site must be measured against the much larger scale of remains of the same types of vessels elsewhere. </w:t>
      </w:r>
      <w:proofErr w:type="spellStart"/>
      <w:r>
        <w:t>Congresbury</w:t>
      </w:r>
      <w:proofErr w:type="spellEnd"/>
      <w:r>
        <w:t xml:space="preserve">, another </w:t>
      </w:r>
      <w:proofErr w:type="spellStart"/>
      <w:r>
        <w:t>hillfort</w:t>
      </w:r>
      <w:proofErr w:type="spellEnd"/>
      <w:r>
        <w:t xml:space="preserve">, closer to the Severn, has vastly greater quantities of these wares, as does Tintagel. As these sites are nearer the coast, however, the quantities of these goods found on sites may reflect less their political significance than it does their proximity to ports. </w:t>
      </w:r>
    </w:p>
    <w:p w:rsidR="003147E6" w:rsidRDefault="003147E6" w:rsidP="003147E6">
      <w:pPr>
        <w:jc w:val="both"/>
      </w:pPr>
    </w:p>
    <w:p w:rsidR="003147E6" w:rsidRDefault="003147E6" w:rsidP="003147E6">
      <w:pPr>
        <w:jc w:val="both"/>
      </w:pPr>
      <w:r>
        <w:t xml:space="preserve">The role of ‘sub-Roman’ artefacts—both small finds, such as pots, and large artefacts, like the gate-house—may be overstated. *Faulkner has questioned what he terms the Late Antiquity Paradigm, in which the essential </w:t>
      </w:r>
      <w:proofErr w:type="spellStart"/>
      <w:r>
        <w:rPr>
          <w:i/>
        </w:rPr>
        <w:t>Romanitas</w:t>
      </w:r>
      <w:proofErr w:type="spellEnd"/>
      <w:r>
        <w:rPr>
          <w:i/>
        </w:rPr>
        <w:t xml:space="preserve"> </w:t>
      </w:r>
      <w:r>
        <w:t xml:space="preserve">of the post-Roman kingdoms is emphasised, in contrast to the local contribution. These aspects of the site speak to our ‘Arthurian’ </w:t>
      </w:r>
      <w:proofErr w:type="spellStart"/>
      <w:r>
        <w:t>cliches</w:t>
      </w:r>
      <w:proofErr w:type="spellEnd"/>
      <w:r>
        <w:t xml:space="preserve">: a part-Roman, part-Celtic figure; the resistance hero who brings Roman military know-how to sustain a ‘Celtic’ resistance. </w:t>
      </w:r>
    </w:p>
    <w:p w:rsidR="003147E6" w:rsidRDefault="003147E6" w:rsidP="003147E6">
      <w:pPr>
        <w:jc w:val="both"/>
      </w:pPr>
    </w:p>
    <w:p w:rsidR="003147E6" w:rsidRDefault="003147E6" w:rsidP="003147E6">
      <w:pPr>
        <w:jc w:val="both"/>
      </w:pPr>
      <w:r>
        <w:t xml:space="preserve">We should not jump to the conclusion that the choice of site was purely one based on military requirements. The choice to re-use one of the great </w:t>
      </w:r>
      <w:proofErr w:type="spellStart"/>
      <w:r>
        <w:t>hillforts</w:t>
      </w:r>
      <w:proofErr w:type="spellEnd"/>
      <w:r>
        <w:t xml:space="preserve"> of the Iron Age may have been an ideological one: perhaps looking to set up a link with the ancient past—a reassertion of ‘native’ identity. It must be said, however, that the decision was a sound one in military terms. Such locations, commanding a wide sweep of the countryside, allow small numbers of troops to prevent penetration by a hostile force.</w:t>
      </w:r>
      <w:r w:rsidR="00834FC9">
        <w:rPr>
          <w:rStyle w:val="FootnoteReference"/>
        </w:rPr>
        <w:t xml:space="preserve"> </w:t>
      </w:r>
      <w:r>
        <w:t xml:space="preserve"> </w:t>
      </w:r>
    </w:p>
    <w:p w:rsidR="003147E6" w:rsidRDefault="003147E6" w:rsidP="003147E6">
      <w:pPr>
        <w:jc w:val="both"/>
      </w:pPr>
    </w:p>
    <w:p w:rsidR="003147E6" w:rsidRDefault="003147E6" w:rsidP="003147E6">
      <w:pPr>
        <w:jc w:val="both"/>
      </w:pPr>
      <w:r>
        <w:t xml:space="preserve">The use of terms by </w:t>
      </w:r>
      <w:proofErr w:type="spellStart"/>
      <w:r>
        <w:t>prehistorians</w:t>
      </w:r>
      <w:proofErr w:type="spellEnd"/>
      <w:r>
        <w:t xml:space="preserve"> and historical archaeologists (</w:t>
      </w:r>
      <w:r>
        <w:rPr>
          <w:i/>
        </w:rPr>
        <w:t xml:space="preserve">e.g. </w:t>
      </w:r>
      <w:proofErr w:type="spellStart"/>
      <w:r>
        <w:t>Alcock’s</w:t>
      </w:r>
      <w:proofErr w:type="spellEnd"/>
      <w:r>
        <w:t xml:space="preserve"> ‘potentates’) reflects a desire to avoid the cultural baggage of some terms. How successful this may be is a matter for debate. </w:t>
      </w:r>
    </w:p>
    <w:p w:rsidR="003147E6" w:rsidRDefault="003147E6" w:rsidP="003147E6"/>
    <w:p w:rsidR="003147E6" w:rsidRDefault="003147E6" w:rsidP="003147E6"/>
    <w:p w:rsidR="003147E6" w:rsidRDefault="003147E6" w:rsidP="003147E6">
      <w:pPr>
        <w:jc w:val="both"/>
        <w:rPr>
          <w:b/>
        </w:rPr>
      </w:pPr>
      <w:r>
        <w:rPr>
          <w:b/>
        </w:rPr>
        <w:t>Prehistoric and Historic Assumptions in Presentation of the Past</w:t>
      </w:r>
    </w:p>
    <w:p w:rsidR="003147E6" w:rsidRDefault="003147E6" w:rsidP="003147E6">
      <w:pPr>
        <w:jc w:val="both"/>
        <w:rPr>
          <w:b/>
        </w:rPr>
      </w:pPr>
    </w:p>
    <w:p w:rsidR="003147E6" w:rsidRDefault="003147E6" w:rsidP="003147E6">
      <w:pPr>
        <w:jc w:val="both"/>
      </w:pPr>
      <w:r>
        <w:t xml:space="preserve">In his notorious polemic against the Camelot Research Committee, Charles Thomas raised the issue of whether South Cadbury was really most important for its post-Roman occupation—noting that it was an overwhelmingly significant centre in pre-Roman Britain. He asked if the </w:t>
      </w:r>
      <w:proofErr w:type="spellStart"/>
      <w:r>
        <w:t>Durotriges</w:t>
      </w:r>
      <w:proofErr w:type="spellEnd"/>
      <w:r>
        <w:t xml:space="preserve"> and their works might not be as fascinating a topic for public consumption. </w:t>
      </w:r>
    </w:p>
    <w:p w:rsidR="003147E6" w:rsidRDefault="003147E6" w:rsidP="003147E6">
      <w:pPr>
        <w:jc w:val="both"/>
      </w:pPr>
    </w:p>
    <w:p w:rsidR="003147E6" w:rsidRDefault="003147E6" w:rsidP="003147E6">
      <w:pPr>
        <w:jc w:val="both"/>
      </w:pPr>
      <w:r>
        <w:t xml:space="preserve">These are complex debates in archaeology and cultural resource management. A reading of Grimes’ review of Wheeler’s </w:t>
      </w:r>
      <w:r>
        <w:rPr>
          <w:i/>
        </w:rPr>
        <w:t xml:space="preserve">Maiden Castle </w:t>
      </w:r>
      <w:r>
        <w:t>and of Radford’s reply to Thomas, shows the struggle that was occurring in the 1950s and ‘60s concerning the proper funding of archaeology. The feeling that the results of excavation should be made accessible to a public who might pay for it was weighed against the desire for archaeology to be seen as a science—which may include use of a less accessible, ‘scientific’, language of specialist discourse and terminology, as well as a focus on social, rather than historical issues that might be less immediately of interest to the public.</w:t>
      </w:r>
      <w:r w:rsidR="00834FC9">
        <w:rPr>
          <w:rStyle w:val="FootnoteReference"/>
        </w:rPr>
        <w:t xml:space="preserve"> </w:t>
      </w:r>
      <w:r>
        <w:t xml:space="preserve"> </w:t>
      </w:r>
    </w:p>
    <w:p w:rsidR="003147E6" w:rsidRDefault="003147E6" w:rsidP="003147E6">
      <w:pPr>
        <w:jc w:val="both"/>
      </w:pPr>
    </w:p>
    <w:p w:rsidR="003147E6" w:rsidRDefault="003147E6" w:rsidP="003147E6">
      <w:pPr>
        <w:jc w:val="both"/>
      </w:pPr>
      <w:r>
        <w:t xml:space="preserve">Similar and related, though not identical, issues have arisen from the use of the term ‘Celtic’ to describe the Late Iron Age in Britain and northern Europe. The archaeologists John Collis and Simon James have complained that these historic identities are a blunt instrument when studying local cultures, and that the name ‘Celt’ was universal to all the peoples who spoke languages of what we term the ‘Celtic’ type. This, they claim, leads the public to a general impression of a centralised complex, almost an imperial vision, of Celtic civilisation. </w:t>
      </w:r>
    </w:p>
    <w:p w:rsidR="003147E6" w:rsidRDefault="003147E6" w:rsidP="003147E6">
      <w:pPr>
        <w:jc w:val="both"/>
      </w:pPr>
    </w:p>
    <w:p w:rsidR="003147E6" w:rsidRDefault="003147E6" w:rsidP="003147E6">
      <w:pPr>
        <w:jc w:val="both"/>
      </w:pPr>
      <w:r>
        <w:t>There is, however, a confused ideology to these debates. Collis, for example, uses the example of an exhibition in Bavaria:</w:t>
      </w:r>
    </w:p>
    <w:p w:rsidR="003147E6" w:rsidRDefault="003147E6" w:rsidP="003147E6">
      <w:pPr>
        <w:jc w:val="both"/>
      </w:pPr>
    </w:p>
    <w:p w:rsidR="003147E6" w:rsidRDefault="003147E6" w:rsidP="003147E6">
      <w:pPr>
        <w:ind w:left="567"/>
        <w:jc w:val="both"/>
      </w:pPr>
      <w:r>
        <w:t xml:space="preserve">‘Die </w:t>
      </w:r>
      <w:proofErr w:type="spellStart"/>
      <w:r>
        <w:t>Kelten</w:t>
      </w:r>
      <w:proofErr w:type="spellEnd"/>
      <w:r>
        <w:t xml:space="preserve"> </w:t>
      </w:r>
      <w:proofErr w:type="spellStart"/>
      <w:r>
        <w:t>kommen</w:t>
      </w:r>
      <w:proofErr w:type="spellEnd"/>
      <w:r>
        <w:t xml:space="preserve">!’ proclaimed the posters on the motorway at Rosenheim Bavaria, 200,000 of them ... but would they have done so had the exhibition </w:t>
      </w:r>
      <w:r>
        <w:rPr>
          <w:i/>
        </w:rPr>
        <w:t xml:space="preserve">Die </w:t>
      </w:r>
      <w:proofErr w:type="spellStart"/>
      <w:r>
        <w:rPr>
          <w:i/>
        </w:rPr>
        <w:t>Kelten</w:t>
      </w:r>
      <w:proofErr w:type="spellEnd"/>
      <w:r>
        <w:t xml:space="preserve"> been called the ‘Iron Age in Southern Germany’? ... Ancient Celts have become modern Celts... the illogicality of this process and the tacit theories which lie behind the methodology </w:t>
      </w:r>
      <w:proofErr w:type="gramStart"/>
      <w:r>
        <w:t>employed, ...</w:t>
      </w:r>
      <w:proofErr w:type="gramEnd"/>
      <w:r>
        <w:t xml:space="preserve"> have unfortunate and dangerous archaeological and political implications.</w:t>
      </w:r>
      <w:r w:rsidR="00834FC9">
        <w:rPr>
          <w:rStyle w:val="FootnoteReference"/>
        </w:rPr>
        <w:t xml:space="preserve"> </w:t>
      </w:r>
    </w:p>
    <w:p w:rsidR="003147E6" w:rsidRDefault="003147E6" w:rsidP="003147E6">
      <w:pPr>
        <w:ind w:left="567"/>
        <w:jc w:val="both"/>
      </w:pPr>
    </w:p>
    <w:p w:rsidR="003147E6" w:rsidRDefault="003147E6" w:rsidP="003147E6">
      <w:pPr>
        <w:jc w:val="both"/>
      </w:pPr>
      <w:r>
        <w:t xml:space="preserve">It is hard to imagine a name like ‘Iron Age in Southern Germany’ having the appeal of </w:t>
      </w:r>
      <w:r>
        <w:rPr>
          <w:i/>
        </w:rPr>
        <w:t xml:space="preserve">Die </w:t>
      </w:r>
      <w:proofErr w:type="spellStart"/>
      <w:r>
        <w:rPr>
          <w:i/>
        </w:rPr>
        <w:t>Kelten</w:t>
      </w:r>
      <w:proofErr w:type="spellEnd"/>
      <w:r>
        <w:t xml:space="preserve"> (in German or English) and one should perhaps be worried by the bald assertion that this is </w:t>
      </w:r>
      <w:r>
        <w:rPr>
          <w:i/>
          <w:iCs/>
        </w:rPr>
        <w:t xml:space="preserve">per se </w:t>
      </w:r>
      <w:r>
        <w:t>a more responsible name.</w:t>
      </w:r>
    </w:p>
    <w:p w:rsidR="003147E6" w:rsidRDefault="003147E6" w:rsidP="003147E6">
      <w:pPr>
        <w:jc w:val="both"/>
      </w:pPr>
    </w:p>
    <w:p w:rsidR="003147E6" w:rsidRDefault="003147E6" w:rsidP="003147E6">
      <w:pPr>
        <w:jc w:val="both"/>
      </w:pPr>
    </w:p>
    <w:p w:rsidR="003147E6" w:rsidRDefault="003147E6" w:rsidP="003147E6"/>
    <w:p w:rsidR="003147E6" w:rsidRDefault="003147E6" w:rsidP="003147E6">
      <w:pPr>
        <w:jc w:val="both"/>
      </w:pPr>
    </w:p>
    <w:p w:rsidR="003147E6" w:rsidRDefault="003147E6" w:rsidP="003147E6">
      <w:pPr>
        <w:jc w:val="both"/>
      </w:pPr>
    </w:p>
    <w:p w:rsidR="003147E6" w:rsidRDefault="003147E6" w:rsidP="003147E6">
      <w:pPr>
        <w:pStyle w:val="Heading1"/>
        <w:spacing w:line="240" w:lineRule="auto"/>
        <w:rPr>
          <w:smallCaps w:val="0"/>
          <w:sz w:val="24"/>
          <w:szCs w:val="24"/>
        </w:rPr>
      </w:pPr>
      <w:r>
        <w:rPr>
          <w:smallCaps w:val="0"/>
          <w:sz w:val="24"/>
          <w:szCs w:val="24"/>
        </w:rPr>
        <w:t>Recommended Reading</w:t>
      </w:r>
    </w:p>
    <w:p w:rsidR="003147E6" w:rsidRPr="00834FC9" w:rsidRDefault="003147E6" w:rsidP="003147E6">
      <w:pPr>
        <w:ind w:left="540" w:hanging="540"/>
        <w:rPr>
          <w:b/>
        </w:rPr>
      </w:pPr>
      <w:r>
        <w:t>Charles Thomas, ‘Are These the Walls of Camelot?</w:t>
      </w:r>
      <w:proofErr w:type="gramStart"/>
      <w:r>
        <w:t>’,</w:t>
      </w:r>
      <w:proofErr w:type="gramEnd"/>
      <w:r>
        <w:t xml:space="preserve"> </w:t>
      </w:r>
      <w:r>
        <w:rPr>
          <w:i/>
          <w:iCs/>
        </w:rPr>
        <w:t xml:space="preserve">Antiquity </w:t>
      </w:r>
      <w:r>
        <w:t>43 (1969) 27-30 and replies.</w:t>
      </w:r>
      <w:r w:rsidR="00834FC9">
        <w:t xml:space="preserve"> </w:t>
      </w:r>
    </w:p>
    <w:p w:rsidR="003147E6" w:rsidRDefault="003147E6" w:rsidP="003147E6">
      <w:pPr>
        <w:ind w:left="540" w:hanging="540"/>
      </w:pPr>
      <w:proofErr w:type="spellStart"/>
      <w:r>
        <w:t>Philp</w:t>
      </w:r>
      <w:proofErr w:type="spellEnd"/>
      <w:r>
        <w:t xml:space="preserve"> </w:t>
      </w:r>
      <w:proofErr w:type="spellStart"/>
      <w:r>
        <w:t>Rahtz</w:t>
      </w:r>
      <w:proofErr w:type="spellEnd"/>
      <w:r>
        <w:t xml:space="preserve">, ‘Celtic Society in Somerset A.D. 400-700’, </w:t>
      </w:r>
      <w:r>
        <w:rPr>
          <w:i/>
          <w:iCs/>
        </w:rPr>
        <w:t xml:space="preserve">Bulletin of the Board of Celtic Studies </w:t>
      </w:r>
      <w:r>
        <w:t>30 (1983) 176-200</w:t>
      </w:r>
    </w:p>
    <w:p w:rsidR="003147E6" w:rsidRDefault="003147E6" w:rsidP="003147E6">
      <w:pPr>
        <w:ind w:left="540" w:hanging="540"/>
      </w:pPr>
      <w:r>
        <w:t xml:space="preserve">Leslie </w:t>
      </w:r>
      <w:proofErr w:type="spellStart"/>
      <w:r>
        <w:t>Alcock</w:t>
      </w:r>
      <w:proofErr w:type="spellEnd"/>
      <w:r>
        <w:t xml:space="preserve">, ‘Cadbury-Camelot: A Fifteen-Year Perspective’, </w:t>
      </w:r>
      <w:r>
        <w:rPr>
          <w:i/>
          <w:iCs/>
        </w:rPr>
        <w:t xml:space="preserve">Proceedings of the British Academy </w:t>
      </w:r>
      <w:r>
        <w:t>68 (1982) 355-388</w:t>
      </w:r>
    </w:p>
    <w:p w:rsidR="003147E6" w:rsidRDefault="003147E6" w:rsidP="003147E6">
      <w:pPr>
        <w:ind w:left="540" w:hanging="540"/>
      </w:pPr>
      <w:r>
        <w:t xml:space="preserve">Leslie </w:t>
      </w:r>
      <w:proofErr w:type="spellStart"/>
      <w:r>
        <w:t>Alcock</w:t>
      </w:r>
      <w:proofErr w:type="spellEnd"/>
      <w:r>
        <w:t xml:space="preserve">, </w:t>
      </w:r>
      <w:r>
        <w:rPr>
          <w:i/>
          <w:iCs/>
        </w:rPr>
        <w:t>Cadbury Castle, Somerset—</w:t>
      </w:r>
      <w:proofErr w:type="gramStart"/>
      <w:r>
        <w:rPr>
          <w:i/>
          <w:iCs/>
        </w:rPr>
        <w:t>The</w:t>
      </w:r>
      <w:proofErr w:type="gramEnd"/>
      <w:r>
        <w:rPr>
          <w:i/>
          <w:iCs/>
        </w:rPr>
        <w:t xml:space="preserve"> Early Medieval Archaeology </w:t>
      </w:r>
      <w:r>
        <w:t>(Cardiff, 199</w:t>
      </w:r>
      <w:r w:rsidR="00834FC9">
        <w:t>5)</w:t>
      </w:r>
    </w:p>
    <w:p w:rsidR="003147E6" w:rsidRDefault="003147E6" w:rsidP="003147E6">
      <w:pPr>
        <w:jc w:val="both"/>
      </w:pPr>
    </w:p>
    <w:p w:rsidR="00CA165F" w:rsidRDefault="00CA165F"/>
    <w:sectPr w:rsidR="00CA165F" w:rsidSect="00B37880">
      <w:pgSz w:w="11905" w:h="16837"/>
      <w:pgMar w:top="1440" w:right="1797" w:bottom="1440" w:left="1797" w:header="720" w:footer="1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47E6" w:rsidRDefault="003147E6" w:rsidP="003147E6">
      <w:r>
        <w:separator/>
      </w:r>
    </w:p>
  </w:endnote>
  <w:endnote w:type="continuationSeparator" w:id="0">
    <w:p w:rsidR="003147E6" w:rsidRDefault="003147E6" w:rsidP="003147E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Palatino">
    <w:altName w:val="Book Antiqua"/>
    <w:panose1 w:val="00000000000000000000"/>
    <w:charset w:val="4D"/>
    <w:family w:val="auto"/>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47E6" w:rsidRDefault="003147E6" w:rsidP="003147E6">
      <w:r>
        <w:separator/>
      </w:r>
    </w:p>
  </w:footnote>
  <w:footnote w:type="continuationSeparator" w:id="0">
    <w:p w:rsidR="003147E6" w:rsidRDefault="003147E6" w:rsidP="003147E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drawingGridHorizontalSpacing w:val="120"/>
  <w:displayHorizontalDrawingGridEvery w:val="0"/>
  <w:displayVerticalDrawingGridEvery w:val="2"/>
  <w:characterSpacingControl w:val="doNotCompress"/>
  <w:footnotePr>
    <w:footnote w:id="-1"/>
    <w:footnote w:id="0"/>
  </w:footnotePr>
  <w:endnotePr>
    <w:endnote w:id="-1"/>
    <w:endnote w:id="0"/>
  </w:endnotePr>
  <w:compat/>
  <w:rsids>
    <w:rsidRoot w:val="003147E6"/>
    <w:rsid w:val="00016F2D"/>
    <w:rsid w:val="00104A16"/>
    <w:rsid w:val="003147E6"/>
    <w:rsid w:val="007131C4"/>
    <w:rsid w:val="00750A8E"/>
    <w:rsid w:val="008156BF"/>
    <w:rsid w:val="00834FC9"/>
    <w:rsid w:val="00B37880"/>
    <w:rsid w:val="00CA165F"/>
    <w:rsid w:val="00DC63E2"/>
    <w:rsid w:val="00E56066"/>
    <w:rsid w:val="00EC7CA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47E6"/>
    <w:rPr>
      <w:rFonts w:ascii="Times New Roman" w:eastAsia="Times New Roman" w:hAnsi="Times New Roman" w:cs="Times New Roman"/>
      <w:sz w:val="24"/>
      <w:szCs w:val="24"/>
    </w:rPr>
  </w:style>
  <w:style w:type="paragraph" w:styleId="Heading1">
    <w:name w:val="heading 1"/>
    <w:basedOn w:val="Normal"/>
    <w:next w:val="Normal"/>
    <w:link w:val="Heading1Char"/>
    <w:qFormat/>
    <w:rsid w:val="003147E6"/>
    <w:pPr>
      <w:keepNext/>
      <w:spacing w:line="360" w:lineRule="auto"/>
      <w:ind w:right="-7"/>
      <w:outlineLvl w:val="0"/>
    </w:pPr>
    <w:rPr>
      <w:rFonts w:ascii="Garamond" w:hAnsi="Garamond"/>
      <w:b/>
      <w:iCs/>
      <w:smallCaps/>
      <w:sz w:val="20"/>
      <w:szCs w:val="20"/>
    </w:rPr>
  </w:style>
  <w:style w:type="paragraph" w:styleId="Heading3">
    <w:name w:val="heading 3"/>
    <w:basedOn w:val="Normal"/>
    <w:next w:val="Normal"/>
    <w:link w:val="Heading3Char"/>
    <w:qFormat/>
    <w:rsid w:val="003147E6"/>
    <w:pPr>
      <w:keepNext/>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147E6"/>
    <w:rPr>
      <w:rFonts w:ascii="Garamond" w:eastAsia="Times New Roman" w:hAnsi="Garamond" w:cs="Times New Roman"/>
      <w:b/>
      <w:iCs/>
      <w:smallCaps/>
      <w:sz w:val="20"/>
      <w:szCs w:val="20"/>
    </w:rPr>
  </w:style>
  <w:style w:type="character" w:customStyle="1" w:styleId="Heading3Char">
    <w:name w:val="Heading 3 Char"/>
    <w:basedOn w:val="DefaultParagraphFont"/>
    <w:link w:val="Heading3"/>
    <w:rsid w:val="003147E6"/>
    <w:rPr>
      <w:rFonts w:ascii="Times New Roman" w:eastAsia="Times New Roman" w:hAnsi="Times New Roman" w:cs="Times New Roman"/>
      <w:b/>
      <w:bCs/>
      <w:sz w:val="24"/>
      <w:szCs w:val="24"/>
    </w:rPr>
  </w:style>
  <w:style w:type="paragraph" w:styleId="FootnoteText">
    <w:name w:val="footnote text"/>
    <w:basedOn w:val="Normal"/>
    <w:link w:val="FootnoteTextChar"/>
    <w:semiHidden/>
    <w:rsid w:val="003147E6"/>
    <w:rPr>
      <w:sz w:val="20"/>
      <w:szCs w:val="20"/>
    </w:rPr>
  </w:style>
  <w:style w:type="character" w:customStyle="1" w:styleId="FootnoteTextChar">
    <w:name w:val="Footnote Text Char"/>
    <w:basedOn w:val="DefaultParagraphFont"/>
    <w:link w:val="FootnoteText"/>
    <w:semiHidden/>
    <w:rsid w:val="003147E6"/>
    <w:rPr>
      <w:rFonts w:ascii="Times New Roman" w:eastAsia="Times New Roman" w:hAnsi="Times New Roman" w:cs="Times New Roman"/>
      <w:sz w:val="20"/>
      <w:szCs w:val="20"/>
    </w:rPr>
  </w:style>
  <w:style w:type="character" w:styleId="FootnoteReference">
    <w:name w:val="footnote reference"/>
    <w:basedOn w:val="DefaultParagraphFont"/>
    <w:semiHidden/>
    <w:rsid w:val="003147E6"/>
    <w:rPr>
      <w:vertAlign w:val="superscript"/>
    </w:rPr>
  </w:style>
  <w:style w:type="paragraph" w:customStyle="1" w:styleId="Normal1">
    <w:name w:val="Normal1"/>
    <w:basedOn w:val="Normal"/>
    <w:rsid w:val="003147E6"/>
    <w:rPr>
      <w:rFonts w:ascii="Palatino" w:hAnsi="Palatino"/>
      <w:szCs w:val="20"/>
      <w:lang w:val="en-US"/>
    </w:rPr>
  </w:style>
  <w:style w:type="character" w:styleId="Emphasis">
    <w:name w:val="Emphasis"/>
    <w:basedOn w:val="DefaultParagraphFont"/>
    <w:qFormat/>
    <w:rsid w:val="003147E6"/>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2824</Words>
  <Characters>16100</Characters>
  <Application>Microsoft Office Word</Application>
  <DocSecurity>0</DocSecurity>
  <Lines>134</Lines>
  <Paragraphs>37</Paragraphs>
  <ScaleCrop>false</ScaleCrop>
  <Company/>
  <LinksUpToDate>false</LinksUpToDate>
  <CharactersWithSpaces>18887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Wooding</dc:creator>
  <cp:lastModifiedBy>Jonathan Wooding</cp:lastModifiedBy>
  <cp:revision>2</cp:revision>
  <dcterms:created xsi:type="dcterms:W3CDTF">2012-11-28T11:59:00Z</dcterms:created>
  <dcterms:modified xsi:type="dcterms:W3CDTF">2012-11-28T11:59:00Z</dcterms:modified>
</cp:coreProperties>
</file>