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0404E" w:rsidRDefault="00EB63DD">
      <w:r>
        <w:t>INTRODUCTION:</w:t>
      </w:r>
    </w:p>
    <w:p w:rsidR="00EB63DD" w:rsidRDefault="00EB63DD">
      <w:r>
        <w:t>Art 267 TFEU is governing legislation in this area</w:t>
      </w:r>
    </w:p>
    <w:p w:rsidR="00EB63DD" w:rsidRDefault="00EB63DD">
      <w:r>
        <w:t xml:space="preserve">Preliminary reference procedure is where the UK court or a national court of any member state of the EU is uncertain about a piece of EU law and therefore asks the Court of Justice of the EU to clarify this. </w:t>
      </w:r>
    </w:p>
    <w:p w:rsidR="00EB63DD" w:rsidRPr="00C03DC5" w:rsidRDefault="00EB63DD" w:rsidP="00EB63DD">
      <w:pPr>
        <w:pStyle w:val="ListParagraph"/>
        <w:numPr>
          <w:ilvl w:val="0"/>
          <w:numId w:val="1"/>
        </w:numPr>
        <w:rPr>
          <w:u w:val="single"/>
        </w:rPr>
      </w:pPr>
      <w:r w:rsidRPr="00C03DC5">
        <w:rPr>
          <w:u w:val="single"/>
        </w:rPr>
        <w:t>WHICH COURTS/TRIBUNALS CAN MAKE A REFER</w:t>
      </w:r>
      <w:r w:rsidR="00C632F8">
        <w:rPr>
          <w:u w:val="single"/>
        </w:rPr>
        <w:t>E</w:t>
      </w:r>
      <w:r w:rsidRPr="00C03DC5">
        <w:rPr>
          <w:u w:val="single"/>
        </w:rPr>
        <w:t>NCE TO THE CJEU?</w:t>
      </w:r>
    </w:p>
    <w:p w:rsidR="00EB63DD" w:rsidRPr="00C632F8" w:rsidRDefault="00EB63DD" w:rsidP="00EB63DD">
      <w:pPr>
        <w:pStyle w:val="ListParagraph"/>
        <w:rPr>
          <w:color w:val="FF0000"/>
        </w:rPr>
      </w:pPr>
      <w:r w:rsidRPr="00C03DC5">
        <w:rPr>
          <w:i/>
          <w:color w:val="FF0000"/>
        </w:rPr>
        <w:t>Broekmeulen (1981)</w:t>
      </w:r>
      <w:r w:rsidR="00C632F8">
        <w:rPr>
          <w:i/>
          <w:color w:val="FF0000"/>
        </w:rPr>
        <w:t xml:space="preserve">: </w:t>
      </w:r>
      <w:r w:rsidR="00C632F8">
        <w:rPr>
          <w:color w:val="FF0000"/>
        </w:rPr>
        <w:t>A court or tribunal should……</w:t>
      </w:r>
    </w:p>
    <w:p w:rsidR="00EB63DD" w:rsidRDefault="00EB63DD" w:rsidP="00EB63DD">
      <w:pPr>
        <w:pStyle w:val="ListParagraph"/>
        <w:numPr>
          <w:ilvl w:val="0"/>
          <w:numId w:val="2"/>
        </w:numPr>
      </w:pPr>
      <w:r>
        <w:t>Established by law:</w:t>
      </w:r>
    </w:p>
    <w:p w:rsidR="00EB63DD" w:rsidRDefault="00EB63DD" w:rsidP="00EB63DD">
      <w:pPr>
        <w:pStyle w:val="ListParagraph"/>
        <w:numPr>
          <w:ilvl w:val="0"/>
          <w:numId w:val="2"/>
        </w:numPr>
      </w:pPr>
      <w:r>
        <w:t>Permanent:</w:t>
      </w:r>
    </w:p>
    <w:p w:rsidR="00EB63DD" w:rsidRDefault="00EB63DD" w:rsidP="00EB63DD">
      <w:pPr>
        <w:pStyle w:val="ListParagraph"/>
        <w:numPr>
          <w:ilvl w:val="0"/>
          <w:numId w:val="2"/>
        </w:numPr>
      </w:pPr>
      <w:r>
        <w:t>Compulsory jurisdiction:</w:t>
      </w:r>
      <w:r w:rsidR="00C632F8">
        <w:t xml:space="preserve"> when it makes a decision, that decision should be final and enforceable on the parties.</w:t>
      </w:r>
    </w:p>
    <w:p w:rsidR="00EB63DD" w:rsidRDefault="00EB63DD" w:rsidP="00EB63DD">
      <w:pPr>
        <w:pStyle w:val="ListParagraph"/>
        <w:numPr>
          <w:ilvl w:val="0"/>
          <w:numId w:val="2"/>
        </w:numPr>
      </w:pPr>
      <w:r>
        <w:t xml:space="preserve">Inter partes: </w:t>
      </w:r>
      <w:r w:rsidR="00C632F8">
        <w:t>‘between parties’, case should be as in any normal adversarial case A v B</w:t>
      </w:r>
    </w:p>
    <w:p w:rsidR="00EB63DD" w:rsidRDefault="00EB63DD" w:rsidP="00EB63DD">
      <w:pPr>
        <w:pStyle w:val="ListParagraph"/>
        <w:numPr>
          <w:ilvl w:val="0"/>
          <w:numId w:val="2"/>
        </w:numPr>
      </w:pPr>
      <w:r>
        <w:t xml:space="preserve">Applies rules of law: </w:t>
      </w:r>
      <w:r w:rsidR="00C632F8">
        <w:t>integrated into the legal system of the member state</w:t>
      </w:r>
    </w:p>
    <w:p w:rsidR="00EB63DD" w:rsidRPr="00C03DC5" w:rsidRDefault="00EB63DD" w:rsidP="00EB63DD">
      <w:pPr>
        <w:ind w:left="720"/>
        <w:rPr>
          <w:i/>
          <w:color w:val="FF0000"/>
        </w:rPr>
      </w:pPr>
      <w:r w:rsidRPr="00C03DC5">
        <w:rPr>
          <w:i/>
          <w:color w:val="FF0000"/>
        </w:rPr>
        <w:t>Nordsee (1982)</w:t>
      </w:r>
    </w:p>
    <w:p w:rsidR="00EB63DD" w:rsidRDefault="00EB63DD" w:rsidP="00EB63DD">
      <w:pPr>
        <w:pStyle w:val="ListParagraph"/>
        <w:numPr>
          <w:ilvl w:val="0"/>
          <w:numId w:val="2"/>
        </w:numPr>
      </w:pPr>
      <w:r>
        <w:t>Public not private:</w:t>
      </w:r>
      <w:r w:rsidR="00C632F8">
        <w:t xml:space="preserve"> Arbitrators could generally NOT be considered as a court or tribunal because they are not considered part of the wider legal system which is available to everyone.</w:t>
      </w:r>
    </w:p>
    <w:p w:rsidR="00EB63DD" w:rsidRDefault="00EB63DD" w:rsidP="00EB63DD"/>
    <w:p w:rsidR="00EB63DD" w:rsidRPr="00C03DC5" w:rsidRDefault="00EB63DD" w:rsidP="00EB63DD">
      <w:pPr>
        <w:pStyle w:val="ListParagraph"/>
        <w:numPr>
          <w:ilvl w:val="0"/>
          <w:numId w:val="1"/>
        </w:numPr>
        <w:rPr>
          <w:u w:val="single"/>
        </w:rPr>
      </w:pPr>
      <w:r w:rsidRPr="00C03DC5">
        <w:rPr>
          <w:u w:val="single"/>
        </w:rPr>
        <w:t>When</w:t>
      </w:r>
      <w:r w:rsidR="00C03DC5" w:rsidRPr="00C03DC5">
        <w:rPr>
          <w:u w:val="single"/>
        </w:rPr>
        <w:t xml:space="preserve"> </w:t>
      </w:r>
      <w:r w:rsidR="00C03DC5" w:rsidRPr="00C03DC5">
        <w:rPr>
          <w:b/>
          <w:u w:val="single"/>
        </w:rPr>
        <w:t>SHOULD</w:t>
      </w:r>
      <w:r w:rsidRPr="00C03DC5">
        <w:rPr>
          <w:u w:val="single"/>
        </w:rPr>
        <w:t xml:space="preserve"> a court or tribunal refer to the CJEU?</w:t>
      </w:r>
    </w:p>
    <w:p w:rsidR="00EB63DD" w:rsidRPr="00C03DC5" w:rsidRDefault="00EB63DD" w:rsidP="00EB63DD">
      <w:pPr>
        <w:pStyle w:val="ListParagraph"/>
        <w:rPr>
          <w:i/>
          <w:color w:val="FF0000"/>
        </w:rPr>
      </w:pPr>
      <w:r w:rsidRPr="00C03DC5">
        <w:rPr>
          <w:i/>
          <w:color w:val="FF0000"/>
        </w:rPr>
        <w:t>R v ISE ex p. Else (1993)</w:t>
      </w:r>
    </w:p>
    <w:p w:rsidR="00EB63DD" w:rsidRDefault="00EB63DD" w:rsidP="00EB63DD">
      <w:pPr>
        <w:pStyle w:val="ListParagraph"/>
        <w:numPr>
          <w:ilvl w:val="0"/>
          <w:numId w:val="2"/>
        </w:numPr>
      </w:pPr>
      <w:r>
        <w:t>Reference is crucial to the decision:</w:t>
      </w:r>
      <w:r w:rsidR="00C632F8">
        <w:t xml:space="preserve"> The question of EU law must be key to making the final decision of the case</w:t>
      </w:r>
    </w:p>
    <w:p w:rsidR="00EB63DD" w:rsidRDefault="00EB63DD" w:rsidP="00EB63DD">
      <w:pPr>
        <w:pStyle w:val="ListParagraph"/>
        <w:numPr>
          <w:ilvl w:val="0"/>
          <w:numId w:val="2"/>
        </w:numPr>
      </w:pPr>
      <w:r>
        <w:t>Need for consistency across the EU</w:t>
      </w:r>
      <w:r w:rsidR="00C632F8">
        <w:t>: The Courts need to ensure that the words are interpreted and defined consistently across all MS.</w:t>
      </w:r>
    </w:p>
    <w:p w:rsidR="00EB63DD" w:rsidRDefault="00EB63DD" w:rsidP="00EB63DD">
      <w:pPr>
        <w:pStyle w:val="ListParagraph"/>
        <w:numPr>
          <w:ilvl w:val="0"/>
          <w:numId w:val="2"/>
        </w:numPr>
      </w:pPr>
      <w:r>
        <w:t>Advantages of CJEU</w:t>
      </w:r>
      <w:r w:rsidR="00C632F8">
        <w:t>: The CJEU are experts in this area and used to dealing with EU law.</w:t>
      </w:r>
    </w:p>
    <w:p w:rsidR="00EB63DD" w:rsidRDefault="00EB63DD" w:rsidP="00EB63DD"/>
    <w:p w:rsidR="00EB63DD" w:rsidRPr="00C03DC5" w:rsidRDefault="00EB63DD" w:rsidP="00EB63DD">
      <w:pPr>
        <w:ind w:left="720"/>
        <w:rPr>
          <w:i/>
          <w:color w:val="FF0000"/>
        </w:rPr>
      </w:pPr>
      <w:r w:rsidRPr="00C03DC5">
        <w:rPr>
          <w:i/>
          <w:color w:val="FF0000"/>
        </w:rPr>
        <w:t>Gasparini [2006]</w:t>
      </w:r>
    </w:p>
    <w:p w:rsidR="00EB63DD" w:rsidRDefault="00EB63DD" w:rsidP="00EB63DD">
      <w:pPr>
        <w:pStyle w:val="ListParagraph"/>
        <w:numPr>
          <w:ilvl w:val="0"/>
          <w:numId w:val="2"/>
        </w:numPr>
      </w:pPr>
      <w:r>
        <w:t>The question must be clear and not hypothetical</w:t>
      </w:r>
    </w:p>
    <w:p w:rsidR="00C632F8" w:rsidRDefault="00C632F8" w:rsidP="00C632F8">
      <w:pPr>
        <w:pStyle w:val="ListParagraph"/>
        <w:ind w:left="1080"/>
      </w:pPr>
      <w:r>
        <w:t>When national courts phrase a question to the CJEU it must be relevant to the case facts</w:t>
      </w:r>
    </w:p>
    <w:p w:rsidR="00EB63DD" w:rsidRDefault="00EB63DD" w:rsidP="00EB63DD">
      <w:pPr>
        <w:pStyle w:val="ListParagraph"/>
        <w:ind w:left="1080"/>
      </w:pPr>
    </w:p>
    <w:p w:rsidR="00EB63DD" w:rsidRDefault="00EB63DD" w:rsidP="00EB63DD">
      <w:pPr>
        <w:pStyle w:val="ListParagraph"/>
        <w:ind w:left="1080"/>
      </w:pPr>
    </w:p>
    <w:p w:rsidR="00EB63DD" w:rsidRDefault="00C03DC5" w:rsidP="00EB63DD">
      <w:pPr>
        <w:pStyle w:val="ListParagraph"/>
        <w:numPr>
          <w:ilvl w:val="0"/>
          <w:numId w:val="1"/>
        </w:numPr>
        <w:rPr>
          <w:u w:val="single"/>
        </w:rPr>
      </w:pPr>
      <w:r w:rsidRPr="00C03DC5">
        <w:rPr>
          <w:u w:val="single"/>
        </w:rPr>
        <w:t xml:space="preserve">When </w:t>
      </w:r>
      <w:r w:rsidRPr="00C03DC5">
        <w:rPr>
          <w:b/>
          <w:u w:val="single"/>
        </w:rPr>
        <w:t>MUST</w:t>
      </w:r>
      <w:r w:rsidRPr="00C03DC5">
        <w:rPr>
          <w:u w:val="single"/>
        </w:rPr>
        <w:t xml:space="preserve"> a court or tribunal refer to the CJEU?</w:t>
      </w:r>
    </w:p>
    <w:p w:rsidR="00C03DC5" w:rsidRDefault="00C03DC5" w:rsidP="00C03DC5">
      <w:pPr>
        <w:pStyle w:val="ListParagraph"/>
        <w:rPr>
          <w:u w:val="single"/>
        </w:rPr>
      </w:pPr>
    </w:p>
    <w:p w:rsidR="00C03DC5" w:rsidRDefault="00C03DC5" w:rsidP="00C03DC5">
      <w:pPr>
        <w:pStyle w:val="ListParagraph"/>
      </w:pPr>
      <w:r>
        <w:t>When there is no right of appeal</w:t>
      </w:r>
    </w:p>
    <w:p w:rsidR="00C03DC5" w:rsidRDefault="009002E7" w:rsidP="00C03DC5">
      <w:pPr>
        <w:pStyle w:val="ListParagraph"/>
      </w:pPr>
      <w:r>
        <w:rPr>
          <w:noProof/>
          <w:lang w:eastAsia="en-GB"/>
        </w:rPr>
        <mc:AlternateContent>
          <mc:Choice Requires="wps">
            <w:drawing>
              <wp:anchor distT="45720" distB="45720" distL="114300" distR="114300" simplePos="0" relativeHeight="251659264" behindDoc="0" locked="0" layoutInCell="1" allowOverlap="1">
                <wp:simplePos x="0" y="0"/>
                <wp:positionH relativeFrom="column">
                  <wp:posOffset>-733425</wp:posOffset>
                </wp:positionH>
                <wp:positionV relativeFrom="paragraph">
                  <wp:posOffset>194310</wp:posOffset>
                </wp:positionV>
                <wp:extent cx="1104900" cy="13430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1343025"/>
                        </a:xfrm>
                        <a:prstGeom prst="rect">
                          <a:avLst/>
                        </a:prstGeom>
                        <a:solidFill>
                          <a:srgbClr val="FFFFFF"/>
                        </a:solidFill>
                        <a:ln w="9525">
                          <a:solidFill>
                            <a:srgbClr val="000000"/>
                          </a:solidFill>
                          <a:miter lim="800000"/>
                          <a:headEnd/>
                          <a:tailEnd/>
                        </a:ln>
                      </wps:spPr>
                      <wps:txbx>
                        <w:txbxContent>
                          <w:p w:rsidR="009002E7" w:rsidRDefault="009002E7">
                            <w:r>
                              <w:t>Interpretations of what ‘no right of appeal means’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57.75pt;margin-top:15.3pt;width:87pt;height:105.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">
                <v:textbox>
                  <w:txbxContent>
                    <w:p w:rsidR="009002E7" w:rsidRDefault="009002E7">
                      <w:r>
                        <w:t>Interpretations of what ‘no right of appeal means’</w:t>
                      </w:r>
                    </w:p>
                  </w:txbxContent>
                </v:textbox>
                <w10:wrap type="square"/>
              </v:shape>
            </w:pict>
          </mc:Fallback>
        </mc:AlternateContent>
      </w:r>
    </w:p>
    <w:p w:rsidR="00C03DC5" w:rsidRDefault="00C03DC5" w:rsidP="00C03DC5">
      <w:pPr>
        <w:pStyle w:val="ListParagraph"/>
        <w:numPr>
          <w:ilvl w:val="0"/>
          <w:numId w:val="2"/>
        </w:numPr>
        <w:rPr>
          <w:b/>
          <w:color w:val="FF0000"/>
        </w:rPr>
      </w:pPr>
      <w:r w:rsidRPr="00C03DC5">
        <w:rPr>
          <w:b/>
          <w:color w:val="FF0000"/>
        </w:rPr>
        <w:t xml:space="preserve">ABSTRACT THEORY: </w:t>
      </w:r>
      <w:r w:rsidR="009002E7">
        <w:rPr>
          <w:b/>
          <w:color w:val="FF0000"/>
        </w:rPr>
        <w:t>No right to appeal as there is no higher court available.</w:t>
      </w:r>
    </w:p>
    <w:p w:rsidR="009002E7" w:rsidRPr="009002E7" w:rsidRDefault="009002E7" w:rsidP="009002E7">
      <w:pPr>
        <w:pStyle w:val="ListParagraph"/>
        <w:ind w:left="1080"/>
        <w:rPr>
          <w:b/>
          <w:color w:val="000000" w:themeColor="text1"/>
        </w:rPr>
      </w:pPr>
      <w:r w:rsidRPr="009002E7">
        <w:rPr>
          <w:b/>
          <w:color w:val="000000" w:themeColor="text1"/>
        </w:rPr>
        <w:t>E.g. in the context of the UK, if we applied this theory it would mean that only the Supreme Court could make a reference to the CJEU.</w:t>
      </w:r>
      <w:r>
        <w:rPr>
          <w:b/>
          <w:color w:val="000000" w:themeColor="text1"/>
        </w:rPr>
        <w:t xml:space="preserve"> This is unfair and meant that not many references were made to CJEU.</w:t>
      </w:r>
    </w:p>
    <w:p w:rsidR="00C03DC5" w:rsidRPr="00C03DC5" w:rsidRDefault="00C03DC5" w:rsidP="00C03DC5">
      <w:pPr>
        <w:rPr>
          <w:b/>
          <w:color w:val="FF0000"/>
        </w:rPr>
      </w:pPr>
    </w:p>
    <w:p w:rsidR="00C03DC5" w:rsidRPr="00C03DC5" w:rsidRDefault="00C03DC5" w:rsidP="00C03DC5">
      <w:pPr>
        <w:rPr>
          <w:b/>
          <w:color w:val="FF0000"/>
        </w:rPr>
      </w:pPr>
    </w:p>
    <w:p w:rsidR="00031676" w:rsidRPr="009002E7" w:rsidRDefault="00C03DC5" w:rsidP="00031676">
      <w:pPr>
        <w:pStyle w:val="ListParagraph"/>
        <w:numPr>
          <w:ilvl w:val="0"/>
          <w:numId w:val="2"/>
        </w:numPr>
        <w:rPr>
          <w:b/>
          <w:color w:val="FF0000"/>
        </w:rPr>
      </w:pPr>
      <w:r w:rsidRPr="00C03DC5">
        <w:rPr>
          <w:b/>
          <w:color w:val="FF0000"/>
        </w:rPr>
        <w:lastRenderedPageBreak/>
        <w:t>CONCRETE THEORY:</w:t>
      </w:r>
      <w:r w:rsidR="009002E7">
        <w:rPr>
          <w:b/>
          <w:color w:val="FF0000"/>
        </w:rPr>
        <w:t xml:space="preserve"> If there is no right to appeal in that particular case then a reference should be made to the CJEU as in ENEL [1964].</w:t>
      </w:r>
    </w:p>
    <w:p w:rsidR="00C03DC5" w:rsidRDefault="00C03DC5" w:rsidP="00C03DC5">
      <w:pPr>
        <w:pStyle w:val="ListParagraph"/>
        <w:numPr>
          <w:ilvl w:val="0"/>
          <w:numId w:val="2"/>
        </w:numPr>
        <w:rPr>
          <w:b/>
          <w:i/>
          <w:color w:val="FF0000"/>
        </w:rPr>
      </w:pPr>
      <w:r w:rsidRPr="00C03DC5">
        <w:rPr>
          <w:b/>
          <w:i/>
          <w:color w:val="FF0000"/>
        </w:rPr>
        <w:t>Costa v ENEL [1964]</w:t>
      </w:r>
    </w:p>
    <w:p w:rsidR="009002E7" w:rsidRPr="009002E7" w:rsidRDefault="009002E7" w:rsidP="009002E7">
      <w:pPr>
        <w:pStyle w:val="ListParagraph"/>
        <w:ind w:left="1080"/>
        <w:rPr>
          <w:color w:val="000000" w:themeColor="text1"/>
        </w:rPr>
      </w:pPr>
      <w:r>
        <w:rPr>
          <w:color w:val="000000" w:themeColor="text1"/>
        </w:rPr>
        <w:t>Case was concerning a petty amount of 2 lire (£1.90) which meant the case would never reach the highest court in Italy. Using the concrete theory, the case went as far as it could within the Italian court system and then a reference was made to the CJEU.</w:t>
      </w:r>
    </w:p>
    <w:p w:rsidR="00C03DC5" w:rsidRDefault="00C03DC5" w:rsidP="00C03DC5">
      <w:pPr>
        <w:rPr>
          <w:b/>
        </w:rPr>
      </w:pPr>
    </w:p>
    <w:p w:rsidR="00C03DC5" w:rsidRPr="00477D01" w:rsidRDefault="00C03DC5" w:rsidP="00C03DC5">
      <w:pPr>
        <w:pStyle w:val="ListParagraph"/>
        <w:numPr>
          <w:ilvl w:val="0"/>
          <w:numId w:val="1"/>
        </w:numPr>
        <w:rPr>
          <w:b/>
        </w:rPr>
      </w:pPr>
      <w:r>
        <w:rPr>
          <w:u w:val="single"/>
        </w:rPr>
        <w:t xml:space="preserve">WHEN SHOUD A COURT OR TRIBUNAL </w:t>
      </w:r>
      <w:r w:rsidRPr="00C03DC5">
        <w:rPr>
          <w:b/>
          <w:u w:val="single"/>
        </w:rPr>
        <w:t>NOT</w:t>
      </w:r>
      <w:r w:rsidRPr="00C03DC5">
        <w:rPr>
          <w:u w:val="single"/>
        </w:rPr>
        <w:t xml:space="preserve"> REFER TO THE CJEU?</w:t>
      </w:r>
    </w:p>
    <w:p w:rsidR="00477D01" w:rsidRPr="00C03DC5" w:rsidRDefault="00477D01" w:rsidP="00477D01">
      <w:pPr>
        <w:pStyle w:val="ListParagraph"/>
        <w:rPr>
          <w:b/>
        </w:rPr>
      </w:pPr>
    </w:p>
    <w:p w:rsidR="00C03DC5" w:rsidRPr="00C03DC5" w:rsidRDefault="00C03DC5" w:rsidP="00C03DC5">
      <w:pPr>
        <w:pStyle w:val="ListParagraph"/>
        <w:numPr>
          <w:ilvl w:val="0"/>
          <w:numId w:val="2"/>
        </w:numPr>
        <w:rPr>
          <w:b/>
        </w:rPr>
      </w:pPr>
      <w:r w:rsidRPr="00C03DC5">
        <w:rPr>
          <w:b/>
          <w:i/>
          <w:color w:val="FF0000"/>
        </w:rPr>
        <w:t>Acte Clair</w:t>
      </w:r>
      <w:r w:rsidRPr="00C03DC5">
        <w:rPr>
          <w:b/>
          <w:color w:val="FF0000"/>
        </w:rPr>
        <w:t xml:space="preserve"> priniciple:</w:t>
      </w:r>
      <w:r w:rsidRPr="00C03DC5">
        <w:rPr>
          <w:color w:val="FF0000"/>
        </w:rPr>
        <w:t xml:space="preserve"> </w:t>
      </w:r>
      <w:r>
        <w:t>Where the answer is really obvious there is no need to give reference.</w:t>
      </w:r>
    </w:p>
    <w:p w:rsidR="00C03DC5" w:rsidRPr="00C03DC5" w:rsidRDefault="00C03DC5" w:rsidP="00C03DC5">
      <w:pPr>
        <w:pStyle w:val="ListParagraph"/>
        <w:ind w:left="1080"/>
        <w:rPr>
          <w:b/>
        </w:rPr>
      </w:pPr>
    </w:p>
    <w:p w:rsidR="00C03DC5" w:rsidRDefault="00C03DC5" w:rsidP="00C03DC5">
      <w:pPr>
        <w:pStyle w:val="ListParagraph"/>
        <w:numPr>
          <w:ilvl w:val="0"/>
          <w:numId w:val="2"/>
        </w:numPr>
        <w:rPr>
          <w:b/>
        </w:rPr>
      </w:pPr>
      <w:r>
        <w:rPr>
          <w:b/>
        </w:rPr>
        <w:t>When is it obvious?</w:t>
      </w:r>
    </w:p>
    <w:p w:rsidR="00C03DC5" w:rsidRPr="00C03DC5" w:rsidRDefault="00C03DC5" w:rsidP="00C03DC5">
      <w:pPr>
        <w:pStyle w:val="ListParagraph"/>
        <w:rPr>
          <w:b/>
        </w:rPr>
      </w:pPr>
    </w:p>
    <w:p w:rsidR="00C03DC5" w:rsidRPr="00C03DC5" w:rsidRDefault="00C03DC5" w:rsidP="00C03DC5">
      <w:pPr>
        <w:pStyle w:val="ListParagraph"/>
        <w:ind w:left="1080"/>
      </w:pPr>
      <w:r w:rsidRPr="00C03DC5">
        <w:rPr>
          <w:b/>
          <w:i/>
          <w:color w:val="FF0000"/>
        </w:rPr>
        <w:t>Da Costa [1963]</w:t>
      </w:r>
      <w:r w:rsidRPr="00C03DC5">
        <w:rPr>
          <w:b/>
          <w:color w:val="FF0000"/>
        </w:rPr>
        <w:t xml:space="preserve"> </w:t>
      </w:r>
      <w:r>
        <w:rPr>
          <w:b/>
        </w:rPr>
        <w:t xml:space="preserve">– </w:t>
      </w:r>
      <w:r w:rsidRPr="00C03DC5">
        <w:t xml:space="preserve">The point questioned had already been answered in Van Gen den Loos. It was decided that the national court should just apply the interpretation that had already been given. </w:t>
      </w:r>
    </w:p>
    <w:p w:rsidR="00C03DC5" w:rsidRDefault="00C03DC5" w:rsidP="00C03DC5">
      <w:pPr>
        <w:pStyle w:val="ListParagraph"/>
        <w:ind w:left="1080"/>
        <w:rPr>
          <w:b/>
        </w:rPr>
      </w:pPr>
    </w:p>
    <w:p w:rsidR="00C03DC5" w:rsidRDefault="00C03DC5" w:rsidP="00C03DC5">
      <w:pPr>
        <w:pStyle w:val="ListParagraph"/>
        <w:ind w:left="1080"/>
        <w:rPr>
          <w:b/>
        </w:rPr>
      </w:pPr>
      <w:r>
        <w:rPr>
          <w:b/>
        </w:rPr>
        <w:t>However, the courts need to be careful in doing so as was illustrated in:</w:t>
      </w:r>
    </w:p>
    <w:p w:rsidR="001F3AFE" w:rsidRDefault="00C03DC5" w:rsidP="00C03DC5">
      <w:pPr>
        <w:pStyle w:val="ListParagraph"/>
        <w:ind w:left="1080"/>
        <w:rPr>
          <w:b/>
          <w:color w:val="FF0000"/>
        </w:rPr>
      </w:pPr>
      <w:r w:rsidRPr="00C03DC5">
        <w:rPr>
          <w:b/>
          <w:i/>
          <w:color w:val="FF0000"/>
        </w:rPr>
        <w:t>R v Henn &amp; Darby</w:t>
      </w:r>
      <w:r w:rsidR="001F3AFE">
        <w:rPr>
          <w:b/>
          <w:i/>
          <w:color w:val="FF0000"/>
        </w:rPr>
        <w:t xml:space="preserve"> [1978]</w:t>
      </w:r>
      <w:r w:rsidRPr="00C03DC5">
        <w:rPr>
          <w:b/>
          <w:i/>
          <w:color w:val="FF0000"/>
        </w:rPr>
        <w:t>:</w:t>
      </w:r>
      <w:r w:rsidRPr="00C03DC5">
        <w:rPr>
          <w:b/>
          <w:color w:val="FF0000"/>
        </w:rPr>
        <w:t xml:space="preserve"> </w:t>
      </w:r>
    </w:p>
    <w:p w:rsidR="001F3AFE" w:rsidRPr="001F3AFE" w:rsidRDefault="001F3AFE" w:rsidP="00C03DC5">
      <w:pPr>
        <w:pStyle w:val="ListParagraph"/>
        <w:ind w:left="1080"/>
        <w:rPr>
          <w:b/>
          <w:color w:val="000000" w:themeColor="text1"/>
        </w:rPr>
      </w:pPr>
      <w:r w:rsidRPr="001F3AFE">
        <w:rPr>
          <w:b/>
          <w:color w:val="000000" w:themeColor="text1"/>
        </w:rPr>
        <w:t>CA thought answer was obvious and gave an interpretation.</w:t>
      </w:r>
    </w:p>
    <w:p w:rsidR="001F3AFE" w:rsidRPr="001F3AFE" w:rsidRDefault="001F3AFE" w:rsidP="00C03DC5">
      <w:pPr>
        <w:pStyle w:val="ListParagraph"/>
        <w:ind w:left="1080"/>
        <w:rPr>
          <w:b/>
          <w:color w:val="000000" w:themeColor="text1"/>
        </w:rPr>
      </w:pPr>
      <w:r w:rsidRPr="001F3AFE">
        <w:rPr>
          <w:b/>
          <w:color w:val="000000" w:themeColor="text1"/>
        </w:rPr>
        <w:t>Case was appealed to the HL and HL said the case needs to be referenced.</w:t>
      </w:r>
    </w:p>
    <w:p w:rsidR="001F3AFE" w:rsidRPr="001F3AFE" w:rsidRDefault="001F3AFE" w:rsidP="00C03DC5">
      <w:pPr>
        <w:pStyle w:val="ListParagraph"/>
        <w:ind w:left="1080"/>
        <w:rPr>
          <w:b/>
          <w:color w:val="000000" w:themeColor="text1"/>
        </w:rPr>
      </w:pPr>
      <w:r w:rsidRPr="001F3AFE">
        <w:rPr>
          <w:b/>
          <w:color w:val="000000" w:themeColor="text1"/>
        </w:rPr>
        <w:t>CJEU provided a different interpretation to that which the CA thought was an obvious one.</w:t>
      </w:r>
    </w:p>
    <w:p w:rsidR="001F3AFE" w:rsidRPr="001F3AFE" w:rsidRDefault="001F3AFE" w:rsidP="001F3AFE">
      <w:pPr>
        <w:pStyle w:val="ListParagraph"/>
        <w:ind w:left="1080"/>
        <w:rPr>
          <w:b/>
          <w:color w:val="000000" w:themeColor="text1"/>
        </w:rPr>
      </w:pPr>
      <w:r w:rsidRPr="001F3AFE">
        <w:rPr>
          <w:b/>
          <w:color w:val="000000" w:themeColor="text1"/>
        </w:rPr>
        <w:t xml:space="preserve">The case outcome was then completely different as the new interpretation given by the CJEU was applied. </w:t>
      </w:r>
    </w:p>
    <w:p w:rsidR="001F3AFE" w:rsidRDefault="001F3AFE" w:rsidP="00C03DC5">
      <w:pPr>
        <w:pStyle w:val="ListParagraph"/>
        <w:ind w:left="1080"/>
        <w:rPr>
          <w:b/>
          <w:color w:val="FF0000"/>
        </w:rPr>
      </w:pPr>
    </w:p>
    <w:p w:rsidR="00C03DC5" w:rsidRDefault="00C03DC5" w:rsidP="00C03DC5">
      <w:pPr>
        <w:pStyle w:val="ListParagraph"/>
        <w:ind w:left="1080"/>
      </w:pPr>
      <w:r w:rsidRPr="00C03DC5">
        <w:t>If the national court is in any doubt over the interpretation then they should refer to the CJEU.</w:t>
      </w:r>
    </w:p>
    <w:p w:rsidR="008224EF" w:rsidRDefault="008224EF" w:rsidP="00C03DC5">
      <w:pPr>
        <w:pStyle w:val="ListParagraph"/>
        <w:ind w:left="1080"/>
      </w:pPr>
    </w:p>
    <w:p w:rsidR="008224EF" w:rsidRPr="008224EF" w:rsidRDefault="008224EF" w:rsidP="008224EF">
      <w:pPr>
        <w:pStyle w:val="ListParagraph"/>
        <w:numPr>
          <w:ilvl w:val="0"/>
          <w:numId w:val="1"/>
        </w:numPr>
        <w:rPr>
          <w:b/>
          <w:u w:val="single"/>
        </w:rPr>
      </w:pPr>
      <w:r w:rsidRPr="008224EF">
        <w:rPr>
          <w:u w:val="single"/>
        </w:rPr>
        <w:t>WHAT HAPPENS AFTER THE CJEU HAS MADE THE INTERPRETATION OR GIVEN THE DEFINITION OF A PARTICULAR WORD?</w:t>
      </w:r>
    </w:p>
    <w:p w:rsidR="008224EF" w:rsidRDefault="008224EF" w:rsidP="008224EF">
      <w:pPr>
        <w:pStyle w:val="ListParagraph"/>
        <w:rPr>
          <w:u w:val="single"/>
        </w:rPr>
      </w:pPr>
    </w:p>
    <w:p w:rsidR="008224EF" w:rsidRDefault="008224EF" w:rsidP="008224EF">
      <w:pPr>
        <w:pStyle w:val="ListParagraph"/>
      </w:pPr>
      <w:r>
        <w:t>The case is then passed back to the National court. They apply the guidance given by the CJEU to the facts of the case.</w:t>
      </w:r>
    </w:p>
    <w:p w:rsidR="008224EF" w:rsidRDefault="008224EF" w:rsidP="008224EF">
      <w:pPr>
        <w:pStyle w:val="ListParagraph"/>
      </w:pPr>
      <w:r>
        <w:t>It is important to note that it is the National Court who makes the final decision in the case (i.e. who wins and who gets damages).</w:t>
      </w:r>
    </w:p>
    <w:p w:rsidR="00477D01" w:rsidRDefault="00477D01" w:rsidP="008224EF">
      <w:pPr>
        <w:pStyle w:val="ListParagraph"/>
      </w:pPr>
    </w:p>
    <w:p w:rsidR="008224EF" w:rsidRDefault="008224EF" w:rsidP="008224EF">
      <w:pPr>
        <w:pStyle w:val="ListParagraph"/>
      </w:pPr>
      <w:r w:rsidRPr="008224EF">
        <w:rPr>
          <w:b/>
          <w:i/>
          <w:color w:val="FF0000"/>
        </w:rPr>
        <w:t>Arsenal FC v Reed [2001]</w:t>
      </w:r>
      <w:r w:rsidRPr="008224EF">
        <w:rPr>
          <w:color w:val="FF0000"/>
        </w:rPr>
        <w:t xml:space="preserve"> </w:t>
      </w:r>
      <w:r>
        <w:t>is an example of when the CJEU overstepped the mark:</w:t>
      </w:r>
    </w:p>
    <w:p w:rsidR="008224EF" w:rsidRDefault="001F3AFE" w:rsidP="008224EF">
      <w:pPr>
        <w:pStyle w:val="ListParagraph"/>
        <w:rPr>
          <w:b/>
        </w:rPr>
      </w:pPr>
      <w:r>
        <w:rPr>
          <w:b/>
        </w:rPr>
        <w:t>CJEU gave a direct application of an interpretation that they had given.</w:t>
      </w:r>
    </w:p>
    <w:p w:rsidR="001F3AFE" w:rsidRPr="008224EF" w:rsidRDefault="001F3AFE" w:rsidP="008224EF">
      <w:pPr>
        <w:pStyle w:val="ListParagraph"/>
        <w:rPr>
          <w:b/>
        </w:rPr>
      </w:pPr>
      <w:r>
        <w:rPr>
          <w:b/>
        </w:rPr>
        <w:t xml:space="preserve">English courts said they didn’t agree with that application and they had the final say. </w:t>
      </w:r>
      <w:bookmarkStart w:id="0" w:name="_GoBack"/>
      <w:bookmarkEnd w:id="0"/>
    </w:p>
    <w:sectPr w:rsidR="001F3AFE" w:rsidRPr="008224E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63DD" w:rsidRDefault="00EB63DD" w:rsidP="00EB63DD">
      <w:pPr>
        <w:spacing w:after="0" w:line="240" w:lineRule="auto"/>
      </w:pPr>
      <w:r>
        <w:separator/>
      </w:r>
    </w:p>
  </w:endnote>
  <w:endnote w:type="continuationSeparator" w:id="0">
    <w:p w:rsidR="00EB63DD" w:rsidRDefault="00EB63DD" w:rsidP="00EB6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63DD" w:rsidRDefault="00EB63DD" w:rsidP="00EB63DD">
      <w:pPr>
        <w:spacing w:after="0" w:line="240" w:lineRule="auto"/>
      </w:pPr>
      <w:r>
        <w:separator/>
      </w:r>
    </w:p>
  </w:footnote>
  <w:footnote w:type="continuationSeparator" w:id="0">
    <w:p w:rsidR="00EB63DD" w:rsidRDefault="00EB63DD" w:rsidP="00EB63D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B63DD" w:rsidRDefault="00EB63DD">
    <w:pPr>
      <w:pStyle w:val="Header"/>
    </w:pPr>
    <w:r>
      <w:t xml:space="preserve">26/10/17 </w:t>
    </w:r>
    <w:r>
      <w:tab/>
      <w:t>PRELIMINARY REFERENCE PROCEDURE HANDOUT</w:t>
    </w:r>
  </w:p>
  <w:p w:rsidR="00EB63DD" w:rsidRDefault="00EB63D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9E94FBD"/>
    <w:multiLevelType w:val="hybridMultilevel"/>
    <w:tmpl w:val="12627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7F405F"/>
    <w:multiLevelType w:val="hybridMultilevel"/>
    <w:tmpl w:val="598CAEBE"/>
    <w:lvl w:ilvl="0" w:tplc="CBBC683C">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63DD"/>
    <w:rsid w:val="00031676"/>
    <w:rsid w:val="0010404E"/>
    <w:rsid w:val="001F3AFE"/>
    <w:rsid w:val="00477D01"/>
    <w:rsid w:val="008224EF"/>
    <w:rsid w:val="009002E7"/>
    <w:rsid w:val="00C03DC5"/>
    <w:rsid w:val="00C632F8"/>
    <w:rsid w:val="00EB6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31F50E-59F3-42E9-ADC7-E13C0C9F4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3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3DD"/>
  </w:style>
  <w:style w:type="paragraph" w:styleId="Footer">
    <w:name w:val="footer"/>
    <w:basedOn w:val="Normal"/>
    <w:link w:val="FooterChar"/>
    <w:uiPriority w:val="99"/>
    <w:unhideWhenUsed/>
    <w:rsid w:val="00EB63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3DD"/>
  </w:style>
  <w:style w:type="paragraph" w:styleId="ListParagraph">
    <w:name w:val="List Paragraph"/>
    <w:basedOn w:val="Normal"/>
    <w:uiPriority w:val="34"/>
    <w:qFormat/>
    <w:rsid w:val="00EB63DD"/>
    <w:pPr>
      <w:ind w:left="720"/>
      <w:contextualSpacing/>
    </w:pPr>
  </w:style>
  <w:style w:type="paragraph" w:styleId="BalloonText">
    <w:name w:val="Balloon Text"/>
    <w:basedOn w:val="Normal"/>
    <w:link w:val="BalloonTextChar"/>
    <w:uiPriority w:val="99"/>
    <w:semiHidden/>
    <w:unhideWhenUsed/>
    <w:rsid w:val="000316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1676"/>
    <w:rPr>
      <w:rFonts w:ascii="Segoe UI" w:hAnsi="Segoe UI" w:cs="Segoe UI"/>
      <w:sz w:val="18"/>
      <w:szCs w:val="18"/>
    </w:rPr>
  </w:style>
  <w:style w:type="character" w:styleId="CommentReference">
    <w:name w:val="annotation reference"/>
    <w:basedOn w:val="DefaultParagraphFont"/>
    <w:uiPriority w:val="99"/>
    <w:semiHidden/>
    <w:unhideWhenUsed/>
    <w:rsid w:val="009002E7"/>
    <w:rPr>
      <w:sz w:val="16"/>
      <w:szCs w:val="16"/>
    </w:rPr>
  </w:style>
  <w:style w:type="paragraph" w:styleId="CommentText">
    <w:name w:val="annotation text"/>
    <w:basedOn w:val="Normal"/>
    <w:link w:val="CommentTextChar"/>
    <w:uiPriority w:val="99"/>
    <w:semiHidden/>
    <w:unhideWhenUsed/>
    <w:rsid w:val="009002E7"/>
    <w:pPr>
      <w:spacing w:line="240" w:lineRule="auto"/>
    </w:pPr>
    <w:rPr>
      <w:sz w:val="20"/>
      <w:szCs w:val="20"/>
    </w:rPr>
  </w:style>
  <w:style w:type="character" w:customStyle="1" w:styleId="CommentTextChar">
    <w:name w:val="Comment Text Char"/>
    <w:basedOn w:val="DefaultParagraphFont"/>
    <w:link w:val="CommentText"/>
    <w:uiPriority w:val="99"/>
    <w:semiHidden/>
    <w:rsid w:val="009002E7"/>
    <w:rPr>
      <w:sz w:val="20"/>
      <w:szCs w:val="20"/>
    </w:rPr>
  </w:style>
  <w:style w:type="paragraph" w:styleId="CommentSubject">
    <w:name w:val="annotation subject"/>
    <w:basedOn w:val="CommentText"/>
    <w:next w:val="CommentText"/>
    <w:link w:val="CommentSubjectChar"/>
    <w:uiPriority w:val="99"/>
    <w:semiHidden/>
    <w:unhideWhenUsed/>
    <w:rsid w:val="009002E7"/>
    <w:rPr>
      <w:b/>
      <w:bCs/>
    </w:rPr>
  </w:style>
  <w:style w:type="character" w:customStyle="1" w:styleId="CommentSubjectChar">
    <w:name w:val="Comment Subject Char"/>
    <w:basedOn w:val="CommentTextChar"/>
    <w:link w:val="CommentSubject"/>
    <w:uiPriority w:val="99"/>
    <w:semiHidden/>
    <w:rsid w:val="009002E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2</Pages>
  <Words>555</Words>
  <Characters>3164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6</cp:revision>
  <cp:lastPrinted>2017-10-05T16:31:00Z</cp:lastPrinted>
  <dcterms:created xsi:type="dcterms:W3CDTF">2017-10-04T09:29:00Z</dcterms:created>
  <dcterms:modified xsi:type="dcterms:W3CDTF">2017-10-06T09:03:00Z</dcterms:modified>
</cp:coreProperties>
</file>