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7774B" w14:textId="5A0D1FB6" w:rsidR="006502DF" w:rsidRDefault="005D1FC5">
      <w:bookmarkStart w:id="0" w:name="_Hlk141801702"/>
      <w:bookmarkEnd w:id="0"/>
      <w:r>
        <w:rPr>
          <w:noProof/>
        </w:rPr>
        <w:drawing>
          <wp:inline distT="0" distB="0" distL="0" distR="0" wp14:anchorId="44867BC2" wp14:editId="300F4E6E">
            <wp:extent cx="3638550" cy="1819275"/>
            <wp:effectExtent l="0" t="0" r="0" b="9525"/>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20B50C05" w14:textId="77777777" w:rsidR="005D1FC5" w:rsidRDefault="005D1FC5"/>
    <w:p w14:paraId="43D3621E" w14:textId="77777777" w:rsidR="002630B1" w:rsidRDefault="00DE1720">
      <w:pPr>
        <w:rPr>
          <w:b/>
          <w:bCs/>
          <w:sz w:val="24"/>
          <w:szCs w:val="24"/>
        </w:rPr>
      </w:pPr>
      <w:r w:rsidRPr="00DE1720">
        <w:rPr>
          <w:b/>
          <w:bCs/>
          <w:sz w:val="24"/>
          <w:szCs w:val="24"/>
        </w:rPr>
        <w:t xml:space="preserve">                                                  </w:t>
      </w:r>
    </w:p>
    <w:p w14:paraId="3E05F444" w14:textId="4B0A2462" w:rsidR="005D1FC5" w:rsidRPr="00DE1720" w:rsidRDefault="002630B1">
      <w:pPr>
        <w:rPr>
          <w:sz w:val="24"/>
          <w:szCs w:val="24"/>
        </w:rPr>
      </w:pPr>
      <w:r>
        <w:rPr>
          <w:b/>
          <w:bCs/>
          <w:sz w:val="24"/>
          <w:szCs w:val="24"/>
        </w:rPr>
        <w:t xml:space="preserve">                                               </w:t>
      </w:r>
      <w:r w:rsidR="00DE1720" w:rsidRPr="00DE1720">
        <w:rPr>
          <w:b/>
          <w:bCs/>
          <w:sz w:val="24"/>
          <w:szCs w:val="24"/>
        </w:rPr>
        <w:t xml:space="preserve">   Accounting Fundamentals</w:t>
      </w:r>
    </w:p>
    <w:p w14:paraId="023177A5" w14:textId="0037E66B" w:rsidR="005D1FC5" w:rsidRPr="002630B1" w:rsidRDefault="002630B1">
      <w:pPr>
        <w:rPr>
          <w:b/>
          <w:bCs/>
        </w:rPr>
      </w:pPr>
      <w:r w:rsidRPr="002630B1">
        <w:rPr>
          <w:b/>
          <w:bCs/>
        </w:rPr>
        <w:t xml:space="preserve">                                                                         Essay</w:t>
      </w:r>
    </w:p>
    <w:p w14:paraId="0DE5336B" w14:textId="77777777" w:rsidR="005D1FC5" w:rsidRDefault="005D1FC5"/>
    <w:p w14:paraId="652B3DB5" w14:textId="77777777" w:rsidR="005D1FC5" w:rsidRDefault="005D1FC5"/>
    <w:p w14:paraId="4ADC365E" w14:textId="77777777" w:rsidR="005D1FC5" w:rsidRDefault="005D1FC5"/>
    <w:p w14:paraId="236F79CC" w14:textId="77777777" w:rsidR="005D1FC5" w:rsidRDefault="005D1FC5"/>
    <w:p w14:paraId="4FDF9107" w14:textId="77777777" w:rsidR="005D1FC5" w:rsidRDefault="005D1FC5"/>
    <w:p w14:paraId="16964777" w14:textId="77777777" w:rsidR="005D1FC5" w:rsidRDefault="005D1FC5"/>
    <w:p w14:paraId="65C7DF66" w14:textId="77777777" w:rsidR="005D1FC5" w:rsidRPr="00336EC5" w:rsidRDefault="005D1FC5" w:rsidP="005D1FC5">
      <w:pPr>
        <w:rPr>
          <w:rFonts w:cs="Arial"/>
          <w:b/>
          <w:bCs/>
          <w:sz w:val="24"/>
          <w:szCs w:val="24"/>
        </w:rPr>
      </w:pPr>
    </w:p>
    <w:p w14:paraId="3FD24763" w14:textId="77777777" w:rsidR="005D1FC5" w:rsidRPr="00336EC5" w:rsidRDefault="005D1FC5" w:rsidP="005D1FC5">
      <w:pPr>
        <w:rPr>
          <w:b/>
          <w:bCs/>
          <w:sz w:val="24"/>
          <w:szCs w:val="24"/>
        </w:rPr>
      </w:pPr>
      <w:bookmarkStart w:id="1" w:name="_d6k3bpre0my" w:colFirst="0" w:colLast="0"/>
      <w:bookmarkEnd w:id="1"/>
      <w:r w:rsidRPr="00336EC5">
        <w:rPr>
          <w:b/>
          <w:bCs/>
          <w:sz w:val="24"/>
          <w:szCs w:val="24"/>
        </w:rPr>
        <w:t>Name: Madalina-Mihaela Braha</w:t>
      </w:r>
    </w:p>
    <w:p w14:paraId="01097A0F" w14:textId="77777777" w:rsidR="005D1FC5" w:rsidRPr="00336EC5" w:rsidRDefault="005D1FC5" w:rsidP="005D1FC5">
      <w:pPr>
        <w:rPr>
          <w:b/>
          <w:bCs/>
          <w:sz w:val="24"/>
          <w:szCs w:val="24"/>
        </w:rPr>
      </w:pPr>
      <w:r w:rsidRPr="00336EC5">
        <w:rPr>
          <w:b/>
          <w:bCs/>
          <w:sz w:val="24"/>
          <w:szCs w:val="24"/>
        </w:rPr>
        <w:t>Student ID: 2227915</w:t>
      </w:r>
    </w:p>
    <w:p w14:paraId="639C43CD" w14:textId="6E782A4E" w:rsidR="005D1FC5" w:rsidRPr="00336EC5" w:rsidRDefault="005D1FC5" w:rsidP="005D1FC5">
      <w:pPr>
        <w:rPr>
          <w:b/>
          <w:bCs/>
          <w:sz w:val="24"/>
          <w:szCs w:val="24"/>
        </w:rPr>
      </w:pPr>
      <w:r w:rsidRPr="00336EC5">
        <w:rPr>
          <w:b/>
          <w:bCs/>
          <w:sz w:val="24"/>
          <w:szCs w:val="24"/>
        </w:rPr>
        <w:t>Module code: LCBB400</w:t>
      </w:r>
      <w:r w:rsidR="00DE1720">
        <w:rPr>
          <w:b/>
          <w:bCs/>
          <w:sz w:val="24"/>
          <w:szCs w:val="24"/>
        </w:rPr>
        <w:t>1</w:t>
      </w:r>
    </w:p>
    <w:p w14:paraId="7CE1EBB5" w14:textId="254F4E36" w:rsidR="005D1FC5" w:rsidRPr="00336EC5" w:rsidRDefault="005D1FC5" w:rsidP="005D1FC5">
      <w:pPr>
        <w:rPr>
          <w:b/>
          <w:bCs/>
          <w:sz w:val="24"/>
          <w:szCs w:val="24"/>
        </w:rPr>
      </w:pPr>
      <w:r w:rsidRPr="00336EC5">
        <w:rPr>
          <w:b/>
          <w:bCs/>
          <w:sz w:val="24"/>
          <w:szCs w:val="24"/>
        </w:rPr>
        <w:t xml:space="preserve">Module name: </w:t>
      </w:r>
      <w:bookmarkStart w:id="2" w:name="_Hlk153879744"/>
      <w:r w:rsidR="00DE1720" w:rsidRPr="00DE1720">
        <w:rPr>
          <w:b/>
          <w:bCs/>
          <w:sz w:val="24"/>
          <w:szCs w:val="24"/>
        </w:rPr>
        <w:t>Accounting Fundamentals</w:t>
      </w:r>
      <w:bookmarkEnd w:id="2"/>
    </w:p>
    <w:p w14:paraId="021C7B10" w14:textId="77777777" w:rsidR="005D1FC5" w:rsidRPr="00336EC5" w:rsidRDefault="005D1FC5" w:rsidP="005D1FC5">
      <w:pPr>
        <w:rPr>
          <w:b/>
          <w:bCs/>
          <w:sz w:val="24"/>
          <w:szCs w:val="24"/>
        </w:rPr>
      </w:pPr>
      <w:r w:rsidRPr="00336EC5">
        <w:rPr>
          <w:b/>
          <w:bCs/>
          <w:sz w:val="24"/>
          <w:szCs w:val="24"/>
        </w:rPr>
        <w:t>Lecturer: Nadeem Mirza</w:t>
      </w:r>
    </w:p>
    <w:p w14:paraId="28B4EBF0" w14:textId="77777777" w:rsidR="005D1FC5" w:rsidRDefault="005D1FC5"/>
    <w:p w14:paraId="75BEE74B" w14:textId="77777777" w:rsidR="005D1FC5" w:rsidRDefault="005D1FC5"/>
    <w:p w14:paraId="46159038" w14:textId="77777777" w:rsidR="005D1FC5" w:rsidRDefault="005D1FC5"/>
    <w:p w14:paraId="7C8803DF" w14:textId="77777777" w:rsidR="005D1FC5" w:rsidRDefault="005D1FC5"/>
    <w:p w14:paraId="4ABBC1D6" w14:textId="77777777" w:rsidR="005D1FC5" w:rsidRDefault="005D1FC5"/>
    <w:p w14:paraId="6FAE28C1" w14:textId="77777777" w:rsidR="005D1FC5" w:rsidRDefault="005D1FC5"/>
    <w:p w14:paraId="4C79066B" w14:textId="77777777" w:rsidR="005D1FC5" w:rsidRDefault="005D1FC5"/>
    <w:p w14:paraId="1CF3844D" w14:textId="77777777" w:rsidR="005D1FC5" w:rsidRDefault="005D1FC5"/>
    <w:p w14:paraId="0C2234A2" w14:textId="77777777" w:rsidR="005D1FC5" w:rsidRDefault="005D1FC5"/>
    <w:p w14:paraId="08C623F9" w14:textId="77777777" w:rsidR="005D1FC5" w:rsidRDefault="005D1FC5"/>
    <w:p w14:paraId="3418F343" w14:textId="77777777" w:rsidR="005D1FC5" w:rsidRDefault="005D1FC5"/>
    <w:sdt>
      <w:sdtPr>
        <w:rPr>
          <w:rFonts w:ascii="Arial" w:eastAsiaTheme="minorHAnsi" w:hAnsi="Arial" w:cstheme="minorBidi"/>
          <w:color w:val="auto"/>
          <w:kern w:val="2"/>
          <w:sz w:val="22"/>
          <w:szCs w:val="22"/>
          <w:lang w:val="en-GB"/>
          <w14:ligatures w14:val="standardContextual"/>
        </w:rPr>
        <w:id w:val="-673343749"/>
        <w:docPartObj>
          <w:docPartGallery w:val="Table of Contents"/>
          <w:docPartUnique/>
        </w:docPartObj>
      </w:sdtPr>
      <w:sdtEndPr>
        <w:rPr>
          <w:b/>
          <w:bCs/>
          <w:noProof/>
        </w:rPr>
      </w:sdtEndPr>
      <w:sdtContent>
        <w:p w14:paraId="2558EA57" w14:textId="588CC5B5" w:rsidR="001517A2" w:rsidRPr="001517A2" w:rsidRDefault="001517A2">
          <w:pPr>
            <w:pStyle w:val="TOCHeading"/>
            <w:rPr>
              <w:rFonts w:ascii="Arial" w:hAnsi="Arial" w:cs="Arial"/>
              <w:b/>
              <w:bCs/>
              <w:color w:val="auto"/>
              <w:sz w:val="24"/>
              <w:szCs w:val="24"/>
            </w:rPr>
          </w:pPr>
          <w:r w:rsidRPr="001517A2">
            <w:rPr>
              <w:rFonts w:ascii="Arial" w:hAnsi="Arial" w:cs="Arial"/>
              <w:b/>
              <w:bCs/>
              <w:color w:val="auto"/>
              <w:sz w:val="24"/>
              <w:szCs w:val="24"/>
            </w:rPr>
            <w:t>Table of Contents</w:t>
          </w:r>
        </w:p>
        <w:p w14:paraId="6A6695BE" w14:textId="45B5EFB5" w:rsidR="00FE664F" w:rsidRDefault="001517A2">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53882256" w:history="1">
            <w:r w:rsidR="00FE664F" w:rsidRPr="001B46B5">
              <w:rPr>
                <w:rStyle w:val="Hyperlink"/>
                <w:noProof/>
              </w:rPr>
              <w:t>Question 1: Comment on each of the statements</w:t>
            </w:r>
            <w:r w:rsidR="00FE664F">
              <w:rPr>
                <w:noProof/>
                <w:webHidden/>
              </w:rPr>
              <w:tab/>
            </w:r>
            <w:r w:rsidR="00FE664F">
              <w:rPr>
                <w:noProof/>
                <w:webHidden/>
              </w:rPr>
              <w:fldChar w:fldCharType="begin"/>
            </w:r>
            <w:r w:rsidR="00FE664F">
              <w:rPr>
                <w:noProof/>
                <w:webHidden/>
              </w:rPr>
              <w:instrText xml:space="preserve"> PAGEREF _Toc153882256 \h </w:instrText>
            </w:r>
            <w:r w:rsidR="00FE664F">
              <w:rPr>
                <w:noProof/>
                <w:webHidden/>
              </w:rPr>
            </w:r>
            <w:r w:rsidR="00FE664F">
              <w:rPr>
                <w:noProof/>
                <w:webHidden/>
              </w:rPr>
              <w:fldChar w:fldCharType="separate"/>
            </w:r>
            <w:r w:rsidR="00FE664F">
              <w:rPr>
                <w:noProof/>
                <w:webHidden/>
              </w:rPr>
              <w:t>3</w:t>
            </w:r>
            <w:r w:rsidR="00FE664F">
              <w:rPr>
                <w:noProof/>
                <w:webHidden/>
              </w:rPr>
              <w:fldChar w:fldCharType="end"/>
            </w:r>
          </w:hyperlink>
        </w:p>
        <w:p w14:paraId="7C8B9B92" w14:textId="4A7CD486"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57" w:history="1">
            <w:r w:rsidRPr="001B46B5">
              <w:rPr>
                <w:rStyle w:val="Hyperlink"/>
                <w:rFonts w:cs="Arial"/>
                <w:b/>
                <w:bCs/>
                <w:noProof/>
              </w:rPr>
              <w:t>1.2. Non-current assets are things that cannot be moved:</w:t>
            </w:r>
            <w:r>
              <w:rPr>
                <w:noProof/>
                <w:webHidden/>
              </w:rPr>
              <w:tab/>
            </w:r>
            <w:r>
              <w:rPr>
                <w:noProof/>
                <w:webHidden/>
              </w:rPr>
              <w:fldChar w:fldCharType="begin"/>
            </w:r>
            <w:r>
              <w:rPr>
                <w:noProof/>
                <w:webHidden/>
              </w:rPr>
              <w:instrText xml:space="preserve"> PAGEREF _Toc153882257 \h </w:instrText>
            </w:r>
            <w:r>
              <w:rPr>
                <w:noProof/>
                <w:webHidden/>
              </w:rPr>
            </w:r>
            <w:r>
              <w:rPr>
                <w:noProof/>
                <w:webHidden/>
              </w:rPr>
              <w:fldChar w:fldCharType="separate"/>
            </w:r>
            <w:r>
              <w:rPr>
                <w:noProof/>
                <w:webHidden/>
              </w:rPr>
              <w:t>3</w:t>
            </w:r>
            <w:r>
              <w:rPr>
                <w:noProof/>
                <w:webHidden/>
              </w:rPr>
              <w:fldChar w:fldCharType="end"/>
            </w:r>
          </w:hyperlink>
        </w:p>
        <w:p w14:paraId="12DC326B" w14:textId="4A756842"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58" w:history="1">
            <w:r w:rsidRPr="001B46B5">
              <w:rPr>
                <w:rStyle w:val="Hyperlink"/>
                <w:rFonts w:cs="Arial"/>
                <w:b/>
                <w:bCs/>
                <w:noProof/>
              </w:rPr>
              <w:t>1.3. Managers should only supply financial information to the “current” shareholders of companies:</w:t>
            </w:r>
            <w:r>
              <w:rPr>
                <w:noProof/>
                <w:webHidden/>
              </w:rPr>
              <w:tab/>
            </w:r>
            <w:r>
              <w:rPr>
                <w:noProof/>
                <w:webHidden/>
              </w:rPr>
              <w:fldChar w:fldCharType="begin"/>
            </w:r>
            <w:r>
              <w:rPr>
                <w:noProof/>
                <w:webHidden/>
              </w:rPr>
              <w:instrText xml:space="preserve"> PAGEREF _Toc153882258 \h </w:instrText>
            </w:r>
            <w:r>
              <w:rPr>
                <w:noProof/>
                <w:webHidden/>
              </w:rPr>
            </w:r>
            <w:r>
              <w:rPr>
                <w:noProof/>
                <w:webHidden/>
              </w:rPr>
              <w:fldChar w:fldCharType="separate"/>
            </w:r>
            <w:r>
              <w:rPr>
                <w:noProof/>
                <w:webHidden/>
              </w:rPr>
              <w:t>3</w:t>
            </w:r>
            <w:r>
              <w:rPr>
                <w:noProof/>
                <w:webHidden/>
              </w:rPr>
              <w:fldChar w:fldCharType="end"/>
            </w:r>
          </w:hyperlink>
        </w:p>
        <w:p w14:paraId="2486E872" w14:textId="0DC245B3"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59" w:history="1">
            <w:r w:rsidRPr="001B46B5">
              <w:rPr>
                <w:rStyle w:val="Hyperlink"/>
                <w:rFonts w:cs="Arial"/>
                <w:b/>
                <w:bCs/>
                <w:noProof/>
              </w:rPr>
              <w:t>1.4. No need to include prepayments and accruals on the statement of financial position:</w:t>
            </w:r>
            <w:r>
              <w:rPr>
                <w:noProof/>
                <w:webHidden/>
              </w:rPr>
              <w:tab/>
            </w:r>
            <w:r>
              <w:rPr>
                <w:noProof/>
                <w:webHidden/>
              </w:rPr>
              <w:fldChar w:fldCharType="begin"/>
            </w:r>
            <w:r>
              <w:rPr>
                <w:noProof/>
                <w:webHidden/>
              </w:rPr>
              <w:instrText xml:space="preserve"> PAGEREF _Toc153882259 \h </w:instrText>
            </w:r>
            <w:r>
              <w:rPr>
                <w:noProof/>
                <w:webHidden/>
              </w:rPr>
            </w:r>
            <w:r>
              <w:rPr>
                <w:noProof/>
                <w:webHidden/>
              </w:rPr>
              <w:fldChar w:fldCharType="separate"/>
            </w:r>
            <w:r>
              <w:rPr>
                <w:noProof/>
                <w:webHidden/>
              </w:rPr>
              <w:t>3</w:t>
            </w:r>
            <w:r>
              <w:rPr>
                <w:noProof/>
                <w:webHidden/>
              </w:rPr>
              <w:fldChar w:fldCharType="end"/>
            </w:r>
          </w:hyperlink>
        </w:p>
        <w:p w14:paraId="66903261" w14:textId="1AF19ECA"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60" w:history="1">
            <w:r w:rsidRPr="001B46B5">
              <w:rPr>
                <w:rStyle w:val="Hyperlink"/>
                <w:rFonts w:cs="Arial"/>
                <w:b/>
                <w:bCs/>
                <w:noProof/>
              </w:rPr>
              <w:t>1.5. No need for regulation over financial accounts:</w:t>
            </w:r>
            <w:r>
              <w:rPr>
                <w:noProof/>
                <w:webHidden/>
              </w:rPr>
              <w:tab/>
            </w:r>
            <w:r>
              <w:rPr>
                <w:noProof/>
                <w:webHidden/>
              </w:rPr>
              <w:fldChar w:fldCharType="begin"/>
            </w:r>
            <w:r>
              <w:rPr>
                <w:noProof/>
                <w:webHidden/>
              </w:rPr>
              <w:instrText xml:space="preserve"> PAGEREF _Toc153882260 \h </w:instrText>
            </w:r>
            <w:r>
              <w:rPr>
                <w:noProof/>
                <w:webHidden/>
              </w:rPr>
            </w:r>
            <w:r>
              <w:rPr>
                <w:noProof/>
                <w:webHidden/>
              </w:rPr>
              <w:fldChar w:fldCharType="separate"/>
            </w:r>
            <w:r>
              <w:rPr>
                <w:noProof/>
                <w:webHidden/>
              </w:rPr>
              <w:t>4</w:t>
            </w:r>
            <w:r>
              <w:rPr>
                <w:noProof/>
                <w:webHidden/>
              </w:rPr>
              <w:fldChar w:fldCharType="end"/>
            </w:r>
          </w:hyperlink>
        </w:p>
        <w:p w14:paraId="44E9B2B1" w14:textId="09DF6921"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61" w:history="1">
            <w:r w:rsidRPr="001B46B5">
              <w:rPr>
                <w:rStyle w:val="Hyperlink"/>
                <w:rFonts w:cs="Arial"/>
                <w:b/>
                <w:bCs/>
                <w:noProof/>
              </w:rPr>
              <w:t>1.6. It is important to balance ledger (T) accounts and trial balance before preparing financial statements:</w:t>
            </w:r>
            <w:r>
              <w:rPr>
                <w:noProof/>
                <w:webHidden/>
              </w:rPr>
              <w:tab/>
            </w:r>
            <w:r>
              <w:rPr>
                <w:noProof/>
                <w:webHidden/>
              </w:rPr>
              <w:fldChar w:fldCharType="begin"/>
            </w:r>
            <w:r>
              <w:rPr>
                <w:noProof/>
                <w:webHidden/>
              </w:rPr>
              <w:instrText xml:space="preserve"> PAGEREF _Toc153882261 \h </w:instrText>
            </w:r>
            <w:r>
              <w:rPr>
                <w:noProof/>
                <w:webHidden/>
              </w:rPr>
            </w:r>
            <w:r>
              <w:rPr>
                <w:noProof/>
                <w:webHidden/>
              </w:rPr>
              <w:fldChar w:fldCharType="separate"/>
            </w:r>
            <w:r>
              <w:rPr>
                <w:noProof/>
                <w:webHidden/>
              </w:rPr>
              <w:t>4</w:t>
            </w:r>
            <w:r>
              <w:rPr>
                <w:noProof/>
                <w:webHidden/>
              </w:rPr>
              <w:fldChar w:fldCharType="end"/>
            </w:r>
          </w:hyperlink>
        </w:p>
        <w:p w14:paraId="54790904" w14:textId="34C70DD7" w:rsidR="00FE664F" w:rsidRDefault="00FE664F">
          <w:pPr>
            <w:pStyle w:val="TOC1"/>
            <w:tabs>
              <w:tab w:val="right" w:leader="dot" w:pos="9016"/>
            </w:tabs>
            <w:rPr>
              <w:rFonts w:asciiTheme="minorHAnsi" w:eastAsiaTheme="minorEastAsia" w:hAnsiTheme="minorHAnsi"/>
              <w:noProof/>
              <w:sz w:val="24"/>
              <w:szCs w:val="24"/>
              <w:lang w:eastAsia="en-GB"/>
            </w:rPr>
          </w:pPr>
          <w:hyperlink w:anchor="_Toc153882262" w:history="1">
            <w:r w:rsidRPr="001B46B5">
              <w:rPr>
                <w:rStyle w:val="Hyperlink"/>
                <w:noProof/>
              </w:rPr>
              <w:t>Question 2: Prepare an income statement for the year ended 31</w:t>
            </w:r>
            <w:r w:rsidRPr="001B46B5">
              <w:rPr>
                <w:rStyle w:val="Hyperlink"/>
                <w:noProof/>
                <w:vertAlign w:val="superscript"/>
              </w:rPr>
              <w:t>st</w:t>
            </w:r>
            <w:r w:rsidRPr="001B46B5">
              <w:rPr>
                <w:rStyle w:val="Hyperlink"/>
                <w:noProof/>
              </w:rPr>
              <w:t xml:space="preserve"> December 2022 for Wales plc.</w:t>
            </w:r>
            <w:r>
              <w:rPr>
                <w:noProof/>
                <w:webHidden/>
              </w:rPr>
              <w:tab/>
            </w:r>
            <w:r>
              <w:rPr>
                <w:noProof/>
                <w:webHidden/>
              </w:rPr>
              <w:fldChar w:fldCharType="begin"/>
            </w:r>
            <w:r>
              <w:rPr>
                <w:noProof/>
                <w:webHidden/>
              </w:rPr>
              <w:instrText xml:space="preserve"> PAGEREF _Toc153882262 \h </w:instrText>
            </w:r>
            <w:r>
              <w:rPr>
                <w:noProof/>
                <w:webHidden/>
              </w:rPr>
            </w:r>
            <w:r>
              <w:rPr>
                <w:noProof/>
                <w:webHidden/>
              </w:rPr>
              <w:fldChar w:fldCharType="separate"/>
            </w:r>
            <w:r>
              <w:rPr>
                <w:noProof/>
                <w:webHidden/>
              </w:rPr>
              <w:t>5</w:t>
            </w:r>
            <w:r>
              <w:rPr>
                <w:noProof/>
                <w:webHidden/>
              </w:rPr>
              <w:fldChar w:fldCharType="end"/>
            </w:r>
          </w:hyperlink>
        </w:p>
        <w:p w14:paraId="425BBAB1" w14:textId="3D31DA7F" w:rsidR="00FE664F" w:rsidRDefault="00FE664F">
          <w:pPr>
            <w:pStyle w:val="TOC1"/>
            <w:tabs>
              <w:tab w:val="right" w:leader="dot" w:pos="9016"/>
            </w:tabs>
            <w:rPr>
              <w:rFonts w:asciiTheme="minorHAnsi" w:eastAsiaTheme="minorEastAsia" w:hAnsiTheme="minorHAnsi"/>
              <w:noProof/>
              <w:sz w:val="24"/>
              <w:szCs w:val="24"/>
              <w:lang w:eastAsia="en-GB"/>
            </w:rPr>
          </w:pPr>
          <w:hyperlink w:anchor="_Toc153882263" w:history="1">
            <w:r w:rsidRPr="001B46B5">
              <w:rPr>
                <w:rStyle w:val="Hyperlink"/>
                <w:noProof/>
              </w:rPr>
              <w:t>Question 3.a Calculation of the financial ratio and interpreting the overall performance on significant scales.</w:t>
            </w:r>
            <w:r>
              <w:rPr>
                <w:noProof/>
                <w:webHidden/>
              </w:rPr>
              <w:tab/>
            </w:r>
            <w:r>
              <w:rPr>
                <w:noProof/>
                <w:webHidden/>
              </w:rPr>
              <w:fldChar w:fldCharType="begin"/>
            </w:r>
            <w:r>
              <w:rPr>
                <w:noProof/>
                <w:webHidden/>
              </w:rPr>
              <w:instrText xml:space="preserve"> PAGEREF _Toc153882263 \h </w:instrText>
            </w:r>
            <w:r>
              <w:rPr>
                <w:noProof/>
                <w:webHidden/>
              </w:rPr>
            </w:r>
            <w:r>
              <w:rPr>
                <w:noProof/>
                <w:webHidden/>
              </w:rPr>
              <w:fldChar w:fldCharType="separate"/>
            </w:r>
            <w:r>
              <w:rPr>
                <w:noProof/>
                <w:webHidden/>
              </w:rPr>
              <w:t>6</w:t>
            </w:r>
            <w:r>
              <w:rPr>
                <w:noProof/>
                <w:webHidden/>
              </w:rPr>
              <w:fldChar w:fldCharType="end"/>
            </w:r>
          </w:hyperlink>
        </w:p>
        <w:p w14:paraId="5415E2C7" w14:textId="44B26328"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64" w:history="1">
            <w:r w:rsidRPr="001B46B5">
              <w:rPr>
                <w:rStyle w:val="Hyperlink"/>
                <w:rFonts w:cs="Arial"/>
                <w:b/>
                <w:bCs/>
                <w:noProof/>
              </w:rPr>
              <w:t>3.a.1: ROCE</w:t>
            </w:r>
            <w:r>
              <w:rPr>
                <w:noProof/>
                <w:webHidden/>
              </w:rPr>
              <w:tab/>
            </w:r>
            <w:r>
              <w:rPr>
                <w:noProof/>
                <w:webHidden/>
              </w:rPr>
              <w:fldChar w:fldCharType="begin"/>
            </w:r>
            <w:r>
              <w:rPr>
                <w:noProof/>
                <w:webHidden/>
              </w:rPr>
              <w:instrText xml:space="preserve"> PAGEREF _Toc153882264 \h </w:instrText>
            </w:r>
            <w:r>
              <w:rPr>
                <w:noProof/>
                <w:webHidden/>
              </w:rPr>
            </w:r>
            <w:r>
              <w:rPr>
                <w:noProof/>
                <w:webHidden/>
              </w:rPr>
              <w:fldChar w:fldCharType="separate"/>
            </w:r>
            <w:r>
              <w:rPr>
                <w:noProof/>
                <w:webHidden/>
              </w:rPr>
              <w:t>6</w:t>
            </w:r>
            <w:r>
              <w:rPr>
                <w:noProof/>
                <w:webHidden/>
              </w:rPr>
              <w:fldChar w:fldCharType="end"/>
            </w:r>
          </w:hyperlink>
        </w:p>
        <w:p w14:paraId="66A9DB42" w14:textId="660BDD69"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65" w:history="1">
            <w:r w:rsidRPr="001B46B5">
              <w:rPr>
                <w:rStyle w:val="Hyperlink"/>
                <w:rFonts w:cs="Arial"/>
                <w:b/>
                <w:bCs/>
                <w:noProof/>
              </w:rPr>
              <w:t>3.a.2: ROE</w:t>
            </w:r>
            <w:r>
              <w:rPr>
                <w:noProof/>
                <w:webHidden/>
              </w:rPr>
              <w:tab/>
            </w:r>
            <w:r>
              <w:rPr>
                <w:noProof/>
                <w:webHidden/>
              </w:rPr>
              <w:fldChar w:fldCharType="begin"/>
            </w:r>
            <w:r>
              <w:rPr>
                <w:noProof/>
                <w:webHidden/>
              </w:rPr>
              <w:instrText xml:space="preserve"> PAGEREF _Toc153882265 \h </w:instrText>
            </w:r>
            <w:r>
              <w:rPr>
                <w:noProof/>
                <w:webHidden/>
              </w:rPr>
            </w:r>
            <w:r>
              <w:rPr>
                <w:noProof/>
                <w:webHidden/>
              </w:rPr>
              <w:fldChar w:fldCharType="separate"/>
            </w:r>
            <w:r>
              <w:rPr>
                <w:noProof/>
                <w:webHidden/>
              </w:rPr>
              <w:t>7</w:t>
            </w:r>
            <w:r>
              <w:rPr>
                <w:noProof/>
                <w:webHidden/>
              </w:rPr>
              <w:fldChar w:fldCharType="end"/>
            </w:r>
          </w:hyperlink>
        </w:p>
        <w:p w14:paraId="1D4D738E" w14:textId="4CC7EB78"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66" w:history="1">
            <w:r w:rsidRPr="001B46B5">
              <w:rPr>
                <w:rStyle w:val="Hyperlink"/>
                <w:rFonts w:cs="Arial"/>
                <w:b/>
                <w:bCs/>
                <w:noProof/>
              </w:rPr>
              <w:t>3.a.3:  Earning per Share (EPS)</w:t>
            </w:r>
            <w:r>
              <w:rPr>
                <w:noProof/>
                <w:webHidden/>
              </w:rPr>
              <w:tab/>
            </w:r>
            <w:r>
              <w:rPr>
                <w:noProof/>
                <w:webHidden/>
              </w:rPr>
              <w:fldChar w:fldCharType="begin"/>
            </w:r>
            <w:r>
              <w:rPr>
                <w:noProof/>
                <w:webHidden/>
              </w:rPr>
              <w:instrText xml:space="preserve"> PAGEREF _Toc153882266 \h </w:instrText>
            </w:r>
            <w:r>
              <w:rPr>
                <w:noProof/>
                <w:webHidden/>
              </w:rPr>
            </w:r>
            <w:r>
              <w:rPr>
                <w:noProof/>
                <w:webHidden/>
              </w:rPr>
              <w:fldChar w:fldCharType="separate"/>
            </w:r>
            <w:r>
              <w:rPr>
                <w:noProof/>
                <w:webHidden/>
              </w:rPr>
              <w:t>7</w:t>
            </w:r>
            <w:r>
              <w:rPr>
                <w:noProof/>
                <w:webHidden/>
              </w:rPr>
              <w:fldChar w:fldCharType="end"/>
            </w:r>
          </w:hyperlink>
        </w:p>
        <w:p w14:paraId="3F56DCBD" w14:textId="519F1175"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67" w:history="1">
            <w:r w:rsidRPr="001B46B5">
              <w:rPr>
                <w:rStyle w:val="Hyperlink"/>
                <w:rFonts w:cs="Arial"/>
                <w:b/>
                <w:bCs/>
                <w:noProof/>
              </w:rPr>
              <w:t>3.a.4: Net Profit Margin</w:t>
            </w:r>
            <w:r>
              <w:rPr>
                <w:noProof/>
                <w:webHidden/>
              </w:rPr>
              <w:tab/>
            </w:r>
            <w:r>
              <w:rPr>
                <w:noProof/>
                <w:webHidden/>
              </w:rPr>
              <w:fldChar w:fldCharType="begin"/>
            </w:r>
            <w:r>
              <w:rPr>
                <w:noProof/>
                <w:webHidden/>
              </w:rPr>
              <w:instrText xml:space="preserve"> PAGEREF _Toc153882267 \h </w:instrText>
            </w:r>
            <w:r>
              <w:rPr>
                <w:noProof/>
                <w:webHidden/>
              </w:rPr>
            </w:r>
            <w:r>
              <w:rPr>
                <w:noProof/>
                <w:webHidden/>
              </w:rPr>
              <w:fldChar w:fldCharType="separate"/>
            </w:r>
            <w:r>
              <w:rPr>
                <w:noProof/>
                <w:webHidden/>
              </w:rPr>
              <w:t>8</w:t>
            </w:r>
            <w:r>
              <w:rPr>
                <w:noProof/>
                <w:webHidden/>
              </w:rPr>
              <w:fldChar w:fldCharType="end"/>
            </w:r>
          </w:hyperlink>
        </w:p>
        <w:p w14:paraId="025F0373" w14:textId="0ED2841F"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68" w:history="1">
            <w:r w:rsidRPr="001B46B5">
              <w:rPr>
                <w:rStyle w:val="Hyperlink"/>
                <w:rFonts w:cs="Arial"/>
                <w:b/>
                <w:bCs/>
                <w:noProof/>
              </w:rPr>
              <w:t>3.a.5: Asset Turnover Ratio</w:t>
            </w:r>
            <w:r>
              <w:rPr>
                <w:noProof/>
                <w:webHidden/>
              </w:rPr>
              <w:tab/>
            </w:r>
            <w:r>
              <w:rPr>
                <w:noProof/>
                <w:webHidden/>
              </w:rPr>
              <w:fldChar w:fldCharType="begin"/>
            </w:r>
            <w:r>
              <w:rPr>
                <w:noProof/>
                <w:webHidden/>
              </w:rPr>
              <w:instrText xml:space="preserve"> PAGEREF _Toc153882268 \h </w:instrText>
            </w:r>
            <w:r>
              <w:rPr>
                <w:noProof/>
                <w:webHidden/>
              </w:rPr>
            </w:r>
            <w:r>
              <w:rPr>
                <w:noProof/>
                <w:webHidden/>
              </w:rPr>
              <w:fldChar w:fldCharType="separate"/>
            </w:r>
            <w:r>
              <w:rPr>
                <w:noProof/>
                <w:webHidden/>
              </w:rPr>
              <w:t>8</w:t>
            </w:r>
            <w:r>
              <w:rPr>
                <w:noProof/>
                <w:webHidden/>
              </w:rPr>
              <w:fldChar w:fldCharType="end"/>
            </w:r>
          </w:hyperlink>
        </w:p>
        <w:p w14:paraId="1213FC84" w14:textId="1F5AE8EC"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69" w:history="1">
            <w:r w:rsidRPr="001B46B5">
              <w:rPr>
                <w:rStyle w:val="Hyperlink"/>
                <w:rFonts w:cs="Arial"/>
                <w:b/>
                <w:bCs/>
                <w:noProof/>
              </w:rPr>
              <w:t>3.a.6: Stock Holding Days</w:t>
            </w:r>
            <w:r>
              <w:rPr>
                <w:noProof/>
                <w:webHidden/>
              </w:rPr>
              <w:tab/>
            </w:r>
            <w:r>
              <w:rPr>
                <w:noProof/>
                <w:webHidden/>
              </w:rPr>
              <w:fldChar w:fldCharType="begin"/>
            </w:r>
            <w:r>
              <w:rPr>
                <w:noProof/>
                <w:webHidden/>
              </w:rPr>
              <w:instrText xml:space="preserve"> PAGEREF _Toc153882269 \h </w:instrText>
            </w:r>
            <w:r>
              <w:rPr>
                <w:noProof/>
                <w:webHidden/>
              </w:rPr>
            </w:r>
            <w:r>
              <w:rPr>
                <w:noProof/>
                <w:webHidden/>
              </w:rPr>
              <w:fldChar w:fldCharType="separate"/>
            </w:r>
            <w:r>
              <w:rPr>
                <w:noProof/>
                <w:webHidden/>
              </w:rPr>
              <w:t>8</w:t>
            </w:r>
            <w:r>
              <w:rPr>
                <w:noProof/>
                <w:webHidden/>
              </w:rPr>
              <w:fldChar w:fldCharType="end"/>
            </w:r>
          </w:hyperlink>
        </w:p>
        <w:p w14:paraId="23CB0E1A" w14:textId="2353C697"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70" w:history="1">
            <w:r w:rsidRPr="001B46B5">
              <w:rPr>
                <w:rStyle w:val="Hyperlink"/>
                <w:rFonts w:cs="Arial"/>
                <w:b/>
                <w:bCs/>
                <w:noProof/>
              </w:rPr>
              <w:t>3.a.7: Debtors Collection period</w:t>
            </w:r>
            <w:r>
              <w:rPr>
                <w:noProof/>
                <w:webHidden/>
              </w:rPr>
              <w:tab/>
            </w:r>
            <w:r>
              <w:rPr>
                <w:noProof/>
                <w:webHidden/>
              </w:rPr>
              <w:fldChar w:fldCharType="begin"/>
            </w:r>
            <w:r>
              <w:rPr>
                <w:noProof/>
                <w:webHidden/>
              </w:rPr>
              <w:instrText xml:space="preserve"> PAGEREF _Toc153882270 \h </w:instrText>
            </w:r>
            <w:r>
              <w:rPr>
                <w:noProof/>
                <w:webHidden/>
              </w:rPr>
            </w:r>
            <w:r>
              <w:rPr>
                <w:noProof/>
                <w:webHidden/>
              </w:rPr>
              <w:fldChar w:fldCharType="separate"/>
            </w:r>
            <w:r>
              <w:rPr>
                <w:noProof/>
                <w:webHidden/>
              </w:rPr>
              <w:t>9</w:t>
            </w:r>
            <w:r>
              <w:rPr>
                <w:noProof/>
                <w:webHidden/>
              </w:rPr>
              <w:fldChar w:fldCharType="end"/>
            </w:r>
          </w:hyperlink>
        </w:p>
        <w:p w14:paraId="3FE8C420" w14:textId="6BA4F078"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71" w:history="1">
            <w:r w:rsidRPr="001B46B5">
              <w:rPr>
                <w:rStyle w:val="Hyperlink"/>
                <w:rFonts w:cs="Arial"/>
                <w:b/>
                <w:bCs/>
                <w:noProof/>
              </w:rPr>
              <w:t>3.a.8: Current Ratio</w:t>
            </w:r>
            <w:r>
              <w:rPr>
                <w:noProof/>
                <w:webHidden/>
              </w:rPr>
              <w:tab/>
            </w:r>
            <w:r>
              <w:rPr>
                <w:noProof/>
                <w:webHidden/>
              </w:rPr>
              <w:fldChar w:fldCharType="begin"/>
            </w:r>
            <w:r>
              <w:rPr>
                <w:noProof/>
                <w:webHidden/>
              </w:rPr>
              <w:instrText xml:space="preserve"> PAGEREF _Toc153882271 \h </w:instrText>
            </w:r>
            <w:r>
              <w:rPr>
                <w:noProof/>
                <w:webHidden/>
              </w:rPr>
            </w:r>
            <w:r>
              <w:rPr>
                <w:noProof/>
                <w:webHidden/>
              </w:rPr>
              <w:fldChar w:fldCharType="separate"/>
            </w:r>
            <w:r>
              <w:rPr>
                <w:noProof/>
                <w:webHidden/>
              </w:rPr>
              <w:t>9</w:t>
            </w:r>
            <w:r>
              <w:rPr>
                <w:noProof/>
                <w:webHidden/>
              </w:rPr>
              <w:fldChar w:fldCharType="end"/>
            </w:r>
          </w:hyperlink>
        </w:p>
        <w:p w14:paraId="5FB8E0CE" w14:textId="106BD3F5"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72" w:history="1">
            <w:r w:rsidRPr="001B46B5">
              <w:rPr>
                <w:rStyle w:val="Hyperlink"/>
                <w:rFonts w:cs="Arial"/>
                <w:b/>
                <w:bCs/>
                <w:noProof/>
              </w:rPr>
              <w:t>3.a.9: Gearing Ratio</w:t>
            </w:r>
            <w:r>
              <w:rPr>
                <w:noProof/>
                <w:webHidden/>
              </w:rPr>
              <w:tab/>
            </w:r>
            <w:r>
              <w:rPr>
                <w:noProof/>
                <w:webHidden/>
              </w:rPr>
              <w:fldChar w:fldCharType="begin"/>
            </w:r>
            <w:r>
              <w:rPr>
                <w:noProof/>
                <w:webHidden/>
              </w:rPr>
              <w:instrText xml:space="preserve"> PAGEREF _Toc153882272 \h </w:instrText>
            </w:r>
            <w:r>
              <w:rPr>
                <w:noProof/>
                <w:webHidden/>
              </w:rPr>
            </w:r>
            <w:r>
              <w:rPr>
                <w:noProof/>
                <w:webHidden/>
              </w:rPr>
              <w:fldChar w:fldCharType="separate"/>
            </w:r>
            <w:r>
              <w:rPr>
                <w:noProof/>
                <w:webHidden/>
              </w:rPr>
              <w:t>10</w:t>
            </w:r>
            <w:r>
              <w:rPr>
                <w:noProof/>
                <w:webHidden/>
              </w:rPr>
              <w:fldChar w:fldCharType="end"/>
            </w:r>
          </w:hyperlink>
        </w:p>
        <w:p w14:paraId="52952F3A" w14:textId="20D3B14E" w:rsidR="00FE664F" w:rsidRDefault="00FE664F">
          <w:pPr>
            <w:pStyle w:val="TOC2"/>
            <w:tabs>
              <w:tab w:val="right" w:leader="dot" w:pos="9016"/>
            </w:tabs>
            <w:rPr>
              <w:rFonts w:asciiTheme="minorHAnsi" w:eastAsiaTheme="minorEastAsia" w:hAnsiTheme="minorHAnsi"/>
              <w:noProof/>
              <w:sz w:val="24"/>
              <w:szCs w:val="24"/>
              <w:lang w:eastAsia="en-GB"/>
            </w:rPr>
          </w:pPr>
          <w:hyperlink w:anchor="_Toc153882273" w:history="1">
            <w:r w:rsidRPr="001B46B5">
              <w:rPr>
                <w:rStyle w:val="Hyperlink"/>
                <w:rFonts w:cs="Arial"/>
                <w:b/>
                <w:bCs/>
                <w:noProof/>
              </w:rPr>
              <w:t>3.a.10: Interest Coverage Ratio</w:t>
            </w:r>
            <w:r>
              <w:rPr>
                <w:noProof/>
                <w:webHidden/>
              </w:rPr>
              <w:tab/>
            </w:r>
            <w:r>
              <w:rPr>
                <w:noProof/>
                <w:webHidden/>
              </w:rPr>
              <w:fldChar w:fldCharType="begin"/>
            </w:r>
            <w:r>
              <w:rPr>
                <w:noProof/>
                <w:webHidden/>
              </w:rPr>
              <w:instrText xml:space="preserve"> PAGEREF _Toc153882273 \h </w:instrText>
            </w:r>
            <w:r>
              <w:rPr>
                <w:noProof/>
                <w:webHidden/>
              </w:rPr>
            </w:r>
            <w:r>
              <w:rPr>
                <w:noProof/>
                <w:webHidden/>
              </w:rPr>
              <w:fldChar w:fldCharType="separate"/>
            </w:r>
            <w:r>
              <w:rPr>
                <w:noProof/>
                <w:webHidden/>
              </w:rPr>
              <w:t>10</w:t>
            </w:r>
            <w:r>
              <w:rPr>
                <w:noProof/>
                <w:webHidden/>
              </w:rPr>
              <w:fldChar w:fldCharType="end"/>
            </w:r>
          </w:hyperlink>
        </w:p>
        <w:p w14:paraId="4041AF98" w14:textId="69504E71" w:rsidR="00FE664F" w:rsidRDefault="00FE664F">
          <w:pPr>
            <w:pStyle w:val="TOC1"/>
            <w:tabs>
              <w:tab w:val="right" w:leader="dot" w:pos="9016"/>
            </w:tabs>
            <w:rPr>
              <w:rFonts w:asciiTheme="minorHAnsi" w:eastAsiaTheme="minorEastAsia" w:hAnsiTheme="minorHAnsi"/>
              <w:noProof/>
              <w:sz w:val="24"/>
              <w:szCs w:val="24"/>
              <w:lang w:eastAsia="en-GB"/>
            </w:rPr>
          </w:pPr>
          <w:hyperlink w:anchor="_Toc153882274" w:history="1">
            <w:r w:rsidRPr="001B46B5">
              <w:rPr>
                <w:rStyle w:val="Hyperlink"/>
                <w:noProof/>
              </w:rPr>
              <w:t>Question 3.b: Critically discuss of the financial ratio and stating the financial positions and performance of the corporation.</w:t>
            </w:r>
            <w:r>
              <w:rPr>
                <w:noProof/>
                <w:webHidden/>
              </w:rPr>
              <w:tab/>
            </w:r>
            <w:r>
              <w:rPr>
                <w:noProof/>
                <w:webHidden/>
              </w:rPr>
              <w:fldChar w:fldCharType="begin"/>
            </w:r>
            <w:r>
              <w:rPr>
                <w:noProof/>
                <w:webHidden/>
              </w:rPr>
              <w:instrText xml:space="preserve"> PAGEREF _Toc153882274 \h </w:instrText>
            </w:r>
            <w:r>
              <w:rPr>
                <w:noProof/>
                <w:webHidden/>
              </w:rPr>
            </w:r>
            <w:r>
              <w:rPr>
                <w:noProof/>
                <w:webHidden/>
              </w:rPr>
              <w:fldChar w:fldCharType="separate"/>
            </w:r>
            <w:r>
              <w:rPr>
                <w:noProof/>
                <w:webHidden/>
              </w:rPr>
              <w:t>10</w:t>
            </w:r>
            <w:r>
              <w:rPr>
                <w:noProof/>
                <w:webHidden/>
              </w:rPr>
              <w:fldChar w:fldCharType="end"/>
            </w:r>
          </w:hyperlink>
        </w:p>
        <w:p w14:paraId="32FA26CC" w14:textId="7CA3C38A" w:rsidR="00FE664F" w:rsidRDefault="00FE664F">
          <w:pPr>
            <w:pStyle w:val="TOC1"/>
            <w:tabs>
              <w:tab w:val="right" w:leader="dot" w:pos="9016"/>
            </w:tabs>
            <w:rPr>
              <w:rFonts w:asciiTheme="minorHAnsi" w:eastAsiaTheme="minorEastAsia" w:hAnsiTheme="minorHAnsi"/>
              <w:noProof/>
              <w:sz w:val="24"/>
              <w:szCs w:val="24"/>
              <w:lang w:eastAsia="en-GB"/>
            </w:rPr>
          </w:pPr>
          <w:hyperlink w:anchor="_Toc153882275" w:history="1">
            <w:r w:rsidRPr="001B46B5">
              <w:rPr>
                <w:rStyle w:val="Hyperlink"/>
                <w:noProof/>
              </w:rPr>
              <w:t>References</w:t>
            </w:r>
            <w:r>
              <w:rPr>
                <w:noProof/>
                <w:webHidden/>
              </w:rPr>
              <w:tab/>
            </w:r>
            <w:r>
              <w:rPr>
                <w:noProof/>
                <w:webHidden/>
              </w:rPr>
              <w:fldChar w:fldCharType="begin"/>
            </w:r>
            <w:r>
              <w:rPr>
                <w:noProof/>
                <w:webHidden/>
              </w:rPr>
              <w:instrText xml:space="preserve"> PAGEREF _Toc153882275 \h </w:instrText>
            </w:r>
            <w:r>
              <w:rPr>
                <w:noProof/>
                <w:webHidden/>
              </w:rPr>
            </w:r>
            <w:r>
              <w:rPr>
                <w:noProof/>
                <w:webHidden/>
              </w:rPr>
              <w:fldChar w:fldCharType="separate"/>
            </w:r>
            <w:r>
              <w:rPr>
                <w:noProof/>
                <w:webHidden/>
              </w:rPr>
              <w:t>12</w:t>
            </w:r>
            <w:r>
              <w:rPr>
                <w:noProof/>
                <w:webHidden/>
              </w:rPr>
              <w:fldChar w:fldCharType="end"/>
            </w:r>
          </w:hyperlink>
        </w:p>
        <w:p w14:paraId="5F22CBBE" w14:textId="41AF2C03" w:rsidR="001517A2" w:rsidRDefault="001517A2">
          <w:r>
            <w:rPr>
              <w:b/>
              <w:bCs/>
              <w:noProof/>
            </w:rPr>
            <w:fldChar w:fldCharType="end"/>
          </w:r>
        </w:p>
      </w:sdtContent>
    </w:sdt>
    <w:p w14:paraId="74AB1E60" w14:textId="77777777" w:rsidR="005D1FC5" w:rsidRDefault="005D1FC5"/>
    <w:p w14:paraId="5671B338" w14:textId="77777777" w:rsidR="005D1FC5" w:rsidRDefault="005D1FC5"/>
    <w:p w14:paraId="7AA1DD3F" w14:textId="77777777" w:rsidR="005D1FC5" w:rsidRDefault="005D1FC5"/>
    <w:p w14:paraId="718AC98E" w14:textId="77777777" w:rsidR="005D1FC5" w:rsidRDefault="005D1FC5"/>
    <w:p w14:paraId="1BF98796" w14:textId="77777777" w:rsidR="005D1FC5" w:rsidRDefault="005D1FC5"/>
    <w:p w14:paraId="5365B8C3" w14:textId="77777777" w:rsidR="002630B1" w:rsidRDefault="002630B1" w:rsidP="002630B1">
      <w:pPr>
        <w:pStyle w:val="Heading1"/>
        <w:spacing w:line="360" w:lineRule="auto"/>
        <w:jc w:val="both"/>
        <w:rPr>
          <w:color w:val="auto"/>
        </w:rPr>
      </w:pPr>
    </w:p>
    <w:p w14:paraId="3923EA6A" w14:textId="77777777" w:rsidR="002630B1" w:rsidRDefault="002630B1" w:rsidP="002630B1"/>
    <w:p w14:paraId="2DF17ED1" w14:textId="77777777" w:rsidR="002630B1" w:rsidRDefault="002630B1" w:rsidP="002630B1"/>
    <w:p w14:paraId="66F4C0FA" w14:textId="77777777" w:rsidR="002630B1" w:rsidRDefault="002630B1" w:rsidP="002630B1"/>
    <w:p w14:paraId="3F798F90" w14:textId="77777777" w:rsidR="002630B1" w:rsidRPr="002630B1" w:rsidRDefault="002630B1" w:rsidP="002630B1"/>
    <w:p w14:paraId="5FA7EB00" w14:textId="006DEAAF" w:rsidR="005D1FC5" w:rsidRPr="003D6BF0" w:rsidRDefault="005D1FC5" w:rsidP="002630B1">
      <w:pPr>
        <w:pStyle w:val="Heading1"/>
        <w:spacing w:line="360" w:lineRule="auto"/>
        <w:jc w:val="both"/>
        <w:rPr>
          <w:color w:val="auto"/>
        </w:rPr>
      </w:pPr>
      <w:bookmarkStart w:id="3" w:name="_Toc153882256"/>
      <w:r w:rsidRPr="003D6BF0">
        <w:rPr>
          <w:color w:val="auto"/>
        </w:rPr>
        <w:t>Question 1: Comment on each of the statements</w:t>
      </w:r>
      <w:bookmarkEnd w:id="3"/>
    </w:p>
    <w:p w14:paraId="3F5EA209" w14:textId="77777777" w:rsidR="005D1FC5" w:rsidRDefault="005D1FC5" w:rsidP="002630B1">
      <w:pPr>
        <w:spacing w:line="360" w:lineRule="auto"/>
        <w:jc w:val="both"/>
      </w:pPr>
    </w:p>
    <w:p w14:paraId="22B2C230" w14:textId="322355A3" w:rsidR="005D1FC5" w:rsidRDefault="005D1FC5" w:rsidP="002630B1">
      <w:pPr>
        <w:spacing w:line="360" w:lineRule="auto"/>
        <w:jc w:val="both"/>
      </w:pPr>
      <w:r w:rsidRPr="000C0678">
        <w:rPr>
          <w:b/>
          <w:bCs/>
        </w:rPr>
        <w:t xml:space="preserve">1. </w:t>
      </w:r>
      <w:r w:rsidR="00EF5A8B">
        <w:rPr>
          <w:b/>
          <w:bCs/>
        </w:rPr>
        <w:t xml:space="preserve">1 </w:t>
      </w:r>
      <w:r w:rsidRPr="000C0678">
        <w:rPr>
          <w:rStyle w:val="Heading2Char"/>
          <w:rFonts w:ascii="Arial" w:hAnsi="Arial" w:cs="Arial"/>
          <w:b/>
          <w:bCs/>
          <w:color w:val="auto"/>
          <w:sz w:val="24"/>
          <w:szCs w:val="24"/>
        </w:rPr>
        <w:t xml:space="preserve">The statement of financial position shows how much cash has come into and left the business during the accounting period and the resulting balance at the end of the period </w:t>
      </w:r>
      <w:r w:rsidR="00EF5A8B">
        <w:rPr>
          <w:rStyle w:val="Heading2Char"/>
          <w:rFonts w:ascii="Arial" w:hAnsi="Arial" w:cs="Arial"/>
          <w:b/>
          <w:bCs/>
          <w:color w:val="auto"/>
          <w:sz w:val="24"/>
          <w:szCs w:val="24"/>
        </w:rPr>
        <w:t>:</w:t>
      </w:r>
      <w:r w:rsidRPr="000C0678">
        <w:rPr>
          <w:b/>
          <w:bCs/>
        </w:rPr>
        <w:t xml:space="preserve"> </w:t>
      </w:r>
      <w:r>
        <w:t>Concerning the assessment of the above statement, it can be ascertained that it’s not true and is ineffective as the interpretation of the statement of financial position within the research tends to indicate the main constituents of the corporation in terms of depicting the liabilities as well on significant levels. Additionally, the balance sheet mainly helps in the interpretation of the strategic assets and liabilities of the firm on significant levels</w:t>
      </w:r>
      <w:sdt>
        <w:sdtPr>
          <w:id w:val="841276675"/>
          <w:citation/>
        </w:sdtPr>
        <w:sdtContent>
          <w:r w:rsidR="00746036">
            <w:fldChar w:fldCharType="begin"/>
          </w:r>
          <w:r w:rsidR="00746036">
            <w:instrText xml:space="preserve"> CITATION Vic23 \l 2057 </w:instrText>
          </w:r>
          <w:r w:rsidR="00746036">
            <w:fldChar w:fldCharType="separate"/>
          </w:r>
          <w:r w:rsidR="00236F3C">
            <w:rPr>
              <w:noProof/>
            </w:rPr>
            <w:t xml:space="preserve"> (Selyutin, 2023)</w:t>
          </w:r>
          <w:r w:rsidR="00746036">
            <w:fldChar w:fldCharType="end"/>
          </w:r>
        </w:sdtContent>
      </w:sdt>
      <w:r w:rsidR="00746036">
        <w:t>.</w:t>
      </w:r>
    </w:p>
    <w:p w14:paraId="30CA063B" w14:textId="56CC72DC" w:rsidR="005D1FC5" w:rsidRDefault="00EF5A8B" w:rsidP="002630B1">
      <w:pPr>
        <w:spacing w:line="360" w:lineRule="auto"/>
        <w:jc w:val="both"/>
      </w:pPr>
      <w:bookmarkStart w:id="4" w:name="_Toc153882257"/>
      <w:r>
        <w:rPr>
          <w:rStyle w:val="Heading2Char"/>
          <w:rFonts w:ascii="Arial" w:hAnsi="Arial" w:cs="Arial"/>
          <w:b/>
          <w:bCs/>
          <w:color w:val="auto"/>
          <w:sz w:val="24"/>
          <w:szCs w:val="24"/>
        </w:rPr>
        <w:t>1.</w:t>
      </w:r>
      <w:r w:rsidR="005D1FC5" w:rsidRPr="000C0678">
        <w:rPr>
          <w:rStyle w:val="Heading2Char"/>
          <w:rFonts w:ascii="Arial" w:hAnsi="Arial" w:cs="Arial"/>
          <w:b/>
          <w:bCs/>
          <w:color w:val="auto"/>
          <w:sz w:val="24"/>
          <w:szCs w:val="24"/>
        </w:rPr>
        <w:t xml:space="preserve">2. </w:t>
      </w:r>
      <w:r>
        <w:rPr>
          <w:rStyle w:val="Heading2Char"/>
          <w:rFonts w:ascii="Arial" w:hAnsi="Arial" w:cs="Arial"/>
          <w:b/>
          <w:bCs/>
          <w:color w:val="auto"/>
          <w:sz w:val="24"/>
          <w:szCs w:val="24"/>
        </w:rPr>
        <w:t>N</w:t>
      </w:r>
      <w:r w:rsidR="000C0678" w:rsidRPr="000C0678">
        <w:rPr>
          <w:rStyle w:val="Heading2Char"/>
          <w:rFonts w:ascii="Arial" w:hAnsi="Arial" w:cs="Arial"/>
          <w:b/>
          <w:bCs/>
          <w:color w:val="auto"/>
          <w:sz w:val="24"/>
          <w:szCs w:val="24"/>
        </w:rPr>
        <w:t>on-current</w:t>
      </w:r>
      <w:r w:rsidR="005D1FC5" w:rsidRPr="000C0678">
        <w:rPr>
          <w:rStyle w:val="Heading2Char"/>
          <w:rFonts w:ascii="Arial" w:hAnsi="Arial" w:cs="Arial"/>
          <w:b/>
          <w:bCs/>
          <w:color w:val="auto"/>
          <w:sz w:val="24"/>
          <w:szCs w:val="24"/>
        </w:rPr>
        <w:t xml:space="preserve"> assets are things that cannot be </w:t>
      </w:r>
      <w:r w:rsidR="00F75D33" w:rsidRPr="000C0678">
        <w:rPr>
          <w:rStyle w:val="Heading2Char"/>
          <w:rFonts w:ascii="Arial" w:hAnsi="Arial" w:cs="Arial"/>
          <w:b/>
          <w:bCs/>
          <w:color w:val="auto"/>
          <w:sz w:val="24"/>
          <w:szCs w:val="24"/>
        </w:rPr>
        <w:t>moved</w:t>
      </w:r>
      <w:r w:rsidR="00F75D33">
        <w:rPr>
          <w:rStyle w:val="Heading2Char"/>
          <w:rFonts w:ascii="Arial" w:hAnsi="Arial" w:cs="Arial"/>
          <w:b/>
          <w:bCs/>
          <w:color w:val="auto"/>
          <w:sz w:val="24"/>
          <w:szCs w:val="24"/>
        </w:rPr>
        <w:t>:</w:t>
      </w:r>
      <w:bookmarkEnd w:id="4"/>
      <w:r w:rsidR="005D1FC5" w:rsidRPr="000C0678">
        <w:t xml:space="preserve"> </w:t>
      </w:r>
      <w:r w:rsidR="005D1FC5">
        <w:t xml:space="preserve">Interpretation of the above statement, it can be established that it is generally false as non-current assets within the business structure consist of movable items such as machinery, vehicles, and many more that can significantly move being intangible assets. On the other hand, the immovable items in the non-current assets in the business structure include aspects such as buildings, infrastructure, and many more. Hence, it can be stated that the non-current assets within the business structure include movable as well as immovable assets items within the business structure. </w:t>
      </w:r>
      <w:r w:rsidR="0006333D">
        <w:t>C</w:t>
      </w:r>
      <w:r w:rsidR="005D1FC5">
        <w:t>an be established that non-current assets within the business structure include both removable and unmovable objects within the business verticals</w:t>
      </w:r>
      <w:sdt>
        <w:sdtPr>
          <w:id w:val="-1067565228"/>
          <w:citation/>
        </w:sdtPr>
        <w:sdtContent>
          <w:r w:rsidR="0006333D">
            <w:fldChar w:fldCharType="begin"/>
          </w:r>
          <w:r w:rsidR="0006333D">
            <w:instrText xml:space="preserve"> CITATION Jab23 \l 2057 </w:instrText>
          </w:r>
          <w:r w:rsidR="0006333D">
            <w:fldChar w:fldCharType="separate"/>
          </w:r>
          <w:r w:rsidR="00236F3C">
            <w:rPr>
              <w:noProof/>
            </w:rPr>
            <w:t xml:space="preserve"> (Kunene, 2023)</w:t>
          </w:r>
          <w:r w:rsidR="0006333D">
            <w:fldChar w:fldCharType="end"/>
          </w:r>
        </w:sdtContent>
      </w:sdt>
      <w:r w:rsidR="005D1FC5">
        <w:t>.</w:t>
      </w:r>
    </w:p>
    <w:p w14:paraId="1321CBAD" w14:textId="75D95834" w:rsidR="005D1FC5" w:rsidRDefault="00EF5A8B" w:rsidP="002630B1">
      <w:pPr>
        <w:spacing w:line="360" w:lineRule="auto"/>
        <w:jc w:val="both"/>
      </w:pPr>
      <w:bookmarkStart w:id="5" w:name="_Toc153882258"/>
      <w:r>
        <w:rPr>
          <w:rStyle w:val="Heading2Char"/>
          <w:rFonts w:ascii="Arial" w:hAnsi="Arial" w:cs="Arial"/>
          <w:b/>
          <w:bCs/>
          <w:color w:val="000000" w:themeColor="text1"/>
          <w:sz w:val="24"/>
          <w:szCs w:val="24"/>
        </w:rPr>
        <w:t>1.</w:t>
      </w:r>
      <w:r w:rsidR="005D1FC5" w:rsidRPr="000C0678">
        <w:rPr>
          <w:rStyle w:val="Heading2Char"/>
          <w:rFonts w:ascii="Arial" w:hAnsi="Arial" w:cs="Arial"/>
          <w:b/>
          <w:bCs/>
          <w:color w:val="000000" w:themeColor="text1"/>
          <w:sz w:val="24"/>
          <w:szCs w:val="24"/>
        </w:rPr>
        <w:t>3. Managers should only supply financial information to the “current” shareholders of</w:t>
      </w:r>
      <w:r w:rsidR="000C0678" w:rsidRPr="000C0678">
        <w:rPr>
          <w:rStyle w:val="Heading2Char"/>
          <w:rFonts w:ascii="Arial" w:hAnsi="Arial" w:cs="Arial"/>
          <w:b/>
          <w:bCs/>
          <w:color w:val="000000" w:themeColor="text1"/>
          <w:sz w:val="24"/>
          <w:szCs w:val="24"/>
        </w:rPr>
        <w:t xml:space="preserve"> </w:t>
      </w:r>
      <w:r w:rsidR="005D1FC5" w:rsidRPr="000C0678">
        <w:rPr>
          <w:rStyle w:val="Heading2Char"/>
          <w:rFonts w:ascii="Arial" w:hAnsi="Arial" w:cs="Arial"/>
          <w:b/>
          <w:bCs/>
          <w:color w:val="000000" w:themeColor="text1"/>
          <w:sz w:val="24"/>
          <w:szCs w:val="24"/>
        </w:rPr>
        <w:t>companies</w:t>
      </w:r>
      <w:r>
        <w:rPr>
          <w:rStyle w:val="Heading2Char"/>
          <w:rFonts w:ascii="Arial" w:hAnsi="Arial" w:cs="Arial"/>
          <w:b/>
          <w:bCs/>
          <w:color w:val="000000" w:themeColor="text1"/>
          <w:sz w:val="24"/>
          <w:szCs w:val="24"/>
        </w:rPr>
        <w:t>:</w:t>
      </w:r>
      <w:bookmarkEnd w:id="5"/>
      <w:r w:rsidR="005D1FC5">
        <w:t xml:space="preserve"> Interpreting the main role of the managers, it can be ascertained that the main role of the manager includes the sole responsibility to provide financial information to the current stakeholders as well as to the potential investors and to the public if it tends to access external fixing methods within the business structure. </w:t>
      </w:r>
      <w:r w:rsidR="00A4512C">
        <w:t>It</w:t>
      </w:r>
      <w:r w:rsidR="005D1FC5">
        <w:t xml:space="preserve"> is established that managers are also provided with the opportunity to develop corporate</w:t>
      </w:r>
      <w:r w:rsidR="000C0678">
        <w:t xml:space="preserve"> </w:t>
      </w:r>
      <w:r w:rsidR="005D1FC5">
        <w:t>responsibility on significant levels</w:t>
      </w:r>
      <w:sdt>
        <w:sdtPr>
          <w:id w:val="-553309050"/>
          <w:citation/>
        </w:sdtPr>
        <w:sdtContent>
          <w:r w:rsidR="00A4512C">
            <w:fldChar w:fldCharType="begin"/>
          </w:r>
          <w:r w:rsidR="00A4512C">
            <w:instrText xml:space="preserve"> CITATION Pet18 \l 2057 </w:instrText>
          </w:r>
          <w:r w:rsidR="00A4512C">
            <w:fldChar w:fldCharType="separate"/>
          </w:r>
          <w:r w:rsidR="00236F3C">
            <w:rPr>
              <w:noProof/>
            </w:rPr>
            <w:t xml:space="preserve"> (Atrill &amp; McLaney, 2018)</w:t>
          </w:r>
          <w:r w:rsidR="00A4512C">
            <w:fldChar w:fldCharType="end"/>
          </w:r>
        </w:sdtContent>
      </w:sdt>
      <w:r w:rsidR="005D1FC5">
        <w:t>.</w:t>
      </w:r>
      <w:r w:rsidR="00F76868" w:rsidRPr="00F76868">
        <w:t xml:space="preserve"> Therefore, it can be concluded that management ought to furnish all members with financial information</w:t>
      </w:r>
      <w:r w:rsidR="005D1FC5">
        <w:t>.</w:t>
      </w:r>
    </w:p>
    <w:p w14:paraId="462AA1A8" w14:textId="32BCC63F" w:rsidR="005D1FC5" w:rsidRDefault="00EF5A8B" w:rsidP="002630B1">
      <w:pPr>
        <w:spacing w:line="360" w:lineRule="auto"/>
        <w:jc w:val="both"/>
      </w:pPr>
      <w:bookmarkStart w:id="6" w:name="_Toc153882259"/>
      <w:r>
        <w:rPr>
          <w:rStyle w:val="Heading2Char"/>
          <w:rFonts w:ascii="Arial" w:hAnsi="Arial" w:cs="Arial"/>
          <w:b/>
          <w:bCs/>
          <w:color w:val="000000" w:themeColor="text1"/>
          <w:sz w:val="24"/>
          <w:szCs w:val="24"/>
        </w:rPr>
        <w:t>1.</w:t>
      </w:r>
      <w:r w:rsidR="005D1FC5" w:rsidRPr="000C0678">
        <w:rPr>
          <w:rStyle w:val="Heading2Char"/>
          <w:rFonts w:ascii="Arial" w:hAnsi="Arial" w:cs="Arial"/>
          <w:b/>
          <w:bCs/>
          <w:color w:val="000000" w:themeColor="text1"/>
          <w:sz w:val="24"/>
          <w:szCs w:val="24"/>
        </w:rPr>
        <w:t xml:space="preserve">4. No need to include prepayments and accruals on the statement of financial </w:t>
      </w:r>
      <w:r w:rsidR="000C0678" w:rsidRPr="000C0678">
        <w:rPr>
          <w:rStyle w:val="Heading2Char"/>
          <w:rFonts w:ascii="Arial" w:hAnsi="Arial" w:cs="Arial"/>
          <w:b/>
          <w:bCs/>
          <w:color w:val="000000" w:themeColor="text1"/>
          <w:sz w:val="24"/>
          <w:szCs w:val="24"/>
        </w:rPr>
        <w:t>position</w:t>
      </w:r>
      <w:r>
        <w:rPr>
          <w:rStyle w:val="Heading2Char"/>
          <w:rFonts w:ascii="Arial" w:hAnsi="Arial" w:cs="Arial"/>
          <w:b/>
          <w:bCs/>
          <w:color w:val="000000" w:themeColor="text1"/>
          <w:sz w:val="24"/>
          <w:szCs w:val="24"/>
        </w:rPr>
        <w:t>:</w:t>
      </w:r>
      <w:bookmarkEnd w:id="6"/>
      <w:r w:rsidR="000C0678" w:rsidRPr="000C0678">
        <w:rPr>
          <w:color w:val="000000" w:themeColor="text1"/>
        </w:rPr>
        <w:t xml:space="preserve"> </w:t>
      </w:r>
      <w:r w:rsidR="000C0678">
        <w:t>Prepayments</w:t>
      </w:r>
      <w:r w:rsidR="005D1FC5">
        <w:t xml:space="preserve"> and accruals are crucial and should be indicated within the final information as it</w:t>
      </w:r>
      <w:r w:rsidR="000C0678">
        <w:t xml:space="preserve"> </w:t>
      </w:r>
      <w:r w:rsidR="005D1FC5">
        <w:t xml:space="preserve">helps to recognize the main expenses that are mainly paid in advance or are </w:t>
      </w:r>
      <w:r w:rsidR="005D1FC5">
        <w:lastRenderedPageBreak/>
        <w:t>due from a recurring</w:t>
      </w:r>
      <w:r w:rsidR="000C0678">
        <w:t xml:space="preserve"> </w:t>
      </w:r>
      <w:r w:rsidR="005D1FC5">
        <w:t xml:space="preserve">period. This helps in a faithful representation of the financial accounts within the financial </w:t>
      </w:r>
      <w:r w:rsidR="000C0678">
        <w:t>books on</w:t>
      </w:r>
      <w:r w:rsidR="005D1FC5">
        <w:t xml:space="preserve"> significant levels. Additionally, it also helps in developing as well as in interpreting the main</w:t>
      </w:r>
      <w:r w:rsidR="000C0678">
        <w:t xml:space="preserve"> </w:t>
      </w:r>
      <w:r w:rsidR="005D1FC5">
        <w:t xml:space="preserve">difference in the cash balance in an effective manner within the business economy. </w:t>
      </w:r>
      <w:r w:rsidR="00F76868" w:rsidRPr="00F76868">
        <w:t xml:space="preserve">Since prepayments and accruals must be reflected in the corporate structure, it can be concluded that this statement is untrue and ineffective. </w:t>
      </w:r>
    </w:p>
    <w:p w14:paraId="0A331F57" w14:textId="77777777" w:rsidR="009A08B2" w:rsidRDefault="00EF5A8B" w:rsidP="002630B1">
      <w:pPr>
        <w:spacing w:line="360" w:lineRule="auto"/>
        <w:jc w:val="both"/>
        <w:rPr>
          <w:rStyle w:val="Heading2Char"/>
          <w:rFonts w:ascii="Arial" w:hAnsi="Arial" w:cs="Arial"/>
          <w:b/>
          <w:bCs/>
          <w:color w:val="auto"/>
          <w:sz w:val="24"/>
          <w:szCs w:val="24"/>
        </w:rPr>
      </w:pPr>
      <w:bookmarkStart w:id="7" w:name="_Toc153882260"/>
      <w:r>
        <w:rPr>
          <w:rStyle w:val="Heading2Char"/>
          <w:rFonts w:ascii="Arial" w:hAnsi="Arial" w:cs="Arial"/>
          <w:b/>
          <w:bCs/>
          <w:color w:val="auto"/>
          <w:sz w:val="24"/>
          <w:szCs w:val="24"/>
        </w:rPr>
        <w:t>1.</w:t>
      </w:r>
      <w:r w:rsidR="005D1FC5" w:rsidRPr="000C0678">
        <w:rPr>
          <w:rStyle w:val="Heading2Char"/>
          <w:rFonts w:ascii="Arial" w:hAnsi="Arial" w:cs="Arial"/>
          <w:b/>
          <w:bCs/>
          <w:color w:val="auto"/>
          <w:sz w:val="24"/>
          <w:szCs w:val="24"/>
        </w:rPr>
        <w:t>5. No need for regulation over financial accounts</w:t>
      </w:r>
      <w:r>
        <w:rPr>
          <w:rStyle w:val="Heading2Char"/>
          <w:rFonts w:ascii="Arial" w:hAnsi="Arial" w:cs="Arial"/>
          <w:b/>
          <w:bCs/>
          <w:color w:val="auto"/>
          <w:sz w:val="24"/>
          <w:szCs w:val="24"/>
        </w:rPr>
        <w:t>:</w:t>
      </w:r>
      <w:bookmarkEnd w:id="7"/>
    </w:p>
    <w:p w14:paraId="5AEB32FF" w14:textId="0970FD18" w:rsidR="005D1FC5" w:rsidRDefault="00F76868" w:rsidP="002630B1">
      <w:pPr>
        <w:spacing w:line="360" w:lineRule="auto"/>
        <w:jc w:val="both"/>
      </w:pPr>
      <w:r w:rsidRPr="00F76868">
        <w:t>Since the process of creating the corporation's final account must be developed with proper implementation of the financial regulations and procedures that tend to help in the development of accurate and true financial statements on significant levels, the analysis of testament is typically untrue.</w:t>
      </w:r>
      <w:r w:rsidR="005D1FC5">
        <w:t xml:space="preserve"> Further</w:t>
      </w:r>
      <w:r>
        <w:t>more</w:t>
      </w:r>
      <w:r w:rsidR="005D1FC5">
        <w:t>, it is</w:t>
      </w:r>
      <w:r w:rsidR="000C0678">
        <w:t xml:space="preserve"> </w:t>
      </w:r>
      <w:r w:rsidR="005D1FC5">
        <w:t>ascertained that it also helps investors, public individuals, and stakeholders to know the</w:t>
      </w:r>
      <w:r w:rsidR="000C0678">
        <w:t xml:space="preserve"> </w:t>
      </w:r>
      <w:r w:rsidR="005D1FC5">
        <w:t>proper authentic business performance over the period in a strategic process and on</w:t>
      </w:r>
      <w:r w:rsidR="000C0678">
        <w:t xml:space="preserve"> </w:t>
      </w:r>
      <w:r w:rsidR="005D1FC5">
        <w:t>significant levels. Additionally, not implementing as well as maintaining proper financial</w:t>
      </w:r>
      <w:r w:rsidR="000C0678">
        <w:t xml:space="preserve"> </w:t>
      </w:r>
      <w:r w:rsidR="005D1FC5">
        <w:t>regulations such as GAAP and the IFRS mainly results in ineffective interpretation and</w:t>
      </w:r>
      <w:r w:rsidR="00EF5A8B">
        <w:t xml:space="preserve"> </w:t>
      </w:r>
      <w:r w:rsidR="005D1FC5">
        <w:t>preparation of the final account on significant levels within the business economy.</w:t>
      </w:r>
    </w:p>
    <w:p w14:paraId="4F232BAE" w14:textId="77777777" w:rsidR="00EF5A8B" w:rsidRDefault="00EF5A8B" w:rsidP="002630B1">
      <w:pPr>
        <w:pStyle w:val="Heading2"/>
        <w:spacing w:line="360" w:lineRule="auto"/>
        <w:jc w:val="both"/>
        <w:rPr>
          <w:rFonts w:ascii="Arial" w:hAnsi="Arial" w:cs="Arial"/>
          <w:b/>
          <w:bCs/>
          <w:color w:val="000000" w:themeColor="text1"/>
          <w:sz w:val="24"/>
          <w:szCs w:val="24"/>
        </w:rPr>
      </w:pPr>
      <w:bookmarkStart w:id="8" w:name="_Toc153882261"/>
      <w:r>
        <w:rPr>
          <w:rFonts w:ascii="Arial" w:hAnsi="Arial" w:cs="Arial"/>
          <w:b/>
          <w:bCs/>
          <w:color w:val="000000" w:themeColor="text1"/>
          <w:sz w:val="24"/>
          <w:szCs w:val="24"/>
        </w:rPr>
        <w:t>1.</w:t>
      </w:r>
      <w:r w:rsidR="005D1FC5" w:rsidRPr="00EF5A8B">
        <w:rPr>
          <w:rFonts w:ascii="Arial" w:hAnsi="Arial" w:cs="Arial"/>
          <w:b/>
          <w:bCs/>
          <w:color w:val="000000" w:themeColor="text1"/>
          <w:sz w:val="24"/>
          <w:szCs w:val="24"/>
        </w:rPr>
        <w:t>6. It is important to balance ledger (T) accounts and trial balance before preparing</w:t>
      </w:r>
      <w:r>
        <w:rPr>
          <w:rFonts w:ascii="Arial" w:hAnsi="Arial" w:cs="Arial"/>
          <w:b/>
          <w:bCs/>
          <w:color w:val="000000" w:themeColor="text1"/>
          <w:sz w:val="24"/>
          <w:szCs w:val="24"/>
        </w:rPr>
        <w:t xml:space="preserve"> </w:t>
      </w:r>
      <w:r w:rsidR="005D1FC5" w:rsidRPr="00EF5A8B">
        <w:rPr>
          <w:rFonts w:ascii="Arial" w:hAnsi="Arial" w:cs="Arial"/>
          <w:b/>
          <w:bCs/>
          <w:color w:val="000000" w:themeColor="text1"/>
          <w:sz w:val="24"/>
          <w:szCs w:val="24"/>
        </w:rPr>
        <w:t>financial statements</w:t>
      </w:r>
      <w:r>
        <w:rPr>
          <w:rFonts w:ascii="Arial" w:hAnsi="Arial" w:cs="Arial"/>
          <w:b/>
          <w:bCs/>
          <w:color w:val="000000" w:themeColor="text1"/>
          <w:sz w:val="24"/>
          <w:szCs w:val="24"/>
        </w:rPr>
        <w:t>:</w:t>
      </w:r>
      <w:bookmarkEnd w:id="8"/>
      <w:r>
        <w:rPr>
          <w:rFonts w:ascii="Arial" w:hAnsi="Arial" w:cs="Arial"/>
          <w:b/>
          <w:bCs/>
          <w:color w:val="000000" w:themeColor="text1"/>
          <w:sz w:val="24"/>
          <w:szCs w:val="24"/>
        </w:rPr>
        <w:t xml:space="preserve">   </w:t>
      </w:r>
    </w:p>
    <w:p w14:paraId="6E506754" w14:textId="371EBE6A" w:rsidR="005D1FC5" w:rsidRDefault="000A2F18" w:rsidP="002630B1">
      <w:pPr>
        <w:spacing w:line="360" w:lineRule="auto"/>
        <w:jc w:val="both"/>
      </w:pPr>
      <w:r w:rsidRPr="000A2F18">
        <w:t xml:space="preserve">The </w:t>
      </w:r>
      <w:r w:rsidR="002630B1" w:rsidRPr="000A2F18">
        <w:t>statement</w:t>
      </w:r>
      <w:r w:rsidRPr="000A2F18">
        <w:t xml:space="preserve"> has been analysed with the highest level of accuracy and efficiency. Any discrepancies or disagreements between the balance ledger and the trail ledger would lead to the creation of final financial statements that are significantly ineffective. Furthermore, it may be determined that the growth and development of the ledger balance will aid in the management or mitigation of the suspense account setting within the business firm. Consequently, it can be concluded that appropriate ledger management and ledger balance matching are essential to developing and identifying the primary financial values inside the business process on a meaningful level. </w:t>
      </w:r>
      <w:r w:rsidR="005D1FC5">
        <w:t>On the other hand, the creation of the suspense account tends to result in</w:t>
      </w:r>
      <w:r w:rsidR="00F75D33">
        <w:t xml:space="preserve"> </w:t>
      </w:r>
      <w:r w:rsidR="005D1FC5">
        <w:t xml:space="preserve">effective interpretation as well as in </w:t>
      </w:r>
      <w:r>
        <w:t>handles</w:t>
      </w:r>
      <w:r w:rsidR="005D1FC5">
        <w:t xml:space="preserve"> of the final books of count on significant levels</w:t>
      </w:r>
      <w:r w:rsidR="00F75D33">
        <w:t xml:space="preserve"> </w:t>
      </w:r>
      <w:r w:rsidR="005D1FC5">
        <w:t>within the business framework.</w:t>
      </w:r>
    </w:p>
    <w:p w14:paraId="02BC4E6F" w14:textId="77777777" w:rsidR="002630B1" w:rsidRDefault="002630B1" w:rsidP="002630B1">
      <w:pPr>
        <w:spacing w:line="360" w:lineRule="auto"/>
        <w:jc w:val="both"/>
      </w:pPr>
    </w:p>
    <w:p w14:paraId="2F648C2E" w14:textId="77777777" w:rsidR="002630B1" w:rsidRDefault="002630B1" w:rsidP="002630B1">
      <w:pPr>
        <w:spacing w:line="360" w:lineRule="auto"/>
        <w:jc w:val="both"/>
      </w:pPr>
    </w:p>
    <w:p w14:paraId="49E9024E" w14:textId="77777777" w:rsidR="002630B1" w:rsidRDefault="002630B1" w:rsidP="002630B1">
      <w:pPr>
        <w:spacing w:line="360" w:lineRule="auto"/>
        <w:jc w:val="both"/>
      </w:pPr>
    </w:p>
    <w:p w14:paraId="00756A1E" w14:textId="77777777" w:rsidR="002630B1" w:rsidRDefault="002630B1" w:rsidP="002630B1">
      <w:pPr>
        <w:spacing w:line="360" w:lineRule="auto"/>
        <w:jc w:val="both"/>
      </w:pPr>
    </w:p>
    <w:p w14:paraId="1D081D44" w14:textId="77777777" w:rsidR="002630B1" w:rsidRDefault="002630B1" w:rsidP="002630B1">
      <w:pPr>
        <w:spacing w:line="360" w:lineRule="auto"/>
        <w:jc w:val="both"/>
      </w:pPr>
    </w:p>
    <w:p w14:paraId="621AE8F3" w14:textId="6BD9A57D" w:rsidR="005D1FC5" w:rsidRDefault="009509FF" w:rsidP="002630B1">
      <w:pPr>
        <w:pStyle w:val="Heading1"/>
        <w:spacing w:line="360" w:lineRule="auto"/>
        <w:jc w:val="both"/>
      </w:pPr>
      <w:bookmarkStart w:id="9" w:name="_Toc153882262"/>
      <w:r w:rsidRPr="009509FF">
        <w:lastRenderedPageBreak/>
        <w:t>Question 2:</w:t>
      </w:r>
      <w:r>
        <w:t xml:space="preserve"> Prepare an income statement for the year ended 31</w:t>
      </w:r>
      <w:r w:rsidRPr="009509FF">
        <w:rPr>
          <w:vertAlign w:val="superscript"/>
        </w:rPr>
        <w:t>st</w:t>
      </w:r>
      <w:r>
        <w:t xml:space="preserve"> December 2022 for Wales plc.</w:t>
      </w:r>
      <w:bookmarkEnd w:id="9"/>
    </w:p>
    <w:p w14:paraId="550B5FF0" w14:textId="77777777" w:rsidR="009A08B2" w:rsidRDefault="009A08B2" w:rsidP="002630B1">
      <w:pPr>
        <w:spacing w:line="360" w:lineRule="auto"/>
        <w:jc w:val="both"/>
      </w:pPr>
    </w:p>
    <w:tbl>
      <w:tblPr>
        <w:tblStyle w:val="TableGrid"/>
        <w:tblW w:w="9246" w:type="dxa"/>
        <w:tblLook w:val="04A0" w:firstRow="1" w:lastRow="0" w:firstColumn="1" w:lastColumn="0" w:noHBand="0" w:noVBand="1"/>
      </w:tblPr>
      <w:tblGrid>
        <w:gridCol w:w="6067"/>
        <w:gridCol w:w="1879"/>
        <w:gridCol w:w="1300"/>
      </w:tblGrid>
      <w:tr w:rsidR="00B863FE" w14:paraId="6EA56B9C" w14:textId="77777777" w:rsidTr="009721D2">
        <w:trPr>
          <w:trHeight w:val="280"/>
        </w:trPr>
        <w:tc>
          <w:tcPr>
            <w:tcW w:w="6067" w:type="dxa"/>
          </w:tcPr>
          <w:p w14:paraId="1E1E0DED" w14:textId="263153C9" w:rsidR="00B863FE" w:rsidRDefault="00B863FE" w:rsidP="002630B1">
            <w:pPr>
              <w:spacing w:line="360" w:lineRule="auto"/>
              <w:jc w:val="both"/>
            </w:pPr>
            <w:r w:rsidRPr="00B863FE">
              <w:t>Particulars</w:t>
            </w:r>
          </w:p>
        </w:tc>
        <w:tc>
          <w:tcPr>
            <w:tcW w:w="1879" w:type="dxa"/>
          </w:tcPr>
          <w:p w14:paraId="0208FE11" w14:textId="77777777" w:rsidR="00B863FE" w:rsidRDefault="00B863FE" w:rsidP="002630B1">
            <w:pPr>
              <w:spacing w:line="360" w:lineRule="auto"/>
              <w:jc w:val="both"/>
            </w:pPr>
          </w:p>
        </w:tc>
        <w:tc>
          <w:tcPr>
            <w:tcW w:w="1300" w:type="dxa"/>
          </w:tcPr>
          <w:p w14:paraId="2E0771CC" w14:textId="77777777" w:rsidR="00B863FE" w:rsidRDefault="00B863FE" w:rsidP="002630B1">
            <w:pPr>
              <w:spacing w:line="360" w:lineRule="auto"/>
              <w:jc w:val="both"/>
            </w:pPr>
          </w:p>
        </w:tc>
      </w:tr>
      <w:tr w:rsidR="00B863FE" w14:paraId="2FEAAA8B" w14:textId="77777777" w:rsidTr="009721D2">
        <w:trPr>
          <w:trHeight w:val="291"/>
        </w:trPr>
        <w:tc>
          <w:tcPr>
            <w:tcW w:w="6067" w:type="dxa"/>
          </w:tcPr>
          <w:p w14:paraId="5B1E41F9" w14:textId="06C709D5" w:rsidR="00B863FE" w:rsidRDefault="00B863FE" w:rsidP="002630B1">
            <w:pPr>
              <w:spacing w:line="360" w:lineRule="auto"/>
              <w:jc w:val="both"/>
            </w:pPr>
            <w:r w:rsidRPr="00B863FE">
              <w:t>Sales</w:t>
            </w:r>
          </w:p>
        </w:tc>
        <w:tc>
          <w:tcPr>
            <w:tcW w:w="1879" w:type="dxa"/>
          </w:tcPr>
          <w:p w14:paraId="32D5C280" w14:textId="4565C808" w:rsidR="00B863FE" w:rsidRDefault="00B863FE" w:rsidP="002630B1">
            <w:pPr>
              <w:spacing w:line="360" w:lineRule="auto"/>
              <w:jc w:val="both"/>
            </w:pPr>
            <w:r w:rsidRPr="00B863FE">
              <w:t>900000</w:t>
            </w:r>
          </w:p>
        </w:tc>
        <w:tc>
          <w:tcPr>
            <w:tcW w:w="1300" w:type="dxa"/>
          </w:tcPr>
          <w:p w14:paraId="4D93888F" w14:textId="77777777" w:rsidR="00B863FE" w:rsidRDefault="00B863FE" w:rsidP="002630B1">
            <w:pPr>
              <w:spacing w:line="360" w:lineRule="auto"/>
              <w:jc w:val="both"/>
            </w:pPr>
          </w:p>
        </w:tc>
      </w:tr>
      <w:tr w:rsidR="00B863FE" w14:paraId="29ED34C9" w14:textId="77777777" w:rsidTr="009721D2">
        <w:trPr>
          <w:trHeight w:val="280"/>
        </w:trPr>
        <w:tc>
          <w:tcPr>
            <w:tcW w:w="6067" w:type="dxa"/>
          </w:tcPr>
          <w:p w14:paraId="589D731B" w14:textId="19B45679" w:rsidR="00B863FE" w:rsidRDefault="00B863FE" w:rsidP="002630B1">
            <w:pPr>
              <w:spacing w:line="360" w:lineRule="auto"/>
              <w:jc w:val="both"/>
            </w:pPr>
            <w:r w:rsidRPr="00B863FE">
              <w:t>Add: Goods sent to customer for sales</w:t>
            </w:r>
          </w:p>
        </w:tc>
        <w:tc>
          <w:tcPr>
            <w:tcW w:w="1879" w:type="dxa"/>
          </w:tcPr>
          <w:p w14:paraId="2B55C021" w14:textId="5B7D01F3" w:rsidR="00B863FE" w:rsidRDefault="00B863FE" w:rsidP="002630B1">
            <w:pPr>
              <w:spacing w:line="360" w:lineRule="auto"/>
              <w:jc w:val="both"/>
            </w:pPr>
            <w:r w:rsidRPr="00B863FE">
              <w:t>1000</w:t>
            </w:r>
          </w:p>
        </w:tc>
        <w:tc>
          <w:tcPr>
            <w:tcW w:w="1300" w:type="dxa"/>
          </w:tcPr>
          <w:p w14:paraId="13B88C5B" w14:textId="0A2A102E" w:rsidR="00B863FE" w:rsidRDefault="00B863FE" w:rsidP="002630B1">
            <w:pPr>
              <w:spacing w:line="360" w:lineRule="auto"/>
              <w:jc w:val="both"/>
            </w:pPr>
            <w:r w:rsidRPr="00B863FE">
              <w:t>901000</w:t>
            </w:r>
          </w:p>
        </w:tc>
      </w:tr>
      <w:tr w:rsidR="00B863FE" w14:paraId="7EC8EC9D" w14:textId="77777777" w:rsidTr="009721D2">
        <w:trPr>
          <w:trHeight w:val="280"/>
        </w:trPr>
        <w:tc>
          <w:tcPr>
            <w:tcW w:w="6067" w:type="dxa"/>
          </w:tcPr>
          <w:p w14:paraId="0C0EBF91" w14:textId="41D4EF9C" w:rsidR="00B863FE" w:rsidRDefault="00B863FE" w:rsidP="002630B1">
            <w:pPr>
              <w:spacing w:line="360" w:lineRule="auto"/>
              <w:jc w:val="both"/>
            </w:pPr>
            <w:r w:rsidRPr="00B863FE">
              <w:t>Less: cost of goods sold</w:t>
            </w:r>
          </w:p>
        </w:tc>
        <w:tc>
          <w:tcPr>
            <w:tcW w:w="1879" w:type="dxa"/>
          </w:tcPr>
          <w:p w14:paraId="2CD7C829" w14:textId="77777777" w:rsidR="00B863FE" w:rsidRDefault="00B863FE" w:rsidP="002630B1">
            <w:pPr>
              <w:spacing w:line="360" w:lineRule="auto"/>
              <w:jc w:val="both"/>
            </w:pPr>
          </w:p>
        </w:tc>
        <w:tc>
          <w:tcPr>
            <w:tcW w:w="1300" w:type="dxa"/>
          </w:tcPr>
          <w:p w14:paraId="6D26A65B" w14:textId="409EBA62" w:rsidR="00B863FE" w:rsidRDefault="00B863FE" w:rsidP="002630B1">
            <w:pPr>
              <w:spacing w:line="360" w:lineRule="auto"/>
              <w:jc w:val="both"/>
            </w:pPr>
            <w:r w:rsidRPr="00B863FE">
              <w:t>578,650</w:t>
            </w:r>
          </w:p>
        </w:tc>
      </w:tr>
      <w:tr w:rsidR="00B863FE" w14:paraId="63F4AC7B" w14:textId="77777777" w:rsidTr="009721D2">
        <w:trPr>
          <w:trHeight w:val="280"/>
        </w:trPr>
        <w:tc>
          <w:tcPr>
            <w:tcW w:w="6067" w:type="dxa"/>
          </w:tcPr>
          <w:p w14:paraId="0D3936A9" w14:textId="77777777" w:rsidR="00B863FE" w:rsidRDefault="00B863FE" w:rsidP="002630B1">
            <w:pPr>
              <w:spacing w:line="360" w:lineRule="auto"/>
              <w:jc w:val="both"/>
            </w:pPr>
            <w:r>
              <w:t>Less: Depreciation amount of the Equipment (10% of COGS through</w:t>
            </w:r>
          </w:p>
          <w:p w14:paraId="7D2A311A" w14:textId="66F2AC10" w:rsidR="00B863FE" w:rsidRDefault="00B863FE" w:rsidP="002630B1">
            <w:pPr>
              <w:spacing w:line="360" w:lineRule="auto"/>
              <w:jc w:val="both"/>
            </w:pPr>
            <w:r>
              <w:t>straight-line method)</w:t>
            </w:r>
          </w:p>
        </w:tc>
        <w:tc>
          <w:tcPr>
            <w:tcW w:w="1879" w:type="dxa"/>
          </w:tcPr>
          <w:p w14:paraId="56AAAC34" w14:textId="2C868A0D" w:rsidR="00B863FE" w:rsidRDefault="00B863FE" w:rsidP="002630B1">
            <w:pPr>
              <w:spacing w:line="360" w:lineRule="auto"/>
              <w:jc w:val="both"/>
            </w:pPr>
          </w:p>
        </w:tc>
        <w:tc>
          <w:tcPr>
            <w:tcW w:w="1300" w:type="dxa"/>
          </w:tcPr>
          <w:p w14:paraId="6C9D272C" w14:textId="63F20546" w:rsidR="00B863FE" w:rsidRDefault="00B863FE" w:rsidP="002630B1">
            <w:pPr>
              <w:spacing w:line="360" w:lineRule="auto"/>
              <w:jc w:val="both"/>
            </w:pPr>
            <w:r w:rsidRPr="00B863FE">
              <w:t>57,865</w:t>
            </w:r>
          </w:p>
        </w:tc>
      </w:tr>
      <w:tr w:rsidR="00B863FE" w14:paraId="5B511014" w14:textId="77777777" w:rsidTr="009721D2">
        <w:trPr>
          <w:trHeight w:val="291"/>
        </w:trPr>
        <w:tc>
          <w:tcPr>
            <w:tcW w:w="6067" w:type="dxa"/>
          </w:tcPr>
          <w:p w14:paraId="3C89E14C" w14:textId="77777777" w:rsidR="00B863FE" w:rsidRDefault="00B863FE" w:rsidP="002630B1">
            <w:pPr>
              <w:spacing w:line="360" w:lineRule="auto"/>
              <w:jc w:val="both"/>
            </w:pPr>
          </w:p>
        </w:tc>
        <w:tc>
          <w:tcPr>
            <w:tcW w:w="1879" w:type="dxa"/>
          </w:tcPr>
          <w:p w14:paraId="1094E8B2" w14:textId="77777777" w:rsidR="00B863FE" w:rsidRDefault="00B863FE" w:rsidP="002630B1">
            <w:pPr>
              <w:spacing w:line="360" w:lineRule="auto"/>
              <w:jc w:val="both"/>
            </w:pPr>
          </w:p>
        </w:tc>
        <w:tc>
          <w:tcPr>
            <w:tcW w:w="1300" w:type="dxa"/>
          </w:tcPr>
          <w:p w14:paraId="3BAF9E1A" w14:textId="24610E08" w:rsidR="00B863FE" w:rsidRDefault="00B863FE" w:rsidP="002630B1">
            <w:pPr>
              <w:spacing w:line="360" w:lineRule="auto"/>
              <w:jc w:val="both"/>
            </w:pPr>
            <w:r w:rsidRPr="00B863FE">
              <w:t>264,485</w:t>
            </w:r>
          </w:p>
        </w:tc>
      </w:tr>
      <w:tr w:rsidR="00B863FE" w14:paraId="256608DF" w14:textId="77777777" w:rsidTr="009721D2">
        <w:trPr>
          <w:trHeight w:val="280"/>
        </w:trPr>
        <w:tc>
          <w:tcPr>
            <w:tcW w:w="6067" w:type="dxa"/>
          </w:tcPr>
          <w:p w14:paraId="4FE2B7CA" w14:textId="1ABA5FD2" w:rsidR="00B863FE" w:rsidRDefault="00B863FE" w:rsidP="002630B1">
            <w:pPr>
              <w:spacing w:line="360" w:lineRule="auto"/>
              <w:jc w:val="both"/>
            </w:pPr>
            <w:r w:rsidRPr="00B863FE">
              <w:t>Less: Direct Expenses</w:t>
            </w:r>
          </w:p>
        </w:tc>
        <w:tc>
          <w:tcPr>
            <w:tcW w:w="1879" w:type="dxa"/>
          </w:tcPr>
          <w:p w14:paraId="47B1A922" w14:textId="77777777" w:rsidR="00B863FE" w:rsidRDefault="00B863FE" w:rsidP="002630B1">
            <w:pPr>
              <w:spacing w:line="360" w:lineRule="auto"/>
              <w:jc w:val="both"/>
            </w:pPr>
          </w:p>
        </w:tc>
        <w:tc>
          <w:tcPr>
            <w:tcW w:w="1300" w:type="dxa"/>
          </w:tcPr>
          <w:p w14:paraId="05B254A6" w14:textId="77777777" w:rsidR="00B863FE" w:rsidRDefault="00B863FE" w:rsidP="002630B1">
            <w:pPr>
              <w:spacing w:line="360" w:lineRule="auto"/>
              <w:jc w:val="both"/>
            </w:pPr>
          </w:p>
        </w:tc>
      </w:tr>
      <w:tr w:rsidR="00B863FE" w14:paraId="3237C68D" w14:textId="77777777" w:rsidTr="009721D2">
        <w:trPr>
          <w:trHeight w:val="280"/>
        </w:trPr>
        <w:tc>
          <w:tcPr>
            <w:tcW w:w="6067" w:type="dxa"/>
          </w:tcPr>
          <w:p w14:paraId="566F1F10" w14:textId="5E77D95D" w:rsidR="00B863FE" w:rsidRDefault="00B863FE" w:rsidP="002630B1">
            <w:pPr>
              <w:spacing w:line="360" w:lineRule="auto"/>
              <w:jc w:val="both"/>
            </w:pPr>
            <w:r w:rsidRPr="00B863FE">
              <w:t>Administrative expenses</w:t>
            </w:r>
          </w:p>
        </w:tc>
        <w:tc>
          <w:tcPr>
            <w:tcW w:w="1879" w:type="dxa"/>
          </w:tcPr>
          <w:p w14:paraId="000790AB" w14:textId="3A6406DF" w:rsidR="00B863FE" w:rsidRDefault="00B863FE" w:rsidP="002630B1">
            <w:pPr>
              <w:spacing w:line="360" w:lineRule="auto"/>
              <w:jc w:val="both"/>
            </w:pPr>
            <w:r w:rsidRPr="00B863FE">
              <w:t>160,000</w:t>
            </w:r>
          </w:p>
        </w:tc>
        <w:tc>
          <w:tcPr>
            <w:tcW w:w="1300" w:type="dxa"/>
          </w:tcPr>
          <w:p w14:paraId="3D459A28" w14:textId="77777777" w:rsidR="00B863FE" w:rsidRDefault="00B863FE" w:rsidP="002630B1">
            <w:pPr>
              <w:spacing w:line="360" w:lineRule="auto"/>
              <w:jc w:val="both"/>
            </w:pPr>
          </w:p>
        </w:tc>
      </w:tr>
      <w:tr w:rsidR="00B863FE" w14:paraId="7BE2DC56" w14:textId="77777777" w:rsidTr="009721D2">
        <w:trPr>
          <w:trHeight w:val="291"/>
        </w:trPr>
        <w:tc>
          <w:tcPr>
            <w:tcW w:w="6067" w:type="dxa"/>
          </w:tcPr>
          <w:p w14:paraId="20C8E46B" w14:textId="1C914506" w:rsidR="00B863FE" w:rsidRDefault="00B863FE" w:rsidP="002630B1">
            <w:pPr>
              <w:spacing w:line="360" w:lineRule="auto"/>
              <w:jc w:val="both"/>
            </w:pPr>
            <w:r w:rsidRPr="00B863FE">
              <w:t>Add: Sales Commission</w:t>
            </w:r>
          </w:p>
        </w:tc>
        <w:tc>
          <w:tcPr>
            <w:tcW w:w="1879" w:type="dxa"/>
          </w:tcPr>
          <w:p w14:paraId="55EFA480" w14:textId="39E0F81C" w:rsidR="00B863FE" w:rsidRDefault="00B863FE" w:rsidP="002630B1">
            <w:pPr>
              <w:spacing w:line="360" w:lineRule="auto"/>
              <w:jc w:val="both"/>
            </w:pPr>
            <w:r w:rsidRPr="00B863FE">
              <w:t>2000</w:t>
            </w:r>
          </w:p>
        </w:tc>
        <w:tc>
          <w:tcPr>
            <w:tcW w:w="1300" w:type="dxa"/>
          </w:tcPr>
          <w:p w14:paraId="6586B537" w14:textId="2A687B2B" w:rsidR="00B863FE" w:rsidRDefault="00B863FE" w:rsidP="002630B1">
            <w:pPr>
              <w:spacing w:line="360" w:lineRule="auto"/>
              <w:jc w:val="both"/>
            </w:pPr>
            <w:r w:rsidRPr="00B863FE">
              <w:t>162,000</w:t>
            </w:r>
          </w:p>
        </w:tc>
      </w:tr>
      <w:tr w:rsidR="00B863FE" w14:paraId="62D1C460" w14:textId="77777777" w:rsidTr="009721D2">
        <w:trPr>
          <w:trHeight w:val="280"/>
        </w:trPr>
        <w:tc>
          <w:tcPr>
            <w:tcW w:w="6067" w:type="dxa"/>
          </w:tcPr>
          <w:p w14:paraId="492BDBE2" w14:textId="4E24CE61" w:rsidR="00B863FE" w:rsidRDefault="00B863FE" w:rsidP="002630B1">
            <w:pPr>
              <w:spacing w:line="360" w:lineRule="auto"/>
              <w:jc w:val="both"/>
            </w:pPr>
            <w:r w:rsidRPr="00B863FE">
              <w:t>Directors Remuneration</w:t>
            </w:r>
          </w:p>
        </w:tc>
        <w:tc>
          <w:tcPr>
            <w:tcW w:w="1879" w:type="dxa"/>
          </w:tcPr>
          <w:p w14:paraId="329F44B2" w14:textId="77777777" w:rsidR="00B863FE" w:rsidRDefault="00B863FE" w:rsidP="002630B1">
            <w:pPr>
              <w:spacing w:line="360" w:lineRule="auto"/>
              <w:jc w:val="both"/>
            </w:pPr>
          </w:p>
        </w:tc>
        <w:tc>
          <w:tcPr>
            <w:tcW w:w="1300" w:type="dxa"/>
          </w:tcPr>
          <w:p w14:paraId="231B211B" w14:textId="09AAE455" w:rsidR="00B863FE" w:rsidRDefault="00B863FE" w:rsidP="002630B1">
            <w:pPr>
              <w:spacing w:line="360" w:lineRule="auto"/>
              <w:jc w:val="both"/>
            </w:pPr>
            <w:r w:rsidRPr="00B863FE">
              <w:t>5000</w:t>
            </w:r>
          </w:p>
        </w:tc>
      </w:tr>
      <w:tr w:rsidR="00B863FE" w14:paraId="01CB4127" w14:textId="77777777" w:rsidTr="009721D2">
        <w:trPr>
          <w:trHeight w:val="280"/>
        </w:trPr>
        <w:tc>
          <w:tcPr>
            <w:tcW w:w="6067" w:type="dxa"/>
          </w:tcPr>
          <w:p w14:paraId="2467803A" w14:textId="35BBB4C7" w:rsidR="00B863FE" w:rsidRDefault="00B863FE" w:rsidP="002630B1">
            <w:pPr>
              <w:spacing w:line="360" w:lineRule="auto"/>
              <w:jc w:val="both"/>
            </w:pPr>
            <w:r w:rsidRPr="00B863FE">
              <w:t>Operating Profit</w:t>
            </w:r>
          </w:p>
        </w:tc>
        <w:tc>
          <w:tcPr>
            <w:tcW w:w="1879" w:type="dxa"/>
          </w:tcPr>
          <w:p w14:paraId="31AEF362" w14:textId="77777777" w:rsidR="00B863FE" w:rsidRDefault="00B863FE" w:rsidP="002630B1">
            <w:pPr>
              <w:spacing w:line="360" w:lineRule="auto"/>
              <w:jc w:val="both"/>
            </w:pPr>
          </w:p>
        </w:tc>
        <w:tc>
          <w:tcPr>
            <w:tcW w:w="1300" w:type="dxa"/>
          </w:tcPr>
          <w:p w14:paraId="1FBBC6ED" w14:textId="73E146E7" w:rsidR="00B863FE" w:rsidRDefault="00B863FE" w:rsidP="002630B1">
            <w:pPr>
              <w:spacing w:line="360" w:lineRule="auto"/>
              <w:jc w:val="both"/>
            </w:pPr>
            <w:r w:rsidRPr="00B863FE">
              <w:t>97,485</w:t>
            </w:r>
          </w:p>
        </w:tc>
      </w:tr>
      <w:tr w:rsidR="00B863FE" w14:paraId="21D430CD" w14:textId="77777777" w:rsidTr="009721D2">
        <w:trPr>
          <w:trHeight w:val="291"/>
        </w:trPr>
        <w:tc>
          <w:tcPr>
            <w:tcW w:w="6067" w:type="dxa"/>
          </w:tcPr>
          <w:p w14:paraId="6D8F1A7B" w14:textId="4CD8A38D" w:rsidR="00B863FE" w:rsidRDefault="00B863FE" w:rsidP="002630B1">
            <w:pPr>
              <w:spacing w:line="360" w:lineRule="auto"/>
              <w:jc w:val="both"/>
            </w:pPr>
            <w:r w:rsidRPr="00B863FE">
              <w:t>Less: Indirect Expenses</w:t>
            </w:r>
          </w:p>
        </w:tc>
        <w:tc>
          <w:tcPr>
            <w:tcW w:w="1879" w:type="dxa"/>
          </w:tcPr>
          <w:p w14:paraId="25F7CC0F" w14:textId="77777777" w:rsidR="00B863FE" w:rsidRDefault="00B863FE" w:rsidP="002630B1">
            <w:pPr>
              <w:spacing w:line="360" w:lineRule="auto"/>
              <w:jc w:val="both"/>
            </w:pPr>
          </w:p>
        </w:tc>
        <w:tc>
          <w:tcPr>
            <w:tcW w:w="1300" w:type="dxa"/>
          </w:tcPr>
          <w:p w14:paraId="2E5C3118" w14:textId="77777777" w:rsidR="00B863FE" w:rsidRDefault="00B863FE" w:rsidP="002630B1">
            <w:pPr>
              <w:spacing w:line="360" w:lineRule="auto"/>
              <w:jc w:val="both"/>
            </w:pPr>
          </w:p>
        </w:tc>
      </w:tr>
      <w:tr w:rsidR="00B863FE" w14:paraId="2BC8FFD4" w14:textId="77777777" w:rsidTr="009721D2">
        <w:trPr>
          <w:trHeight w:val="280"/>
        </w:trPr>
        <w:tc>
          <w:tcPr>
            <w:tcW w:w="6067" w:type="dxa"/>
          </w:tcPr>
          <w:p w14:paraId="6460DC19" w14:textId="2CB50065" w:rsidR="00B863FE" w:rsidRDefault="00B863FE" w:rsidP="002630B1">
            <w:pPr>
              <w:spacing w:line="360" w:lineRule="auto"/>
              <w:jc w:val="both"/>
            </w:pPr>
            <w:r w:rsidRPr="00B863FE">
              <w:t>Interest Paid</w:t>
            </w:r>
          </w:p>
        </w:tc>
        <w:tc>
          <w:tcPr>
            <w:tcW w:w="1879" w:type="dxa"/>
          </w:tcPr>
          <w:p w14:paraId="72E88AB0" w14:textId="77777777" w:rsidR="00B863FE" w:rsidRDefault="00B863FE" w:rsidP="002630B1">
            <w:pPr>
              <w:spacing w:line="360" w:lineRule="auto"/>
              <w:jc w:val="both"/>
            </w:pPr>
          </w:p>
        </w:tc>
        <w:tc>
          <w:tcPr>
            <w:tcW w:w="1300" w:type="dxa"/>
          </w:tcPr>
          <w:p w14:paraId="5E1D7972" w14:textId="27C17C34" w:rsidR="00B863FE" w:rsidRDefault="00B863FE" w:rsidP="002630B1">
            <w:pPr>
              <w:spacing w:line="360" w:lineRule="auto"/>
              <w:jc w:val="both"/>
            </w:pPr>
            <w:r w:rsidRPr="00B863FE">
              <w:t>2000</w:t>
            </w:r>
          </w:p>
        </w:tc>
      </w:tr>
      <w:tr w:rsidR="00B863FE" w14:paraId="7B02668D" w14:textId="77777777" w:rsidTr="009721D2">
        <w:trPr>
          <w:trHeight w:val="280"/>
        </w:trPr>
        <w:tc>
          <w:tcPr>
            <w:tcW w:w="6067" w:type="dxa"/>
          </w:tcPr>
          <w:p w14:paraId="590B33B1" w14:textId="1D5A08B1" w:rsidR="00B863FE" w:rsidRDefault="00B863FE" w:rsidP="002630B1">
            <w:pPr>
              <w:spacing w:line="360" w:lineRule="auto"/>
              <w:jc w:val="both"/>
            </w:pPr>
            <w:r w:rsidRPr="00B863FE">
              <w:t>Distribution Costs</w:t>
            </w:r>
          </w:p>
        </w:tc>
        <w:tc>
          <w:tcPr>
            <w:tcW w:w="1879" w:type="dxa"/>
          </w:tcPr>
          <w:p w14:paraId="1DCAF8AD" w14:textId="77777777" w:rsidR="00B863FE" w:rsidRDefault="00B863FE" w:rsidP="002630B1">
            <w:pPr>
              <w:spacing w:line="360" w:lineRule="auto"/>
              <w:jc w:val="both"/>
            </w:pPr>
          </w:p>
        </w:tc>
        <w:tc>
          <w:tcPr>
            <w:tcW w:w="1300" w:type="dxa"/>
          </w:tcPr>
          <w:p w14:paraId="0EB2C37E" w14:textId="2DE6B288" w:rsidR="00B863FE" w:rsidRDefault="00B863FE" w:rsidP="002630B1">
            <w:pPr>
              <w:spacing w:line="360" w:lineRule="auto"/>
              <w:jc w:val="both"/>
            </w:pPr>
            <w:r w:rsidRPr="00B863FE">
              <w:t>28000</w:t>
            </w:r>
          </w:p>
        </w:tc>
      </w:tr>
      <w:tr w:rsidR="008F79E6" w14:paraId="13A952D7" w14:textId="77777777" w:rsidTr="009721D2">
        <w:trPr>
          <w:trHeight w:val="280"/>
        </w:trPr>
        <w:tc>
          <w:tcPr>
            <w:tcW w:w="6067" w:type="dxa"/>
          </w:tcPr>
          <w:p w14:paraId="26252EC1" w14:textId="12408C53" w:rsidR="008F79E6" w:rsidRDefault="008F79E6" w:rsidP="002630B1">
            <w:pPr>
              <w:spacing w:line="360" w:lineRule="auto"/>
              <w:jc w:val="both"/>
            </w:pPr>
            <w:r w:rsidRPr="00B863FE">
              <w:t>Earnings before taxation</w:t>
            </w:r>
          </w:p>
        </w:tc>
        <w:tc>
          <w:tcPr>
            <w:tcW w:w="1879" w:type="dxa"/>
          </w:tcPr>
          <w:p w14:paraId="7B7F5B94" w14:textId="77777777" w:rsidR="008F79E6" w:rsidRDefault="008F79E6" w:rsidP="002630B1">
            <w:pPr>
              <w:spacing w:line="360" w:lineRule="auto"/>
              <w:jc w:val="both"/>
            </w:pPr>
          </w:p>
        </w:tc>
        <w:tc>
          <w:tcPr>
            <w:tcW w:w="1300" w:type="dxa"/>
          </w:tcPr>
          <w:p w14:paraId="5FE9492E" w14:textId="0B95EA48" w:rsidR="008F79E6" w:rsidRDefault="008F79E6" w:rsidP="002630B1">
            <w:pPr>
              <w:spacing w:line="360" w:lineRule="auto"/>
              <w:jc w:val="both"/>
            </w:pPr>
            <w:r w:rsidRPr="00B863FE">
              <w:t>67,485</w:t>
            </w:r>
          </w:p>
        </w:tc>
      </w:tr>
      <w:tr w:rsidR="008F79E6" w14:paraId="7FFDCF15" w14:textId="77777777" w:rsidTr="009721D2">
        <w:trPr>
          <w:trHeight w:val="291"/>
        </w:trPr>
        <w:tc>
          <w:tcPr>
            <w:tcW w:w="6067" w:type="dxa"/>
          </w:tcPr>
          <w:p w14:paraId="61DBAF83" w14:textId="3C7C476E" w:rsidR="008F79E6" w:rsidRDefault="008F79E6" w:rsidP="002630B1">
            <w:pPr>
              <w:spacing w:line="360" w:lineRule="auto"/>
              <w:jc w:val="both"/>
            </w:pPr>
            <w:r w:rsidRPr="00B863FE">
              <w:t>Less: Payment of Corporation Tax</w:t>
            </w:r>
          </w:p>
        </w:tc>
        <w:tc>
          <w:tcPr>
            <w:tcW w:w="1879" w:type="dxa"/>
          </w:tcPr>
          <w:p w14:paraId="43E91147" w14:textId="77777777" w:rsidR="008F79E6" w:rsidRDefault="008F79E6" w:rsidP="002630B1">
            <w:pPr>
              <w:spacing w:line="360" w:lineRule="auto"/>
              <w:jc w:val="both"/>
            </w:pPr>
          </w:p>
        </w:tc>
        <w:tc>
          <w:tcPr>
            <w:tcW w:w="1300" w:type="dxa"/>
          </w:tcPr>
          <w:p w14:paraId="5F489EB8" w14:textId="49AADB3F" w:rsidR="008F79E6" w:rsidRDefault="008F79E6" w:rsidP="002630B1">
            <w:pPr>
              <w:spacing w:line="360" w:lineRule="auto"/>
              <w:jc w:val="both"/>
            </w:pPr>
            <w:r w:rsidRPr="00B863FE">
              <w:t>15000</w:t>
            </w:r>
          </w:p>
        </w:tc>
      </w:tr>
      <w:tr w:rsidR="008F79E6" w14:paraId="72162AA3" w14:textId="77777777" w:rsidTr="009721D2">
        <w:trPr>
          <w:trHeight w:val="280"/>
        </w:trPr>
        <w:tc>
          <w:tcPr>
            <w:tcW w:w="6067" w:type="dxa"/>
          </w:tcPr>
          <w:p w14:paraId="46FE5B74" w14:textId="009A58CD" w:rsidR="008F79E6" w:rsidRDefault="008F79E6" w:rsidP="002630B1">
            <w:pPr>
              <w:spacing w:line="360" w:lineRule="auto"/>
              <w:jc w:val="both"/>
            </w:pPr>
            <w:r w:rsidRPr="008F79E6">
              <w:t>Net profit for the year</w:t>
            </w:r>
          </w:p>
        </w:tc>
        <w:tc>
          <w:tcPr>
            <w:tcW w:w="1879" w:type="dxa"/>
          </w:tcPr>
          <w:p w14:paraId="270750AD" w14:textId="77777777" w:rsidR="008F79E6" w:rsidRDefault="008F79E6" w:rsidP="002630B1">
            <w:pPr>
              <w:spacing w:line="360" w:lineRule="auto"/>
              <w:jc w:val="both"/>
            </w:pPr>
          </w:p>
        </w:tc>
        <w:tc>
          <w:tcPr>
            <w:tcW w:w="1300" w:type="dxa"/>
          </w:tcPr>
          <w:p w14:paraId="5EAEC706" w14:textId="18C48BC9" w:rsidR="008F79E6" w:rsidRDefault="008F79E6" w:rsidP="002630B1">
            <w:pPr>
              <w:spacing w:line="360" w:lineRule="auto"/>
              <w:jc w:val="both"/>
            </w:pPr>
            <w:r w:rsidRPr="008F79E6">
              <w:t>52,485</w:t>
            </w:r>
          </w:p>
        </w:tc>
      </w:tr>
      <w:tr w:rsidR="008F79E6" w14:paraId="6B05567E" w14:textId="77777777" w:rsidTr="009721D2">
        <w:trPr>
          <w:trHeight w:val="344"/>
        </w:trPr>
        <w:tc>
          <w:tcPr>
            <w:tcW w:w="6067" w:type="dxa"/>
          </w:tcPr>
          <w:p w14:paraId="576E99E9" w14:textId="55D5A7FC" w:rsidR="008F79E6" w:rsidRDefault="008F79E6" w:rsidP="002630B1">
            <w:pPr>
              <w:spacing w:line="360" w:lineRule="auto"/>
              <w:jc w:val="both"/>
            </w:pPr>
          </w:p>
        </w:tc>
        <w:tc>
          <w:tcPr>
            <w:tcW w:w="1879" w:type="dxa"/>
          </w:tcPr>
          <w:p w14:paraId="491372A9" w14:textId="77777777" w:rsidR="008F79E6" w:rsidRDefault="008F79E6" w:rsidP="002630B1">
            <w:pPr>
              <w:spacing w:line="360" w:lineRule="auto"/>
              <w:jc w:val="both"/>
            </w:pPr>
          </w:p>
        </w:tc>
        <w:tc>
          <w:tcPr>
            <w:tcW w:w="1300" w:type="dxa"/>
          </w:tcPr>
          <w:p w14:paraId="0A229045" w14:textId="67343270" w:rsidR="008F79E6" w:rsidRDefault="008F79E6" w:rsidP="002630B1">
            <w:pPr>
              <w:spacing w:line="360" w:lineRule="auto"/>
              <w:jc w:val="both"/>
            </w:pPr>
          </w:p>
        </w:tc>
      </w:tr>
    </w:tbl>
    <w:p w14:paraId="4C7969DD" w14:textId="34D86E82" w:rsidR="005D1FC5" w:rsidRDefault="00CC22E9" w:rsidP="002630B1">
      <w:pPr>
        <w:spacing w:line="360" w:lineRule="auto"/>
        <w:jc w:val="both"/>
      </w:pPr>
      <w:r>
        <w:t xml:space="preserve">                                                                                                           </w:t>
      </w:r>
      <w:r w:rsidR="00F75D33">
        <w:t xml:space="preserve">                          </w:t>
      </w:r>
      <w:r>
        <w:t>TABLE 1</w:t>
      </w:r>
    </w:p>
    <w:p w14:paraId="54E589D8" w14:textId="0F2EA9ED" w:rsidR="005D1FC5" w:rsidRDefault="00A32B9A" w:rsidP="002630B1">
      <w:pPr>
        <w:spacing w:line="360" w:lineRule="auto"/>
        <w:jc w:val="both"/>
      </w:pPr>
      <w:r>
        <w:t xml:space="preserve">One of the most important uses of income statement is that of comparing the results obtained whit the results expected </w:t>
      </w:r>
      <w:sdt>
        <w:sdtPr>
          <w:id w:val="1713846208"/>
          <w:citation/>
        </w:sdtPr>
        <w:sdtContent>
          <w:r>
            <w:fldChar w:fldCharType="begin"/>
          </w:r>
          <w:r>
            <w:instrText xml:space="preserve"> CITATION Ala17 \l 2057 </w:instrText>
          </w:r>
          <w:r>
            <w:fldChar w:fldCharType="separate"/>
          </w:r>
          <w:r w:rsidR="00236F3C">
            <w:rPr>
              <w:noProof/>
            </w:rPr>
            <w:t>(Sangster, Wood, &amp; Black, 2017)</w:t>
          </w:r>
          <w:r>
            <w:fldChar w:fldCharType="end"/>
          </w:r>
        </w:sdtContent>
      </w:sdt>
      <w:r>
        <w:t>.</w:t>
      </w:r>
      <w:r w:rsidR="00CC22E9">
        <w:t xml:space="preserve">The analysis of the income statement is the northmost central aspect within the business research that helps in the development as well as in the analysis of the different direct income and expense in relation to the assessment of the indirect income and expense within the business economy. Reconsideration of the income statement also effectively helps in the assessment of the main difference in the financial values present within the organization network on significant levels </w:t>
      </w:r>
      <w:sdt>
        <w:sdtPr>
          <w:id w:val="2014178505"/>
          <w:citation/>
        </w:sdtPr>
        <w:sdtContent>
          <w:r w:rsidR="00097198">
            <w:fldChar w:fldCharType="begin"/>
          </w:r>
          <w:r w:rsidR="00097198">
            <w:instrText xml:space="preserve">CITATION Ann20 \l 2057 </w:instrText>
          </w:r>
          <w:r w:rsidR="00097198">
            <w:fldChar w:fldCharType="separate"/>
          </w:r>
          <w:r w:rsidR="00236F3C">
            <w:rPr>
              <w:noProof/>
            </w:rPr>
            <w:t>(Garvey, Ventura-Marco, &amp; Vidal-Meliá, 2020)</w:t>
          </w:r>
          <w:r w:rsidR="00097198">
            <w:fldChar w:fldCharType="end"/>
          </w:r>
        </w:sdtContent>
      </w:sdt>
      <w:r w:rsidR="00097198">
        <w:t>.</w:t>
      </w:r>
      <w:r w:rsidR="00CC22E9">
        <w:t>Further, the income statement analysis tends to be an integral portion of developing the net financials on significant levels within the business framework</w:t>
      </w:r>
      <w:r w:rsidR="00324C4A">
        <w:t xml:space="preserve">. </w:t>
      </w:r>
      <w:r w:rsidR="00097198" w:rsidRPr="00097198">
        <w:t>Furthermore, it is proven that a significant portion of business research involves the construction and examination of the income statement</w:t>
      </w:r>
      <w:r w:rsidR="00CC22E9">
        <w:t xml:space="preserve">. Often the financial </w:t>
      </w:r>
      <w:r w:rsidR="00CC22E9">
        <w:lastRenderedPageBreak/>
        <w:t>statement helps to analyse developing financial frauds on significant levels</w:t>
      </w:r>
      <w:sdt>
        <w:sdtPr>
          <w:id w:val="-612210804"/>
          <w:citation/>
        </w:sdtPr>
        <w:sdtContent>
          <w:r w:rsidR="00324C4A">
            <w:fldChar w:fldCharType="begin"/>
          </w:r>
          <w:r w:rsidR="00324C4A">
            <w:instrText xml:space="preserve"> CITATION Pet18 \l 2057 </w:instrText>
          </w:r>
          <w:r w:rsidR="00324C4A">
            <w:fldChar w:fldCharType="separate"/>
          </w:r>
          <w:r w:rsidR="00236F3C">
            <w:rPr>
              <w:noProof/>
            </w:rPr>
            <w:t xml:space="preserve"> (Atrill &amp; McLaney, 2018)</w:t>
          </w:r>
          <w:r w:rsidR="00324C4A">
            <w:fldChar w:fldCharType="end"/>
          </w:r>
        </w:sdtContent>
      </w:sdt>
      <w:r w:rsidR="00CC22E9">
        <w:t xml:space="preserve"> </w:t>
      </w:r>
      <w:r w:rsidR="00324C4A">
        <w:t>.</w:t>
      </w:r>
      <w:r w:rsidR="00CC22E9">
        <w:t xml:space="preserve">Analysing the income statement after that adjustment of the cost of goods sent to the customer for sales of £ 1000, the net adjusted sales for the corporation is developed at £ 901,000, while the net cost of goods sold is certainly developed to the levels of £ 5.78,650, On the other hand, ascertaining as well as developing the depreciation amount of the equipment, it is ascertained that it is developed at the levels of £ 57,865. </w:t>
      </w:r>
      <w:r w:rsidR="00324C4A" w:rsidRPr="00324C4A">
        <w:t xml:space="preserve">Moreover, in relation to the segment of the net total expenses, the value is established at a total </w:t>
      </w:r>
      <w:r w:rsidR="00CC22E9">
        <w:t xml:space="preserve">of £ 1,62,000. On the other hand, concerning the development of the expense of customer remuneration, it can be established that it is critically developed at the level of £ 5,000. Additionally, after the adjustment of the direct expenses from the revenue, it is ascertained that the net operating profit is developed at £ 97,485. </w:t>
      </w:r>
      <w:r w:rsidR="00324C4A" w:rsidRPr="00324C4A">
        <w:t xml:space="preserve">However, the entire net profitability before taxes is calculated to be £ 67,485. Considering the modification and evaluation of the £15,000 in net </w:t>
      </w:r>
      <w:r w:rsidR="002630B1" w:rsidRPr="00324C4A">
        <w:t>taxation</w:t>
      </w:r>
      <w:r w:rsidR="002630B1">
        <w:t xml:space="preserve">, </w:t>
      </w:r>
      <w:r w:rsidR="002630B1" w:rsidRPr="00324C4A">
        <w:t>it</w:t>
      </w:r>
      <w:r w:rsidR="00324C4A" w:rsidRPr="00324C4A">
        <w:t xml:space="preserve"> is possible to ascertain that the year's overall net profitability is calculated to be £52,485.</w:t>
      </w:r>
    </w:p>
    <w:p w14:paraId="083EB9D6" w14:textId="125A48BC" w:rsidR="005D1FC5" w:rsidRDefault="00CC22E9" w:rsidP="002630B1">
      <w:pPr>
        <w:pStyle w:val="Heading1"/>
        <w:spacing w:line="360" w:lineRule="auto"/>
        <w:jc w:val="both"/>
      </w:pPr>
      <w:bookmarkStart w:id="10" w:name="_Hlk153870777"/>
      <w:bookmarkStart w:id="11" w:name="_Toc153882263"/>
      <w:r>
        <w:t>Question</w:t>
      </w:r>
      <w:bookmarkEnd w:id="10"/>
      <w:r>
        <w:t xml:space="preserve"> 3.</w:t>
      </w:r>
      <w:r w:rsidR="00281D26">
        <w:t>a</w:t>
      </w:r>
      <w:r>
        <w:t xml:space="preserve"> Calculation of the financial ratio and interpreting the overall performance on significant </w:t>
      </w:r>
      <w:r w:rsidR="009B4F58">
        <w:t>scales.</w:t>
      </w:r>
      <w:bookmarkEnd w:id="11"/>
    </w:p>
    <w:p w14:paraId="7FB30C2F" w14:textId="4AE702D6" w:rsidR="005D1FC5" w:rsidRDefault="00281D26" w:rsidP="002630B1">
      <w:pPr>
        <w:pStyle w:val="Heading2"/>
        <w:spacing w:line="360" w:lineRule="auto"/>
        <w:jc w:val="both"/>
      </w:pPr>
      <w:bookmarkStart w:id="12" w:name="_Toc153882264"/>
      <w:r>
        <w:rPr>
          <w:rFonts w:ascii="Arial" w:hAnsi="Arial" w:cs="Arial"/>
          <w:b/>
          <w:bCs/>
          <w:color w:val="auto"/>
          <w:sz w:val="24"/>
          <w:szCs w:val="24"/>
        </w:rPr>
        <w:t xml:space="preserve">3.a.1: </w:t>
      </w:r>
      <w:r w:rsidRPr="00281D26">
        <w:rPr>
          <w:rFonts w:ascii="Arial" w:hAnsi="Arial" w:cs="Arial"/>
          <w:b/>
          <w:bCs/>
          <w:color w:val="auto"/>
          <w:sz w:val="24"/>
          <w:szCs w:val="24"/>
        </w:rPr>
        <w:t>ROCE</w:t>
      </w:r>
      <w:bookmarkEnd w:id="12"/>
    </w:p>
    <w:p w14:paraId="16FD0CBB" w14:textId="6667EF2F" w:rsidR="009A08B2" w:rsidRDefault="004E51FF" w:rsidP="002630B1">
      <w:pPr>
        <w:spacing w:line="360" w:lineRule="auto"/>
        <w:jc w:val="both"/>
      </w:pPr>
      <w:r w:rsidRPr="004E51FF">
        <w:t>Return on capital employed (ROCE) is a good baseline measure of a company's performance</w:t>
      </w:r>
      <w:sdt>
        <w:sdtPr>
          <w:id w:val="-518084008"/>
          <w:citation/>
        </w:sdtPr>
        <w:sdtContent>
          <w:r>
            <w:fldChar w:fldCharType="begin"/>
          </w:r>
          <w:r w:rsidR="002630B1">
            <w:instrText xml:space="preserve">CITATION JBM231 \l 2057 </w:instrText>
          </w:r>
          <w:r>
            <w:fldChar w:fldCharType="separate"/>
          </w:r>
          <w:r w:rsidR="00236F3C">
            <w:rPr>
              <w:noProof/>
            </w:rPr>
            <w:t xml:space="preserve"> (Maverick J. , 2023)</w:t>
          </w:r>
          <w:r>
            <w:fldChar w:fldCharType="end"/>
          </w:r>
        </w:sdtContent>
      </w:sdt>
      <w:r w:rsidR="00C85E24">
        <w:t xml:space="preserve">. </w:t>
      </w:r>
      <w:r w:rsidR="00C85E24" w:rsidRPr="00C85E24">
        <w:t xml:space="preserve"> A financial measure called return on capital employed (ROCCE) indicates how well a business is using its capital to generate profits. Businesses use a variety of financial resources to establish and expand their operations</w:t>
      </w:r>
      <w:r w:rsidR="00C85E24">
        <w:t>.</w:t>
      </w:r>
    </w:p>
    <w:p w14:paraId="2DC0FB20" w14:textId="37DE48F6" w:rsidR="00281D26" w:rsidRDefault="00281D26" w:rsidP="002630B1">
      <w:pPr>
        <w:spacing w:line="360" w:lineRule="auto"/>
        <w:jc w:val="both"/>
      </w:pPr>
      <w:r>
        <w:t>Formula:</w:t>
      </w:r>
      <w:r w:rsidRPr="00281D26">
        <w:t xml:space="preserve"> </w:t>
      </w:r>
      <w:r w:rsidR="008C77EB">
        <w:t>(</w:t>
      </w:r>
      <w:r w:rsidRPr="00281D26">
        <w:t xml:space="preserve">EBIT/Capital </w:t>
      </w:r>
      <w:r w:rsidR="009A08B2" w:rsidRPr="00281D26">
        <w:t>Employed</w:t>
      </w:r>
      <w:r w:rsidR="009A08B2">
        <w:t>) x</w:t>
      </w:r>
      <w:r>
        <w:t>100</w:t>
      </w:r>
    </w:p>
    <w:tbl>
      <w:tblPr>
        <w:tblStyle w:val="TableGrid"/>
        <w:tblW w:w="0" w:type="auto"/>
        <w:tblLook w:val="04A0" w:firstRow="1" w:lastRow="0" w:firstColumn="1" w:lastColumn="0" w:noHBand="0" w:noVBand="1"/>
      </w:tblPr>
      <w:tblGrid>
        <w:gridCol w:w="4957"/>
        <w:gridCol w:w="2126"/>
        <w:gridCol w:w="1933"/>
      </w:tblGrid>
      <w:tr w:rsidR="00825992" w14:paraId="0A9E20F8" w14:textId="77777777" w:rsidTr="00825992">
        <w:tc>
          <w:tcPr>
            <w:tcW w:w="4957" w:type="dxa"/>
          </w:tcPr>
          <w:p w14:paraId="78263CCC" w14:textId="204CCDA2" w:rsidR="00825992" w:rsidRDefault="00825992" w:rsidP="002630B1">
            <w:pPr>
              <w:spacing w:line="360" w:lineRule="auto"/>
              <w:jc w:val="both"/>
            </w:pPr>
          </w:p>
        </w:tc>
        <w:tc>
          <w:tcPr>
            <w:tcW w:w="2126" w:type="dxa"/>
          </w:tcPr>
          <w:p w14:paraId="6DF74B94" w14:textId="2CC13AAF" w:rsidR="00825992" w:rsidRDefault="00825992" w:rsidP="002630B1">
            <w:pPr>
              <w:spacing w:line="360" w:lineRule="auto"/>
              <w:jc w:val="both"/>
            </w:pPr>
            <w:r>
              <w:t>2022</w:t>
            </w:r>
          </w:p>
        </w:tc>
        <w:tc>
          <w:tcPr>
            <w:tcW w:w="1933" w:type="dxa"/>
          </w:tcPr>
          <w:p w14:paraId="431B5524" w14:textId="413A95AF" w:rsidR="00825992" w:rsidRDefault="00825992" w:rsidP="002630B1">
            <w:pPr>
              <w:spacing w:line="360" w:lineRule="auto"/>
              <w:jc w:val="both"/>
            </w:pPr>
            <w:r>
              <w:t>2021</w:t>
            </w:r>
          </w:p>
        </w:tc>
      </w:tr>
      <w:tr w:rsidR="00825992" w14:paraId="41F29197" w14:textId="77777777" w:rsidTr="00825992">
        <w:tc>
          <w:tcPr>
            <w:tcW w:w="4957" w:type="dxa"/>
          </w:tcPr>
          <w:p w14:paraId="6F638A3B" w14:textId="5E5DFE0B" w:rsidR="00825992" w:rsidRDefault="00825992" w:rsidP="002630B1">
            <w:pPr>
              <w:spacing w:line="360" w:lineRule="auto"/>
              <w:jc w:val="both"/>
            </w:pPr>
            <w:r w:rsidRPr="00825992">
              <w:t>EBIT</w:t>
            </w:r>
          </w:p>
        </w:tc>
        <w:tc>
          <w:tcPr>
            <w:tcW w:w="2126" w:type="dxa"/>
          </w:tcPr>
          <w:p w14:paraId="58BAE5DB" w14:textId="0223A5D9" w:rsidR="00825992" w:rsidRDefault="00825992" w:rsidP="002630B1">
            <w:pPr>
              <w:spacing w:line="360" w:lineRule="auto"/>
              <w:jc w:val="both"/>
            </w:pPr>
            <w:r w:rsidRPr="00825992">
              <w:t>620</w:t>
            </w:r>
          </w:p>
        </w:tc>
        <w:tc>
          <w:tcPr>
            <w:tcW w:w="1933" w:type="dxa"/>
          </w:tcPr>
          <w:p w14:paraId="1510D61B" w14:textId="0FE4268D" w:rsidR="00825992" w:rsidRDefault="00825992" w:rsidP="002630B1">
            <w:pPr>
              <w:spacing w:line="360" w:lineRule="auto"/>
              <w:jc w:val="both"/>
            </w:pPr>
            <w:r w:rsidRPr="00825992">
              <w:t>539</w:t>
            </w:r>
          </w:p>
        </w:tc>
      </w:tr>
      <w:tr w:rsidR="00825992" w14:paraId="3198F34B" w14:textId="77777777" w:rsidTr="00825992">
        <w:tc>
          <w:tcPr>
            <w:tcW w:w="4957" w:type="dxa"/>
          </w:tcPr>
          <w:p w14:paraId="11C82826" w14:textId="6DEB1ED4" w:rsidR="00825992" w:rsidRDefault="00825992" w:rsidP="002630B1">
            <w:pPr>
              <w:spacing w:line="360" w:lineRule="auto"/>
              <w:jc w:val="both"/>
            </w:pPr>
            <w:r w:rsidRPr="00825992">
              <w:t>Capital Employed (Total Assets - Current Liability)</w:t>
            </w:r>
          </w:p>
        </w:tc>
        <w:tc>
          <w:tcPr>
            <w:tcW w:w="2126" w:type="dxa"/>
          </w:tcPr>
          <w:p w14:paraId="46B8E88F" w14:textId="3C32CC01" w:rsidR="00825992" w:rsidRDefault="00825992" w:rsidP="002630B1">
            <w:pPr>
              <w:spacing w:line="360" w:lineRule="auto"/>
              <w:jc w:val="both"/>
            </w:pPr>
            <w:r w:rsidRPr="00825992">
              <w:t>7,225</w:t>
            </w:r>
          </w:p>
        </w:tc>
        <w:tc>
          <w:tcPr>
            <w:tcW w:w="1933" w:type="dxa"/>
          </w:tcPr>
          <w:p w14:paraId="3EBE9CFA" w14:textId="626A853B" w:rsidR="00825992" w:rsidRDefault="00825992" w:rsidP="002630B1">
            <w:pPr>
              <w:spacing w:line="360" w:lineRule="auto"/>
              <w:jc w:val="both"/>
            </w:pPr>
            <w:r w:rsidRPr="00825992">
              <w:t>7,041</w:t>
            </w:r>
          </w:p>
        </w:tc>
      </w:tr>
      <w:tr w:rsidR="00825992" w14:paraId="30F96A8C" w14:textId="77777777" w:rsidTr="00825992">
        <w:tc>
          <w:tcPr>
            <w:tcW w:w="4957" w:type="dxa"/>
          </w:tcPr>
          <w:p w14:paraId="53BA613B" w14:textId="11E2A222" w:rsidR="00825992" w:rsidRDefault="00825992" w:rsidP="002630B1">
            <w:pPr>
              <w:spacing w:line="360" w:lineRule="auto"/>
              <w:jc w:val="both"/>
            </w:pPr>
            <w:r w:rsidRPr="00825992">
              <w:t>Return on Capital Employed (ROCE)</w:t>
            </w:r>
          </w:p>
        </w:tc>
        <w:tc>
          <w:tcPr>
            <w:tcW w:w="2126" w:type="dxa"/>
          </w:tcPr>
          <w:p w14:paraId="3030FE3C" w14:textId="4A8052F8" w:rsidR="00825992" w:rsidRDefault="00825992" w:rsidP="002630B1">
            <w:pPr>
              <w:spacing w:line="360" w:lineRule="auto"/>
              <w:jc w:val="both"/>
            </w:pPr>
            <w:r w:rsidRPr="00825992">
              <w:t>0.086</w:t>
            </w:r>
          </w:p>
        </w:tc>
        <w:tc>
          <w:tcPr>
            <w:tcW w:w="1933" w:type="dxa"/>
          </w:tcPr>
          <w:p w14:paraId="6296098E" w14:textId="6F77E440" w:rsidR="00825992" w:rsidRDefault="00825992" w:rsidP="002630B1">
            <w:pPr>
              <w:spacing w:line="360" w:lineRule="auto"/>
              <w:jc w:val="both"/>
            </w:pPr>
            <w:r w:rsidRPr="00825992">
              <w:t>0.077</w:t>
            </w:r>
          </w:p>
        </w:tc>
      </w:tr>
    </w:tbl>
    <w:p w14:paraId="1A5B2225" w14:textId="7362E2A2" w:rsidR="005D1FC5" w:rsidRDefault="00281D26" w:rsidP="002630B1">
      <w:pPr>
        <w:spacing w:line="360" w:lineRule="auto"/>
        <w:jc w:val="both"/>
      </w:pPr>
      <w:r>
        <w:t xml:space="preserve">                                                                                                                    </w:t>
      </w:r>
      <w:r w:rsidR="009B4F58">
        <w:t xml:space="preserve">                </w:t>
      </w:r>
      <w:r>
        <w:t xml:space="preserve"> TABLE 2</w:t>
      </w:r>
    </w:p>
    <w:p w14:paraId="02386CAC" w14:textId="721CFA90" w:rsidR="005D1FC5" w:rsidRDefault="00281D26" w:rsidP="002630B1">
      <w:pPr>
        <w:spacing w:line="360" w:lineRule="auto"/>
        <w:jc w:val="both"/>
      </w:pPr>
      <w:r>
        <w:t>Hence, it can be analysed that ROCE has significantly increased from 0.077 in 2021 to 0.086 in 2022, indicating a higher profitability on significant levels.</w:t>
      </w:r>
    </w:p>
    <w:p w14:paraId="05C7D22A" w14:textId="77777777" w:rsidR="002630B1" w:rsidRDefault="002630B1" w:rsidP="002630B1">
      <w:pPr>
        <w:spacing w:line="360" w:lineRule="auto"/>
        <w:jc w:val="both"/>
      </w:pPr>
    </w:p>
    <w:p w14:paraId="1A9ED76D" w14:textId="1A811D56" w:rsidR="00281D26" w:rsidRDefault="00281D26" w:rsidP="002630B1">
      <w:pPr>
        <w:pStyle w:val="Heading2"/>
        <w:spacing w:line="360" w:lineRule="auto"/>
        <w:jc w:val="both"/>
        <w:rPr>
          <w:rFonts w:ascii="Arial" w:hAnsi="Arial" w:cs="Arial"/>
          <w:b/>
          <w:bCs/>
          <w:color w:val="000000" w:themeColor="text1"/>
          <w:sz w:val="24"/>
          <w:szCs w:val="24"/>
        </w:rPr>
      </w:pPr>
      <w:bookmarkStart w:id="13" w:name="_Toc153882265"/>
      <w:r w:rsidRPr="00281D26">
        <w:rPr>
          <w:rFonts w:ascii="Arial" w:hAnsi="Arial" w:cs="Arial"/>
          <w:b/>
          <w:bCs/>
          <w:color w:val="000000" w:themeColor="text1"/>
          <w:sz w:val="24"/>
          <w:szCs w:val="24"/>
        </w:rPr>
        <w:lastRenderedPageBreak/>
        <w:t>3.</w:t>
      </w:r>
      <w:r>
        <w:rPr>
          <w:rFonts w:ascii="Arial" w:hAnsi="Arial" w:cs="Arial"/>
          <w:b/>
          <w:bCs/>
          <w:color w:val="000000" w:themeColor="text1"/>
          <w:sz w:val="24"/>
          <w:szCs w:val="24"/>
        </w:rPr>
        <w:t>a</w:t>
      </w:r>
      <w:r w:rsidRPr="00281D26">
        <w:rPr>
          <w:rFonts w:ascii="Arial" w:hAnsi="Arial" w:cs="Arial"/>
          <w:b/>
          <w:bCs/>
          <w:color w:val="000000" w:themeColor="text1"/>
          <w:sz w:val="24"/>
          <w:szCs w:val="24"/>
        </w:rPr>
        <w:t>.2: ROE</w:t>
      </w:r>
      <w:bookmarkEnd w:id="13"/>
    </w:p>
    <w:p w14:paraId="05A0B35C" w14:textId="2982909E" w:rsidR="002630B1" w:rsidRDefault="00C85E24" w:rsidP="002630B1">
      <w:pPr>
        <w:spacing w:line="360" w:lineRule="auto"/>
        <w:jc w:val="both"/>
      </w:pPr>
      <w:r w:rsidRPr="00C85E24">
        <w:t>The financial performance metric known as return on equity (ROE) is computed by dividing net income by shareholders' equity. ROE is referred to as the return on net assets since shareholders' equity is calculated by subtracting debt from a company's assets.</w:t>
      </w:r>
      <w:r>
        <w:t xml:space="preserve"> </w:t>
      </w:r>
      <w:r w:rsidR="00255B63" w:rsidRPr="00255B63">
        <w:t>.</w:t>
      </w:r>
      <w:sdt>
        <w:sdtPr>
          <w:id w:val="-6832160"/>
          <w:citation/>
        </w:sdtPr>
        <w:sdtContent>
          <w:r w:rsidR="00255B63">
            <w:fldChar w:fldCharType="begin"/>
          </w:r>
          <w:r w:rsidR="008356B2">
            <w:instrText xml:space="preserve">CITATION JAS23 \l 2057 </w:instrText>
          </w:r>
          <w:r w:rsidR="00255B63">
            <w:fldChar w:fldCharType="separate"/>
          </w:r>
          <w:r w:rsidR="00236F3C">
            <w:rPr>
              <w:noProof/>
            </w:rPr>
            <w:t xml:space="preserve"> (Fernando, 2023)</w:t>
          </w:r>
          <w:r w:rsidR="00255B63">
            <w:fldChar w:fldCharType="end"/>
          </w:r>
        </w:sdtContent>
      </w:sdt>
      <w:r w:rsidR="002630B1">
        <w:t>.</w:t>
      </w:r>
    </w:p>
    <w:p w14:paraId="2530B251" w14:textId="1129A4B7" w:rsidR="005D1FC5" w:rsidRDefault="00281D26" w:rsidP="002630B1">
      <w:pPr>
        <w:spacing w:line="360" w:lineRule="auto"/>
        <w:jc w:val="both"/>
      </w:pPr>
      <w:r>
        <w:t>Formula:</w:t>
      </w:r>
      <w:r w:rsidRPr="00281D26">
        <w:t xml:space="preserve"> Net Income/Tot</w:t>
      </w:r>
      <w:r w:rsidR="00F75D33">
        <w:t xml:space="preserve">al </w:t>
      </w:r>
      <w:r w:rsidRPr="00281D26">
        <w:t>Equity</w:t>
      </w:r>
    </w:p>
    <w:tbl>
      <w:tblPr>
        <w:tblStyle w:val="TableGrid"/>
        <w:tblW w:w="0" w:type="auto"/>
        <w:tblLook w:val="04A0" w:firstRow="1" w:lastRow="0" w:firstColumn="1" w:lastColumn="0" w:noHBand="0" w:noVBand="1"/>
      </w:tblPr>
      <w:tblGrid>
        <w:gridCol w:w="4957"/>
        <w:gridCol w:w="2126"/>
        <w:gridCol w:w="1933"/>
      </w:tblGrid>
      <w:tr w:rsidR="00825992" w14:paraId="522833B5" w14:textId="77777777" w:rsidTr="00825992">
        <w:tc>
          <w:tcPr>
            <w:tcW w:w="4957" w:type="dxa"/>
          </w:tcPr>
          <w:p w14:paraId="28BBCCEA" w14:textId="77777777" w:rsidR="00825992" w:rsidRDefault="00825992" w:rsidP="002630B1">
            <w:pPr>
              <w:spacing w:line="360" w:lineRule="auto"/>
              <w:jc w:val="both"/>
            </w:pPr>
          </w:p>
        </w:tc>
        <w:tc>
          <w:tcPr>
            <w:tcW w:w="2126" w:type="dxa"/>
          </w:tcPr>
          <w:p w14:paraId="47B10739" w14:textId="226847E1" w:rsidR="00825992" w:rsidRDefault="00825992" w:rsidP="002630B1">
            <w:pPr>
              <w:spacing w:line="360" w:lineRule="auto"/>
              <w:jc w:val="both"/>
            </w:pPr>
            <w:r>
              <w:t>2022</w:t>
            </w:r>
          </w:p>
        </w:tc>
        <w:tc>
          <w:tcPr>
            <w:tcW w:w="1933" w:type="dxa"/>
          </w:tcPr>
          <w:p w14:paraId="6D6EE3DB" w14:textId="78F130F0" w:rsidR="00825992" w:rsidRDefault="00825992" w:rsidP="002630B1">
            <w:pPr>
              <w:spacing w:line="360" w:lineRule="auto"/>
              <w:jc w:val="both"/>
            </w:pPr>
            <w:r>
              <w:t>2021</w:t>
            </w:r>
          </w:p>
        </w:tc>
      </w:tr>
      <w:tr w:rsidR="00825992" w14:paraId="6A70245B" w14:textId="77777777" w:rsidTr="00825992">
        <w:tc>
          <w:tcPr>
            <w:tcW w:w="4957" w:type="dxa"/>
          </w:tcPr>
          <w:p w14:paraId="6B547700" w14:textId="5F61B0D3" w:rsidR="00825992" w:rsidRDefault="00825992" w:rsidP="002630B1">
            <w:pPr>
              <w:spacing w:line="360" w:lineRule="auto"/>
              <w:jc w:val="both"/>
            </w:pPr>
            <w:r w:rsidRPr="00825992">
              <w:t>Net Income</w:t>
            </w:r>
          </w:p>
        </w:tc>
        <w:tc>
          <w:tcPr>
            <w:tcW w:w="2126" w:type="dxa"/>
          </w:tcPr>
          <w:p w14:paraId="22662972" w14:textId="3E774DEB" w:rsidR="00825992" w:rsidRDefault="00825992" w:rsidP="002630B1">
            <w:pPr>
              <w:spacing w:line="360" w:lineRule="auto"/>
              <w:jc w:val="both"/>
            </w:pPr>
            <w:r w:rsidRPr="00825992">
              <w:t>431</w:t>
            </w:r>
          </w:p>
        </w:tc>
        <w:tc>
          <w:tcPr>
            <w:tcW w:w="1933" w:type="dxa"/>
          </w:tcPr>
          <w:p w14:paraId="4450CA5D" w14:textId="40E6350C" w:rsidR="00825992" w:rsidRDefault="00825992" w:rsidP="002630B1">
            <w:pPr>
              <w:spacing w:line="360" w:lineRule="auto"/>
              <w:jc w:val="both"/>
            </w:pPr>
            <w:r w:rsidRPr="00825992">
              <w:t>366</w:t>
            </w:r>
          </w:p>
        </w:tc>
      </w:tr>
      <w:tr w:rsidR="00825992" w14:paraId="6883B187" w14:textId="77777777" w:rsidTr="00825992">
        <w:tc>
          <w:tcPr>
            <w:tcW w:w="4957" w:type="dxa"/>
          </w:tcPr>
          <w:p w14:paraId="6B2F9757" w14:textId="49898056" w:rsidR="00825992" w:rsidRDefault="00825992" w:rsidP="002630B1">
            <w:pPr>
              <w:spacing w:line="360" w:lineRule="auto"/>
              <w:jc w:val="both"/>
            </w:pPr>
            <w:r w:rsidRPr="00825992">
              <w:t>Total Equity</w:t>
            </w:r>
          </w:p>
        </w:tc>
        <w:tc>
          <w:tcPr>
            <w:tcW w:w="2126" w:type="dxa"/>
          </w:tcPr>
          <w:p w14:paraId="1BCDCE1B" w14:textId="6CBC834F" w:rsidR="00825992" w:rsidRDefault="00825992" w:rsidP="002630B1">
            <w:pPr>
              <w:spacing w:line="360" w:lineRule="auto"/>
              <w:jc w:val="both"/>
            </w:pPr>
            <w:r w:rsidRPr="00825992">
              <w:t>3,088</w:t>
            </w:r>
          </w:p>
        </w:tc>
        <w:tc>
          <w:tcPr>
            <w:tcW w:w="1933" w:type="dxa"/>
          </w:tcPr>
          <w:p w14:paraId="4168B20F" w14:textId="592F4707" w:rsidR="00825992" w:rsidRDefault="00825992" w:rsidP="002630B1">
            <w:pPr>
              <w:spacing w:line="360" w:lineRule="auto"/>
              <w:jc w:val="both"/>
            </w:pPr>
            <w:r w:rsidRPr="00825992">
              <w:t>2,912</w:t>
            </w:r>
          </w:p>
        </w:tc>
      </w:tr>
      <w:tr w:rsidR="00825992" w14:paraId="52D221A9" w14:textId="77777777" w:rsidTr="00825992">
        <w:tc>
          <w:tcPr>
            <w:tcW w:w="4957" w:type="dxa"/>
          </w:tcPr>
          <w:p w14:paraId="1F3E7E35" w14:textId="5FCE2D43" w:rsidR="00825992" w:rsidRDefault="00825992" w:rsidP="002630B1">
            <w:pPr>
              <w:spacing w:line="360" w:lineRule="auto"/>
              <w:jc w:val="both"/>
            </w:pPr>
            <w:r w:rsidRPr="00825992">
              <w:t>Return on Equity (ROE)</w:t>
            </w:r>
          </w:p>
        </w:tc>
        <w:tc>
          <w:tcPr>
            <w:tcW w:w="2126" w:type="dxa"/>
          </w:tcPr>
          <w:p w14:paraId="3B7C7BE4" w14:textId="7C5DA8F6" w:rsidR="00825992" w:rsidRDefault="00825992" w:rsidP="002630B1">
            <w:pPr>
              <w:spacing w:line="360" w:lineRule="auto"/>
              <w:jc w:val="both"/>
            </w:pPr>
            <w:r w:rsidRPr="00825992">
              <w:t>0.14</w:t>
            </w:r>
          </w:p>
        </w:tc>
        <w:tc>
          <w:tcPr>
            <w:tcW w:w="1933" w:type="dxa"/>
          </w:tcPr>
          <w:p w14:paraId="31A99BFE" w14:textId="7B9895EE" w:rsidR="00825992" w:rsidRDefault="00825992" w:rsidP="002630B1">
            <w:pPr>
              <w:spacing w:line="360" w:lineRule="auto"/>
              <w:jc w:val="both"/>
            </w:pPr>
            <w:r w:rsidRPr="00825992">
              <w:t>0.13</w:t>
            </w:r>
          </w:p>
        </w:tc>
      </w:tr>
    </w:tbl>
    <w:p w14:paraId="17EF6BF9" w14:textId="5BAA2ED5" w:rsidR="005D1FC5" w:rsidRDefault="00825992" w:rsidP="002630B1">
      <w:pPr>
        <w:spacing w:line="360" w:lineRule="auto"/>
        <w:jc w:val="both"/>
      </w:pPr>
      <w:r>
        <w:t xml:space="preserve">                                                                                                                         </w:t>
      </w:r>
      <w:r w:rsidR="009B4F58">
        <w:t xml:space="preserve">           </w:t>
      </w:r>
      <w:r>
        <w:t xml:space="preserve"> TABLE 3</w:t>
      </w:r>
    </w:p>
    <w:p w14:paraId="4AAAFDCA" w14:textId="1A979564" w:rsidR="005D1FC5" w:rsidRDefault="00825992" w:rsidP="002630B1">
      <w:pPr>
        <w:spacing w:line="360" w:lineRule="auto"/>
        <w:jc w:val="both"/>
      </w:pPr>
      <w:r>
        <w:t>Indicating the net return on the utilization of the assets, it is critically developed to indicate the potential of developing revenue using assets. ROE has no significant impact on the corporate stock price</w:t>
      </w:r>
      <w:sdt>
        <w:sdtPr>
          <w:id w:val="-1558934232"/>
          <w:citation/>
        </w:sdtPr>
        <w:sdtContent>
          <w:r w:rsidR="004E51FF">
            <w:fldChar w:fldCharType="begin"/>
          </w:r>
          <w:r w:rsidR="00081351">
            <w:instrText xml:space="preserve">CITATION Far23 \l 2057 </w:instrText>
          </w:r>
          <w:r w:rsidR="004E51FF">
            <w:fldChar w:fldCharType="separate"/>
          </w:r>
          <w:r w:rsidR="00236F3C">
            <w:rPr>
              <w:noProof/>
            </w:rPr>
            <w:t xml:space="preserve"> (Saputra, 2022)</w:t>
          </w:r>
          <w:r w:rsidR="004E51FF">
            <w:fldChar w:fldCharType="end"/>
          </w:r>
        </w:sdtContent>
      </w:sdt>
      <w:r>
        <w:t>. Therefore, the ROE has also increased to 0.14 in 2022 from 0.13 in 2021, indicating direct profitability.</w:t>
      </w:r>
    </w:p>
    <w:p w14:paraId="0150FD88" w14:textId="5E8906A4" w:rsidR="00825992" w:rsidRDefault="00825992" w:rsidP="002630B1">
      <w:pPr>
        <w:pStyle w:val="Heading2"/>
        <w:spacing w:line="360" w:lineRule="auto"/>
        <w:jc w:val="both"/>
        <w:rPr>
          <w:rFonts w:ascii="Arial" w:hAnsi="Arial" w:cs="Arial"/>
          <w:b/>
          <w:bCs/>
          <w:color w:val="000000" w:themeColor="text1"/>
          <w:sz w:val="24"/>
          <w:szCs w:val="24"/>
        </w:rPr>
      </w:pPr>
      <w:bookmarkStart w:id="14" w:name="_Toc153882266"/>
      <w:r w:rsidRPr="00825992">
        <w:rPr>
          <w:rFonts w:ascii="Arial" w:hAnsi="Arial" w:cs="Arial"/>
          <w:b/>
          <w:bCs/>
          <w:color w:val="000000" w:themeColor="text1"/>
          <w:sz w:val="24"/>
          <w:szCs w:val="24"/>
        </w:rPr>
        <w:t>3.a.3:  Earning per Share</w:t>
      </w:r>
      <w:r w:rsidR="006F038B">
        <w:rPr>
          <w:rFonts w:ascii="Arial" w:hAnsi="Arial" w:cs="Arial"/>
          <w:b/>
          <w:bCs/>
          <w:color w:val="000000" w:themeColor="text1"/>
          <w:sz w:val="24"/>
          <w:szCs w:val="24"/>
        </w:rPr>
        <w:t xml:space="preserve"> (EPS)</w:t>
      </w:r>
      <w:bookmarkEnd w:id="14"/>
    </w:p>
    <w:p w14:paraId="2C0C449C" w14:textId="3706F2B0" w:rsidR="00825992" w:rsidRDefault="00C85E24" w:rsidP="002630B1">
      <w:pPr>
        <w:spacing w:line="360" w:lineRule="auto"/>
        <w:jc w:val="both"/>
      </w:pPr>
      <w:r w:rsidRPr="00C85E24">
        <w:t xml:space="preserve">The profit of a business is divided by the number of outstanding shares of its common stock to get at earnings per share, or EPS. The resulting figure is used to determine how profitable a company is. Companies frequently report EPS that has been adjusted for unusual expenses and possible share </w:t>
      </w:r>
      <w:r w:rsidR="006F038B" w:rsidRPr="006F038B">
        <w:t>dilution</w:t>
      </w:r>
      <w:r>
        <w:t>.</w:t>
      </w:r>
      <w:sdt>
        <w:sdtPr>
          <w:id w:val="-1750258009"/>
          <w:citation/>
        </w:sdtPr>
        <w:sdtContent>
          <w:r w:rsidR="006F038B">
            <w:fldChar w:fldCharType="begin"/>
          </w:r>
          <w:r w:rsidR="008356B2">
            <w:instrText xml:space="preserve">CITATION JAS23 \l 2057 </w:instrText>
          </w:r>
          <w:r w:rsidR="006F038B">
            <w:fldChar w:fldCharType="separate"/>
          </w:r>
          <w:r w:rsidR="00236F3C">
            <w:rPr>
              <w:noProof/>
            </w:rPr>
            <w:t xml:space="preserve"> (Fernando, 2023)</w:t>
          </w:r>
          <w:r w:rsidR="006F038B">
            <w:fldChar w:fldCharType="end"/>
          </w:r>
        </w:sdtContent>
      </w:sdt>
      <w:r w:rsidR="006F038B">
        <w:t>.</w:t>
      </w:r>
    </w:p>
    <w:p w14:paraId="645FB899" w14:textId="6D570A88" w:rsidR="006F038B" w:rsidRDefault="006F038B" w:rsidP="002630B1">
      <w:pPr>
        <w:spacing w:line="360" w:lineRule="auto"/>
        <w:jc w:val="both"/>
      </w:pPr>
      <w:r>
        <w:t>Formula:</w:t>
      </w:r>
      <w:r w:rsidRPr="006F038B">
        <w:t xml:space="preserve"> Earnings/Total Shares Outstanding</w:t>
      </w:r>
    </w:p>
    <w:tbl>
      <w:tblPr>
        <w:tblStyle w:val="TableGrid"/>
        <w:tblW w:w="0" w:type="auto"/>
        <w:tblLook w:val="04A0" w:firstRow="1" w:lastRow="0" w:firstColumn="1" w:lastColumn="0" w:noHBand="0" w:noVBand="1"/>
      </w:tblPr>
      <w:tblGrid>
        <w:gridCol w:w="4957"/>
        <w:gridCol w:w="2126"/>
        <w:gridCol w:w="1933"/>
      </w:tblGrid>
      <w:tr w:rsidR="006F038B" w14:paraId="308D4CC2" w14:textId="77777777" w:rsidTr="006F038B">
        <w:tc>
          <w:tcPr>
            <w:tcW w:w="4957" w:type="dxa"/>
          </w:tcPr>
          <w:p w14:paraId="3C3F1D5B" w14:textId="77777777" w:rsidR="006F038B" w:rsidRDefault="006F038B" w:rsidP="002630B1">
            <w:pPr>
              <w:spacing w:line="360" w:lineRule="auto"/>
              <w:jc w:val="both"/>
            </w:pPr>
          </w:p>
        </w:tc>
        <w:tc>
          <w:tcPr>
            <w:tcW w:w="2126" w:type="dxa"/>
          </w:tcPr>
          <w:p w14:paraId="5C560453" w14:textId="66FD3DCE" w:rsidR="006F038B" w:rsidRDefault="006F038B" w:rsidP="002630B1">
            <w:pPr>
              <w:spacing w:line="360" w:lineRule="auto"/>
              <w:jc w:val="both"/>
            </w:pPr>
            <w:r>
              <w:t>2022</w:t>
            </w:r>
          </w:p>
        </w:tc>
        <w:tc>
          <w:tcPr>
            <w:tcW w:w="1933" w:type="dxa"/>
          </w:tcPr>
          <w:p w14:paraId="6AF0BCF1" w14:textId="22A87F06" w:rsidR="006F038B" w:rsidRDefault="006F038B" w:rsidP="002630B1">
            <w:pPr>
              <w:spacing w:line="360" w:lineRule="auto"/>
              <w:jc w:val="both"/>
            </w:pPr>
            <w:r>
              <w:t>2021</w:t>
            </w:r>
          </w:p>
        </w:tc>
      </w:tr>
      <w:tr w:rsidR="006F038B" w14:paraId="54CEB876" w14:textId="77777777" w:rsidTr="006F038B">
        <w:tc>
          <w:tcPr>
            <w:tcW w:w="4957" w:type="dxa"/>
          </w:tcPr>
          <w:p w14:paraId="37C674D6" w14:textId="6107432F" w:rsidR="006F038B" w:rsidRDefault="006F038B" w:rsidP="002630B1">
            <w:pPr>
              <w:spacing w:line="360" w:lineRule="auto"/>
              <w:jc w:val="both"/>
            </w:pPr>
            <w:r w:rsidRPr="006F038B">
              <w:t>Earnings (Net Income)</w:t>
            </w:r>
          </w:p>
        </w:tc>
        <w:tc>
          <w:tcPr>
            <w:tcW w:w="2126" w:type="dxa"/>
          </w:tcPr>
          <w:p w14:paraId="537CFEB9" w14:textId="7DB8C2DB" w:rsidR="006F038B" w:rsidRDefault="006F038B" w:rsidP="002630B1">
            <w:pPr>
              <w:spacing w:line="360" w:lineRule="auto"/>
              <w:jc w:val="both"/>
            </w:pPr>
            <w:r w:rsidRPr="006F038B">
              <w:t>431</w:t>
            </w:r>
          </w:p>
        </w:tc>
        <w:tc>
          <w:tcPr>
            <w:tcW w:w="1933" w:type="dxa"/>
          </w:tcPr>
          <w:p w14:paraId="7D44D5E5" w14:textId="08B42B51" w:rsidR="006F038B" w:rsidRDefault="006F038B" w:rsidP="002630B1">
            <w:pPr>
              <w:spacing w:line="360" w:lineRule="auto"/>
              <w:jc w:val="both"/>
            </w:pPr>
            <w:r w:rsidRPr="006F038B">
              <w:t>366</w:t>
            </w:r>
          </w:p>
        </w:tc>
      </w:tr>
      <w:tr w:rsidR="006F038B" w14:paraId="16DEBB1F" w14:textId="77777777" w:rsidTr="006F038B">
        <w:tc>
          <w:tcPr>
            <w:tcW w:w="4957" w:type="dxa"/>
          </w:tcPr>
          <w:p w14:paraId="198773E4" w14:textId="563A6EF1" w:rsidR="006F038B" w:rsidRDefault="006F038B" w:rsidP="002630B1">
            <w:pPr>
              <w:spacing w:line="360" w:lineRule="auto"/>
              <w:jc w:val="both"/>
            </w:pPr>
            <w:r w:rsidRPr="006F038B">
              <w:t>Total Shares Outstanding</w:t>
            </w:r>
          </w:p>
        </w:tc>
        <w:tc>
          <w:tcPr>
            <w:tcW w:w="2126" w:type="dxa"/>
          </w:tcPr>
          <w:p w14:paraId="7C75B051" w14:textId="4BC45658" w:rsidR="006F038B" w:rsidRDefault="006F038B" w:rsidP="002630B1">
            <w:pPr>
              <w:spacing w:line="360" w:lineRule="auto"/>
              <w:jc w:val="both"/>
            </w:pPr>
            <w:r>
              <w:t>300</w:t>
            </w:r>
          </w:p>
        </w:tc>
        <w:tc>
          <w:tcPr>
            <w:tcW w:w="1933" w:type="dxa"/>
          </w:tcPr>
          <w:p w14:paraId="49F9FFFF" w14:textId="340D508B" w:rsidR="006F038B" w:rsidRDefault="006F038B" w:rsidP="002630B1">
            <w:pPr>
              <w:spacing w:line="360" w:lineRule="auto"/>
              <w:jc w:val="both"/>
            </w:pPr>
            <w:r>
              <w:t>300</w:t>
            </w:r>
          </w:p>
        </w:tc>
      </w:tr>
      <w:tr w:rsidR="006F038B" w14:paraId="26B39AE2" w14:textId="77777777" w:rsidTr="006F038B">
        <w:tc>
          <w:tcPr>
            <w:tcW w:w="4957" w:type="dxa"/>
          </w:tcPr>
          <w:p w14:paraId="79BD53CC" w14:textId="54718050" w:rsidR="006F038B" w:rsidRDefault="006F038B" w:rsidP="002630B1">
            <w:pPr>
              <w:spacing w:line="360" w:lineRule="auto"/>
              <w:jc w:val="both"/>
            </w:pPr>
            <w:r w:rsidRPr="006F038B">
              <w:t>Earnings per share</w:t>
            </w:r>
          </w:p>
        </w:tc>
        <w:tc>
          <w:tcPr>
            <w:tcW w:w="2126" w:type="dxa"/>
          </w:tcPr>
          <w:p w14:paraId="6F44BA82" w14:textId="13DF3024" w:rsidR="006F038B" w:rsidRDefault="006F038B" w:rsidP="002630B1">
            <w:pPr>
              <w:spacing w:line="360" w:lineRule="auto"/>
              <w:jc w:val="both"/>
            </w:pPr>
            <w:r w:rsidRPr="006F038B">
              <w:t>1.44</w:t>
            </w:r>
          </w:p>
        </w:tc>
        <w:tc>
          <w:tcPr>
            <w:tcW w:w="1933" w:type="dxa"/>
          </w:tcPr>
          <w:p w14:paraId="3AB401BE" w14:textId="48DFFED8" w:rsidR="006F038B" w:rsidRDefault="006F038B" w:rsidP="002630B1">
            <w:pPr>
              <w:spacing w:line="360" w:lineRule="auto"/>
              <w:jc w:val="both"/>
            </w:pPr>
            <w:r w:rsidRPr="006F038B">
              <w:t>1.22</w:t>
            </w:r>
          </w:p>
        </w:tc>
      </w:tr>
    </w:tbl>
    <w:p w14:paraId="776FA286" w14:textId="28FA701E" w:rsidR="006F038B" w:rsidRPr="00825992" w:rsidRDefault="006F038B" w:rsidP="002630B1">
      <w:pPr>
        <w:spacing w:line="360" w:lineRule="auto"/>
        <w:jc w:val="both"/>
      </w:pPr>
      <w:r>
        <w:t xml:space="preserve">                                                                                                                    </w:t>
      </w:r>
      <w:r w:rsidR="009B4F58">
        <w:t xml:space="preserve">                 </w:t>
      </w:r>
      <w:r>
        <w:t>TABLE 4</w:t>
      </w:r>
    </w:p>
    <w:p w14:paraId="00BF403F" w14:textId="116DC55A" w:rsidR="005D1FC5" w:rsidRDefault="00825992" w:rsidP="002630B1">
      <w:pPr>
        <w:spacing w:line="360" w:lineRule="auto"/>
        <w:jc w:val="both"/>
      </w:pPr>
      <w:r>
        <w:t>The consideration of the EPS indicates the net profitability gained by the investor from retaining a single share within the organization</w:t>
      </w:r>
      <w:sdt>
        <w:sdtPr>
          <w:id w:val="1013734014"/>
          <w:citation/>
        </w:sdtPr>
        <w:sdtContent>
          <w:r w:rsidR="00081351">
            <w:fldChar w:fldCharType="begin"/>
          </w:r>
          <w:r w:rsidR="00081351">
            <w:instrText xml:space="preserve"> CITATION Fat20 \l 2057 </w:instrText>
          </w:r>
          <w:r w:rsidR="00081351">
            <w:fldChar w:fldCharType="separate"/>
          </w:r>
          <w:r w:rsidR="00236F3C">
            <w:rPr>
              <w:noProof/>
            </w:rPr>
            <w:t xml:space="preserve"> (Fathihani, 2020)</w:t>
          </w:r>
          <w:r w:rsidR="00081351">
            <w:fldChar w:fldCharType="end"/>
          </w:r>
        </w:sdtContent>
      </w:sdt>
      <w:r>
        <w:t xml:space="preserve"> </w:t>
      </w:r>
      <w:r w:rsidR="00081351">
        <w:t>.</w:t>
      </w:r>
      <w:r>
        <w:t>In addition, it can be analysed that the net EPS of the entity has also increased from 1.22 in 2021 to 1.44 in 2022.</w:t>
      </w:r>
    </w:p>
    <w:p w14:paraId="4151F334" w14:textId="650677AF" w:rsidR="005D1FC5" w:rsidRDefault="006F038B" w:rsidP="002630B1">
      <w:pPr>
        <w:pStyle w:val="Heading2"/>
        <w:spacing w:line="360" w:lineRule="auto"/>
        <w:jc w:val="both"/>
        <w:rPr>
          <w:rFonts w:ascii="Arial" w:hAnsi="Arial" w:cs="Arial"/>
          <w:b/>
          <w:bCs/>
          <w:color w:val="000000" w:themeColor="text1"/>
          <w:sz w:val="24"/>
          <w:szCs w:val="24"/>
        </w:rPr>
      </w:pPr>
      <w:bookmarkStart w:id="15" w:name="_Toc153882267"/>
      <w:r w:rsidRPr="006F038B">
        <w:rPr>
          <w:rFonts w:ascii="Arial" w:hAnsi="Arial" w:cs="Arial"/>
          <w:b/>
          <w:bCs/>
          <w:color w:val="000000" w:themeColor="text1"/>
          <w:sz w:val="24"/>
          <w:szCs w:val="24"/>
        </w:rPr>
        <w:lastRenderedPageBreak/>
        <w:t>3.a.4: Net Profit Margin</w:t>
      </w:r>
      <w:bookmarkEnd w:id="15"/>
    </w:p>
    <w:p w14:paraId="35A0AB41" w14:textId="0444EDEC" w:rsidR="006F038B" w:rsidRPr="006F038B" w:rsidRDefault="00C85E24" w:rsidP="002630B1">
      <w:pPr>
        <w:spacing w:line="360" w:lineRule="auto"/>
        <w:jc w:val="both"/>
      </w:pPr>
      <w:r w:rsidRPr="00C85E24">
        <w:t>The amount of net income or profit generated as a percentage of revenue is expressed as the net profit margin, or simply net margin. It is the proportion of a company's or business segment's net profits to revenues</w:t>
      </w:r>
      <w:sdt>
        <w:sdtPr>
          <w:id w:val="-943301823"/>
          <w:citation/>
        </w:sdtPr>
        <w:sdtContent>
          <w:r w:rsidR="006F038B">
            <w:fldChar w:fldCharType="begin"/>
          </w:r>
          <w:r w:rsidR="006F038B">
            <w:instrText xml:space="preserve">CITATION Chr23 \l 2057 </w:instrText>
          </w:r>
          <w:r w:rsidR="006F038B">
            <w:fldChar w:fldCharType="separate"/>
          </w:r>
          <w:r w:rsidR="00236F3C">
            <w:rPr>
              <w:noProof/>
            </w:rPr>
            <w:t xml:space="preserve"> (Murphy, 2023)</w:t>
          </w:r>
          <w:r w:rsidR="006F038B">
            <w:fldChar w:fldCharType="end"/>
          </w:r>
        </w:sdtContent>
      </w:sdt>
      <w:r w:rsidR="006F038B" w:rsidRPr="006F038B">
        <w:t>.</w:t>
      </w:r>
    </w:p>
    <w:p w14:paraId="18B696FF" w14:textId="0963C01C" w:rsidR="005D1FC5" w:rsidRDefault="006F038B" w:rsidP="002630B1">
      <w:pPr>
        <w:spacing w:line="360" w:lineRule="auto"/>
        <w:jc w:val="both"/>
      </w:pPr>
      <w:r>
        <w:t>Formula:</w:t>
      </w:r>
      <w:r w:rsidRPr="006F038B">
        <w:t xml:space="preserve"> Net Income/Sales</w:t>
      </w:r>
    </w:p>
    <w:tbl>
      <w:tblPr>
        <w:tblStyle w:val="TableGrid"/>
        <w:tblW w:w="0" w:type="auto"/>
        <w:tblLook w:val="04A0" w:firstRow="1" w:lastRow="0" w:firstColumn="1" w:lastColumn="0" w:noHBand="0" w:noVBand="1"/>
      </w:tblPr>
      <w:tblGrid>
        <w:gridCol w:w="4957"/>
        <w:gridCol w:w="2126"/>
        <w:gridCol w:w="1933"/>
      </w:tblGrid>
      <w:tr w:rsidR="009B4F58" w14:paraId="048195FE" w14:textId="77777777" w:rsidTr="009B4F58">
        <w:tc>
          <w:tcPr>
            <w:tcW w:w="4957" w:type="dxa"/>
          </w:tcPr>
          <w:p w14:paraId="6E3366AB" w14:textId="77777777" w:rsidR="009B4F58" w:rsidRDefault="009B4F58" w:rsidP="002630B1">
            <w:pPr>
              <w:spacing w:line="360" w:lineRule="auto"/>
              <w:jc w:val="both"/>
            </w:pPr>
          </w:p>
        </w:tc>
        <w:tc>
          <w:tcPr>
            <w:tcW w:w="2126" w:type="dxa"/>
          </w:tcPr>
          <w:p w14:paraId="44F6A2B6" w14:textId="7C7E59E1" w:rsidR="009B4F58" w:rsidRDefault="009B4F58" w:rsidP="002630B1">
            <w:pPr>
              <w:spacing w:line="360" w:lineRule="auto"/>
              <w:jc w:val="both"/>
            </w:pPr>
            <w:r>
              <w:t>2022</w:t>
            </w:r>
          </w:p>
        </w:tc>
        <w:tc>
          <w:tcPr>
            <w:tcW w:w="1933" w:type="dxa"/>
          </w:tcPr>
          <w:p w14:paraId="44CCEBDF" w14:textId="2A6E9C5B" w:rsidR="009B4F58" w:rsidRDefault="009B4F58" w:rsidP="002630B1">
            <w:pPr>
              <w:spacing w:line="360" w:lineRule="auto"/>
              <w:jc w:val="both"/>
            </w:pPr>
            <w:r>
              <w:t>2021</w:t>
            </w:r>
          </w:p>
        </w:tc>
      </w:tr>
      <w:tr w:rsidR="009B4F58" w14:paraId="051C266A" w14:textId="77777777" w:rsidTr="009B4F58">
        <w:tc>
          <w:tcPr>
            <w:tcW w:w="4957" w:type="dxa"/>
          </w:tcPr>
          <w:p w14:paraId="7A63EBCA" w14:textId="47055D34" w:rsidR="009B4F58" w:rsidRDefault="009B4F58" w:rsidP="002630B1">
            <w:pPr>
              <w:spacing w:line="360" w:lineRule="auto"/>
              <w:jc w:val="both"/>
            </w:pPr>
            <w:r w:rsidRPr="009B4F58">
              <w:t>Net Income</w:t>
            </w:r>
          </w:p>
        </w:tc>
        <w:tc>
          <w:tcPr>
            <w:tcW w:w="2126" w:type="dxa"/>
          </w:tcPr>
          <w:p w14:paraId="66599F43" w14:textId="4265D1EA" w:rsidR="009B4F58" w:rsidRDefault="009B4F58" w:rsidP="002630B1">
            <w:pPr>
              <w:spacing w:line="360" w:lineRule="auto"/>
              <w:jc w:val="both"/>
            </w:pPr>
            <w:r>
              <w:t>431</w:t>
            </w:r>
          </w:p>
        </w:tc>
        <w:tc>
          <w:tcPr>
            <w:tcW w:w="1933" w:type="dxa"/>
          </w:tcPr>
          <w:p w14:paraId="173FC959" w14:textId="7C56D5FD" w:rsidR="009B4F58" w:rsidRDefault="009B4F58" w:rsidP="002630B1">
            <w:pPr>
              <w:spacing w:line="360" w:lineRule="auto"/>
              <w:jc w:val="both"/>
            </w:pPr>
            <w:r>
              <w:t>366</w:t>
            </w:r>
          </w:p>
        </w:tc>
      </w:tr>
      <w:tr w:rsidR="009B4F58" w14:paraId="677AAFED" w14:textId="77777777" w:rsidTr="009B4F58">
        <w:tc>
          <w:tcPr>
            <w:tcW w:w="4957" w:type="dxa"/>
          </w:tcPr>
          <w:p w14:paraId="23FA6423" w14:textId="336021B3" w:rsidR="009B4F58" w:rsidRDefault="009B4F58" w:rsidP="002630B1">
            <w:pPr>
              <w:spacing w:line="360" w:lineRule="auto"/>
              <w:jc w:val="both"/>
            </w:pPr>
            <w:r w:rsidRPr="009B4F58">
              <w:t>Sales</w:t>
            </w:r>
          </w:p>
        </w:tc>
        <w:tc>
          <w:tcPr>
            <w:tcW w:w="2126" w:type="dxa"/>
          </w:tcPr>
          <w:p w14:paraId="57E04BF5" w14:textId="23E3B1C0" w:rsidR="009B4F58" w:rsidRDefault="009B4F58" w:rsidP="002630B1">
            <w:pPr>
              <w:spacing w:line="360" w:lineRule="auto"/>
              <w:jc w:val="both"/>
            </w:pPr>
            <w:r w:rsidRPr="009B4F58">
              <w:t>6,738</w:t>
            </w:r>
          </w:p>
        </w:tc>
        <w:tc>
          <w:tcPr>
            <w:tcW w:w="1933" w:type="dxa"/>
          </w:tcPr>
          <w:p w14:paraId="52CEED84" w14:textId="75D12547" w:rsidR="009B4F58" w:rsidRDefault="009B4F58" w:rsidP="002630B1">
            <w:pPr>
              <w:spacing w:line="360" w:lineRule="auto"/>
              <w:jc w:val="both"/>
            </w:pPr>
            <w:r w:rsidRPr="009B4F58">
              <w:t>6,441</w:t>
            </w:r>
          </w:p>
        </w:tc>
      </w:tr>
      <w:tr w:rsidR="009B4F58" w14:paraId="02747EEE" w14:textId="77777777" w:rsidTr="009B4F58">
        <w:tc>
          <w:tcPr>
            <w:tcW w:w="4957" w:type="dxa"/>
          </w:tcPr>
          <w:p w14:paraId="68BC022B" w14:textId="740171F3" w:rsidR="009B4F58" w:rsidRDefault="009B4F58" w:rsidP="002630B1">
            <w:pPr>
              <w:spacing w:line="360" w:lineRule="auto"/>
              <w:jc w:val="both"/>
            </w:pPr>
            <w:r w:rsidRPr="009B4F58">
              <w:t>Net Profit Margin</w:t>
            </w:r>
          </w:p>
        </w:tc>
        <w:tc>
          <w:tcPr>
            <w:tcW w:w="2126" w:type="dxa"/>
          </w:tcPr>
          <w:p w14:paraId="0FAC1B1E" w14:textId="40332623" w:rsidR="009B4F58" w:rsidRDefault="009B4F58" w:rsidP="002630B1">
            <w:pPr>
              <w:spacing w:line="360" w:lineRule="auto"/>
              <w:jc w:val="both"/>
            </w:pPr>
            <w:r w:rsidRPr="009B4F58">
              <w:t>0.064</w:t>
            </w:r>
          </w:p>
        </w:tc>
        <w:tc>
          <w:tcPr>
            <w:tcW w:w="1933" w:type="dxa"/>
          </w:tcPr>
          <w:p w14:paraId="58990C2A" w14:textId="5867BB71" w:rsidR="009B4F58" w:rsidRDefault="009B4F58" w:rsidP="002630B1">
            <w:pPr>
              <w:spacing w:line="360" w:lineRule="auto"/>
              <w:jc w:val="both"/>
            </w:pPr>
            <w:r w:rsidRPr="009B4F58">
              <w:t>0.057</w:t>
            </w:r>
          </w:p>
        </w:tc>
      </w:tr>
    </w:tbl>
    <w:p w14:paraId="7D3EF7A7" w14:textId="3847E055" w:rsidR="009B4F58" w:rsidRDefault="009B4F58" w:rsidP="002630B1">
      <w:pPr>
        <w:spacing w:line="360" w:lineRule="auto"/>
        <w:jc w:val="both"/>
      </w:pPr>
      <w:r>
        <w:t xml:space="preserve">                                                                                                                                     TABLE 5</w:t>
      </w:r>
    </w:p>
    <w:p w14:paraId="2E571483" w14:textId="504CB809" w:rsidR="009B4F58" w:rsidRDefault="009B4F58" w:rsidP="002630B1">
      <w:pPr>
        <w:spacing w:line="360" w:lineRule="auto"/>
        <w:jc w:val="both"/>
      </w:pPr>
      <w:r>
        <w:t xml:space="preserve">The net income is the indication of the profit margin applied by the entity on the products and services as indicated by the entity (Susanto et al. 2021, pp. 1010). </w:t>
      </w:r>
      <w:r w:rsidR="00081351" w:rsidRPr="00081351">
        <w:t>It is determined that the Net profit margin has improved from 0.057 in 2021 to 0.064 in 2022 as a result of taking this into account.</w:t>
      </w:r>
    </w:p>
    <w:p w14:paraId="4D7BC54C" w14:textId="4315ECA5" w:rsidR="009B4F58" w:rsidRPr="009B4F58" w:rsidRDefault="009B4F58" w:rsidP="002630B1">
      <w:pPr>
        <w:pStyle w:val="Heading2"/>
        <w:spacing w:line="360" w:lineRule="auto"/>
        <w:jc w:val="both"/>
        <w:rPr>
          <w:rFonts w:ascii="Arial" w:hAnsi="Arial" w:cs="Arial"/>
          <w:b/>
          <w:bCs/>
          <w:color w:val="000000" w:themeColor="text1"/>
          <w:sz w:val="24"/>
          <w:szCs w:val="24"/>
        </w:rPr>
      </w:pPr>
      <w:bookmarkStart w:id="16" w:name="_Toc153882268"/>
      <w:r w:rsidRPr="009B4F58">
        <w:rPr>
          <w:rFonts w:ascii="Arial" w:hAnsi="Arial" w:cs="Arial"/>
          <w:b/>
          <w:bCs/>
          <w:color w:val="000000" w:themeColor="text1"/>
          <w:sz w:val="24"/>
          <w:szCs w:val="24"/>
        </w:rPr>
        <w:t>3.a.5: Asset Turnover Ratio</w:t>
      </w:r>
      <w:bookmarkEnd w:id="16"/>
    </w:p>
    <w:p w14:paraId="2B31DD84" w14:textId="4FC2F104" w:rsidR="005D1FC5" w:rsidRDefault="009B4F58" w:rsidP="002630B1">
      <w:pPr>
        <w:spacing w:line="360" w:lineRule="auto"/>
        <w:jc w:val="both"/>
      </w:pPr>
      <w:r w:rsidRPr="009B4F58">
        <w:t>The asset turnover ratio measures the value of a company's sales or revenues relative to the value of its assets</w:t>
      </w:r>
      <w:sdt>
        <w:sdtPr>
          <w:id w:val="-1830741092"/>
          <w:citation/>
        </w:sdtPr>
        <w:sdtContent>
          <w:r>
            <w:fldChar w:fldCharType="begin"/>
          </w:r>
          <w:r>
            <w:instrText xml:space="preserve"> CITATION Ada23 \l 2057 </w:instrText>
          </w:r>
          <w:r>
            <w:fldChar w:fldCharType="separate"/>
          </w:r>
          <w:r w:rsidR="00236F3C">
            <w:rPr>
              <w:noProof/>
            </w:rPr>
            <w:t xml:space="preserve"> (Hayes, 2023)</w:t>
          </w:r>
          <w:r>
            <w:fldChar w:fldCharType="end"/>
          </w:r>
        </w:sdtContent>
      </w:sdt>
      <w:r w:rsidRPr="009B4F58">
        <w:t>.</w:t>
      </w:r>
    </w:p>
    <w:p w14:paraId="32FC2DB5" w14:textId="77777777" w:rsidR="00A0439C" w:rsidRDefault="00A0439C" w:rsidP="002630B1">
      <w:pPr>
        <w:spacing w:line="360" w:lineRule="auto"/>
        <w:jc w:val="both"/>
      </w:pPr>
      <w:r>
        <w:t>Formula:</w:t>
      </w:r>
      <w:r w:rsidRPr="009B4F58">
        <w:t xml:space="preserve"> Net Sales/Total Assets</w:t>
      </w:r>
    </w:p>
    <w:tbl>
      <w:tblPr>
        <w:tblStyle w:val="TableGrid"/>
        <w:tblW w:w="0" w:type="auto"/>
        <w:tblLook w:val="04A0" w:firstRow="1" w:lastRow="0" w:firstColumn="1" w:lastColumn="0" w:noHBand="0" w:noVBand="1"/>
      </w:tblPr>
      <w:tblGrid>
        <w:gridCol w:w="4957"/>
        <w:gridCol w:w="2126"/>
        <w:gridCol w:w="1933"/>
      </w:tblGrid>
      <w:tr w:rsidR="009B4F58" w14:paraId="3E5F1D01" w14:textId="77777777" w:rsidTr="00A0439C">
        <w:tc>
          <w:tcPr>
            <w:tcW w:w="4957" w:type="dxa"/>
          </w:tcPr>
          <w:p w14:paraId="0F9A7050" w14:textId="77777777" w:rsidR="009B4F58" w:rsidRDefault="009B4F58" w:rsidP="002630B1">
            <w:pPr>
              <w:spacing w:line="360" w:lineRule="auto"/>
              <w:jc w:val="both"/>
            </w:pPr>
          </w:p>
        </w:tc>
        <w:tc>
          <w:tcPr>
            <w:tcW w:w="2126" w:type="dxa"/>
          </w:tcPr>
          <w:p w14:paraId="32D35719" w14:textId="7BB6D366" w:rsidR="009B4F58" w:rsidRDefault="00A0439C" w:rsidP="002630B1">
            <w:pPr>
              <w:spacing w:line="360" w:lineRule="auto"/>
              <w:jc w:val="both"/>
            </w:pPr>
            <w:r>
              <w:t>2022</w:t>
            </w:r>
          </w:p>
        </w:tc>
        <w:tc>
          <w:tcPr>
            <w:tcW w:w="1933" w:type="dxa"/>
          </w:tcPr>
          <w:p w14:paraId="70C13019" w14:textId="59E5F070" w:rsidR="009B4F58" w:rsidRDefault="00A0439C" w:rsidP="002630B1">
            <w:pPr>
              <w:spacing w:line="360" w:lineRule="auto"/>
              <w:jc w:val="both"/>
            </w:pPr>
            <w:r>
              <w:t>2021</w:t>
            </w:r>
          </w:p>
        </w:tc>
      </w:tr>
      <w:tr w:rsidR="009B4F58" w14:paraId="6FAF5276" w14:textId="77777777" w:rsidTr="00A0439C">
        <w:tc>
          <w:tcPr>
            <w:tcW w:w="4957" w:type="dxa"/>
          </w:tcPr>
          <w:p w14:paraId="61E874D2" w14:textId="5CC403B0" w:rsidR="009B4F58" w:rsidRDefault="009B4F58" w:rsidP="002630B1">
            <w:pPr>
              <w:spacing w:line="360" w:lineRule="auto"/>
              <w:jc w:val="both"/>
            </w:pPr>
            <w:r w:rsidRPr="009B4F58">
              <w:t>Net Sales</w:t>
            </w:r>
          </w:p>
        </w:tc>
        <w:tc>
          <w:tcPr>
            <w:tcW w:w="2126" w:type="dxa"/>
          </w:tcPr>
          <w:p w14:paraId="2DD684BE" w14:textId="2DE353E9" w:rsidR="009B4F58" w:rsidRDefault="009B4F58" w:rsidP="002630B1">
            <w:pPr>
              <w:spacing w:line="360" w:lineRule="auto"/>
              <w:jc w:val="both"/>
            </w:pPr>
            <w:r w:rsidRPr="009B4F58">
              <w:t>6,738</w:t>
            </w:r>
          </w:p>
        </w:tc>
        <w:tc>
          <w:tcPr>
            <w:tcW w:w="1933" w:type="dxa"/>
          </w:tcPr>
          <w:p w14:paraId="19AF2872" w14:textId="3E4A50CA" w:rsidR="009B4F58" w:rsidRDefault="00A0439C" w:rsidP="002630B1">
            <w:pPr>
              <w:spacing w:line="360" w:lineRule="auto"/>
              <w:jc w:val="both"/>
            </w:pPr>
            <w:r w:rsidRPr="00A0439C">
              <w:t>6,441</w:t>
            </w:r>
          </w:p>
        </w:tc>
      </w:tr>
      <w:tr w:rsidR="009B4F58" w14:paraId="3FF9297A" w14:textId="77777777" w:rsidTr="00A0439C">
        <w:tc>
          <w:tcPr>
            <w:tcW w:w="4957" w:type="dxa"/>
          </w:tcPr>
          <w:p w14:paraId="33FB69C9" w14:textId="602FFC06" w:rsidR="009B4F58" w:rsidRDefault="009B4F58" w:rsidP="002630B1">
            <w:pPr>
              <w:spacing w:line="360" w:lineRule="auto"/>
              <w:jc w:val="both"/>
            </w:pPr>
            <w:r w:rsidRPr="009B4F58">
              <w:t>Total Assets</w:t>
            </w:r>
          </w:p>
        </w:tc>
        <w:tc>
          <w:tcPr>
            <w:tcW w:w="2126" w:type="dxa"/>
          </w:tcPr>
          <w:p w14:paraId="4F1613AB" w14:textId="3951100C" w:rsidR="009B4F58" w:rsidRDefault="009B4F58" w:rsidP="002630B1">
            <w:pPr>
              <w:spacing w:line="360" w:lineRule="auto"/>
              <w:jc w:val="both"/>
            </w:pPr>
            <w:r w:rsidRPr="009B4F58">
              <w:t>9,736</w:t>
            </w:r>
          </w:p>
        </w:tc>
        <w:tc>
          <w:tcPr>
            <w:tcW w:w="1933" w:type="dxa"/>
          </w:tcPr>
          <w:p w14:paraId="1CFD642F" w14:textId="1A1C018E" w:rsidR="009B4F58" w:rsidRDefault="00A0439C" w:rsidP="002630B1">
            <w:pPr>
              <w:spacing w:line="360" w:lineRule="auto"/>
              <w:jc w:val="both"/>
            </w:pPr>
            <w:r w:rsidRPr="00A0439C">
              <w:t>10,087</w:t>
            </w:r>
          </w:p>
        </w:tc>
      </w:tr>
      <w:tr w:rsidR="009B4F58" w14:paraId="4D849DB9" w14:textId="77777777" w:rsidTr="00A0439C">
        <w:tc>
          <w:tcPr>
            <w:tcW w:w="4957" w:type="dxa"/>
          </w:tcPr>
          <w:p w14:paraId="54B91552" w14:textId="15FD5CF3" w:rsidR="009B4F58" w:rsidRDefault="009B4F58" w:rsidP="002630B1">
            <w:pPr>
              <w:spacing w:line="360" w:lineRule="auto"/>
              <w:jc w:val="both"/>
            </w:pPr>
            <w:r w:rsidRPr="009B4F58">
              <w:t>Asset Turnover Ratio</w:t>
            </w:r>
          </w:p>
        </w:tc>
        <w:tc>
          <w:tcPr>
            <w:tcW w:w="2126" w:type="dxa"/>
          </w:tcPr>
          <w:p w14:paraId="5B73C91F" w14:textId="4B43355A" w:rsidR="009B4F58" w:rsidRDefault="009B4F58" w:rsidP="002630B1">
            <w:pPr>
              <w:spacing w:line="360" w:lineRule="auto"/>
              <w:jc w:val="both"/>
            </w:pPr>
            <w:r w:rsidRPr="009B4F58">
              <w:t>0.692</w:t>
            </w:r>
          </w:p>
        </w:tc>
        <w:tc>
          <w:tcPr>
            <w:tcW w:w="1933" w:type="dxa"/>
          </w:tcPr>
          <w:p w14:paraId="03F79E68" w14:textId="2E51EDF6" w:rsidR="009B4F58" w:rsidRDefault="009B4F58" w:rsidP="002630B1">
            <w:pPr>
              <w:spacing w:line="360" w:lineRule="auto"/>
              <w:jc w:val="both"/>
            </w:pPr>
            <w:r w:rsidRPr="009B4F58">
              <w:t>0.639</w:t>
            </w:r>
          </w:p>
        </w:tc>
      </w:tr>
    </w:tbl>
    <w:p w14:paraId="13002B0F" w14:textId="0355EB1E" w:rsidR="009B4F58" w:rsidRDefault="00A0439C" w:rsidP="002630B1">
      <w:pPr>
        <w:spacing w:line="360" w:lineRule="auto"/>
        <w:jc w:val="both"/>
      </w:pPr>
      <w:r>
        <w:t xml:space="preserve">                                                                                                                                     TABLE 6</w:t>
      </w:r>
    </w:p>
    <w:p w14:paraId="6A160C9B" w14:textId="36ED124C" w:rsidR="005D1FC5" w:rsidRDefault="009B4F58" w:rsidP="002630B1">
      <w:pPr>
        <w:spacing w:line="360" w:lineRule="auto"/>
        <w:jc w:val="both"/>
      </w:pPr>
      <w:r>
        <w:t xml:space="preserve">The interpretation of the asset turnover has a significant impact on the stock prices indicating the potential to generate sales from utilizing the assets (Kurniawan 2021, p. 67). Hence, it can be stated that the ratio has also increased from 0.639 in 2021 to 0.692 in </w:t>
      </w:r>
      <w:r w:rsidR="00A0439C">
        <w:t>2022, inducing</w:t>
      </w:r>
      <w:r>
        <w:t xml:space="preserve"> a positive approach to generating revenues.</w:t>
      </w:r>
    </w:p>
    <w:p w14:paraId="5DC074E2" w14:textId="386752E3" w:rsidR="005D1FC5" w:rsidRDefault="00A0439C" w:rsidP="002630B1">
      <w:pPr>
        <w:pStyle w:val="Heading2"/>
        <w:spacing w:line="360" w:lineRule="auto"/>
        <w:jc w:val="both"/>
        <w:rPr>
          <w:rFonts w:ascii="Arial" w:hAnsi="Arial" w:cs="Arial"/>
          <w:b/>
          <w:bCs/>
          <w:color w:val="3A3A3A" w:themeColor="background2" w:themeShade="40"/>
          <w:sz w:val="24"/>
          <w:szCs w:val="24"/>
        </w:rPr>
      </w:pPr>
      <w:bookmarkStart w:id="17" w:name="_Toc153882269"/>
      <w:r w:rsidRPr="00A0439C">
        <w:rPr>
          <w:rFonts w:ascii="Arial" w:hAnsi="Arial" w:cs="Arial"/>
          <w:b/>
          <w:bCs/>
          <w:color w:val="3A3A3A" w:themeColor="background2" w:themeShade="40"/>
          <w:sz w:val="24"/>
          <w:szCs w:val="24"/>
        </w:rPr>
        <w:t>3.</w:t>
      </w:r>
      <w:r>
        <w:rPr>
          <w:rFonts w:ascii="Arial" w:hAnsi="Arial" w:cs="Arial"/>
          <w:b/>
          <w:bCs/>
          <w:color w:val="3A3A3A" w:themeColor="background2" w:themeShade="40"/>
          <w:sz w:val="24"/>
          <w:szCs w:val="24"/>
        </w:rPr>
        <w:t>a</w:t>
      </w:r>
      <w:r w:rsidRPr="00A0439C">
        <w:rPr>
          <w:rFonts w:ascii="Arial" w:hAnsi="Arial" w:cs="Arial"/>
          <w:b/>
          <w:bCs/>
          <w:color w:val="3A3A3A" w:themeColor="background2" w:themeShade="40"/>
          <w:sz w:val="24"/>
          <w:szCs w:val="24"/>
        </w:rPr>
        <w:t>.6: Stock Holding Days</w:t>
      </w:r>
      <w:bookmarkEnd w:id="17"/>
    </w:p>
    <w:p w14:paraId="061FE958" w14:textId="77777777" w:rsidR="00A0439C" w:rsidRDefault="00A0439C" w:rsidP="002630B1">
      <w:pPr>
        <w:spacing w:line="360" w:lineRule="auto"/>
        <w:jc w:val="both"/>
      </w:pPr>
      <w:r>
        <w:t xml:space="preserve">The stock holding day interprets the number of times the invert of the corporation and changes in the organization. </w:t>
      </w:r>
    </w:p>
    <w:p w14:paraId="7514074F" w14:textId="4D9E7407" w:rsidR="00A0439C" w:rsidRDefault="00A0439C" w:rsidP="002630B1">
      <w:pPr>
        <w:spacing w:line="360" w:lineRule="auto"/>
        <w:jc w:val="both"/>
      </w:pPr>
      <w:r>
        <w:t>Formula:</w:t>
      </w:r>
      <w:r w:rsidR="008C77EB" w:rsidRPr="008C77EB">
        <w:t xml:space="preserve"> 365 x (Average inventory / COGS)</w:t>
      </w:r>
    </w:p>
    <w:tbl>
      <w:tblPr>
        <w:tblStyle w:val="TableGrid"/>
        <w:tblW w:w="0" w:type="auto"/>
        <w:tblLook w:val="04A0" w:firstRow="1" w:lastRow="0" w:firstColumn="1" w:lastColumn="0" w:noHBand="0" w:noVBand="1"/>
      </w:tblPr>
      <w:tblGrid>
        <w:gridCol w:w="4957"/>
        <w:gridCol w:w="2126"/>
        <w:gridCol w:w="1933"/>
      </w:tblGrid>
      <w:tr w:rsidR="008C77EB" w14:paraId="55478578" w14:textId="77777777" w:rsidTr="008C77EB">
        <w:trPr>
          <w:trHeight w:val="318"/>
        </w:trPr>
        <w:tc>
          <w:tcPr>
            <w:tcW w:w="4957" w:type="dxa"/>
          </w:tcPr>
          <w:p w14:paraId="2E79EA74" w14:textId="77777777" w:rsidR="008C77EB" w:rsidRDefault="008C77EB" w:rsidP="002630B1">
            <w:pPr>
              <w:spacing w:line="360" w:lineRule="auto"/>
              <w:jc w:val="both"/>
            </w:pPr>
          </w:p>
        </w:tc>
        <w:tc>
          <w:tcPr>
            <w:tcW w:w="2126" w:type="dxa"/>
          </w:tcPr>
          <w:p w14:paraId="16241E1A" w14:textId="0AE0F9A4" w:rsidR="008C77EB" w:rsidRDefault="008C77EB" w:rsidP="002630B1">
            <w:pPr>
              <w:spacing w:line="360" w:lineRule="auto"/>
              <w:jc w:val="both"/>
            </w:pPr>
            <w:r>
              <w:t>2022</w:t>
            </w:r>
          </w:p>
        </w:tc>
        <w:tc>
          <w:tcPr>
            <w:tcW w:w="1933" w:type="dxa"/>
          </w:tcPr>
          <w:p w14:paraId="02A37EE3" w14:textId="565DEEA4" w:rsidR="008C77EB" w:rsidRDefault="008C77EB" w:rsidP="002630B1">
            <w:pPr>
              <w:spacing w:line="360" w:lineRule="auto"/>
              <w:jc w:val="both"/>
            </w:pPr>
            <w:r>
              <w:t>2021</w:t>
            </w:r>
          </w:p>
        </w:tc>
      </w:tr>
      <w:tr w:rsidR="008C77EB" w14:paraId="73706B85" w14:textId="77777777" w:rsidTr="008C77EB">
        <w:trPr>
          <w:trHeight w:val="351"/>
        </w:trPr>
        <w:tc>
          <w:tcPr>
            <w:tcW w:w="4957" w:type="dxa"/>
          </w:tcPr>
          <w:p w14:paraId="33D83B3B" w14:textId="3BBE7F0A" w:rsidR="008C77EB" w:rsidRDefault="008C77EB" w:rsidP="002630B1">
            <w:pPr>
              <w:spacing w:line="360" w:lineRule="auto"/>
              <w:jc w:val="both"/>
            </w:pPr>
            <w:r w:rsidRPr="008C77EB">
              <w:t>Average Inventory</w:t>
            </w:r>
          </w:p>
        </w:tc>
        <w:tc>
          <w:tcPr>
            <w:tcW w:w="2126" w:type="dxa"/>
          </w:tcPr>
          <w:p w14:paraId="09650514" w14:textId="6669FAF4" w:rsidR="008C77EB" w:rsidRDefault="008C77EB" w:rsidP="002630B1">
            <w:pPr>
              <w:spacing w:line="360" w:lineRule="auto"/>
              <w:jc w:val="both"/>
            </w:pPr>
            <w:r w:rsidRPr="008C77EB">
              <w:t>708</w:t>
            </w:r>
          </w:p>
        </w:tc>
        <w:tc>
          <w:tcPr>
            <w:tcW w:w="1933" w:type="dxa"/>
          </w:tcPr>
          <w:p w14:paraId="03807E0D" w14:textId="7EAEC9F1" w:rsidR="008C77EB" w:rsidRDefault="008C77EB" w:rsidP="002630B1">
            <w:pPr>
              <w:spacing w:line="360" w:lineRule="auto"/>
              <w:jc w:val="both"/>
            </w:pPr>
            <w:r w:rsidRPr="008C77EB">
              <w:t>683.5</w:t>
            </w:r>
          </w:p>
        </w:tc>
      </w:tr>
      <w:tr w:rsidR="008C77EB" w14:paraId="352400E8" w14:textId="77777777" w:rsidTr="008C77EB">
        <w:trPr>
          <w:trHeight w:val="368"/>
        </w:trPr>
        <w:tc>
          <w:tcPr>
            <w:tcW w:w="4957" w:type="dxa"/>
          </w:tcPr>
          <w:p w14:paraId="3AD9D35D" w14:textId="76063CF7" w:rsidR="008C77EB" w:rsidRDefault="008C77EB" w:rsidP="002630B1">
            <w:pPr>
              <w:spacing w:line="360" w:lineRule="auto"/>
              <w:jc w:val="both"/>
            </w:pPr>
            <w:r w:rsidRPr="008C77EB">
              <w:t xml:space="preserve">Cost of Goods </w:t>
            </w:r>
            <w:r w:rsidR="00DF781A" w:rsidRPr="008C77EB">
              <w:t>Sold</w:t>
            </w:r>
            <w:r w:rsidR="00DF781A">
              <w:t xml:space="preserve"> (</w:t>
            </w:r>
            <w:r w:rsidR="00081351">
              <w:t>COGS)</w:t>
            </w:r>
          </w:p>
        </w:tc>
        <w:tc>
          <w:tcPr>
            <w:tcW w:w="2126" w:type="dxa"/>
          </w:tcPr>
          <w:p w14:paraId="518E6EFA" w14:textId="72CA8F8F" w:rsidR="008C77EB" w:rsidRDefault="008C77EB" w:rsidP="002630B1">
            <w:pPr>
              <w:spacing w:line="360" w:lineRule="auto"/>
              <w:jc w:val="both"/>
            </w:pPr>
            <w:r w:rsidRPr="008C77EB">
              <w:t>3</w:t>
            </w:r>
            <w:r>
              <w:t>,</w:t>
            </w:r>
            <w:r w:rsidRPr="008C77EB">
              <w:t>235</w:t>
            </w:r>
          </w:p>
        </w:tc>
        <w:tc>
          <w:tcPr>
            <w:tcW w:w="1933" w:type="dxa"/>
          </w:tcPr>
          <w:p w14:paraId="60443EA4" w14:textId="6A63A1A5" w:rsidR="008C77EB" w:rsidRDefault="008C77EB" w:rsidP="002630B1">
            <w:pPr>
              <w:spacing w:line="360" w:lineRule="auto"/>
              <w:jc w:val="both"/>
            </w:pPr>
            <w:r w:rsidRPr="008C77EB">
              <w:t>3</w:t>
            </w:r>
            <w:r>
              <w:t>,</w:t>
            </w:r>
            <w:r w:rsidRPr="008C77EB">
              <w:t>096</w:t>
            </w:r>
          </w:p>
        </w:tc>
      </w:tr>
      <w:tr w:rsidR="008C77EB" w14:paraId="4D958479" w14:textId="77777777" w:rsidTr="008C77EB">
        <w:trPr>
          <w:trHeight w:val="387"/>
        </w:trPr>
        <w:tc>
          <w:tcPr>
            <w:tcW w:w="4957" w:type="dxa"/>
          </w:tcPr>
          <w:p w14:paraId="41438A44" w14:textId="563DD132" w:rsidR="008C77EB" w:rsidRDefault="008C77EB" w:rsidP="002630B1">
            <w:pPr>
              <w:spacing w:line="360" w:lineRule="auto"/>
              <w:jc w:val="both"/>
            </w:pPr>
            <w:r w:rsidRPr="008C77EB">
              <w:t>Stock Holding Days</w:t>
            </w:r>
          </w:p>
        </w:tc>
        <w:tc>
          <w:tcPr>
            <w:tcW w:w="2126" w:type="dxa"/>
          </w:tcPr>
          <w:p w14:paraId="571C1F34" w14:textId="592D0A33" w:rsidR="008C77EB" w:rsidRDefault="008C77EB" w:rsidP="002630B1">
            <w:pPr>
              <w:spacing w:line="360" w:lineRule="auto"/>
              <w:jc w:val="both"/>
            </w:pPr>
            <w:r w:rsidRPr="008C77EB">
              <w:t>79.88</w:t>
            </w:r>
          </w:p>
        </w:tc>
        <w:tc>
          <w:tcPr>
            <w:tcW w:w="1933" w:type="dxa"/>
          </w:tcPr>
          <w:p w14:paraId="6CE5F92F" w14:textId="2678C5BE" w:rsidR="008C77EB" w:rsidRDefault="008C77EB" w:rsidP="002630B1">
            <w:pPr>
              <w:spacing w:line="360" w:lineRule="auto"/>
              <w:jc w:val="both"/>
            </w:pPr>
            <w:r w:rsidRPr="008C77EB">
              <w:t>80.58</w:t>
            </w:r>
          </w:p>
        </w:tc>
      </w:tr>
    </w:tbl>
    <w:p w14:paraId="6005A1DE" w14:textId="52D5FCD2" w:rsidR="00A0439C" w:rsidRDefault="008C77EB" w:rsidP="002630B1">
      <w:pPr>
        <w:spacing w:line="360" w:lineRule="auto"/>
        <w:jc w:val="both"/>
      </w:pPr>
      <w:r>
        <w:t xml:space="preserve">                                                                                                                                     TABLE 7</w:t>
      </w:r>
    </w:p>
    <w:p w14:paraId="06A4E7C9" w14:textId="737AD165" w:rsidR="007B769D" w:rsidRDefault="007B769D" w:rsidP="002630B1">
      <w:pPr>
        <w:spacing w:line="360" w:lineRule="auto"/>
        <w:jc w:val="both"/>
      </w:pPr>
      <w:r w:rsidRPr="007B769D">
        <w:t>It is proven to have benefited the company by dropping from 81 days to 79.88 days</w:t>
      </w:r>
      <w:r>
        <w:t>.</w:t>
      </w:r>
    </w:p>
    <w:p w14:paraId="16E22F9D" w14:textId="056B36DF" w:rsidR="008C77EB" w:rsidRDefault="008C77EB" w:rsidP="002630B1">
      <w:pPr>
        <w:pStyle w:val="Heading2"/>
        <w:spacing w:line="360" w:lineRule="auto"/>
        <w:jc w:val="both"/>
        <w:rPr>
          <w:rFonts w:ascii="Arial" w:hAnsi="Arial" w:cs="Arial"/>
          <w:b/>
          <w:bCs/>
          <w:color w:val="auto"/>
          <w:sz w:val="24"/>
          <w:szCs w:val="24"/>
        </w:rPr>
      </w:pPr>
      <w:bookmarkStart w:id="18" w:name="_Toc153882270"/>
      <w:r w:rsidRPr="008C77EB">
        <w:rPr>
          <w:rFonts w:ascii="Arial" w:hAnsi="Arial" w:cs="Arial"/>
          <w:b/>
          <w:bCs/>
          <w:color w:val="auto"/>
          <w:sz w:val="24"/>
          <w:szCs w:val="24"/>
        </w:rPr>
        <w:t>3.</w:t>
      </w:r>
      <w:r>
        <w:rPr>
          <w:rFonts w:ascii="Arial" w:hAnsi="Arial" w:cs="Arial"/>
          <w:b/>
          <w:bCs/>
          <w:color w:val="auto"/>
          <w:sz w:val="24"/>
          <w:szCs w:val="24"/>
        </w:rPr>
        <w:t>a</w:t>
      </w:r>
      <w:r w:rsidRPr="008C77EB">
        <w:rPr>
          <w:rFonts w:ascii="Arial" w:hAnsi="Arial" w:cs="Arial"/>
          <w:b/>
          <w:bCs/>
          <w:color w:val="auto"/>
          <w:sz w:val="24"/>
          <w:szCs w:val="24"/>
        </w:rPr>
        <w:t xml:space="preserve">.7: </w:t>
      </w:r>
      <w:bookmarkStart w:id="19" w:name="_Hlk153832230"/>
      <w:r w:rsidRPr="008C77EB">
        <w:rPr>
          <w:rFonts w:ascii="Arial" w:hAnsi="Arial" w:cs="Arial"/>
          <w:b/>
          <w:bCs/>
          <w:color w:val="auto"/>
          <w:sz w:val="24"/>
          <w:szCs w:val="24"/>
        </w:rPr>
        <w:t>Debtors</w:t>
      </w:r>
      <w:bookmarkEnd w:id="19"/>
      <w:r w:rsidRPr="008C77EB">
        <w:rPr>
          <w:rFonts w:ascii="Arial" w:hAnsi="Arial" w:cs="Arial"/>
          <w:b/>
          <w:bCs/>
          <w:color w:val="auto"/>
          <w:sz w:val="24"/>
          <w:szCs w:val="24"/>
        </w:rPr>
        <w:t xml:space="preserve"> Collection period</w:t>
      </w:r>
      <w:bookmarkEnd w:id="18"/>
    </w:p>
    <w:p w14:paraId="385F1CA4" w14:textId="3E5C2D12" w:rsidR="009A08B2" w:rsidRPr="009A08B2" w:rsidRDefault="009A08B2" w:rsidP="002630B1">
      <w:pPr>
        <w:spacing w:line="360" w:lineRule="auto"/>
        <w:jc w:val="both"/>
      </w:pPr>
      <w:r>
        <w:rPr>
          <w:rFonts w:cs="Arial"/>
          <w:color w:val="333333"/>
        </w:rPr>
        <w:t>A debtor collection period is the amount of time it takes to collect all trade debts</w:t>
      </w:r>
      <w:sdt>
        <w:sdtPr>
          <w:rPr>
            <w:rFonts w:cs="Arial"/>
            <w:color w:val="333333"/>
          </w:rPr>
          <w:id w:val="185878692"/>
          <w:citation/>
        </w:sdtPr>
        <w:sdtContent>
          <w:r w:rsidR="007B769D">
            <w:rPr>
              <w:rFonts w:cs="Arial"/>
              <w:color w:val="333333"/>
            </w:rPr>
            <w:fldChar w:fldCharType="begin"/>
          </w:r>
          <w:r w:rsidR="007B769D">
            <w:rPr>
              <w:rFonts w:cs="Arial"/>
              <w:color w:val="333333"/>
            </w:rPr>
            <w:instrText xml:space="preserve"> CITATION WIL23 \l 2057 </w:instrText>
          </w:r>
          <w:r w:rsidR="007B769D">
            <w:rPr>
              <w:rFonts w:cs="Arial"/>
              <w:color w:val="333333"/>
            </w:rPr>
            <w:fldChar w:fldCharType="separate"/>
          </w:r>
          <w:r w:rsidR="00236F3C">
            <w:rPr>
              <w:rFonts w:cs="Arial"/>
              <w:noProof/>
              <w:color w:val="333333"/>
            </w:rPr>
            <w:t xml:space="preserve"> </w:t>
          </w:r>
          <w:r w:rsidR="00236F3C" w:rsidRPr="00236F3C">
            <w:rPr>
              <w:rFonts w:cs="Arial"/>
              <w:noProof/>
              <w:color w:val="333333"/>
            </w:rPr>
            <w:t>(KENTON, 2023)</w:t>
          </w:r>
          <w:r w:rsidR="007B769D">
            <w:rPr>
              <w:rFonts w:cs="Arial"/>
              <w:color w:val="333333"/>
            </w:rPr>
            <w:fldChar w:fldCharType="end"/>
          </w:r>
        </w:sdtContent>
      </w:sdt>
      <w:r>
        <w:rPr>
          <w:rFonts w:cs="Arial"/>
          <w:color w:val="333333"/>
        </w:rPr>
        <w:t xml:space="preserve">. </w:t>
      </w:r>
      <w:r w:rsidR="00C85E24" w:rsidRPr="00C85E24">
        <w:rPr>
          <w:rFonts w:cs="Arial"/>
          <w:color w:val="333333"/>
        </w:rPr>
        <w:t>A company will appear more efficient the shorter the time it takes to recover these debts</w:t>
      </w:r>
      <w:r w:rsidR="00C85E24">
        <w:rPr>
          <w:rFonts w:cs="Arial"/>
          <w:color w:val="333333"/>
        </w:rPr>
        <w:t>.</w:t>
      </w:r>
      <w:r w:rsidR="00C85E24" w:rsidRPr="00C85E24">
        <w:rPr>
          <w:rFonts w:cs="Arial"/>
          <w:color w:val="333333"/>
        </w:rPr>
        <w:t xml:space="preserve"> An extended duration suggests troublesome trade debtors or reduced overall effectiveness.</w:t>
      </w:r>
    </w:p>
    <w:p w14:paraId="1FAE320B" w14:textId="0B06D0A2" w:rsidR="008C77EB" w:rsidRDefault="008C77EB" w:rsidP="002630B1">
      <w:pPr>
        <w:spacing w:line="360" w:lineRule="auto"/>
        <w:jc w:val="both"/>
      </w:pPr>
      <w:r>
        <w:t>Formula:</w:t>
      </w:r>
      <w:r w:rsidRPr="008C77EB">
        <w:t xml:space="preserve"> (Account Receivable/Sales) x 365</w:t>
      </w:r>
    </w:p>
    <w:tbl>
      <w:tblPr>
        <w:tblStyle w:val="TableGrid"/>
        <w:tblW w:w="0" w:type="auto"/>
        <w:tblLook w:val="04A0" w:firstRow="1" w:lastRow="0" w:firstColumn="1" w:lastColumn="0" w:noHBand="0" w:noVBand="1"/>
      </w:tblPr>
      <w:tblGrid>
        <w:gridCol w:w="4957"/>
        <w:gridCol w:w="2126"/>
        <w:gridCol w:w="1933"/>
      </w:tblGrid>
      <w:tr w:rsidR="008C77EB" w14:paraId="5B1B2BCA" w14:textId="77777777" w:rsidTr="008C77EB">
        <w:tc>
          <w:tcPr>
            <w:tcW w:w="4957" w:type="dxa"/>
          </w:tcPr>
          <w:p w14:paraId="26A4EB7C" w14:textId="77777777" w:rsidR="008C77EB" w:rsidRDefault="008C77EB" w:rsidP="002630B1">
            <w:pPr>
              <w:spacing w:line="360" w:lineRule="auto"/>
              <w:jc w:val="both"/>
            </w:pPr>
          </w:p>
        </w:tc>
        <w:tc>
          <w:tcPr>
            <w:tcW w:w="2126" w:type="dxa"/>
          </w:tcPr>
          <w:p w14:paraId="1FEAADE5" w14:textId="51120FC8" w:rsidR="008C77EB" w:rsidRDefault="008C77EB" w:rsidP="002630B1">
            <w:pPr>
              <w:spacing w:line="360" w:lineRule="auto"/>
              <w:jc w:val="both"/>
            </w:pPr>
            <w:r>
              <w:t>2022</w:t>
            </w:r>
          </w:p>
        </w:tc>
        <w:tc>
          <w:tcPr>
            <w:tcW w:w="1933" w:type="dxa"/>
          </w:tcPr>
          <w:p w14:paraId="091DE65D" w14:textId="754394C2" w:rsidR="008C77EB" w:rsidRDefault="008C77EB" w:rsidP="002630B1">
            <w:pPr>
              <w:spacing w:line="360" w:lineRule="auto"/>
              <w:jc w:val="both"/>
            </w:pPr>
            <w:r>
              <w:t>2021</w:t>
            </w:r>
          </w:p>
        </w:tc>
      </w:tr>
      <w:tr w:rsidR="008C77EB" w14:paraId="205C1176" w14:textId="77777777" w:rsidTr="008C77EB">
        <w:tc>
          <w:tcPr>
            <w:tcW w:w="4957" w:type="dxa"/>
          </w:tcPr>
          <w:p w14:paraId="3C6BD274" w14:textId="36517BD7" w:rsidR="008C77EB" w:rsidRDefault="008C77EB" w:rsidP="002630B1">
            <w:pPr>
              <w:spacing w:line="360" w:lineRule="auto"/>
              <w:jc w:val="both"/>
            </w:pPr>
            <w:r w:rsidRPr="008C77EB">
              <w:t>Account Receivables</w:t>
            </w:r>
          </w:p>
        </w:tc>
        <w:tc>
          <w:tcPr>
            <w:tcW w:w="2126" w:type="dxa"/>
          </w:tcPr>
          <w:p w14:paraId="0F757F77" w14:textId="3DD96BCC" w:rsidR="008C77EB" w:rsidRDefault="008C77EB" w:rsidP="002630B1">
            <w:pPr>
              <w:spacing w:line="360" w:lineRule="auto"/>
              <w:jc w:val="both"/>
            </w:pPr>
            <w:r w:rsidRPr="008C77EB">
              <w:t>1,249</w:t>
            </w:r>
          </w:p>
        </w:tc>
        <w:tc>
          <w:tcPr>
            <w:tcW w:w="1933" w:type="dxa"/>
          </w:tcPr>
          <w:p w14:paraId="29A7AB1C" w14:textId="78191BF3" w:rsidR="008C77EB" w:rsidRDefault="008C77EB" w:rsidP="002630B1">
            <w:pPr>
              <w:spacing w:line="360" w:lineRule="auto"/>
              <w:jc w:val="both"/>
            </w:pPr>
            <w:r w:rsidRPr="008C77EB">
              <w:t>1,287</w:t>
            </w:r>
          </w:p>
        </w:tc>
      </w:tr>
      <w:tr w:rsidR="008C77EB" w14:paraId="7682C051" w14:textId="77777777" w:rsidTr="008C77EB">
        <w:tc>
          <w:tcPr>
            <w:tcW w:w="4957" w:type="dxa"/>
          </w:tcPr>
          <w:p w14:paraId="0716AFDE" w14:textId="738BAC87" w:rsidR="008C77EB" w:rsidRDefault="008C77EB" w:rsidP="002630B1">
            <w:pPr>
              <w:spacing w:line="360" w:lineRule="auto"/>
              <w:jc w:val="both"/>
            </w:pPr>
            <w:r w:rsidRPr="008C77EB">
              <w:t>Sales</w:t>
            </w:r>
          </w:p>
        </w:tc>
        <w:tc>
          <w:tcPr>
            <w:tcW w:w="2126" w:type="dxa"/>
          </w:tcPr>
          <w:p w14:paraId="0C657C84" w14:textId="346A5292" w:rsidR="008C77EB" w:rsidRDefault="009A08B2" w:rsidP="002630B1">
            <w:pPr>
              <w:spacing w:line="360" w:lineRule="auto"/>
              <w:jc w:val="both"/>
            </w:pPr>
            <w:r w:rsidRPr="009A08B2">
              <w:t>6,738</w:t>
            </w:r>
          </w:p>
        </w:tc>
        <w:tc>
          <w:tcPr>
            <w:tcW w:w="1933" w:type="dxa"/>
          </w:tcPr>
          <w:p w14:paraId="2C669584" w14:textId="771B2669" w:rsidR="008C77EB" w:rsidRDefault="009A08B2" w:rsidP="002630B1">
            <w:pPr>
              <w:spacing w:line="360" w:lineRule="auto"/>
              <w:jc w:val="both"/>
            </w:pPr>
            <w:r w:rsidRPr="009A08B2">
              <w:t>6,441</w:t>
            </w:r>
          </w:p>
        </w:tc>
      </w:tr>
      <w:tr w:rsidR="008C77EB" w14:paraId="57DFAA25" w14:textId="77777777" w:rsidTr="008C77EB">
        <w:tc>
          <w:tcPr>
            <w:tcW w:w="4957" w:type="dxa"/>
          </w:tcPr>
          <w:p w14:paraId="1118DBB0" w14:textId="71581955" w:rsidR="008C77EB" w:rsidRDefault="008C77EB" w:rsidP="002630B1">
            <w:pPr>
              <w:spacing w:line="360" w:lineRule="auto"/>
              <w:jc w:val="both"/>
            </w:pPr>
            <w:r w:rsidRPr="008C77EB">
              <w:t xml:space="preserve">Account Receivable </w:t>
            </w:r>
            <w:r w:rsidR="007B769D" w:rsidRPr="008C77EB">
              <w:t>Days (</w:t>
            </w:r>
            <w:r w:rsidRPr="008C77EB">
              <w:t>Debtor Collection Period)</w:t>
            </w:r>
          </w:p>
        </w:tc>
        <w:tc>
          <w:tcPr>
            <w:tcW w:w="2126" w:type="dxa"/>
          </w:tcPr>
          <w:p w14:paraId="01B0B6F3" w14:textId="18FFA67C" w:rsidR="008C77EB" w:rsidRDefault="009A08B2" w:rsidP="002630B1">
            <w:pPr>
              <w:spacing w:line="360" w:lineRule="auto"/>
              <w:jc w:val="both"/>
            </w:pPr>
            <w:r w:rsidRPr="009A08B2">
              <w:t>67.66</w:t>
            </w:r>
          </w:p>
        </w:tc>
        <w:tc>
          <w:tcPr>
            <w:tcW w:w="1933" w:type="dxa"/>
          </w:tcPr>
          <w:p w14:paraId="73672ABE" w14:textId="3627D3CF" w:rsidR="008C77EB" w:rsidRDefault="009A08B2" w:rsidP="002630B1">
            <w:pPr>
              <w:spacing w:line="360" w:lineRule="auto"/>
              <w:jc w:val="both"/>
            </w:pPr>
            <w:r w:rsidRPr="009A08B2">
              <w:t>72.93</w:t>
            </w:r>
          </w:p>
        </w:tc>
      </w:tr>
    </w:tbl>
    <w:p w14:paraId="553162D1" w14:textId="2B821205" w:rsidR="008C77EB" w:rsidRDefault="009A08B2" w:rsidP="002630B1">
      <w:pPr>
        <w:spacing w:line="360" w:lineRule="auto"/>
        <w:jc w:val="both"/>
      </w:pPr>
      <w:r>
        <w:t xml:space="preserve">                                                                                                                                     TABLE 8</w:t>
      </w:r>
    </w:p>
    <w:p w14:paraId="0603B1B7" w14:textId="092570E1" w:rsidR="008C77EB" w:rsidRDefault="008C77EB" w:rsidP="002630B1">
      <w:pPr>
        <w:spacing w:line="360" w:lineRule="auto"/>
        <w:jc w:val="both"/>
      </w:pPr>
      <w:r>
        <w:t xml:space="preserve">Hence, it can be ascertained that the business requires </w:t>
      </w:r>
      <w:r w:rsidR="009A08B2">
        <w:t>a smaller</w:t>
      </w:r>
      <w:r>
        <w:t xml:space="preserve"> number of days amounting to 68 days in 2022 from73 days in 2021.</w:t>
      </w:r>
    </w:p>
    <w:p w14:paraId="420080E1" w14:textId="410D7BED" w:rsidR="009A08B2" w:rsidRDefault="009A08B2" w:rsidP="002630B1">
      <w:pPr>
        <w:pStyle w:val="Heading2"/>
        <w:spacing w:line="360" w:lineRule="auto"/>
        <w:jc w:val="both"/>
        <w:rPr>
          <w:rFonts w:ascii="Arial" w:hAnsi="Arial" w:cs="Arial"/>
          <w:b/>
          <w:bCs/>
          <w:color w:val="auto"/>
          <w:sz w:val="24"/>
          <w:szCs w:val="24"/>
        </w:rPr>
      </w:pPr>
      <w:bookmarkStart w:id="20" w:name="_Toc153882271"/>
      <w:r w:rsidRPr="009A08B2">
        <w:rPr>
          <w:rFonts w:ascii="Arial" w:hAnsi="Arial" w:cs="Arial"/>
          <w:b/>
          <w:bCs/>
          <w:color w:val="auto"/>
          <w:sz w:val="24"/>
          <w:szCs w:val="24"/>
        </w:rPr>
        <w:t>3.</w:t>
      </w:r>
      <w:r>
        <w:rPr>
          <w:rFonts w:ascii="Arial" w:hAnsi="Arial" w:cs="Arial"/>
          <w:b/>
          <w:bCs/>
          <w:color w:val="auto"/>
          <w:sz w:val="24"/>
          <w:szCs w:val="24"/>
        </w:rPr>
        <w:t>a</w:t>
      </w:r>
      <w:r w:rsidRPr="009A08B2">
        <w:rPr>
          <w:rFonts w:ascii="Arial" w:hAnsi="Arial" w:cs="Arial"/>
          <w:b/>
          <w:bCs/>
          <w:color w:val="auto"/>
          <w:sz w:val="24"/>
          <w:szCs w:val="24"/>
        </w:rPr>
        <w:t>.8: Current Ratio</w:t>
      </w:r>
      <w:bookmarkEnd w:id="20"/>
    </w:p>
    <w:p w14:paraId="3E9B992A" w14:textId="74130C5A" w:rsidR="009A08B2" w:rsidRDefault="008356B2" w:rsidP="002630B1">
      <w:pPr>
        <w:spacing w:line="360" w:lineRule="auto"/>
        <w:jc w:val="both"/>
        <w:rPr>
          <w:rFonts w:cs="Arial"/>
          <w:color w:val="111111"/>
          <w:spacing w:val="1"/>
          <w:shd w:val="clear" w:color="auto" w:fill="FFFFFF"/>
        </w:rPr>
      </w:pPr>
      <w:r>
        <w:rPr>
          <w:rFonts w:cs="Arial"/>
          <w:color w:val="111111"/>
          <w:spacing w:val="1"/>
          <w:shd w:val="clear" w:color="auto" w:fill="FFFFFF"/>
        </w:rPr>
        <w:t>T</w:t>
      </w:r>
      <w:r w:rsidRPr="008356B2">
        <w:rPr>
          <w:rFonts w:cs="Arial"/>
          <w:color w:val="111111"/>
          <w:spacing w:val="1"/>
          <w:shd w:val="clear" w:color="auto" w:fill="FFFFFF"/>
        </w:rPr>
        <w:t>he current ratio is a </w:t>
      </w:r>
      <w:hyperlink r:id="rId8" w:history="1">
        <w:r w:rsidRPr="008356B2">
          <w:rPr>
            <w:rFonts w:cs="Arial"/>
            <w:spacing w:val="1"/>
            <w:shd w:val="clear" w:color="auto" w:fill="FFFFFF"/>
          </w:rPr>
          <w:t>liquidity ratio</w:t>
        </w:r>
      </w:hyperlink>
      <w:r w:rsidRPr="008356B2">
        <w:rPr>
          <w:rFonts w:cs="Arial"/>
          <w:color w:val="111111"/>
          <w:spacing w:val="1"/>
          <w:shd w:val="clear" w:color="auto" w:fill="FFFFFF"/>
        </w:rPr>
        <w:t> that measures a company’s ability to pay short-term obligations or those due within one year</w:t>
      </w:r>
      <w:sdt>
        <w:sdtPr>
          <w:rPr>
            <w:rFonts w:cs="Arial"/>
            <w:color w:val="111111"/>
            <w:spacing w:val="1"/>
            <w:shd w:val="clear" w:color="auto" w:fill="FFFFFF"/>
          </w:rPr>
          <w:id w:val="-1024390000"/>
          <w:citation/>
        </w:sdtPr>
        <w:sdtContent>
          <w:r>
            <w:rPr>
              <w:rFonts w:cs="Arial"/>
              <w:color w:val="111111"/>
              <w:spacing w:val="1"/>
              <w:shd w:val="clear" w:color="auto" w:fill="FFFFFF"/>
            </w:rPr>
            <w:fldChar w:fldCharType="begin"/>
          </w:r>
          <w:r>
            <w:rPr>
              <w:rFonts w:cs="Arial"/>
              <w:color w:val="111111"/>
              <w:spacing w:val="1"/>
              <w:shd w:val="clear" w:color="auto" w:fill="FFFFFF"/>
            </w:rPr>
            <w:instrText xml:space="preserve">CITATION Jas23 \l 2057 </w:instrText>
          </w:r>
          <w:r>
            <w:rPr>
              <w:rFonts w:cs="Arial"/>
              <w:color w:val="111111"/>
              <w:spacing w:val="1"/>
              <w:shd w:val="clear" w:color="auto" w:fill="FFFFFF"/>
            </w:rPr>
            <w:fldChar w:fldCharType="separate"/>
          </w:r>
          <w:r w:rsidR="00236F3C">
            <w:rPr>
              <w:rFonts w:cs="Arial"/>
              <w:noProof/>
              <w:color w:val="111111"/>
              <w:spacing w:val="1"/>
              <w:shd w:val="clear" w:color="auto" w:fill="FFFFFF"/>
            </w:rPr>
            <w:t xml:space="preserve"> </w:t>
          </w:r>
          <w:r w:rsidR="00236F3C" w:rsidRPr="00236F3C">
            <w:rPr>
              <w:rFonts w:cs="Arial"/>
              <w:noProof/>
              <w:color w:val="111111"/>
              <w:spacing w:val="1"/>
              <w:shd w:val="clear" w:color="auto" w:fill="FFFFFF"/>
            </w:rPr>
            <w:t>(Jason Fernando, 2023)</w:t>
          </w:r>
          <w:r>
            <w:rPr>
              <w:rFonts w:cs="Arial"/>
              <w:color w:val="111111"/>
              <w:spacing w:val="1"/>
              <w:shd w:val="clear" w:color="auto" w:fill="FFFFFF"/>
            </w:rPr>
            <w:fldChar w:fldCharType="end"/>
          </w:r>
        </w:sdtContent>
      </w:sdt>
      <w:r>
        <w:rPr>
          <w:rFonts w:cs="Arial"/>
          <w:color w:val="111111"/>
          <w:spacing w:val="1"/>
          <w:shd w:val="clear" w:color="auto" w:fill="FFFFFF"/>
        </w:rPr>
        <w:t>.</w:t>
      </w:r>
    </w:p>
    <w:p w14:paraId="760BAF6B" w14:textId="63047C18" w:rsidR="008356B2" w:rsidRDefault="008356B2" w:rsidP="002630B1">
      <w:pPr>
        <w:spacing w:line="360" w:lineRule="auto"/>
        <w:jc w:val="both"/>
        <w:rPr>
          <w:rFonts w:cs="Arial"/>
          <w:color w:val="111111"/>
          <w:spacing w:val="1"/>
          <w:shd w:val="clear" w:color="auto" w:fill="FFFFFF"/>
        </w:rPr>
      </w:pPr>
      <w:r>
        <w:rPr>
          <w:rFonts w:cs="Arial"/>
          <w:color w:val="111111"/>
          <w:spacing w:val="1"/>
          <w:shd w:val="clear" w:color="auto" w:fill="FFFFFF"/>
        </w:rPr>
        <w:t>Formula: Current Assets/Current Liabilities</w:t>
      </w:r>
    </w:p>
    <w:tbl>
      <w:tblPr>
        <w:tblStyle w:val="TableGrid"/>
        <w:tblW w:w="0" w:type="auto"/>
        <w:tblLook w:val="04A0" w:firstRow="1" w:lastRow="0" w:firstColumn="1" w:lastColumn="0" w:noHBand="0" w:noVBand="1"/>
      </w:tblPr>
      <w:tblGrid>
        <w:gridCol w:w="4957"/>
        <w:gridCol w:w="2126"/>
        <w:gridCol w:w="1933"/>
      </w:tblGrid>
      <w:tr w:rsidR="008356B2" w14:paraId="245D3EAE" w14:textId="77777777" w:rsidTr="009721D2">
        <w:tc>
          <w:tcPr>
            <w:tcW w:w="4957" w:type="dxa"/>
          </w:tcPr>
          <w:p w14:paraId="60CD7152" w14:textId="77777777" w:rsidR="008356B2" w:rsidRDefault="008356B2" w:rsidP="002630B1">
            <w:pPr>
              <w:spacing w:line="360" w:lineRule="auto"/>
              <w:jc w:val="both"/>
              <w:rPr>
                <w:rFonts w:cs="Arial"/>
                <w:color w:val="111111"/>
                <w:spacing w:val="1"/>
                <w:shd w:val="clear" w:color="auto" w:fill="FFFFFF"/>
              </w:rPr>
            </w:pPr>
          </w:p>
        </w:tc>
        <w:tc>
          <w:tcPr>
            <w:tcW w:w="2126" w:type="dxa"/>
          </w:tcPr>
          <w:p w14:paraId="4481331A" w14:textId="6F8AAD0E" w:rsidR="008356B2" w:rsidRDefault="008356B2" w:rsidP="002630B1">
            <w:pPr>
              <w:spacing w:line="360" w:lineRule="auto"/>
              <w:jc w:val="both"/>
              <w:rPr>
                <w:rFonts w:cs="Arial"/>
                <w:color w:val="111111"/>
                <w:spacing w:val="1"/>
                <w:shd w:val="clear" w:color="auto" w:fill="FFFFFF"/>
              </w:rPr>
            </w:pPr>
            <w:r>
              <w:rPr>
                <w:rFonts w:cs="Arial"/>
                <w:color w:val="111111"/>
                <w:spacing w:val="1"/>
                <w:shd w:val="clear" w:color="auto" w:fill="FFFFFF"/>
              </w:rPr>
              <w:t>2022</w:t>
            </w:r>
          </w:p>
        </w:tc>
        <w:tc>
          <w:tcPr>
            <w:tcW w:w="1933" w:type="dxa"/>
          </w:tcPr>
          <w:p w14:paraId="2B923DE5" w14:textId="0C550692" w:rsidR="008356B2" w:rsidRDefault="008356B2" w:rsidP="002630B1">
            <w:pPr>
              <w:spacing w:line="360" w:lineRule="auto"/>
              <w:jc w:val="both"/>
              <w:rPr>
                <w:rFonts w:cs="Arial"/>
                <w:color w:val="111111"/>
                <w:spacing w:val="1"/>
                <w:shd w:val="clear" w:color="auto" w:fill="FFFFFF"/>
              </w:rPr>
            </w:pPr>
            <w:r>
              <w:rPr>
                <w:rFonts w:cs="Arial"/>
                <w:color w:val="111111"/>
                <w:spacing w:val="1"/>
                <w:shd w:val="clear" w:color="auto" w:fill="FFFFFF"/>
              </w:rPr>
              <w:t>2021</w:t>
            </w:r>
          </w:p>
        </w:tc>
      </w:tr>
      <w:tr w:rsidR="008356B2" w14:paraId="41455D11" w14:textId="77777777" w:rsidTr="009721D2">
        <w:tc>
          <w:tcPr>
            <w:tcW w:w="4957" w:type="dxa"/>
          </w:tcPr>
          <w:p w14:paraId="283A4D70" w14:textId="0389150F" w:rsidR="008356B2" w:rsidRDefault="008356B2" w:rsidP="002630B1">
            <w:pPr>
              <w:spacing w:line="360" w:lineRule="auto"/>
              <w:jc w:val="both"/>
              <w:rPr>
                <w:rFonts w:cs="Arial"/>
                <w:color w:val="111111"/>
                <w:spacing w:val="1"/>
                <w:shd w:val="clear" w:color="auto" w:fill="FFFFFF"/>
              </w:rPr>
            </w:pPr>
            <w:r>
              <w:rPr>
                <w:rFonts w:cs="Arial"/>
                <w:color w:val="111111"/>
                <w:spacing w:val="1"/>
                <w:shd w:val="clear" w:color="auto" w:fill="FFFFFF"/>
              </w:rPr>
              <w:t>Current Assets</w:t>
            </w:r>
          </w:p>
        </w:tc>
        <w:tc>
          <w:tcPr>
            <w:tcW w:w="2126" w:type="dxa"/>
          </w:tcPr>
          <w:p w14:paraId="5FB98C51" w14:textId="0ECB5883" w:rsidR="008356B2" w:rsidRDefault="0001122D" w:rsidP="002630B1">
            <w:pPr>
              <w:spacing w:line="360" w:lineRule="auto"/>
              <w:jc w:val="both"/>
              <w:rPr>
                <w:rFonts w:cs="Arial"/>
                <w:color w:val="111111"/>
                <w:spacing w:val="1"/>
                <w:shd w:val="clear" w:color="auto" w:fill="FFFFFF"/>
              </w:rPr>
            </w:pPr>
            <w:r>
              <w:rPr>
                <w:rFonts w:cs="Arial"/>
                <w:color w:val="111111"/>
                <w:spacing w:val="1"/>
                <w:shd w:val="clear" w:color="auto" w:fill="FFFFFF"/>
              </w:rPr>
              <w:t>2,303</w:t>
            </w:r>
          </w:p>
        </w:tc>
        <w:tc>
          <w:tcPr>
            <w:tcW w:w="1933" w:type="dxa"/>
          </w:tcPr>
          <w:p w14:paraId="6C48D5F7" w14:textId="57A84AF2" w:rsidR="008356B2" w:rsidRDefault="0001122D" w:rsidP="002630B1">
            <w:pPr>
              <w:spacing w:line="360" w:lineRule="auto"/>
              <w:jc w:val="both"/>
              <w:rPr>
                <w:rFonts w:cs="Arial"/>
                <w:color w:val="111111"/>
                <w:spacing w:val="1"/>
                <w:shd w:val="clear" w:color="auto" w:fill="FFFFFF"/>
              </w:rPr>
            </w:pPr>
            <w:r>
              <w:rPr>
                <w:rFonts w:cs="Arial"/>
                <w:color w:val="111111"/>
                <w:spacing w:val="1"/>
                <w:shd w:val="clear" w:color="auto" w:fill="FFFFFF"/>
              </w:rPr>
              <w:t>2,355</w:t>
            </w:r>
          </w:p>
        </w:tc>
      </w:tr>
      <w:tr w:rsidR="008356B2" w14:paraId="2198297B" w14:textId="77777777" w:rsidTr="009721D2">
        <w:tc>
          <w:tcPr>
            <w:tcW w:w="4957" w:type="dxa"/>
          </w:tcPr>
          <w:p w14:paraId="1D10243A" w14:textId="31FBA059" w:rsidR="008356B2" w:rsidRDefault="008356B2" w:rsidP="002630B1">
            <w:pPr>
              <w:spacing w:line="360" w:lineRule="auto"/>
              <w:jc w:val="both"/>
              <w:rPr>
                <w:rFonts w:cs="Arial"/>
                <w:color w:val="111111"/>
                <w:spacing w:val="1"/>
                <w:shd w:val="clear" w:color="auto" w:fill="FFFFFF"/>
              </w:rPr>
            </w:pPr>
            <w:r>
              <w:rPr>
                <w:rFonts w:cs="Arial"/>
                <w:color w:val="111111"/>
                <w:spacing w:val="1"/>
                <w:shd w:val="clear" w:color="auto" w:fill="FFFFFF"/>
              </w:rPr>
              <w:t>Current Liabilities</w:t>
            </w:r>
          </w:p>
        </w:tc>
        <w:tc>
          <w:tcPr>
            <w:tcW w:w="2126" w:type="dxa"/>
          </w:tcPr>
          <w:p w14:paraId="0F4A90C0" w14:textId="2A0F5190" w:rsidR="008356B2" w:rsidRDefault="0001122D" w:rsidP="002630B1">
            <w:pPr>
              <w:spacing w:line="360" w:lineRule="auto"/>
              <w:jc w:val="both"/>
              <w:rPr>
                <w:rFonts w:cs="Arial"/>
                <w:color w:val="111111"/>
                <w:spacing w:val="1"/>
                <w:shd w:val="clear" w:color="auto" w:fill="FFFFFF"/>
              </w:rPr>
            </w:pPr>
            <w:r>
              <w:rPr>
                <w:rFonts w:cs="Arial"/>
                <w:color w:val="111111"/>
                <w:spacing w:val="1"/>
                <w:shd w:val="clear" w:color="auto" w:fill="FFFFFF"/>
              </w:rPr>
              <w:t>2,511</w:t>
            </w:r>
          </w:p>
        </w:tc>
        <w:tc>
          <w:tcPr>
            <w:tcW w:w="1933" w:type="dxa"/>
          </w:tcPr>
          <w:p w14:paraId="3A9FDAC2" w14:textId="6E50048C" w:rsidR="008356B2" w:rsidRDefault="0001122D" w:rsidP="002630B1">
            <w:pPr>
              <w:spacing w:line="360" w:lineRule="auto"/>
              <w:jc w:val="both"/>
              <w:rPr>
                <w:rFonts w:cs="Arial"/>
                <w:color w:val="111111"/>
                <w:spacing w:val="1"/>
                <w:shd w:val="clear" w:color="auto" w:fill="FFFFFF"/>
              </w:rPr>
            </w:pPr>
            <w:r>
              <w:rPr>
                <w:rFonts w:cs="Arial"/>
                <w:color w:val="111111"/>
                <w:spacing w:val="1"/>
                <w:shd w:val="clear" w:color="auto" w:fill="FFFFFF"/>
              </w:rPr>
              <w:t>3,046</w:t>
            </w:r>
          </w:p>
        </w:tc>
      </w:tr>
      <w:tr w:rsidR="008356B2" w14:paraId="27F4FFCF" w14:textId="77777777" w:rsidTr="009721D2">
        <w:tc>
          <w:tcPr>
            <w:tcW w:w="4957" w:type="dxa"/>
          </w:tcPr>
          <w:p w14:paraId="657C27D3" w14:textId="623BFA3B" w:rsidR="008356B2" w:rsidRPr="008356B2" w:rsidRDefault="008356B2" w:rsidP="002630B1">
            <w:pPr>
              <w:spacing w:line="360" w:lineRule="auto"/>
              <w:jc w:val="both"/>
              <w:rPr>
                <w:rFonts w:cs="Arial"/>
                <w:color w:val="111111"/>
                <w:spacing w:val="1"/>
                <w:shd w:val="clear" w:color="auto" w:fill="FFFFFF"/>
              </w:rPr>
            </w:pPr>
            <w:r w:rsidRPr="008356B2">
              <w:rPr>
                <w:rFonts w:cs="Arial"/>
              </w:rPr>
              <w:t>Current Ratio</w:t>
            </w:r>
          </w:p>
        </w:tc>
        <w:tc>
          <w:tcPr>
            <w:tcW w:w="2126" w:type="dxa"/>
          </w:tcPr>
          <w:p w14:paraId="6710C92E" w14:textId="5C575EE2" w:rsidR="008356B2" w:rsidRDefault="0001122D" w:rsidP="002630B1">
            <w:pPr>
              <w:spacing w:line="360" w:lineRule="auto"/>
              <w:jc w:val="both"/>
              <w:rPr>
                <w:rFonts w:cs="Arial"/>
                <w:color w:val="111111"/>
                <w:spacing w:val="1"/>
                <w:shd w:val="clear" w:color="auto" w:fill="FFFFFF"/>
              </w:rPr>
            </w:pPr>
            <w:r>
              <w:rPr>
                <w:rFonts w:cs="Arial"/>
                <w:color w:val="111111"/>
                <w:spacing w:val="1"/>
                <w:shd w:val="clear" w:color="auto" w:fill="FFFFFF"/>
              </w:rPr>
              <w:t>0.92</w:t>
            </w:r>
          </w:p>
        </w:tc>
        <w:tc>
          <w:tcPr>
            <w:tcW w:w="1933" w:type="dxa"/>
          </w:tcPr>
          <w:p w14:paraId="0A02C966" w14:textId="631CE587" w:rsidR="008356B2" w:rsidRDefault="0001122D" w:rsidP="002630B1">
            <w:pPr>
              <w:spacing w:line="360" w:lineRule="auto"/>
              <w:jc w:val="both"/>
              <w:rPr>
                <w:rFonts w:cs="Arial"/>
                <w:color w:val="111111"/>
                <w:spacing w:val="1"/>
                <w:shd w:val="clear" w:color="auto" w:fill="FFFFFF"/>
              </w:rPr>
            </w:pPr>
            <w:r>
              <w:rPr>
                <w:rFonts w:cs="Arial"/>
                <w:color w:val="111111"/>
                <w:spacing w:val="1"/>
                <w:shd w:val="clear" w:color="auto" w:fill="FFFFFF"/>
              </w:rPr>
              <w:t>0.77</w:t>
            </w:r>
          </w:p>
        </w:tc>
      </w:tr>
    </w:tbl>
    <w:p w14:paraId="74456811" w14:textId="7C2043AE" w:rsidR="008356B2" w:rsidRDefault="00236F3C" w:rsidP="002630B1">
      <w:pPr>
        <w:spacing w:line="360" w:lineRule="auto"/>
        <w:jc w:val="both"/>
        <w:rPr>
          <w:rFonts w:cs="Arial"/>
          <w:color w:val="111111"/>
          <w:spacing w:val="1"/>
          <w:shd w:val="clear" w:color="auto" w:fill="FFFFFF"/>
        </w:rPr>
      </w:pPr>
      <w:r>
        <w:rPr>
          <w:rFonts w:cs="Arial"/>
          <w:color w:val="111111"/>
          <w:spacing w:val="1"/>
          <w:shd w:val="clear" w:color="auto" w:fill="FFFFFF"/>
        </w:rPr>
        <w:t xml:space="preserve">                                                                                                                                   TABLE 9</w:t>
      </w:r>
    </w:p>
    <w:p w14:paraId="3E0284F6" w14:textId="77777777" w:rsidR="008356B2" w:rsidRDefault="008356B2" w:rsidP="00DF781A">
      <w:pPr>
        <w:spacing w:line="360" w:lineRule="auto"/>
        <w:jc w:val="both"/>
        <w:rPr>
          <w:rFonts w:cs="Arial"/>
          <w:color w:val="111111"/>
          <w:spacing w:val="1"/>
          <w:shd w:val="clear" w:color="auto" w:fill="FFFFFF"/>
        </w:rPr>
      </w:pPr>
    </w:p>
    <w:p w14:paraId="743A78C6" w14:textId="10A19702" w:rsidR="009A08B2" w:rsidRPr="009A08B2" w:rsidRDefault="008356B2" w:rsidP="00DF781A">
      <w:pPr>
        <w:spacing w:line="360" w:lineRule="auto"/>
        <w:jc w:val="both"/>
      </w:pPr>
      <w:r>
        <w:lastRenderedPageBreak/>
        <w:t>The current ratio indicating the potential to clear off payment obligations indicated that it has</w:t>
      </w:r>
      <w:r w:rsidR="00DF781A">
        <w:t xml:space="preserve"> </w:t>
      </w:r>
      <w:r>
        <w:t xml:space="preserve">increased from 0.77 in 2021 to 0.92 in 2022 coercively. The current ratio is significant in term </w:t>
      </w:r>
      <w:r w:rsidR="00DF781A">
        <w:t xml:space="preserve"> </w:t>
      </w:r>
      <w:r>
        <w:t>of indicating the net profitability.</w:t>
      </w:r>
    </w:p>
    <w:p w14:paraId="28127E39" w14:textId="540A0AA5" w:rsidR="005D1FC5" w:rsidRDefault="009721D2" w:rsidP="002630B1">
      <w:pPr>
        <w:pStyle w:val="Heading2"/>
        <w:spacing w:line="360" w:lineRule="auto"/>
        <w:jc w:val="both"/>
        <w:rPr>
          <w:rFonts w:ascii="Arial" w:hAnsi="Arial" w:cs="Arial"/>
          <w:b/>
          <w:bCs/>
          <w:color w:val="auto"/>
          <w:sz w:val="24"/>
          <w:szCs w:val="24"/>
        </w:rPr>
      </w:pPr>
      <w:bookmarkStart w:id="21" w:name="_Toc153882272"/>
      <w:r w:rsidRPr="009721D2">
        <w:rPr>
          <w:rFonts w:ascii="Arial" w:hAnsi="Arial" w:cs="Arial"/>
          <w:b/>
          <w:bCs/>
          <w:color w:val="auto"/>
          <w:sz w:val="24"/>
          <w:szCs w:val="24"/>
        </w:rPr>
        <w:t>3.</w:t>
      </w:r>
      <w:r>
        <w:rPr>
          <w:rFonts w:ascii="Arial" w:hAnsi="Arial" w:cs="Arial"/>
          <w:b/>
          <w:bCs/>
          <w:color w:val="auto"/>
          <w:sz w:val="24"/>
          <w:szCs w:val="24"/>
        </w:rPr>
        <w:t>a</w:t>
      </w:r>
      <w:r w:rsidRPr="009721D2">
        <w:rPr>
          <w:rFonts w:ascii="Arial" w:hAnsi="Arial" w:cs="Arial"/>
          <w:b/>
          <w:bCs/>
          <w:color w:val="auto"/>
          <w:sz w:val="24"/>
          <w:szCs w:val="24"/>
        </w:rPr>
        <w:t>.9: Gearing Ratio</w:t>
      </w:r>
      <w:bookmarkEnd w:id="21"/>
    </w:p>
    <w:p w14:paraId="3E38CF4F" w14:textId="626FA6F9" w:rsidR="005D1FC5" w:rsidRDefault="00C85E24" w:rsidP="00C85E24">
      <w:r w:rsidRPr="00C85E24">
        <w:t>The ability of gearing ratios to show investors and analysts how much leverage a company has relative to equity makes them valuable financial measurements</w:t>
      </w:r>
      <w:sdt>
        <w:sdtPr>
          <w:id w:val="117653754"/>
          <w:citation/>
        </w:sdtPr>
        <w:sdtContent>
          <w:r w:rsidR="009721D2">
            <w:fldChar w:fldCharType="begin"/>
          </w:r>
          <w:r w:rsidR="009721D2">
            <w:instrText xml:space="preserve"> CITATION Cla23 \l 2057 </w:instrText>
          </w:r>
          <w:r w:rsidR="009721D2">
            <w:fldChar w:fldCharType="separate"/>
          </w:r>
          <w:r w:rsidR="00236F3C">
            <w:rPr>
              <w:noProof/>
            </w:rPr>
            <w:t xml:space="preserve"> (Boyte-White, 2023)</w:t>
          </w:r>
          <w:r w:rsidR="009721D2">
            <w:fldChar w:fldCharType="end"/>
          </w:r>
        </w:sdtContent>
      </w:sdt>
      <w:r w:rsidR="009721D2">
        <w:t>.</w:t>
      </w:r>
    </w:p>
    <w:p w14:paraId="78C16227" w14:textId="32CD15B1" w:rsidR="00165677" w:rsidRDefault="00165677" w:rsidP="002630B1">
      <w:pPr>
        <w:spacing w:line="360" w:lineRule="auto"/>
        <w:jc w:val="both"/>
      </w:pPr>
      <w:r>
        <w:t>Formula:</w:t>
      </w:r>
      <w:r w:rsidR="004C36BA">
        <w:t xml:space="preserve"> Total Debt/Total Equity</w:t>
      </w:r>
    </w:p>
    <w:tbl>
      <w:tblPr>
        <w:tblStyle w:val="TableGrid"/>
        <w:tblW w:w="0" w:type="auto"/>
        <w:tblLook w:val="04A0" w:firstRow="1" w:lastRow="0" w:firstColumn="1" w:lastColumn="0" w:noHBand="0" w:noVBand="1"/>
      </w:tblPr>
      <w:tblGrid>
        <w:gridCol w:w="4957"/>
        <w:gridCol w:w="2126"/>
        <w:gridCol w:w="1933"/>
      </w:tblGrid>
      <w:tr w:rsidR="009721D2" w14:paraId="3D3E3956" w14:textId="77777777" w:rsidTr="009721D2">
        <w:trPr>
          <w:trHeight w:val="424"/>
        </w:trPr>
        <w:tc>
          <w:tcPr>
            <w:tcW w:w="4957" w:type="dxa"/>
          </w:tcPr>
          <w:p w14:paraId="4DA6B84F" w14:textId="77777777" w:rsidR="009721D2" w:rsidRDefault="009721D2" w:rsidP="002630B1">
            <w:pPr>
              <w:spacing w:line="360" w:lineRule="auto"/>
              <w:jc w:val="both"/>
            </w:pPr>
          </w:p>
        </w:tc>
        <w:tc>
          <w:tcPr>
            <w:tcW w:w="2126" w:type="dxa"/>
          </w:tcPr>
          <w:p w14:paraId="0FF98877" w14:textId="72B84006" w:rsidR="009721D2" w:rsidRDefault="009721D2" w:rsidP="002630B1">
            <w:pPr>
              <w:spacing w:line="360" w:lineRule="auto"/>
              <w:jc w:val="both"/>
            </w:pPr>
            <w:r>
              <w:t>2022</w:t>
            </w:r>
          </w:p>
        </w:tc>
        <w:tc>
          <w:tcPr>
            <w:tcW w:w="1933" w:type="dxa"/>
          </w:tcPr>
          <w:p w14:paraId="72F507EE" w14:textId="15A2F59A" w:rsidR="009721D2" w:rsidRDefault="009721D2" w:rsidP="002630B1">
            <w:pPr>
              <w:spacing w:line="360" w:lineRule="auto"/>
              <w:jc w:val="both"/>
            </w:pPr>
            <w:r>
              <w:t>2021</w:t>
            </w:r>
          </w:p>
        </w:tc>
      </w:tr>
      <w:tr w:rsidR="009721D2" w14:paraId="66BEBD91" w14:textId="77777777" w:rsidTr="009721D2">
        <w:trPr>
          <w:trHeight w:val="315"/>
        </w:trPr>
        <w:tc>
          <w:tcPr>
            <w:tcW w:w="4957" w:type="dxa"/>
          </w:tcPr>
          <w:p w14:paraId="172A6618" w14:textId="29687774" w:rsidR="009721D2" w:rsidRDefault="009721D2" w:rsidP="002630B1">
            <w:pPr>
              <w:spacing w:line="360" w:lineRule="auto"/>
              <w:jc w:val="both"/>
            </w:pPr>
            <w:r>
              <w:t>Total Debt</w:t>
            </w:r>
          </w:p>
        </w:tc>
        <w:tc>
          <w:tcPr>
            <w:tcW w:w="2126" w:type="dxa"/>
          </w:tcPr>
          <w:p w14:paraId="509B75FE" w14:textId="04BEE71B" w:rsidR="009721D2" w:rsidRDefault="009721D2" w:rsidP="002630B1">
            <w:pPr>
              <w:spacing w:line="360" w:lineRule="auto"/>
              <w:jc w:val="both"/>
            </w:pPr>
            <w:r>
              <w:t>6,648</w:t>
            </w:r>
          </w:p>
        </w:tc>
        <w:tc>
          <w:tcPr>
            <w:tcW w:w="1933" w:type="dxa"/>
          </w:tcPr>
          <w:p w14:paraId="770A71DA" w14:textId="36C7CEB0" w:rsidR="009721D2" w:rsidRDefault="009721D2" w:rsidP="002630B1">
            <w:pPr>
              <w:spacing w:line="360" w:lineRule="auto"/>
              <w:jc w:val="both"/>
            </w:pPr>
            <w:r>
              <w:t>7,175</w:t>
            </w:r>
          </w:p>
        </w:tc>
      </w:tr>
      <w:tr w:rsidR="009721D2" w14:paraId="5753F06E" w14:textId="77777777" w:rsidTr="009721D2">
        <w:trPr>
          <w:trHeight w:val="332"/>
        </w:trPr>
        <w:tc>
          <w:tcPr>
            <w:tcW w:w="4957" w:type="dxa"/>
          </w:tcPr>
          <w:p w14:paraId="3E7B49CE" w14:textId="68AF86F0" w:rsidR="009721D2" w:rsidRDefault="009721D2" w:rsidP="002630B1">
            <w:pPr>
              <w:spacing w:line="360" w:lineRule="auto"/>
              <w:jc w:val="both"/>
            </w:pPr>
            <w:r>
              <w:t>Total Equity</w:t>
            </w:r>
          </w:p>
        </w:tc>
        <w:tc>
          <w:tcPr>
            <w:tcW w:w="2126" w:type="dxa"/>
          </w:tcPr>
          <w:p w14:paraId="1ACB2D6B" w14:textId="1A62FF03" w:rsidR="009721D2" w:rsidRDefault="009721D2" w:rsidP="002630B1">
            <w:pPr>
              <w:spacing w:line="360" w:lineRule="auto"/>
              <w:jc w:val="both"/>
            </w:pPr>
            <w:r>
              <w:t>3,088</w:t>
            </w:r>
          </w:p>
        </w:tc>
        <w:tc>
          <w:tcPr>
            <w:tcW w:w="1933" w:type="dxa"/>
          </w:tcPr>
          <w:p w14:paraId="7F9A2394" w14:textId="1FA5329A" w:rsidR="009721D2" w:rsidRDefault="009721D2" w:rsidP="002630B1">
            <w:pPr>
              <w:spacing w:line="360" w:lineRule="auto"/>
              <w:jc w:val="both"/>
            </w:pPr>
            <w:r>
              <w:t>2,912</w:t>
            </w:r>
          </w:p>
        </w:tc>
      </w:tr>
      <w:tr w:rsidR="009721D2" w14:paraId="7E12BCB2" w14:textId="77777777" w:rsidTr="009721D2">
        <w:trPr>
          <w:trHeight w:val="351"/>
        </w:trPr>
        <w:tc>
          <w:tcPr>
            <w:tcW w:w="4957" w:type="dxa"/>
          </w:tcPr>
          <w:p w14:paraId="4A3B9BFA" w14:textId="20BF049E" w:rsidR="009721D2" w:rsidRDefault="00165677" w:rsidP="002630B1">
            <w:pPr>
              <w:spacing w:line="360" w:lineRule="auto"/>
              <w:jc w:val="both"/>
            </w:pPr>
            <w:r>
              <w:t>Gearing Ratio</w:t>
            </w:r>
          </w:p>
        </w:tc>
        <w:tc>
          <w:tcPr>
            <w:tcW w:w="2126" w:type="dxa"/>
          </w:tcPr>
          <w:p w14:paraId="6BDBB4DD" w14:textId="782C9D40" w:rsidR="009721D2" w:rsidRDefault="009721D2" w:rsidP="002630B1">
            <w:pPr>
              <w:spacing w:line="360" w:lineRule="auto"/>
              <w:jc w:val="both"/>
            </w:pPr>
            <w:r>
              <w:t>2.15</w:t>
            </w:r>
          </w:p>
        </w:tc>
        <w:tc>
          <w:tcPr>
            <w:tcW w:w="1933" w:type="dxa"/>
          </w:tcPr>
          <w:p w14:paraId="66B66377" w14:textId="78F3D927" w:rsidR="009721D2" w:rsidRDefault="009721D2" w:rsidP="002630B1">
            <w:pPr>
              <w:spacing w:line="360" w:lineRule="auto"/>
              <w:jc w:val="both"/>
            </w:pPr>
            <w:r>
              <w:t>2.46</w:t>
            </w:r>
          </w:p>
        </w:tc>
      </w:tr>
    </w:tbl>
    <w:p w14:paraId="578A8F1E" w14:textId="7457C94B" w:rsidR="005D1FC5" w:rsidRDefault="00165677" w:rsidP="002630B1">
      <w:pPr>
        <w:spacing w:line="360" w:lineRule="auto"/>
        <w:jc w:val="both"/>
      </w:pPr>
      <w:r>
        <w:t xml:space="preserve">                                                                                                                                      Table 10</w:t>
      </w:r>
    </w:p>
    <w:p w14:paraId="3CF1972D" w14:textId="2A5C9A1C" w:rsidR="005D1FC5" w:rsidRDefault="00FE1FF8" w:rsidP="002630B1">
      <w:pPr>
        <w:spacing w:line="360" w:lineRule="auto"/>
        <w:jc w:val="both"/>
      </w:pPr>
      <w:r w:rsidRPr="00FE1FF8">
        <w:t>Corporate values are typically significantly impacted negatively by the DER ratio's consideration and evolution. Thus, it is determined that the value dropped from 2.46 in 2021 to 2.15 in 2022, suggesting that the company needs outside funding.</w:t>
      </w:r>
    </w:p>
    <w:p w14:paraId="42EAE482" w14:textId="080A0AF7" w:rsidR="004C36BA" w:rsidRDefault="004C36BA" w:rsidP="002630B1">
      <w:pPr>
        <w:pStyle w:val="Heading2"/>
        <w:spacing w:line="360" w:lineRule="auto"/>
        <w:jc w:val="both"/>
        <w:rPr>
          <w:rFonts w:ascii="Arial" w:hAnsi="Arial" w:cs="Arial"/>
          <w:b/>
          <w:bCs/>
          <w:color w:val="auto"/>
          <w:sz w:val="24"/>
          <w:szCs w:val="24"/>
        </w:rPr>
      </w:pPr>
      <w:bookmarkStart w:id="22" w:name="_Toc153882273"/>
      <w:r w:rsidRPr="004C36BA">
        <w:rPr>
          <w:rFonts w:ascii="Arial" w:hAnsi="Arial" w:cs="Arial"/>
          <w:b/>
          <w:bCs/>
          <w:color w:val="auto"/>
          <w:sz w:val="24"/>
          <w:szCs w:val="24"/>
        </w:rPr>
        <w:t>3.</w:t>
      </w:r>
      <w:r>
        <w:rPr>
          <w:rFonts w:ascii="Arial" w:hAnsi="Arial" w:cs="Arial"/>
          <w:b/>
          <w:bCs/>
          <w:color w:val="auto"/>
          <w:sz w:val="24"/>
          <w:szCs w:val="24"/>
        </w:rPr>
        <w:t>a</w:t>
      </w:r>
      <w:r w:rsidRPr="004C36BA">
        <w:rPr>
          <w:rFonts w:ascii="Arial" w:hAnsi="Arial" w:cs="Arial"/>
          <w:b/>
          <w:bCs/>
          <w:color w:val="auto"/>
          <w:sz w:val="24"/>
          <w:szCs w:val="24"/>
        </w:rPr>
        <w:t>.10: Interest Coverage Ratio</w:t>
      </w:r>
      <w:bookmarkEnd w:id="22"/>
    </w:p>
    <w:p w14:paraId="384BD15A" w14:textId="23568A12" w:rsidR="005D1FC5" w:rsidRDefault="004C36BA" w:rsidP="002630B1">
      <w:pPr>
        <w:spacing w:line="360" w:lineRule="auto"/>
        <w:jc w:val="both"/>
        <w:rPr>
          <w:rFonts w:cs="Arial"/>
          <w:color w:val="111111"/>
          <w:spacing w:val="1"/>
          <w:shd w:val="clear" w:color="auto" w:fill="FFFFFF"/>
        </w:rPr>
      </w:pPr>
      <w:r w:rsidRPr="004C36BA">
        <w:rPr>
          <w:rFonts w:cs="Arial"/>
          <w:color w:val="111111"/>
          <w:spacing w:val="1"/>
          <w:shd w:val="clear" w:color="auto" w:fill="FFFFFF"/>
        </w:rPr>
        <w:t>The interest coverage ratio measures a company's ability to handle its outstanding debt</w:t>
      </w:r>
      <w:sdt>
        <w:sdtPr>
          <w:rPr>
            <w:rFonts w:cs="Arial"/>
            <w:color w:val="111111"/>
            <w:spacing w:val="1"/>
            <w:shd w:val="clear" w:color="auto" w:fill="FFFFFF"/>
          </w:rPr>
          <w:id w:val="-1125541752"/>
          <w:citation/>
        </w:sdtPr>
        <w:sdtContent>
          <w:r>
            <w:rPr>
              <w:rFonts w:cs="Arial"/>
              <w:color w:val="111111"/>
              <w:spacing w:val="1"/>
              <w:shd w:val="clear" w:color="auto" w:fill="FFFFFF"/>
            </w:rPr>
            <w:fldChar w:fldCharType="begin"/>
          </w:r>
          <w:r>
            <w:rPr>
              <w:rFonts w:cs="Arial"/>
              <w:color w:val="111111"/>
              <w:spacing w:val="1"/>
              <w:shd w:val="clear" w:color="auto" w:fill="FFFFFF"/>
            </w:rPr>
            <w:instrText xml:space="preserve">CITATION JBM23 \l 2057 </w:instrText>
          </w:r>
          <w:r>
            <w:rPr>
              <w:rFonts w:cs="Arial"/>
              <w:color w:val="111111"/>
              <w:spacing w:val="1"/>
              <w:shd w:val="clear" w:color="auto" w:fill="FFFFFF"/>
            </w:rPr>
            <w:fldChar w:fldCharType="separate"/>
          </w:r>
          <w:r w:rsidR="00236F3C">
            <w:rPr>
              <w:rFonts w:cs="Arial"/>
              <w:noProof/>
              <w:color w:val="111111"/>
              <w:spacing w:val="1"/>
              <w:shd w:val="clear" w:color="auto" w:fill="FFFFFF"/>
            </w:rPr>
            <w:t xml:space="preserve"> </w:t>
          </w:r>
          <w:r w:rsidR="00236F3C" w:rsidRPr="00236F3C">
            <w:rPr>
              <w:rFonts w:cs="Arial"/>
              <w:noProof/>
              <w:color w:val="111111"/>
              <w:spacing w:val="1"/>
              <w:shd w:val="clear" w:color="auto" w:fill="FFFFFF"/>
            </w:rPr>
            <w:t>(Maverick J. , 2023)</w:t>
          </w:r>
          <w:r>
            <w:rPr>
              <w:rFonts w:cs="Arial"/>
              <w:color w:val="111111"/>
              <w:spacing w:val="1"/>
              <w:shd w:val="clear" w:color="auto" w:fill="FFFFFF"/>
            </w:rPr>
            <w:fldChar w:fldCharType="end"/>
          </w:r>
        </w:sdtContent>
      </w:sdt>
      <w:r>
        <w:rPr>
          <w:rFonts w:cs="Arial"/>
          <w:color w:val="111111"/>
          <w:spacing w:val="1"/>
          <w:shd w:val="clear" w:color="auto" w:fill="FFFFFF"/>
        </w:rPr>
        <w:t>.</w:t>
      </w:r>
    </w:p>
    <w:p w14:paraId="7020ADDB" w14:textId="3AC709F7" w:rsidR="004C36BA" w:rsidRDefault="004C36BA" w:rsidP="002630B1">
      <w:pPr>
        <w:spacing w:line="360" w:lineRule="auto"/>
        <w:jc w:val="both"/>
        <w:rPr>
          <w:rFonts w:cs="Arial"/>
          <w:color w:val="111111"/>
          <w:spacing w:val="1"/>
          <w:shd w:val="clear" w:color="auto" w:fill="FFFFFF"/>
        </w:rPr>
      </w:pPr>
      <w:r>
        <w:rPr>
          <w:rFonts w:cs="Arial"/>
          <w:color w:val="111111"/>
          <w:spacing w:val="1"/>
          <w:shd w:val="clear" w:color="auto" w:fill="FFFFFF"/>
        </w:rPr>
        <w:t>Formula: EBIT/Interest Expense</w:t>
      </w:r>
    </w:p>
    <w:tbl>
      <w:tblPr>
        <w:tblStyle w:val="TableGrid"/>
        <w:tblW w:w="0" w:type="auto"/>
        <w:tblLook w:val="04A0" w:firstRow="1" w:lastRow="0" w:firstColumn="1" w:lastColumn="0" w:noHBand="0" w:noVBand="1"/>
      </w:tblPr>
      <w:tblGrid>
        <w:gridCol w:w="4957"/>
        <w:gridCol w:w="2126"/>
        <w:gridCol w:w="1933"/>
      </w:tblGrid>
      <w:tr w:rsidR="004C36BA" w14:paraId="7223E06B" w14:textId="77777777" w:rsidTr="004C36BA">
        <w:tc>
          <w:tcPr>
            <w:tcW w:w="4957" w:type="dxa"/>
          </w:tcPr>
          <w:p w14:paraId="301A64FB" w14:textId="77777777" w:rsidR="004C36BA" w:rsidRDefault="004C36BA" w:rsidP="002630B1">
            <w:pPr>
              <w:spacing w:line="360" w:lineRule="auto"/>
              <w:jc w:val="both"/>
            </w:pPr>
          </w:p>
        </w:tc>
        <w:tc>
          <w:tcPr>
            <w:tcW w:w="2126" w:type="dxa"/>
          </w:tcPr>
          <w:p w14:paraId="7FA0C71F" w14:textId="72DB2B2D" w:rsidR="004C36BA" w:rsidRDefault="004C36BA" w:rsidP="002630B1">
            <w:pPr>
              <w:spacing w:line="360" w:lineRule="auto"/>
              <w:jc w:val="both"/>
            </w:pPr>
            <w:r>
              <w:t>2022</w:t>
            </w:r>
          </w:p>
        </w:tc>
        <w:tc>
          <w:tcPr>
            <w:tcW w:w="1933" w:type="dxa"/>
          </w:tcPr>
          <w:p w14:paraId="5603FD93" w14:textId="0FFE8772" w:rsidR="004C36BA" w:rsidRDefault="004C36BA" w:rsidP="002630B1">
            <w:pPr>
              <w:spacing w:line="360" w:lineRule="auto"/>
              <w:jc w:val="both"/>
            </w:pPr>
            <w:r>
              <w:t>2021</w:t>
            </w:r>
          </w:p>
        </w:tc>
      </w:tr>
      <w:tr w:rsidR="004C36BA" w14:paraId="73313677" w14:textId="77777777" w:rsidTr="004C36BA">
        <w:tc>
          <w:tcPr>
            <w:tcW w:w="4957" w:type="dxa"/>
          </w:tcPr>
          <w:p w14:paraId="656557EA" w14:textId="217A55B6" w:rsidR="004C36BA" w:rsidRDefault="004C36BA" w:rsidP="002630B1">
            <w:pPr>
              <w:spacing w:line="360" w:lineRule="auto"/>
              <w:jc w:val="both"/>
            </w:pPr>
            <w:r>
              <w:t>EBIT</w:t>
            </w:r>
          </w:p>
        </w:tc>
        <w:tc>
          <w:tcPr>
            <w:tcW w:w="2126" w:type="dxa"/>
          </w:tcPr>
          <w:p w14:paraId="7BEA8D56" w14:textId="55D12647" w:rsidR="004C36BA" w:rsidRDefault="004C36BA" w:rsidP="002630B1">
            <w:pPr>
              <w:spacing w:line="360" w:lineRule="auto"/>
              <w:jc w:val="both"/>
            </w:pPr>
            <w:r>
              <w:t>620</w:t>
            </w:r>
          </w:p>
        </w:tc>
        <w:tc>
          <w:tcPr>
            <w:tcW w:w="1933" w:type="dxa"/>
          </w:tcPr>
          <w:p w14:paraId="703D1A92" w14:textId="6C870DAB" w:rsidR="004C36BA" w:rsidRDefault="004C36BA" w:rsidP="002630B1">
            <w:pPr>
              <w:spacing w:line="360" w:lineRule="auto"/>
              <w:jc w:val="both"/>
            </w:pPr>
            <w:r>
              <w:t>539</w:t>
            </w:r>
          </w:p>
        </w:tc>
      </w:tr>
      <w:tr w:rsidR="004C36BA" w14:paraId="5B26E2B6" w14:textId="77777777" w:rsidTr="004C36BA">
        <w:tc>
          <w:tcPr>
            <w:tcW w:w="4957" w:type="dxa"/>
          </w:tcPr>
          <w:p w14:paraId="420374EE" w14:textId="0DBA0629" w:rsidR="004C36BA" w:rsidRDefault="004C36BA" w:rsidP="002630B1">
            <w:pPr>
              <w:spacing w:line="360" w:lineRule="auto"/>
              <w:jc w:val="both"/>
            </w:pPr>
            <w:r>
              <w:t>Interest Expense</w:t>
            </w:r>
          </w:p>
        </w:tc>
        <w:tc>
          <w:tcPr>
            <w:tcW w:w="2126" w:type="dxa"/>
          </w:tcPr>
          <w:p w14:paraId="19A9B87D" w14:textId="331E843F" w:rsidR="004C36BA" w:rsidRDefault="004C36BA" w:rsidP="002630B1">
            <w:pPr>
              <w:spacing w:line="360" w:lineRule="auto"/>
              <w:jc w:val="both"/>
            </w:pPr>
            <w:r>
              <w:t>226</w:t>
            </w:r>
          </w:p>
        </w:tc>
        <w:tc>
          <w:tcPr>
            <w:tcW w:w="1933" w:type="dxa"/>
          </w:tcPr>
          <w:p w14:paraId="1F1747B6" w14:textId="1F1D24C5" w:rsidR="004C36BA" w:rsidRDefault="004C36BA" w:rsidP="002630B1">
            <w:pPr>
              <w:spacing w:line="360" w:lineRule="auto"/>
              <w:jc w:val="both"/>
            </w:pPr>
            <w:r>
              <w:t>181</w:t>
            </w:r>
          </w:p>
        </w:tc>
      </w:tr>
      <w:tr w:rsidR="004C36BA" w14:paraId="2BA90900" w14:textId="77777777" w:rsidTr="004C36BA">
        <w:tc>
          <w:tcPr>
            <w:tcW w:w="4957" w:type="dxa"/>
          </w:tcPr>
          <w:p w14:paraId="7DD458E6" w14:textId="198711E4" w:rsidR="004C36BA" w:rsidRDefault="004C36BA" w:rsidP="002630B1">
            <w:pPr>
              <w:spacing w:line="360" w:lineRule="auto"/>
              <w:jc w:val="both"/>
            </w:pPr>
            <w:r>
              <w:t>Interest Coverage Ratio</w:t>
            </w:r>
          </w:p>
        </w:tc>
        <w:tc>
          <w:tcPr>
            <w:tcW w:w="2126" w:type="dxa"/>
          </w:tcPr>
          <w:p w14:paraId="56636843" w14:textId="1F0559F3" w:rsidR="004C36BA" w:rsidRDefault="004C36BA" w:rsidP="002630B1">
            <w:pPr>
              <w:spacing w:line="360" w:lineRule="auto"/>
              <w:jc w:val="both"/>
            </w:pPr>
            <w:r>
              <w:t>2.74</w:t>
            </w:r>
          </w:p>
        </w:tc>
        <w:tc>
          <w:tcPr>
            <w:tcW w:w="1933" w:type="dxa"/>
          </w:tcPr>
          <w:p w14:paraId="3EA3C428" w14:textId="0E327A30" w:rsidR="004C36BA" w:rsidRDefault="004C36BA" w:rsidP="002630B1">
            <w:pPr>
              <w:spacing w:line="360" w:lineRule="auto"/>
              <w:jc w:val="both"/>
            </w:pPr>
            <w:r>
              <w:t>2.98</w:t>
            </w:r>
          </w:p>
        </w:tc>
      </w:tr>
    </w:tbl>
    <w:p w14:paraId="2FABC739" w14:textId="376E389B" w:rsidR="004C36BA" w:rsidRPr="004C36BA" w:rsidRDefault="004C36BA" w:rsidP="002630B1">
      <w:pPr>
        <w:spacing w:line="360" w:lineRule="auto"/>
        <w:jc w:val="both"/>
      </w:pPr>
      <w:r>
        <w:t xml:space="preserve">                                                                                                                                   TABLE 11</w:t>
      </w:r>
    </w:p>
    <w:p w14:paraId="7850702E" w14:textId="15BD9D7B" w:rsidR="005D1FC5" w:rsidRDefault="004C36BA" w:rsidP="002630B1">
      <w:pPr>
        <w:spacing w:line="360" w:lineRule="auto"/>
        <w:jc w:val="both"/>
      </w:pPr>
      <w:r>
        <w:t>This ratio interprets the net potential of the firm to pay off its debt related to the consideration of the interest coverage aspects on significant levels. Hence, it can be ascertained that the ratio has decreased from 2.98 in 2021 to 2.74, indicating a potential growth in the finances.</w:t>
      </w:r>
    </w:p>
    <w:p w14:paraId="31C6FEA8" w14:textId="78474644" w:rsidR="004C36BA" w:rsidRDefault="004C36BA" w:rsidP="002630B1">
      <w:pPr>
        <w:pStyle w:val="Heading1"/>
        <w:spacing w:line="360" w:lineRule="auto"/>
        <w:jc w:val="both"/>
      </w:pPr>
      <w:bookmarkStart w:id="23" w:name="_Toc153882274"/>
      <w:r>
        <w:t xml:space="preserve">Question 3.b: </w:t>
      </w:r>
      <w:r w:rsidR="00F75D33">
        <w:t xml:space="preserve">Critically discuss of </w:t>
      </w:r>
      <w:r>
        <w:t>the financial ratio and stating the financial positions and performance of the corporation</w:t>
      </w:r>
      <w:r w:rsidR="00F75D33">
        <w:t>.</w:t>
      </w:r>
      <w:bookmarkEnd w:id="23"/>
    </w:p>
    <w:p w14:paraId="297A5D65" w14:textId="77777777" w:rsidR="00F75D33" w:rsidRPr="00F75D33" w:rsidRDefault="00F75D33" w:rsidP="002630B1">
      <w:pPr>
        <w:spacing w:line="360" w:lineRule="auto"/>
        <w:jc w:val="both"/>
      </w:pPr>
    </w:p>
    <w:p w14:paraId="32503F5B" w14:textId="7733399D" w:rsidR="002630B1" w:rsidRDefault="00F75D33" w:rsidP="00274E40">
      <w:pPr>
        <w:spacing w:line="360" w:lineRule="auto"/>
        <w:jc w:val="both"/>
      </w:pPr>
      <w:r>
        <w:lastRenderedPageBreak/>
        <w:t>The interpretation of the return on capital employed indicates the net profitability on the working capital of the corporation and an increment in the ratio indicates the corporation’s significant levels. On the other hand, the consideration of the ROE has also been developed in positive aspects and the other ratio has increased to 0.14. In the current accounting period for the word the EPS for the stakeholders has also increased to 1.44, which indicates that the entity is now liable to pay more of the dividends and returns to the stakeholders and shareholders of the corporation for investing or returning a substantial amount of capital within the organization network. In the profit levels of the entity after the deductions of the indirect and direct expenses in the present accounting period full stop there for analysing the net profit margin it can be analysed that the corporation has increased the ratio from 0.057 in 2021 to</w:t>
      </w:r>
      <w:r w:rsidR="003D6BF0">
        <w:t xml:space="preserve"> </w:t>
      </w:r>
      <w:r>
        <w:t xml:space="preserve">0.64 in 2022. Further, it is established that the current ratio tends to help in the development of pay-off liabilities that are owned at </w:t>
      </w:r>
      <w:r w:rsidR="00FE1FF8">
        <w:t>maturity.</w:t>
      </w:r>
      <w:r w:rsidR="00236F3C" w:rsidRPr="00236F3C">
        <w:t xml:space="preserve"> This suggests that the organisation raised its profit margin in order to guarantee a steady flow of funds and profits throughout the network of organisations</w:t>
      </w:r>
      <w:r>
        <w:t>.</w:t>
      </w:r>
      <w:r w:rsidR="00236F3C">
        <w:t xml:space="preserve"> </w:t>
      </w:r>
      <w:r>
        <w:t>Additionally interpreting the ass</w:t>
      </w:r>
      <w:r w:rsidR="00236F3C">
        <w:t>et</w:t>
      </w:r>
      <w:r>
        <w:t xml:space="preserve"> turnover ratio has seen the development of the net potential of the organization to pay or meet its payment applications</w:t>
      </w:r>
      <w:r w:rsidR="00236F3C">
        <w:t>.</w:t>
      </w:r>
      <w:r>
        <w:t xml:space="preserve"> </w:t>
      </w:r>
      <w:r w:rsidR="00236F3C">
        <w:t>I</w:t>
      </w:r>
      <w:r>
        <w:t>n the short-term period utilizing the current assets the ratio has increased from 0.639 in 2021 to 0.692 in 2022, indicating that the firm has the potential to increase the asset utilization rate on significant levels.</w:t>
      </w:r>
      <w:r w:rsidR="00236F3C" w:rsidRPr="00236F3C">
        <w:t xml:space="preserve"> The stock holding days show the total number of days needed to adjust the inventory, so it can be determined that the company has lowered the number of days it holds inventory. Previously, the company held inventory for 81 days, but after reviewing the accurate financial records, it only holds inventory for 80 days</w:t>
      </w:r>
      <w:r>
        <w:t xml:space="preserve">. The increase in the debtor collection period increases the customer level, however, it also results in a significant increase in the debt </w:t>
      </w:r>
      <w:r w:rsidR="00236F3C">
        <w:t>levels.</w:t>
      </w:r>
      <w:r w:rsidR="00236F3C" w:rsidRPr="00236F3C">
        <w:t xml:space="preserve"> Additionally, the ratio has dropped from 73 days to 68 days, showing a large increase in cash flow on considerable levels. This indicates that the firm also collects payments from the letters in the early period. Furthermore, the firm now has a large potential strength to pay off its payment commitments in the near future, as seen by the increase in the current ratio</w:t>
      </w:r>
      <w:r w:rsidR="00236F3C">
        <w:t xml:space="preserve">. </w:t>
      </w:r>
      <w:r w:rsidR="00236F3C" w:rsidRPr="00236F3C">
        <w:t>Additionally, the firm has drastically reduced its debt levels as evidenced by the ratio's decline from 0 to 2.46 to 2.15 in 2022, which shows that it is solely focused on internal finance rather than using outside funding sources. Regarding the interest coverage ratio analysis, the ratio has dropped to 2.74, suggesting that the corporation's interest expense has increased significantly and is having a huge influence on its varied activities</w:t>
      </w:r>
    </w:p>
    <w:p w14:paraId="227E6EF2" w14:textId="77777777" w:rsidR="002630B1" w:rsidRDefault="002630B1"/>
    <w:p w14:paraId="407136D6" w14:textId="77777777" w:rsidR="002630B1" w:rsidRDefault="002630B1"/>
    <w:p w14:paraId="1A9127E7" w14:textId="77777777" w:rsidR="002630B1" w:rsidRDefault="002630B1"/>
    <w:p w14:paraId="20FDD5E4" w14:textId="77777777" w:rsidR="002630B1" w:rsidRDefault="002630B1"/>
    <w:p w14:paraId="2A46F200" w14:textId="77777777" w:rsidR="002630B1" w:rsidRDefault="002630B1"/>
    <w:p w14:paraId="72CE75ED" w14:textId="77777777" w:rsidR="002630B1" w:rsidRDefault="002630B1"/>
    <w:p w14:paraId="62603995" w14:textId="77777777" w:rsidR="005D1FC5" w:rsidRDefault="005D1FC5"/>
    <w:bookmarkStart w:id="24" w:name="_Toc153882275" w:displacedByCustomXml="next"/>
    <w:sdt>
      <w:sdtPr>
        <w:rPr>
          <w:rFonts w:eastAsiaTheme="minorHAnsi" w:cstheme="minorBidi"/>
          <w:b w:val="0"/>
          <w:color w:val="auto"/>
          <w:sz w:val="22"/>
          <w:szCs w:val="22"/>
        </w:rPr>
        <w:id w:val="704063529"/>
        <w:docPartObj>
          <w:docPartGallery w:val="Bibliographies"/>
          <w:docPartUnique/>
        </w:docPartObj>
      </w:sdtPr>
      <w:sdtContent>
        <w:p w14:paraId="2C5BF3C4" w14:textId="65374915" w:rsidR="00F75D33" w:rsidRDefault="00F75D33">
          <w:pPr>
            <w:pStyle w:val="Heading1"/>
          </w:pPr>
          <w:r>
            <w:t>References</w:t>
          </w:r>
          <w:bookmarkEnd w:id="24"/>
        </w:p>
        <w:sdt>
          <w:sdtPr>
            <w:id w:val="-573587230"/>
            <w:bibliography/>
          </w:sdtPr>
          <w:sdtContent>
            <w:p w14:paraId="502ECEA8" w14:textId="77777777" w:rsidR="00236F3C" w:rsidRDefault="00F75D33" w:rsidP="00236F3C">
              <w:pPr>
                <w:pStyle w:val="Bibliography"/>
                <w:ind w:left="720" w:hanging="720"/>
                <w:rPr>
                  <w:noProof/>
                  <w:kern w:val="0"/>
                  <w:sz w:val="24"/>
                  <w:szCs w:val="24"/>
                  <w14:ligatures w14:val="none"/>
                </w:rPr>
              </w:pPr>
              <w:r>
                <w:fldChar w:fldCharType="begin"/>
              </w:r>
              <w:r>
                <w:instrText xml:space="preserve"> BIBLIOGRAPHY </w:instrText>
              </w:r>
              <w:r>
                <w:fldChar w:fldCharType="separate"/>
              </w:r>
              <w:r w:rsidR="00236F3C">
                <w:rPr>
                  <w:noProof/>
                </w:rPr>
                <w:t xml:space="preserve">Atrill, P., &amp; McLaney, E. (2018). </w:t>
              </w:r>
              <w:r w:rsidR="00236F3C">
                <w:rPr>
                  <w:i/>
                  <w:iCs/>
                  <w:noProof/>
                </w:rPr>
                <w:t>Accounting and Finance for Non-Specialists.</w:t>
              </w:r>
              <w:r w:rsidR="00236F3C">
                <w:rPr>
                  <w:noProof/>
                </w:rPr>
                <w:t xml:space="preserve"> Harlow: Pearson Education, Limited.</w:t>
              </w:r>
            </w:p>
            <w:p w14:paraId="2EBAD42E" w14:textId="77777777" w:rsidR="00236F3C" w:rsidRDefault="00236F3C" w:rsidP="00236F3C">
              <w:pPr>
                <w:pStyle w:val="Bibliography"/>
                <w:ind w:left="720" w:hanging="720"/>
                <w:rPr>
                  <w:noProof/>
                </w:rPr>
              </w:pPr>
              <w:r>
                <w:rPr>
                  <w:noProof/>
                </w:rPr>
                <w:t xml:space="preserve">Boyte-White, C. (2023, 12 19). </w:t>
              </w:r>
              <w:r>
                <w:rPr>
                  <w:i/>
                  <w:iCs/>
                  <w:noProof/>
                </w:rPr>
                <w:t>Gearing Ratios: What Is a Good Ratio, and How to Calculate It</w:t>
              </w:r>
              <w:r>
                <w:rPr>
                  <w:noProof/>
                </w:rPr>
                <w:t>. Retrieved from Investopedia: https://www.investopedia.com/ask/answers/121814/what-good-gearing-ratio.asp#:~:text=A%20gearing%20ratio%20is%20a%20general%20classification%20describing%20a%20financial,by%20the%20total%20shareholders'%20equity.</w:t>
              </w:r>
            </w:p>
            <w:p w14:paraId="506AB7AF" w14:textId="77777777" w:rsidR="00236F3C" w:rsidRDefault="00236F3C" w:rsidP="00236F3C">
              <w:pPr>
                <w:pStyle w:val="Bibliography"/>
                <w:ind w:left="720" w:hanging="720"/>
                <w:rPr>
                  <w:noProof/>
                </w:rPr>
              </w:pPr>
              <w:r>
                <w:rPr>
                  <w:noProof/>
                </w:rPr>
                <w:t xml:space="preserve">Fathihani, F. (2020). EFFECT OF NPM, EPS, ROE, AND PBV ON STOCK PRICES. </w:t>
              </w:r>
              <w:r>
                <w:rPr>
                  <w:i/>
                  <w:iCs/>
                  <w:noProof/>
                </w:rPr>
                <w:t>Dinasti International Journal of Management Science</w:t>
              </w:r>
              <w:r>
                <w:rPr>
                  <w:noProof/>
                </w:rPr>
                <w:t>, 893-902.</w:t>
              </w:r>
            </w:p>
            <w:p w14:paraId="29159FA6" w14:textId="77777777" w:rsidR="00236F3C" w:rsidRDefault="00236F3C" w:rsidP="00236F3C">
              <w:pPr>
                <w:pStyle w:val="Bibliography"/>
                <w:ind w:left="720" w:hanging="720"/>
                <w:rPr>
                  <w:noProof/>
                </w:rPr>
              </w:pPr>
              <w:r>
                <w:rPr>
                  <w:noProof/>
                </w:rPr>
                <w:t xml:space="preserve">Fernando, J. (2023, 11 20). </w:t>
              </w:r>
              <w:r>
                <w:rPr>
                  <w:i/>
                  <w:iCs/>
                  <w:noProof/>
                </w:rPr>
                <w:t>Return on Equity (ROE) Calculation and What It Means</w:t>
              </w:r>
              <w:r>
                <w:rPr>
                  <w:noProof/>
                </w:rPr>
                <w:t>. Retrieved from INVESTOPEDIA: https://www.investopedia.com/terms/r/returnonequity.asp</w:t>
              </w:r>
            </w:p>
            <w:p w14:paraId="3D9A6C6F" w14:textId="77777777" w:rsidR="00236F3C" w:rsidRDefault="00236F3C" w:rsidP="00236F3C">
              <w:pPr>
                <w:pStyle w:val="Bibliography"/>
                <w:ind w:left="720" w:hanging="720"/>
                <w:rPr>
                  <w:noProof/>
                </w:rPr>
              </w:pPr>
              <w:r>
                <w:rPr>
                  <w:noProof/>
                </w:rPr>
                <w:t xml:space="preserve">Garvey, A. M., Ventura-Marco, M., &amp; Vidal-Meliá, C. (2020). </w:t>
              </w:r>
              <w:r>
                <w:rPr>
                  <w:i/>
                  <w:iCs/>
                  <w:noProof/>
                </w:rPr>
                <w:t>Does the pension system’s income statement.</w:t>
              </w:r>
              <w:r>
                <w:rPr>
                  <w:noProof/>
                </w:rPr>
                <w:t xml:space="preserve"> online: Informa UK Limited.</w:t>
              </w:r>
            </w:p>
            <w:p w14:paraId="683EC2F3" w14:textId="77777777" w:rsidR="00236F3C" w:rsidRDefault="00236F3C" w:rsidP="00236F3C">
              <w:pPr>
                <w:pStyle w:val="Bibliography"/>
                <w:ind w:left="720" w:hanging="720"/>
                <w:rPr>
                  <w:noProof/>
                </w:rPr>
              </w:pPr>
              <w:r>
                <w:rPr>
                  <w:noProof/>
                </w:rPr>
                <w:t xml:space="preserve">Hayes, A. (2023, 11 12). </w:t>
              </w:r>
              <w:r>
                <w:rPr>
                  <w:i/>
                  <w:iCs/>
                  <w:noProof/>
                </w:rPr>
                <w:t>Asset Turnover Ratio Definition</w:t>
              </w:r>
              <w:r>
                <w:rPr>
                  <w:noProof/>
                </w:rPr>
                <w:t>. Retrieved from Investopedia: https://www.investopedia.com/terms/a/assetturnover.asp#:~:text=The%20asset%20turnover%20ratio%20measures,its%20assets%20to%20generate%20revenue.</w:t>
              </w:r>
            </w:p>
            <w:p w14:paraId="4AC9E24E" w14:textId="77777777" w:rsidR="00236F3C" w:rsidRDefault="00236F3C" w:rsidP="00236F3C">
              <w:pPr>
                <w:pStyle w:val="Bibliography"/>
                <w:ind w:left="720" w:hanging="720"/>
                <w:rPr>
                  <w:noProof/>
                </w:rPr>
              </w:pPr>
              <w:r>
                <w:rPr>
                  <w:noProof/>
                </w:rPr>
                <w:t xml:space="preserve">Jason Fernando. (2023, 12 12). </w:t>
              </w:r>
              <w:r>
                <w:rPr>
                  <w:i/>
                  <w:iCs/>
                  <w:noProof/>
                </w:rPr>
                <w:t>Current Ratio Explained With Formula and Examples</w:t>
              </w:r>
              <w:r>
                <w:rPr>
                  <w:noProof/>
                </w:rPr>
                <w:t>. Retrieved from Investopedia: https://www.investopedia.com/terms/c/currentratio.asp</w:t>
              </w:r>
            </w:p>
            <w:p w14:paraId="3DFBB81B" w14:textId="77777777" w:rsidR="00236F3C" w:rsidRDefault="00236F3C" w:rsidP="00236F3C">
              <w:pPr>
                <w:pStyle w:val="Bibliography"/>
                <w:ind w:left="720" w:hanging="720"/>
                <w:rPr>
                  <w:noProof/>
                </w:rPr>
              </w:pPr>
              <w:r>
                <w:rPr>
                  <w:noProof/>
                </w:rPr>
                <w:t xml:space="preserve">KENTON, W. (2023, 11 17). </w:t>
              </w:r>
              <w:r>
                <w:rPr>
                  <w:i/>
                  <w:iCs/>
                  <w:noProof/>
                </w:rPr>
                <w:t>Average Collection Period Formula, How It Works, Example</w:t>
              </w:r>
              <w:r>
                <w:rPr>
                  <w:noProof/>
                </w:rPr>
                <w:t>. Retrieved from Investopedia: https://www.investopedia.com/terms/a/average_collection_period.asp</w:t>
              </w:r>
            </w:p>
            <w:p w14:paraId="7CD2C19E" w14:textId="77777777" w:rsidR="00236F3C" w:rsidRDefault="00236F3C" w:rsidP="00236F3C">
              <w:pPr>
                <w:pStyle w:val="Bibliography"/>
                <w:ind w:left="720" w:hanging="720"/>
                <w:rPr>
                  <w:noProof/>
                </w:rPr>
              </w:pPr>
              <w:r>
                <w:rPr>
                  <w:noProof/>
                </w:rPr>
                <w:t xml:space="preserve">Kunene, J. R. (2023, 12 18). </w:t>
              </w:r>
              <w:r>
                <w:rPr>
                  <w:i/>
                  <w:iCs/>
                  <w:noProof/>
                </w:rPr>
                <w:t>Management of Movable Assets and the Application of Supply Chain Management</w:t>
              </w:r>
              <w:r>
                <w:rPr>
                  <w:noProof/>
                </w:rPr>
                <w:t>. Retrieved from Dut Open scholar: https://openscholar.dut.ac.za/bitstream/10321/4302/3/Kunene_%20JR_2021_Redacted.pdf</w:t>
              </w:r>
            </w:p>
            <w:p w14:paraId="3C5AB41F" w14:textId="77777777" w:rsidR="00236F3C" w:rsidRDefault="00236F3C" w:rsidP="00236F3C">
              <w:pPr>
                <w:pStyle w:val="Bibliography"/>
                <w:ind w:left="720" w:hanging="720"/>
                <w:rPr>
                  <w:noProof/>
                </w:rPr>
              </w:pPr>
              <w:r>
                <w:rPr>
                  <w:noProof/>
                </w:rPr>
                <w:t xml:space="preserve">Maverick, J. (2023, 12 20). </w:t>
              </w:r>
              <w:r>
                <w:rPr>
                  <w:i/>
                  <w:iCs/>
                  <w:noProof/>
                </w:rPr>
                <w:t>How Useful Is ROCE as an Indicator of a Company's Performance?</w:t>
              </w:r>
              <w:r>
                <w:rPr>
                  <w:noProof/>
                </w:rPr>
                <w:t xml:space="preserve"> Retrieved from Investopedia: https://www.investopedia.com/ask/answers/011315/how-useful-roce-indicator-companys-performance.asp#:~:text=Return%20on%20capital%20employed%20(ROCE,build%20and%20grow%20their%20businesses.</w:t>
              </w:r>
            </w:p>
            <w:p w14:paraId="7EBCEE7D" w14:textId="77777777" w:rsidR="00236F3C" w:rsidRDefault="00236F3C" w:rsidP="00236F3C">
              <w:pPr>
                <w:pStyle w:val="Bibliography"/>
                <w:ind w:left="720" w:hanging="720"/>
                <w:rPr>
                  <w:noProof/>
                </w:rPr>
              </w:pPr>
              <w:r>
                <w:rPr>
                  <w:noProof/>
                </w:rPr>
                <w:t xml:space="preserve">Maverick, J. (2023, 12 19). </w:t>
              </w:r>
              <w:r>
                <w:rPr>
                  <w:i/>
                  <w:iCs/>
                  <w:noProof/>
                </w:rPr>
                <w:t>Interest Coverage Ratio (ICR): What's Considered a Good Number?</w:t>
              </w:r>
              <w:r>
                <w:rPr>
                  <w:noProof/>
                </w:rPr>
                <w:t xml:space="preserve"> Retrieved from Investopedia: nvestopedia.com/ask/answers/121814/what-good-interest-coverage-ratio.asp#:~:text=A%20company's%20interest%20coverage%20ratio,is%20true%20for%20lower%20ratios.</w:t>
              </w:r>
            </w:p>
            <w:p w14:paraId="31161A76" w14:textId="77777777" w:rsidR="00236F3C" w:rsidRDefault="00236F3C" w:rsidP="00236F3C">
              <w:pPr>
                <w:pStyle w:val="Bibliography"/>
                <w:ind w:left="720" w:hanging="720"/>
                <w:rPr>
                  <w:noProof/>
                </w:rPr>
              </w:pPr>
              <w:r>
                <w:rPr>
                  <w:noProof/>
                </w:rPr>
                <w:t xml:space="preserve">Murphy, C. B. (2023, 12 12). </w:t>
              </w:r>
              <w:r>
                <w:rPr>
                  <w:i/>
                  <w:iCs/>
                  <w:noProof/>
                </w:rPr>
                <w:t>What is Net Profit Margin? Formula for Calculation and Examples</w:t>
              </w:r>
              <w:r>
                <w:rPr>
                  <w:noProof/>
                </w:rPr>
                <w:t xml:space="preserve">. Retrieved from Investopedia: </w:t>
              </w:r>
              <w:r>
                <w:rPr>
                  <w:noProof/>
                </w:rPr>
                <w:lastRenderedPageBreak/>
                <w:t>https://www.investopedia.com/terms/n/net_margin.asp#:~:text=The%20net%20profit%20margin%2C%20or,be%20represented%20in%20decimal%20form.</w:t>
              </w:r>
            </w:p>
            <w:p w14:paraId="3801EDD2" w14:textId="77777777" w:rsidR="00236F3C" w:rsidRDefault="00236F3C" w:rsidP="00236F3C">
              <w:pPr>
                <w:pStyle w:val="Bibliography"/>
                <w:ind w:left="720" w:hanging="720"/>
                <w:rPr>
                  <w:noProof/>
                </w:rPr>
              </w:pPr>
              <w:r>
                <w:rPr>
                  <w:noProof/>
                </w:rPr>
                <w:t xml:space="preserve">Sangster, A., Wood, F., &amp; Black, G. (2017). </w:t>
              </w:r>
              <w:r>
                <w:rPr>
                  <w:i/>
                  <w:iCs/>
                  <w:noProof/>
                </w:rPr>
                <w:t>Frank Wood's Business Accounting;Volume 1.</w:t>
              </w:r>
              <w:r>
                <w:rPr>
                  <w:noProof/>
                </w:rPr>
                <w:t xml:space="preserve"> Harlow: Pearson Education Limited.</w:t>
              </w:r>
            </w:p>
            <w:p w14:paraId="3D0D59AC" w14:textId="77777777" w:rsidR="00236F3C" w:rsidRDefault="00236F3C" w:rsidP="00236F3C">
              <w:pPr>
                <w:pStyle w:val="Bibliography"/>
                <w:ind w:left="720" w:hanging="720"/>
                <w:rPr>
                  <w:noProof/>
                </w:rPr>
              </w:pPr>
              <w:r>
                <w:rPr>
                  <w:noProof/>
                </w:rPr>
                <w:t xml:space="preserve">Saputra, F. (2022, 12 17). Analysis Effect Return on Assets (ROA), Return on Equity (ROE) and Price Earning Ratio (PER) on Stock Prices of Coal Companies in the Indonesia Stock Exchange (IDX) Period 2018-2021. </w:t>
              </w:r>
              <w:r>
                <w:rPr>
                  <w:i/>
                  <w:iCs/>
                  <w:noProof/>
                </w:rPr>
                <w:t>Dinasti Publisher</w:t>
              </w:r>
              <w:r>
                <w:rPr>
                  <w:noProof/>
                </w:rPr>
                <w:t>, 94. Retrieved from Dinasti International Journal of Economics ,Finance and Accounting: https://dinastipub.org/DIJEFA/article/view/1238</w:t>
              </w:r>
            </w:p>
            <w:p w14:paraId="4435E0CB" w14:textId="77777777" w:rsidR="00236F3C" w:rsidRDefault="00236F3C" w:rsidP="00236F3C">
              <w:pPr>
                <w:pStyle w:val="Bibliography"/>
                <w:ind w:left="720" w:hanging="720"/>
                <w:rPr>
                  <w:noProof/>
                </w:rPr>
              </w:pPr>
              <w:r>
                <w:rPr>
                  <w:noProof/>
                </w:rPr>
                <w:t xml:space="preserve">Selyutin, V. (2023, 12 19). </w:t>
              </w:r>
              <w:r>
                <w:rPr>
                  <w:i/>
                  <w:iCs/>
                  <w:noProof/>
                </w:rPr>
                <w:t>Simplified Model of Bank Balance Sheet Management.</w:t>
              </w:r>
              <w:r>
                <w:rPr>
                  <w:noProof/>
                </w:rPr>
                <w:t xml:space="preserve"> Retrieved from Ceur-ws.org: https://ceur-ws.org/Vol-2393/paper_366.pdf</w:t>
              </w:r>
            </w:p>
            <w:p w14:paraId="5EA3728E" w14:textId="5B519E6B" w:rsidR="00F75D33" w:rsidRDefault="00F75D33" w:rsidP="00236F3C">
              <w:r>
                <w:rPr>
                  <w:b/>
                  <w:bCs/>
                  <w:noProof/>
                </w:rPr>
                <w:fldChar w:fldCharType="end"/>
              </w:r>
            </w:p>
          </w:sdtContent>
        </w:sdt>
      </w:sdtContent>
    </w:sdt>
    <w:p w14:paraId="0BBA0A19" w14:textId="77777777" w:rsidR="005D1FC5" w:rsidRDefault="005D1FC5"/>
    <w:p w14:paraId="678DDBC2" w14:textId="77777777" w:rsidR="005D1FC5" w:rsidRDefault="005D1FC5"/>
    <w:p w14:paraId="2448779D" w14:textId="77777777" w:rsidR="005D1FC5" w:rsidRDefault="005D1FC5"/>
    <w:p w14:paraId="1DD9B1F0" w14:textId="77777777" w:rsidR="005D1FC5" w:rsidRDefault="005D1FC5"/>
    <w:sectPr w:rsidR="005D1FC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60938" w14:textId="77777777" w:rsidR="00871AE7" w:rsidRDefault="00871AE7" w:rsidP="00E11EED">
      <w:pPr>
        <w:spacing w:after="0" w:line="240" w:lineRule="auto"/>
      </w:pPr>
      <w:r>
        <w:separator/>
      </w:r>
    </w:p>
  </w:endnote>
  <w:endnote w:type="continuationSeparator" w:id="0">
    <w:p w14:paraId="38812F2E" w14:textId="77777777" w:rsidR="00871AE7" w:rsidRDefault="00871AE7" w:rsidP="00E11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93A14" w14:textId="77777777" w:rsidR="00E11EED" w:rsidRDefault="00E11E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78819"/>
      <w:docPartObj>
        <w:docPartGallery w:val="Page Numbers (Bottom of Page)"/>
        <w:docPartUnique/>
      </w:docPartObj>
    </w:sdtPr>
    <w:sdtEndPr>
      <w:rPr>
        <w:noProof/>
      </w:rPr>
    </w:sdtEndPr>
    <w:sdtContent>
      <w:p w14:paraId="1F21D490" w14:textId="27EE0B82" w:rsidR="00E11EED" w:rsidRDefault="00E11E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94E893" w14:textId="77777777" w:rsidR="00E11EED" w:rsidRDefault="00E11E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98F9F" w14:textId="77777777" w:rsidR="00E11EED" w:rsidRDefault="00E11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F66AE" w14:textId="77777777" w:rsidR="00871AE7" w:rsidRDefault="00871AE7" w:rsidP="00E11EED">
      <w:pPr>
        <w:spacing w:after="0" w:line="240" w:lineRule="auto"/>
      </w:pPr>
      <w:r>
        <w:separator/>
      </w:r>
    </w:p>
  </w:footnote>
  <w:footnote w:type="continuationSeparator" w:id="0">
    <w:p w14:paraId="5C5BDEA5" w14:textId="77777777" w:rsidR="00871AE7" w:rsidRDefault="00871AE7" w:rsidP="00E11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BCF72" w14:textId="77777777" w:rsidR="00E11EED" w:rsidRDefault="00E11E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33C7" w14:textId="77777777" w:rsidR="00E11EED" w:rsidRDefault="00E11E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10651" w14:textId="77777777" w:rsidR="00E11EED" w:rsidRDefault="00E11E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FC5"/>
    <w:rsid w:val="0001122D"/>
    <w:rsid w:val="0006333D"/>
    <w:rsid w:val="00081351"/>
    <w:rsid w:val="00097198"/>
    <w:rsid w:val="000A2F18"/>
    <w:rsid w:val="000C0678"/>
    <w:rsid w:val="000C5C1A"/>
    <w:rsid w:val="001517A2"/>
    <w:rsid w:val="00165677"/>
    <w:rsid w:val="001D69DD"/>
    <w:rsid w:val="0020291C"/>
    <w:rsid w:val="00236F3C"/>
    <w:rsid w:val="00255B63"/>
    <w:rsid w:val="002630B1"/>
    <w:rsid w:val="00274E40"/>
    <w:rsid w:val="00281D26"/>
    <w:rsid w:val="00324C4A"/>
    <w:rsid w:val="00325D4B"/>
    <w:rsid w:val="003D6BF0"/>
    <w:rsid w:val="004C36BA"/>
    <w:rsid w:val="004E51FF"/>
    <w:rsid w:val="0050660E"/>
    <w:rsid w:val="005D1FC5"/>
    <w:rsid w:val="00624A22"/>
    <w:rsid w:val="00642931"/>
    <w:rsid w:val="006502DF"/>
    <w:rsid w:val="006E21E4"/>
    <w:rsid w:val="006F038B"/>
    <w:rsid w:val="00746036"/>
    <w:rsid w:val="007B769D"/>
    <w:rsid w:val="00825992"/>
    <w:rsid w:val="008356B2"/>
    <w:rsid w:val="00871AE7"/>
    <w:rsid w:val="00896325"/>
    <w:rsid w:val="008C77EB"/>
    <w:rsid w:val="008D3825"/>
    <w:rsid w:val="008E6B1A"/>
    <w:rsid w:val="008F79E6"/>
    <w:rsid w:val="009509FF"/>
    <w:rsid w:val="009721D2"/>
    <w:rsid w:val="009A08B2"/>
    <w:rsid w:val="009B4F58"/>
    <w:rsid w:val="00A0439C"/>
    <w:rsid w:val="00A32B9A"/>
    <w:rsid w:val="00A4512C"/>
    <w:rsid w:val="00B32FF6"/>
    <w:rsid w:val="00B863FE"/>
    <w:rsid w:val="00C416B9"/>
    <w:rsid w:val="00C85E24"/>
    <w:rsid w:val="00CC22E9"/>
    <w:rsid w:val="00DE1720"/>
    <w:rsid w:val="00DE5963"/>
    <w:rsid w:val="00DF781A"/>
    <w:rsid w:val="00E11EED"/>
    <w:rsid w:val="00E754AB"/>
    <w:rsid w:val="00EF5A8B"/>
    <w:rsid w:val="00F458F8"/>
    <w:rsid w:val="00F75D33"/>
    <w:rsid w:val="00F76868"/>
    <w:rsid w:val="00F975E5"/>
    <w:rsid w:val="00FC160F"/>
    <w:rsid w:val="00FE1FF8"/>
    <w:rsid w:val="00FE6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3154"/>
  <w15:chartTrackingRefBased/>
  <w15:docId w15:val="{B4749865-068E-4FA4-B1B6-83DE7DC6F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FC5"/>
    <w:rPr>
      <w:rFonts w:ascii="Arial" w:hAnsi="Arial"/>
    </w:rPr>
  </w:style>
  <w:style w:type="paragraph" w:styleId="Heading1">
    <w:name w:val="heading 1"/>
    <w:basedOn w:val="Normal"/>
    <w:next w:val="Normal"/>
    <w:link w:val="Heading1Char"/>
    <w:uiPriority w:val="9"/>
    <w:qFormat/>
    <w:rsid w:val="005D1FC5"/>
    <w:pPr>
      <w:keepNext/>
      <w:keepLines/>
      <w:spacing w:before="360" w:after="80"/>
      <w:outlineLvl w:val="0"/>
    </w:pPr>
    <w:rPr>
      <w:rFonts w:eastAsiaTheme="majorEastAsia" w:cstheme="majorBidi"/>
      <w:b/>
      <w:color w:val="000000" w:themeColor="text1"/>
      <w:sz w:val="24"/>
      <w:szCs w:val="40"/>
    </w:rPr>
  </w:style>
  <w:style w:type="paragraph" w:styleId="Heading2">
    <w:name w:val="heading 2"/>
    <w:basedOn w:val="Normal"/>
    <w:next w:val="Normal"/>
    <w:link w:val="Heading2Char"/>
    <w:uiPriority w:val="9"/>
    <w:unhideWhenUsed/>
    <w:qFormat/>
    <w:rsid w:val="005D1F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1F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1F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1F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1F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1F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1F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1F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FC5"/>
    <w:rPr>
      <w:rFonts w:ascii="Arial" w:eastAsiaTheme="majorEastAsia" w:hAnsi="Arial" w:cstheme="majorBidi"/>
      <w:b/>
      <w:color w:val="000000" w:themeColor="text1"/>
      <w:sz w:val="24"/>
      <w:szCs w:val="40"/>
    </w:rPr>
  </w:style>
  <w:style w:type="character" w:customStyle="1" w:styleId="Heading2Char">
    <w:name w:val="Heading 2 Char"/>
    <w:basedOn w:val="DefaultParagraphFont"/>
    <w:link w:val="Heading2"/>
    <w:uiPriority w:val="9"/>
    <w:rsid w:val="005D1F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D1F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1F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1F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1F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1F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1F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1FC5"/>
    <w:rPr>
      <w:rFonts w:eastAsiaTheme="majorEastAsia" w:cstheme="majorBidi"/>
      <w:color w:val="272727" w:themeColor="text1" w:themeTint="D8"/>
    </w:rPr>
  </w:style>
  <w:style w:type="paragraph" w:styleId="Title">
    <w:name w:val="Title"/>
    <w:basedOn w:val="Normal"/>
    <w:next w:val="Normal"/>
    <w:link w:val="TitleChar"/>
    <w:uiPriority w:val="10"/>
    <w:qFormat/>
    <w:rsid w:val="005D1F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1F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1F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1F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1FC5"/>
    <w:pPr>
      <w:spacing w:before="160"/>
      <w:jc w:val="center"/>
    </w:pPr>
    <w:rPr>
      <w:i/>
      <w:iCs/>
      <w:color w:val="404040" w:themeColor="text1" w:themeTint="BF"/>
    </w:rPr>
  </w:style>
  <w:style w:type="character" w:customStyle="1" w:styleId="QuoteChar">
    <w:name w:val="Quote Char"/>
    <w:basedOn w:val="DefaultParagraphFont"/>
    <w:link w:val="Quote"/>
    <w:uiPriority w:val="29"/>
    <w:rsid w:val="005D1FC5"/>
    <w:rPr>
      <w:i/>
      <w:iCs/>
      <w:color w:val="404040" w:themeColor="text1" w:themeTint="BF"/>
    </w:rPr>
  </w:style>
  <w:style w:type="paragraph" w:styleId="ListParagraph">
    <w:name w:val="List Paragraph"/>
    <w:basedOn w:val="Normal"/>
    <w:uiPriority w:val="34"/>
    <w:qFormat/>
    <w:rsid w:val="005D1FC5"/>
    <w:pPr>
      <w:ind w:left="720"/>
      <w:contextualSpacing/>
    </w:pPr>
  </w:style>
  <w:style w:type="character" w:styleId="IntenseEmphasis">
    <w:name w:val="Intense Emphasis"/>
    <w:basedOn w:val="DefaultParagraphFont"/>
    <w:uiPriority w:val="21"/>
    <w:qFormat/>
    <w:rsid w:val="005D1FC5"/>
    <w:rPr>
      <w:i/>
      <w:iCs/>
      <w:color w:val="0F4761" w:themeColor="accent1" w:themeShade="BF"/>
    </w:rPr>
  </w:style>
  <w:style w:type="paragraph" w:styleId="IntenseQuote">
    <w:name w:val="Intense Quote"/>
    <w:basedOn w:val="Normal"/>
    <w:next w:val="Normal"/>
    <w:link w:val="IntenseQuoteChar"/>
    <w:uiPriority w:val="30"/>
    <w:qFormat/>
    <w:rsid w:val="005D1F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1FC5"/>
    <w:rPr>
      <w:i/>
      <w:iCs/>
      <w:color w:val="0F4761" w:themeColor="accent1" w:themeShade="BF"/>
    </w:rPr>
  </w:style>
  <w:style w:type="character" w:styleId="IntenseReference">
    <w:name w:val="Intense Reference"/>
    <w:basedOn w:val="DefaultParagraphFont"/>
    <w:uiPriority w:val="32"/>
    <w:qFormat/>
    <w:rsid w:val="005D1FC5"/>
    <w:rPr>
      <w:b/>
      <w:bCs/>
      <w:smallCaps/>
      <w:color w:val="0F4761" w:themeColor="accent1" w:themeShade="BF"/>
      <w:spacing w:val="5"/>
    </w:rPr>
  </w:style>
  <w:style w:type="paragraph" w:styleId="TOCHeading">
    <w:name w:val="TOC Heading"/>
    <w:basedOn w:val="Heading1"/>
    <w:next w:val="Normal"/>
    <w:uiPriority w:val="39"/>
    <w:unhideWhenUsed/>
    <w:qFormat/>
    <w:rsid w:val="00EF5A8B"/>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EF5A8B"/>
    <w:pPr>
      <w:spacing w:after="100"/>
    </w:pPr>
  </w:style>
  <w:style w:type="paragraph" w:styleId="TOC2">
    <w:name w:val="toc 2"/>
    <w:basedOn w:val="Normal"/>
    <w:next w:val="Normal"/>
    <w:autoRedefine/>
    <w:uiPriority w:val="39"/>
    <w:unhideWhenUsed/>
    <w:rsid w:val="00EF5A8B"/>
    <w:pPr>
      <w:spacing w:after="100"/>
      <w:ind w:left="220"/>
    </w:pPr>
  </w:style>
  <w:style w:type="character" w:styleId="Hyperlink">
    <w:name w:val="Hyperlink"/>
    <w:basedOn w:val="DefaultParagraphFont"/>
    <w:uiPriority w:val="99"/>
    <w:unhideWhenUsed/>
    <w:rsid w:val="00EF5A8B"/>
    <w:rPr>
      <w:color w:val="467886" w:themeColor="hyperlink"/>
      <w:u w:val="single"/>
    </w:rPr>
  </w:style>
  <w:style w:type="table" w:styleId="TableGrid">
    <w:name w:val="Table Grid"/>
    <w:basedOn w:val="TableNormal"/>
    <w:uiPriority w:val="39"/>
    <w:rsid w:val="00B86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F038B"/>
    <w:rPr>
      <w:color w:val="605E5C"/>
      <w:shd w:val="clear" w:color="auto" w:fill="E1DFDD"/>
    </w:rPr>
  </w:style>
  <w:style w:type="paragraph" w:styleId="TOC3">
    <w:name w:val="toc 3"/>
    <w:basedOn w:val="Normal"/>
    <w:next w:val="Normal"/>
    <w:autoRedefine/>
    <w:uiPriority w:val="39"/>
    <w:unhideWhenUsed/>
    <w:rsid w:val="00B32FF6"/>
    <w:pPr>
      <w:spacing w:after="100"/>
      <w:ind w:left="440"/>
    </w:pPr>
  </w:style>
  <w:style w:type="paragraph" w:styleId="Header">
    <w:name w:val="header"/>
    <w:basedOn w:val="Normal"/>
    <w:link w:val="HeaderChar"/>
    <w:uiPriority w:val="99"/>
    <w:unhideWhenUsed/>
    <w:rsid w:val="00E11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EED"/>
    <w:rPr>
      <w:rFonts w:ascii="Arial" w:hAnsi="Arial"/>
    </w:rPr>
  </w:style>
  <w:style w:type="paragraph" w:styleId="Footer">
    <w:name w:val="footer"/>
    <w:basedOn w:val="Normal"/>
    <w:link w:val="FooterChar"/>
    <w:uiPriority w:val="99"/>
    <w:unhideWhenUsed/>
    <w:rsid w:val="00E11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EED"/>
    <w:rPr>
      <w:rFonts w:ascii="Arial" w:hAnsi="Arial"/>
    </w:rPr>
  </w:style>
  <w:style w:type="paragraph" w:styleId="Bibliography">
    <w:name w:val="Bibliography"/>
    <w:basedOn w:val="Normal"/>
    <w:next w:val="Normal"/>
    <w:uiPriority w:val="37"/>
    <w:unhideWhenUsed/>
    <w:rsid w:val="00F75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4134">
      <w:bodyDiv w:val="1"/>
      <w:marLeft w:val="0"/>
      <w:marRight w:val="0"/>
      <w:marTop w:val="0"/>
      <w:marBottom w:val="0"/>
      <w:divBdr>
        <w:top w:val="none" w:sz="0" w:space="0" w:color="auto"/>
        <w:left w:val="none" w:sz="0" w:space="0" w:color="auto"/>
        <w:bottom w:val="none" w:sz="0" w:space="0" w:color="auto"/>
        <w:right w:val="none" w:sz="0" w:space="0" w:color="auto"/>
      </w:divBdr>
    </w:div>
    <w:div w:id="55785874">
      <w:bodyDiv w:val="1"/>
      <w:marLeft w:val="0"/>
      <w:marRight w:val="0"/>
      <w:marTop w:val="0"/>
      <w:marBottom w:val="0"/>
      <w:divBdr>
        <w:top w:val="none" w:sz="0" w:space="0" w:color="auto"/>
        <w:left w:val="none" w:sz="0" w:space="0" w:color="auto"/>
        <w:bottom w:val="none" w:sz="0" w:space="0" w:color="auto"/>
        <w:right w:val="none" w:sz="0" w:space="0" w:color="auto"/>
      </w:divBdr>
    </w:div>
    <w:div w:id="62796548">
      <w:bodyDiv w:val="1"/>
      <w:marLeft w:val="0"/>
      <w:marRight w:val="0"/>
      <w:marTop w:val="0"/>
      <w:marBottom w:val="0"/>
      <w:divBdr>
        <w:top w:val="none" w:sz="0" w:space="0" w:color="auto"/>
        <w:left w:val="none" w:sz="0" w:space="0" w:color="auto"/>
        <w:bottom w:val="none" w:sz="0" w:space="0" w:color="auto"/>
        <w:right w:val="none" w:sz="0" w:space="0" w:color="auto"/>
      </w:divBdr>
    </w:div>
    <w:div w:id="92167834">
      <w:bodyDiv w:val="1"/>
      <w:marLeft w:val="0"/>
      <w:marRight w:val="0"/>
      <w:marTop w:val="0"/>
      <w:marBottom w:val="0"/>
      <w:divBdr>
        <w:top w:val="none" w:sz="0" w:space="0" w:color="auto"/>
        <w:left w:val="none" w:sz="0" w:space="0" w:color="auto"/>
        <w:bottom w:val="none" w:sz="0" w:space="0" w:color="auto"/>
        <w:right w:val="none" w:sz="0" w:space="0" w:color="auto"/>
      </w:divBdr>
    </w:div>
    <w:div w:id="97726124">
      <w:bodyDiv w:val="1"/>
      <w:marLeft w:val="0"/>
      <w:marRight w:val="0"/>
      <w:marTop w:val="0"/>
      <w:marBottom w:val="0"/>
      <w:divBdr>
        <w:top w:val="none" w:sz="0" w:space="0" w:color="auto"/>
        <w:left w:val="none" w:sz="0" w:space="0" w:color="auto"/>
        <w:bottom w:val="none" w:sz="0" w:space="0" w:color="auto"/>
        <w:right w:val="none" w:sz="0" w:space="0" w:color="auto"/>
      </w:divBdr>
    </w:div>
    <w:div w:id="143935913">
      <w:bodyDiv w:val="1"/>
      <w:marLeft w:val="0"/>
      <w:marRight w:val="0"/>
      <w:marTop w:val="0"/>
      <w:marBottom w:val="0"/>
      <w:divBdr>
        <w:top w:val="none" w:sz="0" w:space="0" w:color="auto"/>
        <w:left w:val="none" w:sz="0" w:space="0" w:color="auto"/>
        <w:bottom w:val="none" w:sz="0" w:space="0" w:color="auto"/>
        <w:right w:val="none" w:sz="0" w:space="0" w:color="auto"/>
      </w:divBdr>
    </w:div>
    <w:div w:id="159009342">
      <w:bodyDiv w:val="1"/>
      <w:marLeft w:val="0"/>
      <w:marRight w:val="0"/>
      <w:marTop w:val="0"/>
      <w:marBottom w:val="0"/>
      <w:divBdr>
        <w:top w:val="none" w:sz="0" w:space="0" w:color="auto"/>
        <w:left w:val="none" w:sz="0" w:space="0" w:color="auto"/>
        <w:bottom w:val="none" w:sz="0" w:space="0" w:color="auto"/>
        <w:right w:val="none" w:sz="0" w:space="0" w:color="auto"/>
      </w:divBdr>
    </w:div>
    <w:div w:id="160660883">
      <w:bodyDiv w:val="1"/>
      <w:marLeft w:val="0"/>
      <w:marRight w:val="0"/>
      <w:marTop w:val="0"/>
      <w:marBottom w:val="0"/>
      <w:divBdr>
        <w:top w:val="none" w:sz="0" w:space="0" w:color="auto"/>
        <w:left w:val="none" w:sz="0" w:space="0" w:color="auto"/>
        <w:bottom w:val="none" w:sz="0" w:space="0" w:color="auto"/>
        <w:right w:val="none" w:sz="0" w:space="0" w:color="auto"/>
      </w:divBdr>
    </w:div>
    <w:div w:id="186527275">
      <w:bodyDiv w:val="1"/>
      <w:marLeft w:val="0"/>
      <w:marRight w:val="0"/>
      <w:marTop w:val="0"/>
      <w:marBottom w:val="0"/>
      <w:divBdr>
        <w:top w:val="none" w:sz="0" w:space="0" w:color="auto"/>
        <w:left w:val="none" w:sz="0" w:space="0" w:color="auto"/>
        <w:bottom w:val="none" w:sz="0" w:space="0" w:color="auto"/>
        <w:right w:val="none" w:sz="0" w:space="0" w:color="auto"/>
      </w:divBdr>
    </w:div>
    <w:div w:id="207955130">
      <w:bodyDiv w:val="1"/>
      <w:marLeft w:val="0"/>
      <w:marRight w:val="0"/>
      <w:marTop w:val="0"/>
      <w:marBottom w:val="0"/>
      <w:divBdr>
        <w:top w:val="none" w:sz="0" w:space="0" w:color="auto"/>
        <w:left w:val="none" w:sz="0" w:space="0" w:color="auto"/>
        <w:bottom w:val="none" w:sz="0" w:space="0" w:color="auto"/>
        <w:right w:val="none" w:sz="0" w:space="0" w:color="auto"/>
      </w:divBdr>
    </w:div>
    <w:div w:id="208690434">
      <w:bodyDiv w:val="1"/>
      <w:marLeft w:val="0"/>
      <w:marRight w:val="0"/>
      <w:marTop w:val="0"/>
      <w:marBottom w:val="0"/>
      <w:divBdr>
        <w:top w:val="none" w:sz="0" w:space="0" w:color="auto"/>
        <w:left w:val="none" w:sz="0" w:space="0" w:color="auto"/>
        <w:bottom w:val="none" w:sz="0" w:space="0" w:color="auto"/>
        <w:right w:val="none" w:sz="0" w:space="0" w:color="auto"/>
      </w:divBdr>
    </w:div>
    <w:div w:id="225803561">
      <w:bodyDiv w:val="1"/>
      <w:marLeft w:val="0"/>
      <w:marRight w:val="0"/>
      <w:marTop w:val="0"/>
      <w:marBottom w:val="0"/>
      <w:divBdr>
        <w:top w:val="none" w:sz="0" w:space="0" w:color="auto"/>
        <w:left w:val="none" w:sz="0" w:space="0" w:color="auto"/>
        <w:bottom w:val="none" w:sz="0" w:space="0" w:color="auto"/>
        <w:right w:val="none" w:sz="0" w:space="0" w:color="auto"/>
      </w:divBdr>
    </w:div>
    <w:div w:id="291055359">
      <w:bodyDiv w:val="1"/>
      <w:marLeft w:val="0"/>
      <w:marRight w:val="0"/>
      <w:marTop w:val="0"/>
      <w:marBottom w:val="0"/>
      <w:divBdr>
        <w:top w:val="none" w:sz="0" w:space="0" w:color="auto"/>
        <w:left w:val="none" w:sz="0" w:space="0" w:color="auto"/>
        <w:bottom w:val="none" w:sz="0" w:space="0" w:color="auto"/>
        <w:right w:val="none" w:sz="0" w:space="0" w:color="auto"/>
      </w:divBdr>
    </w:div>
    <w:div w:id="302464021">
      <w:bodyDiv w:val="1"/>
      <w:marLeft w:val="0"/>
      <w:marRight w:val="0"/>
      <w:marTop w:val="0"/>
      <w:marBottom w:val="0"/>
      <w:divBdr>
        <w:top w:val="none" w:sz="0" w:space="0" w:color="auto"/>
        <w:left w:val="none" w:sz="0" w:space="0" w:color="auto"/>
        <w:bottom w:val="none" w:sz="0" w:space="0" w:color="auto"/>
        <w:right w:val="none" w:sz="0" w:space="0" w:color="auto"/>
      </w:divBdr>
    </w:div>
    <w:div w:id="317000965">
      <w:bodyDiv w:val="1"/>
      <w:marLeft w:val="0"/>
      <w:marRight w:val="0"/>
      <w:marTop w:val="0"/>
      <w:marBottom w:val="0"/>
      <w:divBdr>
        <w:top w:val="none" w:sz="0" w:space="0" w:color="auto"/>
        <w:left w:val="none" w:sz="0" w:space="0" w:color="auto"/>
        <w:bottom w:val="none" w:sz="0" w:space="0" w:color="auto"/>
        <w:right w:val="none" w:sz="0" w:space="0" w:color="auto"/>
      </w:divBdr>
    </w:div>
    <w:div w:id="322468267">
      <w:bodyDiv w:val="1"/>
      <w:marLeft w:val="0"/>
      <w:marRight w:val="0"/>
      <w:marTop w:val="0"/>
      <w:marBottom w:val="0"/>
      <w:divBdr>
        <w:top w:val="none" w:sz="0" w:space="0" w:color="auto"/>
        <w:left w:val="none" w:sz="0" w:space="0" w:color="auto"/>
        <w:bottom w:val="none" w:sz="0" w:space="0" w:color="auto"/>
        <w:right w:val="none" w:sz="0" w:space="0" w:color="auto"/>
      </w:divBdr>
    </w:div>
    <w:div w:id="391734600">
      <w:bodyDiv w:val="1"/>
      <w:marLeft w:val="0"/>
      <w:marRight w:val="0"/>
      <w:marTop w:val="0"/>
      <w:marBottom w:val="0"/>
      <w:divBdr>
        <w:top w:val="none" w:sz="0" w:space="0" w:color="auto"/>
        <w:left w:val="none" w:sz="0" w:space="0" w:color="auto"/>
        <w:bottom w:val="none" w:sz="0" w:space="0" w:color="auto"/>
        <w:right w:val="none" w:sz="0" w:space="0" w:color="auto"/>
      </w:divBdr>
    </w:div>
    <w:div w:id="451556003">
      <w:bodyDiv w:val="1"/>
      <w:marLeft w:val="0"/>
      <w:marRight w:val="0"/>
      <w:marTop w:val="0"/>
      <w:marBottom w:val="0"/>
      <w:divBdr>
        <w:top w:val="none" w:sz="0" w:space="0" w:color="auto"/>
        <w:left w:val="none" w:sz="0" w:space="0" w:color="auto"/>
        <w:bottom w:val="none" w:sz="0" w:space="0" w:color="auto"/>
        <w:right w:val="none" w:sz="0" w:space="0" w:color="auto"/>
      </w:divBdr>
    </w:div>
    <w:div w:id="492726600">
      <w:bodyDiv w:val="1"/>
      <w:marLeft w:val="0"/>
      <w:marRight w:val="0"/>
      <w:marTop w:val="0"/>
      <w:marBottom w:val="0"/>
      <w:divBdr>
        <w:top w:val="none" w:sz="0" w:space="0" w:color="auto"/>
        <w:left w:val="none" w:sz="0" w:space="0" w:color="auto"/>
        <w:bottom w:val="none" w:sz="0" w:space="0" w:color="auto"/>
        <w:right w:val="none" w:sz="0" w:space="0" w:color="auto"/>
      </w:divBdr>
    </w:div>
    <w:div w:id="514465442">
      <w:bodyDiv w:val="1"/>
      <w:marLeft w:val="0"/>
      <w:marRight w:val="0"/>
      <w:marTop w:val="0"/>
      <w:marBottom w:val="0"/>
      <w:divBdr>
        <w:top w:val="none" w:sz="0" w:space="0" w:color="auto"/>
        <w:left w:val="none" w:sz="0" w:space="0" w:color="auto"/>
        <w:bottom w:val="none" w:sz="0" w:space="0" w:color="auto"/>
        <w:right w:val="none" w:sz="0" w:space="0" w:color="auto"/>
      </w:divBdr>
    </w:div>
    <w:div w:id="546527488">
      <w:bodyDiv w:val="1"/>
      <w:marLeft w:val="0"/>
      <w:marRight w:val="0"/>
      <w:marTop w:val="0"/>
      <w:marBottom w:val="0"/>
      <w:divBdr>
        <w:top w:val="none" w:sz="0" w:space="0" w:color="auto"/>
        <w:left w:val="none" w:sz="0" w:space="0" w:color="auto"/>
        <w:bottom w:val="none" w:sz="0" w:space="0" w:color="auto"/>
        <w:right w:val="none" w:sz="0" w:space="0" w:color="auto"/>
      </w:divBdr>
    </w:div>
    <w:div w:id="548689816">
      <w:bodyDiv w:val="1"/>
      <w:marLeft w:val="0"/>
      <w:marRight w:val="0"/>
      <w:marTop w:val="0"/>
      <w:marBottom w:val="0"/>
      <w:divBdr>
        <w:top w:val="none" w:sz="0" w:space="0" w:color="auto"/>
        <w:left w:val="none" w:sz="0" w:space="0" w:color="auto"/>
        <w:bottom w:val="none" w:sz="0" w:space="0" w:color="auto"/>
        <w:right w:val="none" w:sz="0" w:space="0" w:color="auto"/>
      </w:divBdr>
    </w:div>
    <w:div w:id="559101291">
      <w:bodyDiv w:val="1"/>
      <w:marLeft w:val="0"/>
      <w:marRight w:val="0"/>
      <w:marTop w:val="0"/>
      <w:marBottom w:val="0"/>
      <w:divBdr>
        <w:top w:val="none" w:sz="0" w:space="0" w:color="auto"/>
        <w:left w:val="none" w:sz="0" w:space="0" w:color="auto"/>
        <w:bottom w:val="none" w:sz="0" w:space="0" w:color="auto"/>
        <w:right w:val="none" w:sz="0" w:space="0" w:color="auto"/>
      </w:divBdr>
    </w:div>
    <w:div w:id="576013605">
      <w:bodyDiv w:val="1"/>
      <w:marLeft w:val="0"/>
      <w:marRight w:val="0"/>
      <w:marTop w:val="0"/>
      <w:marBottom w:val="0"/>
      <w:divBdr>
        <w:top w:val="none" w:sz="0" w:space="0" w:color="auto"/>
        <w:left w:val="none" w:sz="0" w:space="0" w:color="auto"/>
        <w:bottom w:val="none" w:sz="0" w:space="0" w:color="auto"/>
        <w:right w:val="none" w:sz="0" w:space="0" w:color="auto"/>
      </w:divBdr>
    </w:div>
    <w:div w:id="626469072">
      <w:bodyDiv w:val="1"/>
      <w:marLeft w:val="0"/>
      <w:marRight w:val="0"/>
      <w:marTop w:val="0"/>
      <w:marBottom w:val="0"/>
      <w:divBdr>
        <w:top w:val="none" w:sz="0" w:space="0" w:color="auto"/>
        <w:left w:val="none" w:sz="0" w:space="0" w:color="auto"/>
        <w:bottom w:val="none" w:sz="0" w:space="0" w:color="auto"/>
        <w:right w:val="none" w:sz="0" w:space="0" w:color="auto"/>
      </w:divBdr>
    </w:div>
    <w:div w:id="629629756">
      <w:bodyDiv w:val="1"/>
      <w:marLeft w:val="0"/>
      <w:marRight w:val="0"/>
      <w:marTop w:val="0"/>
      <w:marBottom w:val="0"/>
      <w:divBdr>
        <w:top w:val="none" w:sz="0" w:space="0" w:color="auto"/>
        <w:left w:val="none" w:sz="0" w:space="0" w:color="auto"/>
        <w:bottom w:val="none" w:sz="0" w:space="0" w:color="auto"/>
        <w:right w:val="none" w:sz="0" w:space="0" w:color="auto"/>
      </w:divBdr>
    </w:div>
    <w:div w:id="676621292">
      <w:bodyDiv w:val="1"/>
      <w:marLeft w:val="0"/>
      <w:marRight w:val="0"/>
      <w:marTop w:val="0"/>
      <w:marBottom w:val="0"/>
      <w:divBdr>
        <w:top w:val="none" w:sz="0" w:space="0" w:color="auto"/>
        <w:left w:val="none" w:sz="0" w:space="0" w:color="auto"/>
        <w:bottom w:val="none" w:sz="0" w:space="0" w:color="auto"/>
        <w:right w:val="none" w:sz="0" w:space="0" w:color="auto"/>
      </w:divBdr>
    </w:div>
    <w:div w:id="679545950">
      <w:bodyDiv w:val="1"/>
      <w:marLeft w:val="0"/>
      <w:marRight w:val="0"/>
      <w:marTop w:val="0"/>
      <w:marBottom w:val="0"/>
      <w:divBdr>
        <w:top w:val="none" w:sz="0" w:space="0" w:color="auto"/>
        <w:left w:val="none" w:sz="0" w:space="0" w:color="auto"/>
        <w:bottom w:val="none" w:sz="0" w:space="0" w:color="auto"/>
        <w:right w:val="none" w:sz="0" w:space="0" w:color="auto"/>
      </w:divBdr>
    </w:div>
    <w:div w:id="716200604">
      <w:bodyDiv w:val="1"/>
      <w:marLeft w:val="0"/>
      <w:marRight w:val="0"/>
      <w:marTop w:val="0"/>
      <w:marBottom w:val="0"/>
      <w:divBdr>
        <w:top w:val="none" w:sz="0" w:space="0" w:color="auto"/>
        <w:left w:val="none" w:sz="0" w:space="0" w:color="auto"/>
        <w:bottom w:val="none" w:sz="0" w:space="0" w:color="auto"/>
        <w:right w:val="none" w:sz="0" w:space="0" w:color="auto"/>
      </w:divBdr>
    </w:div>
    <w:div w:id="720831587">
      <w:bodyDiv w:val="1"/>
      <w:marLeft w:val="0"/>
      <w:marRight w:val="0"/>
      <w:marTop w:val="0"/>
      <w:marBottom w:val="0"/>
      <w:divBdr>
        <w:top w:val="none" w:sz="0" w:space="0" w:color="auto"/>
        <w:left w:val="none" w:sz="0" w:space="0" w:color="auto"/>
        <w:bottom w:val="none" w:sz="0" w:space="0" w:color="auto"/>
        <w:right w:val="none" w:sz="0" w:space="0" w:color="auto"/>
      </w:divBdr>
    </w:div>
    <w:div w:id="794327165">
      <w:bodyDiv w:val="1"/>
      <w:marLeft w:val="0"/>
      <w:marRight w:val="0"/>
      <w:marTop w:val="0"/>
      <w:marBottom w:val="0"/>
      <w:divBdr>
        <w:top w:val="none" w:sz="0" w:space="0" w:color="auto"/>
        <w:left w:val="none" w:sz="0" w:space="0" w:color="auto"/>
        <w:bottom w:val="none" w:sz="0" w:space="0" w:color="auto"/>
        <w:right w:val="none" w:sz="0" w:space="0" w:color="auto"/>
      </w:divBdr>
    </w:div>
    <w:div w:id="813568187">
      <w:bodyDiv w:val="1"/>
      <w:marLeft w:val="0"/>
      <w:marRight w:val="0"/>
      <w:marTop w:val="0"/>
      <w:marBottom w:val="0"/>
      <w:divBdr>
        <w:top w:val="none" w:sz="0" w:space="0" w:color="auto"/>
        <w:left w:val="none" w:sz="0" w:space="0" w:color="auto"/>
        <w:bottom w:val="none" w:sz="0" w:space="0" w:color="auto"/>
        <w:right w:val="none" w:sz="0" w:space="0" w:color="auto"/>
      </w:divBdr>
    </w:div>
    <w:div w:id="923684113">
      <w:bodyDiv w:val="1"/>
      <w:marLeft w:val="0"/>
      <w:marRight w:val="0"/>
      <w:marTop w:val="0"/>
      <w:marBottom w:val="0"/>
      <w:divBdr>
        <w:top w:val="none" w:sz="0" w:space="0" w:color="auto"/>
        <w:left w:val="none" w:sz="0" w:space="0" w:color="auto"/>
        <w:bottom w:val="none" w:sz="0" w:space="0" w:color="auto"/>
        <w:right w:val="none" w:sz="0" w:space="0" w:color="auto"/>
      </w:divBdr>
    </w:div>
    <w:div w:id="930940068">
      <w:bodyDiv w:val="1"/>
      <w:marLeft w:val="0"/>
      <w:marRight w:val="0"/>
      <w:marTop w:val="0"/>
      <w:marBottom w:val="0"/>
      <w:divBdr>
        <w:top w:val="none" w:sz="0" w:space="0" w:color="auto"/>
        <w:left w:val="none" w:sz="0" w:space="0" w:color="auto"/>
        <w:bottom w:val="none" w:sz="0" w:space="0" w:color="auto"/>
        <w:right w:val="none" w:sz="0" w:space="0" w:color="auto"/>
      </w:divBdr>
    </w:div>
    <w:div w:id="935208186">
      <w:bodyDiv w:val="1"/>
      <w:marLeft w:val="0"/>
      <w:marRight w:val="0"/>
      <w:marTop w:val="0"/>
      <w:marBottom w:val="0"/>
      <w:divBdr>
        <w:top w:val="none" w:sz="0" w:space="0" w:color="auto"/>
        <w:left w:val="none" w:sz="0" w:space="0" w:color="auto"/>
        <w:bottom w:val="none" w:sz="0" w:space="0" w:color="auto"/>
        <w:right w:val="none" w:sz="0" w:space="0" w:color="auto"/>
      </w:divBdr>
    </w:div>
    <w:div w:id="941105453">
      <w:bodyDiv w:val="1"/>
      <w:marLeft w:val="0"/>
      <w:marRight w:val="0"/>
      <w:marTop w:val="0"/>
      <w:marBottom w:val="0"/>
      <w:divBdr>
        <w:top w:val="none" w:sz="0" w:space="0" w:color="auto"/>
        <w:left w:val="none" w:sz="0" w:space="0" w:color="auto"/>
        <w:bottom w:val="none" w:sz="0" w:space="0" w:color="auto"/>
        <w:right w:val="none" w:sz="0" w:space="0" w:color="auto"/>
      </w:divBdr>
    </w:div>
    <w:div w:id="1033192596">
      <w:bodyDiv w:val="1"/>
      <w:marLeft w:val="0"/>
      <w:marRight w:val="0"/>
      <w:marTop w:val="0"/>
      <w:marBottom w:val="0"/>
      <w:divBdr>
        <w:top w:val="none" w:sz="0" w:space="0" w:color="auto"/>
        <w:left w:val="none" w:sz="0" w:space="0" w:color="auto"/>
        <w:bottom w:val="none" w:sz="0" w:space="0" w:color="auto"/>
        <w:right w:val="none" w:sz="0" w:space="0" w:color="auto"/>
      </w:divBdr>
    </w:div>
    <w:div w:id="1056203821">
      <w:bodyDiv w:val="1"/>
      <w:marLeft w:val="0"/>
      <w:marRight w:val="0"/>
      <w:marTop w:val="0"/>
      <w:marBottom w:val="0"/>
      <w:divBdr>
        <w:top w:val="none" w:sz="0" w:space="0" w:color="auto"/>
        <w:left w:val="none" w:sz="0" w:space="0" w:color="auto"/>
        <w:bottom w:val="none" w:sz="0" w:space="0" w:color="auto"/>
        <w:right w:val="none" w:sz="0" w:space="0" w:color="auto"/>
      </w:divBdr>
    </w:div>
    <w:div w:id="1064177519">
      <w:bodyDiv w:val="1"/>
      <w:marLeft w:val="0"/>
      <w:marRight w:val="0"/>
      <w:marTop w:val="0"/>
      <w:marBottom w:val="0"/>
      <w:divBdr>
        <w:top w:val="none" w:sz="0" w:space="0" w:color="auto"/>
        <w:left w:val="none" w:sz="0" w:space="0" w:color="auto"/>
        <w:bottom w:val="none" w:sz="0" w:space="0" w:color="auto"/>
        <w:right w:val="none" w:sz="0" w:space="0" w:color="auto"/>
      </w:divBdr>
    </w:div>
    <w:div w:id="1068646686">
      <w:bodyDiv w:val="1"/>
      <w:marLeft w:val="0"/>
      <w:marRight w:val="0"/>
      <w:marTop w:val="0"/>
      <w:marBottom w:val="0"/>
      <w:divBdr>
        <w:top w:val="none" w:sz="0" w:space="0" w:color="auto"/>
        <w:left w:val="none" w:sz="0" w:space="0" w:color="auto"/>
        <w:bottom w:val="none" w:sz="0" w:space="0" w:color="auto"/>
        <w:right w:val="none" w:sz="0" w:space="0" w:color="auto"/>
      </w:divBdr>
    </w:div>
    <w:div w:id="1072001831">
      <w:bodyDiv w:val="1"/>
      <w:marLeft w:val="0"/>
      <w:marRight w:val="0"/>
      <w:marTop w:val="0"/>
      <w:marBottom w:val="0"/>
      <w:divBdr>
        <w:top w:val="none" w:sz="0" w:space="0" w:color="auto"/>
        <w:left w:val="none" w:sz="0" w:space="0" w:color="auto"/>
        <w:bottom w:val="none" w:sz="0" w:space="0" w:color="auto"/>
        <w:right w:val="none" w:sz="0" w:space="0" w:color="auto"/>
      </w:divBdr>
    </w:div>
    <w:div w:id="1164274707">
      <w:bodyDiv w:val="1"/>
      <w:marLeft w:val="0"/>
      <w:marRight w:val="0"/>
      <w:marTop w:val="0"/>
      <w:marBottom w:val="0"/>
      <w:divBdr>
        <w:top w:val="none" w:sz="0" w:space="0" w:color="auto"/>
        <w:left w:val="none" w:sz="0" w:space="0" w:color="auto"/>
        <w:bottom w:val="none" w:sz="0" w:space="0" w:color="auto"/>
        <w:right w:val="none" w:sz="0" w:space="0" w:color="auto"/>
      </w:divBdr>
    </w:div>
    <w:div w:id="1180311670">
      <w:bodyDiv w:val="1"/>
      <w:marLeft w:val="0"/>
      <w:marRight w:val="0"/>
      <w:marTop w:val="0"/>
      <w:marBottom w:val="0"/>
      <w:divBdr>
        <w:top w:val="none" w:sz="0" w:space="0" w:color="auto"/>
        <w:left w:val="none" w:sz="0" w:space="0" w:color="auto"/>
        <w:bottom w:val="none" w:sz="0" w:space="0" w:color="auto"/>
        <w:right w:val="none" w:sz="0" w:space="0" w:color="auto"/>
      </w:divBdr>
    </w:div>
    <w:div w:id="1196697175">
      <w:bodyDiv w:val="1"/>
      <w:marLeft w:val="0"/>
      <w:marRight w:val="0"/>
      <w:marTop w:val="0"/>
      <w:marBottom w:val="0"/>
      <w:divBdr>
        <w:top w:val="none" w:sz="0" w:space="0" w:color="auto"/>
        <w:left w:val="none" w:sz="0" w:space="0" w:color="auto"/>
        <w:bottom w:val="none" w:sz="0" w:space="0" w:color="auto"/>
        <w:right w:val="none" w:sz="0" w:space="0" w:color="auto"/>
      </w:divBdr>
    </w:div>
    <w:div w:id="1211962310">
      <w:bodyDiv w:val="1"/>
      <w:marLeft w:val="0"/>
      <w:marRight w:val="0"/>
      <w:marTop w:val="0"/>
      <w:marBottom w:val="0"/>
      <w:divBdr>
        <w:top w:val="none" w:sz="0" w:space="0" w:color="auto"/>
        <w:left w:val="none" w:sz="0" w:space="0" w:color="auto"/>
        <w:bottom w:val="none" w:sz="0" w:space="0" w:color="auto"/>
        <w:right w:val="none" w:sz="0" w:space="0" w:color="auto"/>
      </w:divBdr>
    </w:div>
    <w:div w:id="1225947562">
      <w:bodyDiv w:val="1"/>
      <w:marLeft w:val="0"/>
      <w:marRight w:val="0"/>
      <w:marTop w:val="0"/>
      <w:marBottom w:val="0"/>
      <w:divBdr>
        <w:top w:val="none" w:sz="0" w:space="0" w:color="auto"/>
        <w:left w:val="none" w:sz="0" w:space="0" w:color="auto"/>
        <w:bottom w:val="none" w:sz="0" w:space="0" w:color="auto"/>
        <w:right w:val="none" w:sz="0" w:space="0" w:color="auto"/>
      </w:divBdr>
    </w:div>
    <w:div w:id="1257832696">
      <w:bodyDiv w:val="1"/>
      <w:marLeft w:val="0"/>
      <w:marRight w:val="0"/>
      <w:marTop w:val="0"/>
      <w:marBottom w:val="0"/>
      <w:divBdr>
        <w:top w:val="none" w:sz="0" w:space="0" w:color="auto"/>
        <w:left w:val="none" w:sz="0" w:space="0" w:color="auto"/>
        <w:bottom w:val="none" w:sz="0" w:space="0" w:color="auto"/>
        <w:right w:val="none" w:sz="0" w:space="0" w:color="auto"/>
      </w:divBdr>
    </w:div>
    <w:div w:id="1264806715">
      <w:bodyDiv w:val="1"/>
      <w:marLeft w:val="0"/>
      <w:marRight w:val="0"/>
      <w:marTop w:val="0"/>
      <w:marBottom w:val="0"/>
      <w:divBdr>
        <w:top w:val="none" w:sz="0" w:space="0" w:color="auto"/>
        <w:left w:val="none" w:sz="0" w:space="0" w:color="auto"/>
        <w:bottom w:val="none" w:sz="0" w:space="0" w:color="auto"/>
        <w:right w:val="none" w:sz="0" w:space="0" w:color="auto"/>
      </w:divBdr>
    </w:div>
    <w:div w:id="1280995451">
      <w:bodyDiv w:val="1"/>
      <w:marLeft w:val="0"/>
      <w:marRight w:val="0"/>
      <w:marTop w:val="0"/>
      <w:marBottom w:val="0"/>
      <w:divBdr>
        <w:top w:val="none" w:sz="0" w:space="0" w:color="auto"/>
        <w:left w:val="none" w:sz="0" w:space="0" w:color="auto"/>
        <w:bottom w:val="none" w:sz="0" w:space="0" w:color="auto"/>
        <w:right w:val="none" w:sz="0" w:space="0" w:color="auto"/>
      </w:divBdr>
    </w:div>
    <w:div w:id="1296594734">
      <w:bodyDiv w:val="1"/>
      <w:marLeft w:val="0"/>
      <w:marRight w:val="0"/>
      <w:marTop w:val="0"/>
      <w:marBottom w:val="0"/>
      <w:divBdr>
        <w:top w:val="none" w:sz="0" w:space="0" w:color="auto"/>
        <w:left w:val="none" w:sz="0" w:space="0" w:color="auto"/>
        <w:bottom w:val="none" w:sz="0" w:space="0" w:color="auto"/>
        <w:right w:val="none" w:sz="0" w:space="0" w:color="auto"/>
      </w:divBdr>
    </w:div>
    <w:div w:id="1315143481">
      <w:bodyDiv w:val="1"/>
      <w:marLeft w:val="0"/>
      <w:marRight w:val="0"/>
      <w:marTop w:val="0"/>
      <w:marBottom w:val="0"/>
      <w:divBdr>
        <w:top w:val="none" w:sz="0" w:space="0" w:color="auto"/>
        <w:left w:val="none" w:sz="0" w:space="0" w:color="auto"/>
        <w:bottom w:val="none" w:sz="0" w:space="0" w:color="auto"/>
        <w:right w:val="none" w:sz="0" w:space="0" w:color="auto"/>
      </w:divBdr>
    </w:div>
    <w:div w:id="1321497990">
      <w:bodyDiv w:val="1"/>
      <w:marLeft w:val="0"/>
      <w:marRight w:val="0"/>
      <w:marTop w:val="0"/>
      <w:marBottom w:val="0"/>
      <w:divBdr>
        <w:top w:val="none" w:sz="0" w:space="0" w:color="auto"/>
        <w:left w:val="none" w:sz="0" w:space="0" w:color="auto"/>
        <w:bottom w:val="none" w:sz="0" w:space="0" w:color="auto"/>
        <w:right w:val="none" w:sz="0" w:space="0" w:color="auto"/>
      </w:divBdr>
    </w:div>
    <w:div w:id="1339771385">
      <w:bodyDiv w:val="1"/>
      <w:marLeft w:val="0"/>
      <w:marRight w:val="0"/>
      <w:marTop w:val="0"/>
      <w:marBottom w:val="0"/>
      <w:divBdr>
        <w:top w:val="none" w:sz="0" w:space="0" w:color="auto"/>
        <w:left w:val="none" w:sz="0" w:space="0" w:color="auto"/>
        <w:bottom w:val="none" w:sz="0" w:space="0" w:color="auto"/>
        <w:right w:val="none" w:sz="0" w:space="0" w:color="auto"/>
      </w:divBdr>
    </w:div>
    <w:div w:id="1340229977">
      <w:bodyDiv w:val="1"/>
      <w:marLeft w:val="0"/>
      <w:marRight w:val="0"/>
      <w:marTop w:val="0"/>
      <w:marBottom w:val="0"/>
      <w:divBdr>
        <w:top w:val="none" w:sz="0" w:space="0" w:color="auto"/>
        <w:left w:val="none" w:sz="0" w:space="0" w:color="auto"/>
        <w:bottom w:val="none" w:sz="0" w:space="0" w:color="auto"/>
        <w:right w:val="none" w:sz="0" w:space="0" w:color="auto"/>
      </w:divBdr>
    </w:div>
    <w:div w:id="1344624295">
      <w:bodyDiv w:val="1"/>
      <w:marLeft w:val="0"/>
      <w:marRight w:val="0"/>
      <w:marTop w:val="0"/>
      <w:marBottom w:val="0"/>
      <w:divBdr>
        <w:top w:val="none" w:sz="0" w:space="0" w:color="auto"/>
        <w:left w:val="none" w:sz="0" w:space="0" w:color="auto"/>
        <w:bottom w:val="none" w:sz="0" w:space="0" w:color="auto"/>
        <w:right w:val="none" w:sz="0" w:space="0" w:color="auto"/>
      </w:divBdr>
    </w:div>
    <w:div w:id="1392001518">
      <w:bodyDiv w:val="1"/>
      <w:marLeft w:val="0"/>
      <w:marRight w:val="0"/>
      <w:marTop w:val="0"/>
      <w:marBottom w:val="0"/>
      <w:divBdr>
        <w:top w:val="none" w:sz="0" w:space="0" w:color="auto"/>
        <w:left w:val="none" w:sz="0" w:space="0" w:color="auto"/>
        <w:bottom w:val="none" w:sz="0" w:space="0" w:color="auto"/>
        <w:right w:val="none" w:sz="0" w:space="0" w:color="auto"/>
      </w:divBdr>
    </w:div>
    <w:div w:id="1405372098">
      <w:bodyDiv w:val="1"/>
      <w:marLeft w:val="0"/>
      <w:marRight w:val="0"/>
      <w:marTop w:val="0"/>
      <w:marBottom w:val="0"/>
      <w:divBdr>
        <w:top w:val="none" w:sz="0" w:space="0" w:color="auto"/>
        <w:left w:val="none" w:sz="0" w:space="0" w:color="auto"/>
        <w:bottom w:val="none" w:sz="0" w:space="0" w:color="auto"/>
        <w:right w:val="none" w:sz="0" w:space="0" w:color="auto"/>
      </w:divBdr>
    </w:div>
    <w:div w:id="1441754826">
      <w:bodyDiv w:val="1"/>
      <w:marLeft w:val="0"/>
      <w:marRight w:val="0"/>
      <w:marTop w:val="0"/>
      <w:marBottom w:val="0"/>
      <w:divBdr>
        <w:top w:val="none" w:sz="0" w:space="0" w:color="auto"/>
        <w:left w:val="none" w:sz="0" w:space="0" w:color="auto"/>
        <w:bottom w:val="none" w:sz="0" w:space="0" w:color="auto"/>
        <w:right w:val="none" w:sz="0" w:space="0" w:color="auto"/>
      </w:divBdr>
    </w:div>
    <w:div w:id="1443917160">
      <w:bodyDiv w:val="1"/>
      <w:marLeft w:val="0"/>
      <w:marRight w:val="0"/>
      <w:marTop w:val="0"/>
      <w:marBottom w:val="0"/>
      <w:divBdr>
        <w:top w:val="none" w:sz="0" w:space="0" w:color="auto"/>
        <w:left w:val="none" w:sz="0" w:space="0" w:color="auto"/>
        <w:bottom w:val="none" w:sz="0" w:space="0" w:color="auto"/>
        <w:right w:val="none" w:sz="0" w:space="0" w:color="auto"/>
      </w:divBdr>
    </w:div>
    <w:div w:id="1509907713">
      <w:bodyDiv w:val="1"/>
      <w:marLeft w:val="0"/>
      <w:marRight w:val="0"/>
      <w:marTop w:val="0"/>
      <w:marBottom w:val="0"/>
      <w:divBdr>
        <w:top w:val="none" w:sz="0" w:space="0" w:color="auto"/>
        <w:left w:val="none" w:sz="0" w:space="0" w:color="auto"/>
        <w:bottom w:val="none" w:sz="0" w:space="0" w:color="auto"/>
        <w:right w:val="none" w:sz="0" w:space="0" w:color="auto"/>
      </w:divBdr>
    </w:div>
    <w:div w:id="1515075644">
      <w:bodyDiv w:val="1"/>
      <w:marLeft w:val="0"/>
      <w:marRight w:val="0"/>
      <w:marTop w:val="0"/>
      <w:marBottom w:val="0"/>
      <w:divBdr>
        <w:top w:val="none" w:sz="0" w:space="0" w:color="auto"/>
        <w:left w:val="none" w:sz="0" w:space="0" w:color="auto"/>
        <w:bottom w:val="none" w:sz="0" w:space="0" w:color="auto"/>
        <w:right w:val="none" w:sz="0" w:space="0" w:color="auto"/>
      </w:divBdr>
    </w:div>
    <w:div w:id="1532838577">
      <w:bodyDiv w:val="1"/>
      <w:marLeft w:val="0"/>
      <w:marRight w:val="0"/>
      <w:marTop w:val="0"/>
      <w:marBottom w:val="0"/>
      <w:divBdr>
        <w:top w:val="none" w:sz="0" w:space="0" w:color="auto"/>
        <w:left w:val="none" w:sz="0" w:space="0" w:color="auto"/>
        <w:bottom w:val="none" w:sz="0" w:space="0" w:color="auto"/>
        <w:right w:val="none" w:sz="0" w:space="0" w:color="auto"/>
      </w:divBdr>
    </w:div>
    <w:div w:id="1577126841">
      <w:bodyDiv w:val="1"/>
      <w:marLeft w:val="0"/>
      <w:marRight w:val="0"/>
      <w:marTop w:val="0"/>
      <w:marBottom w:val="0"/>
      <w:divBdr>
        <w:top w:val="none" w:sz="0" w:space="0" w:color="auto"/>
        <w:left w:val="none" w:sz="0" w:space="0" w:color="auto"/>
        <w:bottom w:val="none" w:sz="0" w:space="0" w:color="auto"/>
        <w:right w:val="none" w:sz="0" w:space="0" w:color="auto"/>
      </w:divBdr>
    </w:div>
    <w:div w:id="1607541059">
      <w:bodyDiv w:val="1"/>
      <w:marLeft w:val="0"/>
      <w:marRight w:val="0"/>
      <w:marTop w:val="0"/>
      <w:marBottom w:val="0"/>
      <w:divBdr>
        <w:top w:val="none" w:sz="0" w:space="0" w:color="auto"/>
        <w:left w:val="none" w:sz="0" w:space="0" w:color="auto"/>
        <w:bottom w:val="none" w:sz="0" w:space="0" w:color="auto"/>
        <w:right w:val="none" w:sz="0" w:space="0" w:color="auto"/>
      </w:divBdr>
    </w:div>
    <w:div w:id="1671106229">
      <w:bodyDiv w:val="1"/>
      <w:marLeft w:val="0"/>
      <w:marRight w:val="0"/>
      <w:marTop w:val="0"/>
      <w:marBottom w:val="0"/>
      <w:divBdr>
        <w:top w:val="none" w:sz="0" w:space="0" w:color="auto"/>
        <w:left w:val="none" w:sz="0" w:space="0" w:color="auto"/>
        <w:bottom w:val="none" w:sz="0" w:space="0" w:color="auto"/>
        <w:right w:val="none" w:sz="0" w:space="0" w:color="auto"/>
      </w:divBdr>
    </w:div>
    <w:div w:id="1719548720">
      <w:bodyDiv w:val="1"/>
      <w:marLeft w:val="0"/>
      <w:marRight w:val="0"/>
      <w:marTop w:val="0"/>
      <w:marBottom w:val="0"/>
      <w:divBdr>
        <w:top w:val="none" w:sz="0" w:space="0" w:color="auto"/>
        <w:left w:val="none" w:sz="0" w:space="0" w:color="auto"/>
        <w:bottom w:val="none" w:sz="0" w:space="0" w:color="auto"/>
        <w:right w:val="none" w:sz="0" w:space="0" w:color="auto"/>
      </w:divBdr>
    </w:div>
    <w:div w:id="1730958826">
      <w:bodyDiv w:val="1"/>
      <w:marLeft w:val="0"/>
      <w:marRight w:val="0"/>
      <w:marTop w:val="0"/>
      <w:marBottom w:val="0"/>
      <w:divBdr>
        <w:top w:val="none" w:sz="0" w:space="0" w:color="auto"/>
        <w:left w:val="none" w:sz="0" w:space="0" w:color="auto"/>
        <w:bottom w:val="none" w:sz="0" w:space="0" w:color="auto"/>
        <w:right w:val="none" w:sz="0" w:space="0" w:color="auto"/>
      </w:divBdr>
    </w:div>
    <w:div w:id="1756899710">
      <w:bodyDiv w:val="1"/>
      <w:marLeft w:val="0"/>
      <w:marRight w:val="0"/>
      <w:marTop w:val="0"/>
      <w:marBottom w:val="0"/>
      <w:divBdr>
        <w:top w:val="none" w:sz="0" w:space="0" w:color="auto"/>
        <w:left w:val="none" w:sz="0" w:space="0" w:color="auto"/>
        <w:bottom w:val="none" w:sz="0" w:space="0" w:color="auto"/>
        <w:right w:val="none" w:sz="0" w:space="0" w:color="auto"/>
      </w:divBdr>
    </w:div>
    <w:div w:id="1764379604">
      <w:bodyDiv w:val="1"/>
      <w:marLeft w:val="0"/>
      <w:marRight w:val="0"/>
      <w:marTop w:val="0"/>
      <w:marBottom w:val="0"/>
      <w:divBdr>
        <w:top w:val="none" w:sz="0" w:space="0" w:color="auto"/>
        <w:left w:val="none" w:sz="0" w:space="0" w:color="auto"/>
        <w:bottom w:val="none" w:sz="0" w:space="0" w:color="auto"/>
        <w:right w:val="none" w:sz="0" w:space="0" w:color="auto"/>
      </w:divBdr>
    </w:div>
    <w:div w:id="1781072863">
      <w:bodyDiv w:val="1"/>
      <w:marLeft w:val="0"/>
      <w:marRight w:val="0"/>
      <w:marTop w:val="0"/>
      <w:marBottom w:val="0"/>
      <w:divBdr>
        <w:top w:val="none" w:sz="0" w:space="0" w:color="auto"/>
        <w:left w:val="none" w:sz="0" w:space="0" w:color="auto"/>
        <w:bottom w:val="none" w:sz="0" w:space="0" w:color="auto"/>
        <w:right w:val="none" w:sz="0" w:space="0" w:color="auto"/>
      </w:divBdr>
    </w:div>
    <w:div w:id="1792046899">
      <w:bodyDiv w:val="1"/>
      <w:marLeft w:val="0"/>
      <w:marRight w:val="0"/>
      <w:marTop w:val="0"/>
      <w:marBottom w:val="0"/>
      <w:divBdr>
        <w:top w:val="none" w:sz="0" w:space="0" w:color="auto"/>
        <w:left w:val="none" w:sz="0" w:space="0" w:color="auto"/>
        <w:bottom w:val="none" w:sz="0" w:space="0" w:color="auto"/>
        <w:right w:val="none" w:sz="0" w:space="0" w:color="auto"/>
      </w:divBdr>
    </w:div>
    <w:div w:id="1883053272">
      <w:bodyDiv w:val="1"/>
      <w:marLeft w:val="0"/>
      <w:marRight w:val="0"/>
      <w:marTop w:val="0"/>
      <w:marBottom w:val="0"/>
      <w:divBdr>
        <w:top w:val="none" w:sz="0" w:space="0" w:color="auto"/>
        <w:left w:val="none" w:sz="0" w:space="0" w:color="auto"/>
        <w:bottom w:val="none" w:sz="0" w:space="0" w:color="auto"/>
        <w:right w:val="none" w:sz="0" w:space="0" w:color="auto"/>
      </w:divBdr>
    </w:div>
    <w:div w:id="1913814900">
      <w:bodyDiv w:val="1"/>
      <w:marLeft w:val="0"/>
      <w:marRight w:val="0"/>
      <w:marTop w:val="0"/>
      <w:marBottom w:val="0"/>
      <w:divBdr>
        <w:top w:val="none" w:sz="0" w:space="0" w:color="auto"/>
        <w:left w:val="none" w:sz="0" w:space="0" w:color="auto"/>
        <w:bottom w:val="none" w:sz="0" w:space="0" w:color="auto"/>
        <w:right w:val="none" w:sz="0" w:space="0" w:color="auto"/>
      </w:divBdr>
    </w:div>
    <w:div w:id="1915896772">
      <w:bodyDiv w:val="1"/>
      <w:marLeft w:val="0"/>
      <w:marRight w:val="0"/>
      <w:marTop w:val="0"/>
      <w:marBottom w:val="0"/>
      <w:divBdr>
        <w:top w:val="none" w:sz="0" w:space="0" w:color="auto"/>
        <w:left w:val="none" w:sz="0" w:space="0" w:color="auto"/>
        <w:bottom w:val="none" w:sz="0" w:space="0" w:color="auto"/>
        <w:right w:val="none" w:sz="0" w:space="0" w:color="auto"/>
      </w:divBdr>
    </w:div>
    <w:div w:id="1945921060">
      <w:bodyDiv w:val="1"/>
      <w:marLeft w:val="0"/>
      <w:marRight w:val="0"/>
      <w:marTop w:val="0"/>
      <w:marBottom w:val="0"/>
      <w:divBdr>
        <w:top w:val="none" w:sz="0" w:space="0" w:color="auto"/>
        <w:left w:val="none" w:sz="0" w:space="0" w:color="auto"/>
        <w:bottom w:val="none" w:sz="0" w:space="0" w:color="auto"/>
        <w:right w:val="none" w:sz="0" w:space="0" w:color="auto"/>
      </w:divBdr>
    </w:div>
    <w:div w:id="2067020757">
      <w:bodyDiv w:val="1"/>
      <w:marLeft w:val="0"/>
      <w:marRight w:val="0"/>
      <w:marTop w:val="0"/>
      <w:marBottom w:val="0"/>
      <w:divBdr>
        <w:top w:val="none" w:sz="0" w:space="0" w:color="auto"/>
        <w:left w:val="none" w:sz="0" w:space="0" w:color="auto"/>
        <w:bottom w:val="none" w:sz="0" w:space="0" w:color="auto"/>
        <w:right w:val="none" w:sz="0" w:space="0" w:color="auto"/>
      </w:divBdr>
    </w:div>
    <w:div w:id="2087651242">
      <w:bodyDiv w:val="1"/>
      <w:marLeft w:val="0"/>
      <w:marRight w:val="0"/>
      <w:marTop w:val="0"/>
      <w:marBottom w:val="0"/>
      <w:divBdr>
        <w:top w:val="none" w:sz="0" w:space="0" w:color="auto"/>
        <w:left w:val="none" w:sz="0" w:space="0" w:color="auto"/>
        <w:bottom w:val="none" w:sz="0" w:space="0" w:color="auto"/>
        <w:right w:val="none" w:sz="0" w:space="0" w:color="auto"/>
      </w:divBdr>
    </w:div>
    <w:div w:id="2103990654">
      <w:bodyDiv w:val="1"/>
      <w:marLeft w:val="0"/>
      <w:marRight w:val="0"/>
      <w:marTop w:val="0"/>
      <w:marBottom w:val="0"/>
      <w:divBdr>
        <w:top w:val="none" w:sz="0" w:space="0" w:color="auto"/>
        <w:left w:val="none" w:sz="0" w:space="0" w:color="auto"/>
        <w:bottom w:val="none" w:sz="0" w:space="0" w:color="auto"/>
        <w:right w:val="none" w:sz="0" w:space="0" w:color="auto"/>
      </w:divBdr>
    </w:div>
    <w:div w:id="2113429310">
      <w:bodyDiv w:val="1"/>
      <w:marLeft w:val="0"/>
      <w:marRight w:val="0"/>
      <w:marTop w:val="0"/>
      <w:marBottom w:val="0"/>
      <w:divBdr>
        <w:top w:val="none" w:sz="0" w:space="0" w:color="auto"/>
        <w:left w:val="none" w:sz="0" w:space="0" w:color="auto"/>
        <w:bottom w:val="none" w:sz="0" w:space="0" w:color="auto"/>
        <w:right w:val="none" w:sz="0" w:space="0" w:color="auto"/>
      </w:divBdr>
    </w:div>
    <w:div w:id="213721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l/liquidityratios.asp"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Chr23</b:Tag>
    <b:SourceType>InternetSite</b:SourceType>
    <b:Guid>{281F291C-6DD9-4D9C-B1C4-2DFF29198494}</b:Guid>
    <b:Author>
      <b:Author>
        <b:NameList>
          <b:Person>
            <b:Last>Murphy</b:Last>
            <b:First>Chris</b:First>
            <b:Middle>B.</b:Middle>
          </b:Person>
        </b:NameList>
      </b:Author>
    </b:Author>
    <b:Title>What is Net Profit Margin? Formula for Calculation and Examples</b:Title>
    <b:InternetSiteTitle>Investopedia</b:InternetSiteTitle>
    <b:Year>2023</b:Year>
    <b:Month>12</b:Month>
    <b:Day>12</b:Day>
    <b:URL>https://www.investopedia.com/terms/n/net_margin.asp#:~:text=The%20net%20profit%20margin%2C%20or,be%20represented%20in%20decimal%20form.</b:URL>
    <b:RefOrder>10</b:RefOrder>
  </b:Source>
  <b:Source>
    <b:Tag>Ada23</b:Tag>
    <b:SourceType>InternetSite</b:SourceType>
    <b:Guid>{3FA48B7C-FE69-46C8-9A11-17CFC08E8D5E}</b:Guid>
    <b:Author>
      <b:Author>
        <b:NameList>
          <b:Person>
            <b:Last>Hayes</b:Last>
            <b:First>Adam</b:First>
          </b:Person>
        </b:NameList>
      </b:Author>
    </b:Author>
    <b:Title>Asset Turnover Ratio Definition</b:Title>
    <b:InternetSiteTitle>Investopedia</b:InternetSiteTitle>
    <b:Year>2023</b:Year>
    <b:Month>11</b:Month>
    <b:Day>12</b:Day>
    <b:URL>https://www.investopedia.com/terms/a/assetturnover.asp#:~:text=The%20asset%20turnover%20ratio%20measures,its%20assets%20to%20generate%20revenue.</b:URL>
    <b:RefOrder>11</b:RefOrder>
  </b:Source>
  <b:Source>
    <b:Tag>Jas23</b:Tag>
    <b:SourceType>InternetSite</b:SourceType>
    <b:Guid>{7149BE45-36A1-4C41-9A66-376189A1E2EC}</b:Guid>
    <b:Author>
      <b:Author>
        <b:NameList>
          <b:Person>
            <b:Last>Jason Fernando</b:Last>
          </b:Person>
        </b:NameList>
      </b:Author>
    </b:Author>
    <b:Title>Current Ratio Explained With Formula and Examples</b:Title>
    <b:InternetSiteTitle>Investopedia</b:InternetSiteTitle>
    <b:Year>2023</b:Year>
    <b:Month>12</b:Month>
    <b:Day>12</b:Day>
    <b:URL>https://www.investopedia.com/terms/c/currentratio.asp</b:URL>
    <b:RefOrder>13</b:RefOrder>
  </b:Source>
  <b:Source>
    <b:Tag>JAS23</b:Tag>
    <b:SourceType>InternetSite</b:SourceType>
    <b:Guid>{6234A4DC-490C-45D2-B5A7-7EBBA3DD6F1B}</b:Guid>
    <b:Title>Return on Equity (ROE) Calculation and What It Means</b:Title>
    <b:Year>2023</b:Year>
    <b:Author>
      <b:Author>
        <b:NameList>
          <b:Person>
            <b:Last>Fernando</b:Last>
            <b:First>Jason</b:First>
          </b:Person>
        </b:NameList>
      </b:Author>
    </b:Author>
    <b:InternetSiteTitle>INVESTOPEDIA</b:InternetSiteTitle>
    <b:Month>11</b:Month>
    <b:Day>20</b:Day>
    <b:URL>https://www.investopedia.com/terms/r/returnonequity.asp</b:URL>
    <b:RefOrder>7</b:RefOrder>
  </b:Source>
  <b:Source>
    <b:Tag>Cla23</b:Tag>
    <b:SourceType>InternetSite</b:SourceType>
    <b:Guid>{7C1D1FDC-FCFD-4D3C-AB7C-843129B0A176}</b:Guid>
    <b:Author>
      <b:Author>
        <b:NameList>
          <b:Person>
            <b:Last>Boyte-White</b:Last>
            <b:First>Claire</b:First>
          </b:Person>
        </b:NameList>
      </b:Author>
    </b:Author>
    <b:Title>Gearing Ratios: What Is a Good Ratio, and How to Calculate It</b:Title>
    <b:InternetSiteTitle>Investopedia</b:InternetSiteTitle>
    <b:Year>2023</b:Year>
    <b:Month>12</b:Month>
    <b:Day>19</b:Day>
    <b:URL>https://www.investopedia.com/ask/answers/121814/what-good-gearing-ratio.asp#:~:text=A%20gearing%20ratio%20is%20a%20general%20classification%20describing%20a%20financial,by%20the%20total%20shareholders'%20equity.</b:URL>
    <b:RefOrder>14</b:RefOrder>
  </b:Source>
  <b:Source>
    <b:Tag>JBM23</b:Tag>
    <b:SourceType>InternetSite</b:SourceType>
    <b:Guid>{3FE4B440-D84E-4415-83F2-A4E323E4E14C}</b:Guid>
    <b:Author>
      <b:Author>
        <b:NameList>
          <b:Person>
            <b:Last>Maverick</b:Last>
            <b:First>J.B.</b:First>
          </b:Person>
        </b:NameList>
      </b:Author>
    </b:Author>
    <b:Title>Interest Coverage Ratio (ICR): What's Considered a Good Number?</b:Title>
    <b:InternetSiteTitle>Investopedia</b:InternetSiteTitle>
    <b:Year>2023</b:Year>
    <b:Month>12</b:Month>
    <b:Day>19</b:Day>
    <b:URL>nvestopedia.com/ask/answers/121814/what-good-interest-coverage-ratio.asp#:~:text=A%20company's%20interest%20coverage%20ratio,is%20true%20for%20lower%20ratios.</b:URL>
    <b:RefOrder>15</b:RefOrder>
  </b:Source>
  <b:Source>
    <b:Tag>Vic23</b:Tag>
    <b:SourceType>DocumentFromInternetSite</b:SourceType>
    <b:Guid>{888A231F-E820-45AD-B0C3-C06046A591B8}</b:Guid>
    <b:Title>Simplified Model of Bank Balance Sheet Management</b:Title>
    <b:InternetSiteTitle>Ceur-ws.org</b:InternetSiteTitle>
    <b:Year>2023</b:Year>
    <b:Month>12</b:Month>
    <b:Day>19</b:Day>
    <b:URL>https://ceur-ws.org/Vol-2393/paper_366.pdf</b:URL>
    <b:Author>
      <b:Author>
        <b:NameList>
          <b:Person>
            <b:Last>Selyutin</b:Last>
            <b:First>Victor</b:First>
          </b:Person>
        </b:NameList>
      </b:Author>
    </b:Author>
    <b:RefOrder>1</b:RefOrder>
  </b:Source>
  <b:Source>
    <b:Tag>Jab23</b:Tag>
    <b:SourceType>InternetSite</b:SourceType>
    <b:Guid>{132A0B85-F528-480F-9911-9FD5799CADF2}</b:Guid>
    <b:Title>Management of Movable Assets and the Application of Supply Chain Management</b:Title>
    <b:InternetSiteTitle>Dut Open scholar</b:InternetSiteTitle>
    <b:Year>2023</b:Year>
    <b:Month>12</b:Month>
    <b:Day>18</b:Day>
    <b:URL>https://openscholar.dut.ac.za/bitstream/10321/4302/3/Kunene_%20JR_2021_Redacted.pdf</b:URL>
    <b:Author>
      <b:Author>
        <b:NameList>
          <b:Person>
            <b:Last>Kunene</b:Last>
            <b:First>Jabulie</b:First>
            <b:Middle>Rachel</b:Middle>
          </b:Person>
        </b:NameList>
      </b:Author>
    </b:Author>
    <b:Publisher>Durban University of Technology</b:Publisher>
    <b:RefOrder>2</b:RefOrder>
  </b:Source>
  <b:Source>
    <b:Tag>Pet18</b:Tag>
    <b:SourceType>Book</b:SourceType>
    <b:Guid>{2C2C6D71-B1CE-4237-B800-A451923AB264}</b:Guid>
    <b:Title>Accounting and Finance for Non-Specialists</b:Title>
    <b:Year>2018</b:Year>
    <b:Author>
      <b:Author>
        <b:NameList>
          <b:Person>
            <b:Last>Atrill</b:Last>
            <b:First>Peter</b:First>
          </b:Person>
          <b:Person>
            <b:Last>McLaney</b:Last>
            <b:First>Eddie</b:First>
          </b:Person>
        </b:NameList>
      </b:Author>
    </b:Author>
    <b:City>Harlow</b:City>
    <b:Publisher>Pearson Education, Limited</b:Publisher>
    <b:RefOrder>3</b:RefOrder>
  </b:Source>
  <b:Source>
    <b:Tag>Ala17</b:Tag>
    <b:SourceType>Book</b:SourceType>
    <b:Guid>{3E61538A-9677-4AAC-B8F4-A2C584EA65CC}</b:Guid>
    <b:Author>
      <b:Author>
        <b:NameList>
          <b:Person>
            <b:Last>Sangster</b:Last>
            <b:First>Alan</b:First>
          </b:Person>
          <b:Person>
            <b:Last>Wood</b:Last>
            <b:First>Frank</b:First>
          </b:Person>
          <b:Person>
            <b:Last>Black</b:Last>
            <b:First>Geoff</b:First>
          </b:Person>
        </b:NameList>
      </b:Author>
    </b:Author>
    <b:Title>Frank Wood's Business Accounting;Volume 1</b:Title>
    <b:Year>2017</b:Year>
    <b:City>Harlow</b:City>
    <b:Publisher>Pearson Education Limited</b:Publisher>
    <b:RefOrder>4</b:RefOrder>
  </b:Source>
  <b:Source>
    <b:Tag>Ann20</b:Tag>
    <b:SourceType>Book</b:SourceType>
    <b:Guid>{C11758B0-5974-4DC5-8634-19496C84B67D}</b:Guid>
    <b:Author>
      <b:Author>
        <b:NameList>
          <b:Person>
            <b:Last>Garvey</b:Last>
            <b:First>Anne</b:First>
            <b:Middle>M.</b:Middle>
          </b:Person>
          <b:Person>
            <b:Last>Ventura-Marco</b:Last>
            <b:First>Manuel</b:First>
          </b:Person>
          <b:Person>
            <b:Last>Vidal-Meliá</b:Last>
            <b:First>Carlos</b:First>
          </b:Person>
        </b:NameList>
      </b:Author>
    </b:Author>
    <b:Title>Does the pension system’s income statement</b:Title>
    <b:Year>2020</b:Year>
    <b:Publisher>Informa UK Limited</b:Publisher>
    <b:City>online</b:City>
    <b:RefOrder>5</b:RefOrder>
  </b:Source>
  <b:Source>
    <b:Tag>Fat20</b:Tag>
    <b:SourceType>JournalArticle</b:SourceType>
    <b:Guid>{ACFBC474-A63B-40E6-A88C-A03A914EBBEB}</b:Guid>
    <b:Title>EFFECT OF NPM, EPS, ROE, AND PBV ON STOCK PRICES</b:Title>
    <b:Year>2020</b:Year>
    <b:Author>
      <b:Author>
        <b:NameList>
          <b:Person>
            <b:Last>Fathihani</b:Last>
            <b:First>Fathihani</b:First>
          </b:Person>
        </b:NameList>
      </b:Author>
    </b:Author>
    <b:JournalName>Dinasti International Journal of Management Science</b:JournalName>
    <b:Pages>893-902</b:Pages>
    <b:RefOrder>9</b:RefOrder>
  </b:Source>
  <b:Source>
    <b:Tag>Far23</b:Tag>
    <b:SourceType>JournalArticle</b:SourceType>
    <b:Guid>{EC5EAAD5-2E91-4B18-B63C-B95C2FF796BE}</b:Guid>
    <b:Title>Analysis Effect Return on Assets (ROA), Return on Equity (ROE) and Price Earning Ratio (PER) on Stock Prices of Coal Companies in the Indonesia Stock Exchange (IDX) Period 2018-2021</b:Title>
    <b:InternetSiteTitle>Dinasti International Journal of Economics ,Finance and Accounting</b:InternetSiteTitle>
    <b:Year>2022</b:Year>
    <b:Month>12</b:Month>
    <b:Day>17</b:Day>
    <b:URL>https://dinastipub.org/DIJEFA/article/view/1238</b:URL>
    <b:Author>
      <b:Author>
        <b:NameList>
          <b:Person>
            <b:Last>Saputra</b:Last>
            <b:First>Farhan</b:First>
          </b:Person>
        </b:NameList>
      </b:Author>
    </b:Author>
    <b:JournalName>Dinasti Publisher</b:JournalName>
    <b:Pages>94</b:Pages>
    <b:RefOrder>8</b:RefOrder>
  </b:Source>
  <b:Source>
    <b:Tag>WIL23</b:Tag>
    <b:SourceType>InternetSite</b:SourceType>
    <b:Guid>{EDA7A810-AFCB-4177-888E-815A03500DEB}</b:Guid>
    <b:Author>
      <b:Author>
        <b:NameList>
          <b:Person>
            <b:Last>KENTON</b:Last>
            <b:First>WILL</b:First>
          </b:Person>
        </b:NameList>
      </b:Author>
    </b:Author>
    <b:Title>Average Collection Period Formula, How It Works, Example</b:Title>
    <b:Year>2023</b:Year>
    <b:InternetSiteTitle>Investopedia</b:InternetSiteTitle>
    <b:Month>11</b:Month>
    <b:Day>17</b:Day>
    <b:URL>https://www.investopedia.com/terms/a/average_collection_period.asp</b:URL>
    <b:RefOrder>12</b:RefOrder>
  </b:Source>
  <b:Source>
    <b:Tag>JBM231</b:Tag>
    <b:SourceType>DocumentFromInternetSite</b:SourceType>
    <b:Guid>{4BFA3E4A-BAF4-4017-897B-94144C3F0397}</b:Guid>
    <b:InternetSiteTitle>Investopedia</b:InternetSiteTitle>
    <b:Year>2023</b:Year>
    <b:Month>12</b:Month>
    <b:Day>20</b:Day>
    <b:URL>https://www.investopedia.com/ask/answers/011315/how-useful-roce-indicator-companys-performance.asp#:~:text=Return%20on%20capital%20employed%20(ROCE,build%20and%20grow%20their%20businesses.</b:URL>
    <b:Author>
      <b:Author>
        <b:NameList>
          <b:Person>
            <b:Last>Maverick</b:Last>
            <b:First>Jack</b:First>
          </b:Person>
        </b:NameList>
      </b:Author>
    </b:Author>
    <b:Title>How Useful Is ROCE as an Indicator of a Company's Performance?</b:Title>
    <b:RefOrder>6</b:RefOrder>
  </b:Source>
</b:Sources>
</file>

<file path=customXml/itemProps1.xml><?xml version="1.0" encoding="utf-8"?>
<ds:datastoreItem xmlns:ds="http://schemas.openxmlformats.org/officeDocument/2006/customXml" ds:itemID="{5CADEAB2-0A45-4511-A031-AD36BACF3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3724</Words>
  <Characters>21231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Madalina-Mihaela Braha (2227915)</dc:creator>
  <cp:keywords/>
  <dc:description/>
  <cp:lastModifiedBy>Madalina-Mihaela Braha (2227915)</cp:lastModifiedBy>
  <cp:revision>29</cp:revision>
  <dcterms:created xsi:type="dcterms:W3CDTF">2023-12-18T20:03:00Z</dcterms:created>
  <dcterms:modified xsi:type="dcterms:W3CDTF">2023-12-19T12:44:00Z</dcterms:modified>
</cp:coreProperties>
</file>