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m" ContentType="application/vnd.ms-excel.sheet.macroEnabled.12"/>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C1D260" w14:textId="77777777" w:rsidR="00F47F82" w:rsidRPr="005B638E" w:rsidRDefault="00F47F82" w:rsidP="00F47F82">
      <w:pPr>
        <w:jc w:val="center"/>
        <w:rPr>
          <w:rFonts w:hint="eastAsia"/>
          <w:color w:val="000000" w:themeColor="text1"/>
        </w:rPr>
      </w:pPr>
    </w:p>
    <w:p w14:paraId="7EB089DC" w14:textId="77777777" w:rsidR="00F47F82" w:rsidRDefault="00F47F82" w:rsidP="00F47F82">
      <w:pPr>
        <w:jc w:val="center"/>
        <w:rPr>
          <w:rFonts w:hint="eastAsia"/>
          <w:color w:val="000000" w:themeColor="text1"/>
        </w:rPr>
      </w:pPr>
      <w:r>
        <w:rPr>
          <w:noProof/>
          <w:color w:val="000000" w:themeColor="text1"/>
          <w:lang w:eastAsia="en-GB"/>
        </w:rPr>
        <w:drawing>
          <wp:inline distT="0" distB="0" distL="0" distR="0" wp14:anchorId="74A27CE0" wp14:editId="189D8C46">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55A5A6B8" w14:textId="77777777" w:rsidR="00F47F82" w:rsidRDefault="00F47F82" w:rsidP="00F47F82">
      <w:pPr>
        <w:jc w:val="center"/>
        <w:rPr>
          <w:rFonts w:hint="eastAsia"/>
          <w:color w:val="000000" w:themeColor="text1"/>
        </w:rPr>
      </w:pPr>
    </w:p>
    <w:p w14:paraId="4EF9CCF7" w14:textId="77777777" w:rsidR="00F47F82" w:rsidRDefault="00F47F82" w:rsidP="00F47F82">
      <w:pPr>
        <w:jc w:val="center"/>
        <w:rPr>
          <w:rFonts w:hint="eastAsia"/>
          <w:color w:val="000000" w:themeColor="text1"/>
        </w:rPr>
      </w:pPr>
    </w:p>
    <w:p w14:paraId="6038FDB0" w14:textId="77777777" w:rsidR="00F47F82" w:rsidRDefault="00F47F82" w:rsidP="00F47F82">
      <w:pPr>
        <w:jc w:val="center"/>
        <w:rPr>
          <w:rFonts w:hint="eastAsia"/>
          <w:color w:val="000000" w:themeColor="text1"/>
        </w:rPr>
      </w:pPr>
    </w:p>
    <w:p w14:paraId="0569409A" w14:textId="77777777" w:rsidR="00F47F82" w:rsidRDefault="00F47F82" w:rsidP="00F47F82">
      <w:pPr>
        <w:jc w:val="center"/>
        <w:rPr>
          <w:rFonts w:hint="eastAsia"/>
          <w:color w:val="000000" w:themeColor="text1"/>
        </w:rPr>
      </w:pPr>
    </w:p>
    <w:p w14:paraId="31E00A7F" w14:textId="77777777" w:rsidR="00F47F82" w:rsidRPr="005B638E" w:rsidRDefault="00F47F82" w:rsidP="00F47F82">
      <w:pPr>
        <w:jc w:val="center"/>
        <w:rPr>
          <w:rFonts w:hint="eastAsia"/>
          <w:color w:val="000000" w:themeColor="text1"/>
        </w:rPr>
      </w:pPr>
    </w:p>
    <w:p w14:paraId="0A96992D" w14:textId="0014BACB" w:rsidR="00F47F82" w:rsidRPr="00511B5B" w:rsidRDefault="00F47F82" w:rsidP="00F47F82">
      <w:pPr>
        <w:jc w:val="center"/>
        <w:rPr>
          <w:rFonts w:hint="eastAsia"/>
          <w:color w:val="000000" w:themeColor="text1"/>
          <w:sz w:val="40"/>
        </w:rPr>
      </w:pPr>
      <w:r w:rsidRPr="00F47F82">
        <w:rPr>
          <w:rFonts w:hint="eastAsia"/>
          <w:b/>
          <w:color w:val="000000" w:themeColor="text1"/>
          <w:sz w:val="44"/>
        </w:rPr>
        <w:t>Addressing the Cold-Start Problem in Residential Load Forecasting: An Optimized LSTM Transfer Learning Framework</w:t>
      </w:r>
    </w:p>
    <w:p w14:paraId="4E7F0FBD" w14:textId="77777777" w:rsidR="00F47F82" w:rsidRPr="00511B5B" w:rsidRDefault="00F47F82" w:rsidP="00F47F82">
      <w:pPr>
        <w:jc w:val="center"/>
        <w:rPr>
          <w:rFonts w:hint="eastAsia"/>
          <w:color w:val="000000" w:themeColor="text1"/>
          <w:sz w:val="40"/>
        </w:rPr>
      </w:pPr>
      <w:r w:rsidRPr="00511B5B">
        <w:rPr>
          <w:color w:val="000000" w:themeColor="text1"/>
          <w:sz w:val="40"/>
        </w:rPr>
        <w:t>by</w:t>
      </w:r>
    </w:p>
    <w:p w14:paraId="7B8BAEEE" w14:textId="5E46C38C" w:rsidR="00F47F82" w:rsidRPr="00511B5B" w:rsidRDefault="00F47F82" w:rsidP="00F47F82">
      <w:pPr>
        <w:jc w:val="center"/>
        <w:rPr>
          <w:rFonts w:hint="eastAsia"/>
          <w:color w:val="000000" w:themeColor="text1"/>
          <w:sz w:val="40"/>
        </w:rPr>
      </w:pPr>
      <w:r w:rsidRPr="00F47F82">
        <w:rPr>
          <w:rFonts w:hint="eastAsia"/>
          <w:color w:val="000000" w:themeColor="text1"/>
          <w:sz w:val="40"/>
        </w:rPr>
        <w:t>Rui Guan</w:t>
      </w:r>
    </w:p>
    <w:p w14:paraId="38C2E888" w14:textId="77777777" w:rsidR="00F47F82" w:rsidRDefault="00F47F82" w:rsidP="00F47F82">
      <w:pPr>
        <w:jc w:val="center"/>
        <w:rPr>
          <w:rFonts w:hint="eastAsia"/>
          <w:color w:val="000000" w:themeColor="text1"/>
          <w:sz w:val="40"/>
        </w:rPr>
      </w:pPr>
    </w:p>
    <w:p w14:paraId="285F7DDA" w14:textId="77777777" w:rsidR="00F47F82" w:rsidRPr="00511B5B" w:rsidRDefault="00F47F82" w:rsidP="00F47F82">
      <w:pPr>
        <w:jc w:val="center"/>
        <w:rPr>
          <w:rFonts w:hint="eastAsia"/>
          <w:color w:val="000000" w:themeColor="text1"/>
          <w:sz w:val="40"/>
        </w:rPr>
      </w:pPr>
    </w:p>
    <w:p w14:paraId="726BE2DE" w14:textId="24828C6D" w:rsidR="00F47F82" w:rsidRPr="00511B5B" w:rsidRDefault="00F47F82" w:rsidP="00F47F82">
      <w:pPr>
        <w:jc w:val="center"/>
        <w:rPr>
          <w:rFonts w:hint="eastAsia"/>
          <w:color w:val="000000" w:themeColor="text1"/>
          <w:sz w:val="40"/>
        </w:rPr>
      </w:pPr>
      <w:r w:rsidRPr="00511B5B">
        <w:rPr>
          <w:color w:val="000000" w:themeColor="text1"/>
          <w:sz w:val="40"/>
        </w:rPr>
        <w:t xml:space="preserve">Supervisor: </w:t>
      </w:r>
      <w:r w:rsidRPr="00F47F82">
        <w:rPr>
          <w:rFonts w:hint="eastAsia"/>
          <w:color w:val="000000" w:themeColor="text1"/>
          <w:sz w:val="40"/>
        </w:rPr>
        <w:t>Dr. Nouh Elmitwally</w:t>
      </w:r>
    </w:p>
    <w:p w14:paraId="720A754E" w14:textId="77777777" w:rsidR="00F47F82" w:rsidRPr="00511B5B" w:rsidRDefault="00F47F82" w:rsidP="00F47F82">
      <w:pPr>
        <w:jc w:val="center"/>
        <w:rPr>
          <w:rFonts w:hint="eastAsia"/>
          <w:color w:val="000000" w:themeColor="text1"/>
          <w:sz w:val="40"/>
        </w:rPr>
      </w:pPr>
    </w:p>
    <w:p w14:paraId="278052F5" w14:textId="77777777" w:rsidR="00F47F82" w:rsidRPr="00511B5B" w:rsidRDefault="00F47F82" w:rsidP="00F47F82">
      <w:pPr>
        <w:jc w:val="center"/>
        <w:rPr>
          <w:rFonts w:hint="eastAsia"/>
          <w:color w:val="000000" w:themeColor="text1"/>
          <w:sz w:val="40"/>
        </w:rPr>
      </w:pPr>
    </w:p>
    <w:p w14:paraId="19E71BD4" w14:textId="359D9B40" w:rsidR="00F47F82" w:rsidRDefault="00F47F82" w:rsidP="00F47F82">
      <w:pPr>
        <w:jc w:val="center"/>
        <w:rPr>
          <w:rFonts w:hint="eastAsia"/>
          <w:color w:val="000000" w:themeColor="text1"/>
          <w:sz w:val="40"/>
        </w:rPr>
      </w:pPr>
      <w:r w:rsidRPr="00511B5B">
        <w:rPr>
          <w:color w:val="000000" w:themeColor="text1"/>
          <w:sz w:val="40"/>
        </w:rPr>
        <w:t xml:space="preserve">Project submitted as part of the requirements for the award of </w:t>
      </w:r>
      <w:r>
        <w:rPr>
          <w:color w:val="000000" w:themeColor="text1"/>
          <w:sz w:val="40"/>
        </w:rPr>
        <w:t xml:space="preserve">MSc </w:t>
      </w:r>
      <w:r w:rsidRPr="00F47F82">
        <w:rPr>
          <w:rFonts w:hint="eastAsia"/>
          <w:color w:val="000000" w:themeColor="text1"/>
          <w:sz w:val="40"/>
        </w:rPr>
        <w:t>Data and Artificial Intelligence</w:t>
      </w:r>
    </w:p>
    <w:p w14:paraId="7662393A" w14:textId="77777777" w:rsidR="00F47F82" w:rsidRPr="00511B5B" w:rsidRDefault="00F47F82" w:rsidP="00F47F82">
      <w:pPr>
        <w:jc w:val="center"/>
        <w:rPr>
          <w:rFonts w:hint="eastAsia"/>
          <w:color w:val="000000" w:themeColor="text1"/>
          <w:sz w:val="40"/>
        </w:rPr>
      </w:pPr>
    </w:p>
    <w:p w14:paraId="69C5B20E" w14:textId="510238DA" w:rsidR="00F47F82" w:rsidRPr="00443B11" w:rsidRDefault="00F47F82" w:rsidP="00443B11">
      <w:pPr>
        <w:jc w:val="center"/>
        <w:rPr>
          <w:rFonts w:hint="eastAsia"/>
          <w:color w:val="000000" w:themeColor="text1"/>
          <w:sz w:val="40"/>
        </w:rPr>
      </w:pPr>
      <w:r>
        <w:rPr>
          <w:rFonts w:hint="eastAsia"/>
          <w:color w:val="000000" w:themeColor="text1"/>
          <w:sz w:val="40"/>
        </w:rPr>
        <w:t>May</w:t>
      </w:r>
      <w:r>
        <w:rPr>
          <w:color w:val="000000" w:themeColor="text1"/>
          <w:sz w:val="40"/>
        </w:rPr>
        <w:t xml:space="preserve"> </w:t>
      </w:r>
      <w:r>
        <w:rPr>
          <w:rFonts w:hint="eastAsia"/>
          <w:color w:val="000000" w:themeColor="text1"/>
          <w:sz w:val="40"/>
        </w:rPr>
        <w:t>2026</w:t>
      </w:r>
    </w:p>
    <w:p w14:paraId="27B2BEF3" w14:textId="77777777" w:rsidR="00DC4709" w:rsidRDefault="00DC4709" w:rsidP="00443B11">
      <w:pPr>
        <w:widowControl/>
        <w:jc w:val="left"/>
        <w:rPr>
          <w:rFonts w:asciiTheme="majorHAnsi" w:eastAsiaTheme="majorEastAsia" w:hAnsiTheme="majorHAnsi" w:cstheme="majorBidi" w:hint="eastAsia"/>
          <w:spacing w:val="-10"/>
          <w:kern w:val="28"/>
          <w:sz w:val="56"/>
          <w:szCs w:val="56"/>
        </w:rPr>
      </w:pPr>
    </w:p>
    <w:p w14:paraId="0F544AF2" w14:textId="77777777" w:rsidR="00443B11" w:rsidRPr="005B638E" w:rsidRDefault="00443B11" w:rsidP="00443B11">
      <w:pPr>
        <w:rPr>
          <w:rFonts w:hint="eastAsia"/>
          <w:b/>
          <w:color w:val="000000" w:themeColor="text1"/>
          <w:sz w:val="28"/>
        </w:rPr>
      </w:pPr>
      <w:r w:rsidRPr="005B638E">
        <w:rPr>
          <w:b/>
          <w:color w:val="000000" w:themeColor="text1"/>
          <w:sz w:val="28"/>
        </w:rPr>
        <w:t xml:space="preserve">DECLARATION </w:t>
      </w:r>
    </w:p>
    <w:p w14:paraId="2FCBD126" w14:textId="77777777" w:rsidR="00443B11" w:rsidRPr="005B638E" w:rsidRDefault="00443B11" w:rsidP="00443B11">
      <w:pPr>
        <w:rPr>
          <w:rFonts w:hint="eastAsia"/>
          <w:color w:val="000000" w:themeColor="text1"/>
        </w:rPr>
      </w:pPr>
    </w:p>
    <w:p w14:paraId="3923713A" w14:textId="77777777" w:rsidR="00443B11" w:rsidRPr="005B638E" w:rsidRDefault="00443B11" w:rsidP="00443B11">
      <w:pPr>
        <w:rPr>
          <w:rFonts w:hint="eastAsia"/>
          <w:color w:val="000000" w:themeColor="text1"/>
        </w:rPr>
      </w:pPr>
    </w:p>
    <w:p w14:paraId="1FBB906B" w14:textId="0AE872F3" w:rsidR="00443B11" w:rsidRPr="005B638E" w:rsidRDefault="00443B11" w:rsidP="00443B11">
      <w:pPr>
        <w:rPr>
          <w:rFonts w:hint="eastAsia"/>
          <w:color w:val="000000" w:themeColor="text1"/>
        </w:rPr>
      </w:pPr>
    </w:p>
    <w:p w14:paraId="79A0243F" w14:textId="77777777" w:rsidR="00443B11" w:rsidRPr="005B638E" w:rsidRDefault="00443B11" w:rsidP="00443B11">
      <w:pPr>
        <w:rPr>
          <w:rFonts w:hint="eastAsia"/>
          <w:color w:val="000000" w:themeColor="text1"/>
        </w:rPr>
      </w:pPr>
      <w:r w:rsidRPr="005B638E">
        <w:rPr>
          <w:color w:val="000000" w:themeColor="text1"/>
        </w:rPr>
        <w:t xml:space="preserve">I, </w:t>
      </w:r>
      <w:r>
        <w:rPr>
          <w:rFonts w:hint="eastAsia"/>
          <w:color w:val="000000" w:themeColor="text1"/>
        </w:rPr>
        <w:t xml:space="preserve">Rui Guan, </w:t>
      </w:r>
      <w:r w:rsidRPr="005B638E">
        <w:rPr>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0F9B7AC1" w14:textId="77777777" w:rsidR="00443B11" w:rsidRPr="005B638E" w:rsidRDefault="00443B11" w:rsidP="00443B11">
      <w:pPr>
        <w:rPr>
          <w:rFonts w:hint="eastAsia"/>
          <w:color w:val="000000" w:themeColor="text1"/>
        </w:rPr>
      </w:pPr>
      <w:r w:rsidRPr="005B638E">
        <w:rPr>
          <w:color w:val="000000" w:themeColor="text1"/>
        </w:rPr>
        <w:t xml:space="preserve"> </w:t>
      </w:r>
    </w:p>
    <w:p w14:paraId="5AC0E6F3" w14:textId="77777777" w:rsidR="00443B11" w:rsidRPr="005B638E" w:rsidRDefault="00443B11" w:rsidP="00443B11">
      <w:pPr>
        <w:rPr>
          <w:rFonts w:hint="eastAsia"/>
          <w:color w:val="000000" w:themeColor="text1"/>
        </w:rPr>
      </w:pPr>
      <w:r w:rsidRPr="005B638E">
        <w:rPr>
          <w:color w:val="000000" w:themeColor="text1"/>
        </w:rPr>
        <w:t xml:space="preserve"> </w:t>
      </w:r>
    </w:p>
    <w:p w14:paraId="3568D1E4" w14:textId="77777777" w:rsidR="00443B11" w:rsidRPr="005B638E" w:rsidRDefault="00443B11" w:rsidP="00443B11">
      <w:pPr>
        <w:rPr>
          <w:rFonts w:hint="eastAsia"/>
          <w:color w:val="000000" w:themeColor="text1"/>
        </w:rPr>
      </w:pPr>
      <w:r w:rsidRPr="005B638E">
        <w:rPr>
          <w:color w:val="000000" w:themeColor="text1"/>
        </w:rPr>
        <w:t xml:space="preserve">This work has not previously been accepted as part of any other degree submission. </w:t>
      </w:r>
    </w:p>
    <w:p w14:paraId="1148FAF6" w14:textId="77777777" w:rsidR="00443B11" w:rsidRPr="005B638E" w:rsidRDefault="00443B11" w:rsidP="00443B11">
      <w:pPr>
        <w:rPr>
          <w:rFonts w:hint="eastAsia"/>
          <w:color w:val="000000" w:themeColor="text1"/>
        </w:rPr>
      </w:pPr>
      <w:r w:rsidRPr="005B638E">
        <w:rPr>
          <w:color w:val="000000" w:themeColor="text1"/>
        </w:rPr>
        <w:t xml:space="preserve"> </w:t>
      </w:r>
    </w:p>
    <w:p w14:paraId="37D06EC2" w14:textId="77777777" w:rsidR="00443B11" w:rsidRPr="005B638E" w:rsidRDefault="00443B11" w:rsidP="00443B11">
      <w:pPr>
        <w:rPr>
          <w:rFonts w:hint="eastAsia"/>
          <w:color w:val="000000" w:themeColor="text1"/>
        </w:rPr>
      </w:pPr>
      <w:r w:rsidRPr="005B638E">
        <w:rPr>
          <w:color w:val="000000" w:themeColor="text1"/>
        </w:rPr>
        <w:t xml:space="preserve"> </w:t>
      </w:r>
    </w:p>
    <w:p w14:paraId="5235D594" w14:textId="77777777" w:rsidR="00443B11" w:rsidRPr="005B638E" w:rsidRDefault="00443B11" w:rsidP="00443B11">
      <w:pPr>
        <w:rPr>
          <w:rFonts w:hint="eastAsia"/>
          <w:color w:val="000000" w:themeColor="text1"/>
        </w:rPr>
      </w:pPr>
    </w:p>
    <w:p w14:paraId="764F6514" w14:textId="116C200E" w:rsidR="00443B11" w:rsidRPr="005B638E" w:rsidRDefault="00443B11" w:rsidP="00443B11">
      <w:pPr>
        <w:rPr>
          <w:rFonts w:hint="eastAsia"/>
          <w:color w:val="000000" w:themeColor="text1"/>
        </w:rPr>
      </w:pPr>
      <w:r>
        <w:rPr>
          <w:noProof/>
        </w:rPr>
        <w:drawing>
          <wp:anchor distT="0" distB="0" distL="114300" distR="114300" simplePos="0" relativeHeight="251658240" behindDoc="0" locked="0" layoutInCell="1" allowOverlap="1" wp14:anchorId="29B61AAD" wp14:editId="2FE29B88">
            <wp:simplePos x="0" y="0"/>
            <wp:positionH relativeFrom="column">
              <wp:posOffset>680720</wp:posOffset>
            </wp:positionH>
            <wp:positionV relativeFrom="paragraph">
              <wp:posOffset>108585</wp:posOffset>
            </wp:positionV>
            <wp:extent cx="1019175" cy="276225"/>
            <wp:effectExtent l="0" t="0" r="0" b="0"/>
            <wp:wrapNone/>
            <wp:docPr id="121789192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019175" cy="276225"/>
                    </a:xfrm>
                    <a:prstGeom prst="rect">
                      <a:avLst/>
                    </a:prstGeom>
                    <a:noFill/>
                    <a:ln>
                      <a:noFill/>
                    </a:ln>
                  </pic:spPr>
                </pic:pic>
              </a:graphicData>
            </a:graphic>
          </wp:anchor>
        </w:drawing>
      </w:r>
      <w:r w:rsidRPr="005B638E">
        <w:rPr>
          <w:color w:val="000000" w:themeColor="text1"/>
        </w:rPr>
        <w:t xml:space="preserve"> </w:t>
      </w:r>
    </w:p>
    <w:p w14:paraId="5EE5BA0F" w14:textId="257EED8E" w:rsidR="00443B11" w:rsidRPr="005B638E" w:rsidRDefault="00443B11" w:rsidP="00443B11">
      <w:pPr>
        <w:rPr>
          <w:rFonts w:hint="eastAsia"/>
          <w:color w:val="000000" w:themeColor="text1"/>
        </w:rPr>
      </w:pPr>
      <w:r w:rsidRPr="005B638E">
        <w:rPr>
          <w:b/>
          <w:bCs/>
          <w:i/>
          <w:iCs/>
          <w:color w:val="000000" w:themeColor="text1"/>
        </w:rPr>
        <w:t>Signed : ..................</w:t>
      </w:r>
      <w:r w:rsidRPr="00443B11">
        <w:t xml:space="preserve"> </w:t>
      </w:r>
      <w:r w:rsidRPr="005B638E">
        <w:rPr>
          <w:b/>
          <w:bCs/>
          <w:i/>
          <w:iCs/>
          <w:color w:val="000000" w:themeColor="text1"/>
        </w:rPr>
        <w:t xml:space="preserve">........................... </w:t>
      </w:r>
    </w:p>
    <w:p w14:paraId="2E1FACCA" w14:textId="77777777" w:rsidR="00443B11" w:rsidRPr="005B638E" w:rsidRDefault="00443B11" w:rsidP="00443B11">
      <w:pPr>
        <w:ind w:left="1440"/>
        <w:rPr>
          <w:rFonts w:hint="eastAsia"/>
          <w:color w:val="000000" w:themeColor="text1"/>
        </w:rPr>
      </w:pPr>
      <w:r w:rsidRPr="005B638E">
        <w:rPr>
          <w:b/>
          <w:bCs/>
          <w:i/>
          <w:iCs/>
          <w:color w:val="000000" w:themeColor="text1"/>
        </w:rPr>
        <w:t xml:space="preserve"> </w:t>
      </w:r>
    </w:p>
    <w:p w14:paraId="103484F9" w14:textId="77777777" w:rsidR="00443B11" w:rsidRPr="005B638E" w:rsidRDefault="00443B11" w:rsidP="00443B11">
      <w:pPr>
        <w:ind w:left="1440"/>
        <w:rPr>
          <w:rFonts w:hint="eastAsia"/>
          <w:color w:val="000000" w:themeColor="text1"/>
        </w:rPr>
      </w:pPr>
      <w:r w:rsidRPr="005B638E">
        <w:rPr>
          <w:b/>
          <w:bCs/>
          <w:i/>
          <w:iCs/>
          <w:color w:val="000000" w:themeColor="text1"/>
        </w:rPr>
        <w:t xml:space="preserve"> </w:t>
      </w:r>
    </w:p>
    <w:p w14:paraId="49DDF1CA" w14:textId="3F6F7EFE" w:rsidR="00443B11" w:rsidRPr="005B638E" w:rsidRDefault="00443B11" w:rsidP="00443B11">
      <w:pPr>
        <w:rPr>
          <w:rFonts w:hint="eastAsia"/>
          <w:color w:val="000000" w:themeColor="text1"/>
        </w:rPr>
      </w:pPr>
      <w:r w:rsidRPr="005B638E">
        <w:rPr>
          <w:b/>
          <w:bCs/>
          <w:i/>
          <w:iCs/>
          <w:color w:val="000000" w:themeColor="text1"/>
        </w:rPr>
        <w:t>Date : .........</w:t>
      </w:r>
      <w:r>
        <w:rPr>
          <w:rFonts w:hint="eastAsia"/>
          <w:b/>
          <w:bCs/>
          <w:i/>
          <w:iCs/>
          <w:color w:val="000000" w:themeColor="text1"/>
        </w:rPr>
        <w:t>05/05/2026</w:t>
      </w:r>
      <w:r w:rsidRPr="005B638E">
        <w:rPr>
          <w:b/>
          <w:bCs/>
          <w:i/>
          <w:iCs/>
          <w:color w:val="000000" w:themeColor="text1"/>
        </w:rPr>
        <w:t xml:space="preserve">.................. </w:t>
      </w:r>
    </w:p>
    <w:p w14:paraId="6291A819" w14:textId="77777777" w:rsidR="00443B11" w:rsidRPr="005B638E" w:rsidRDefault="00443B11" w:rsidP="00443B11">
      <w:pPr>
        <w:ind w:left="1440"/>
        <w:rPr>
          <w:rFonts w:hint="eastAsia"/>
          <w:color w:val="000000" w:themeColor="text1"/>
        </w:rPr>
      </w:pPr>
      <w:r w:rsidRPr="005B638E">
        <w:rPr>
          <w:b/>
          <w:bCs/>
          <w:i/>
          <w:iCs/>
          <w:color w:val="000000" w:themeColor="text1"/>
        </w:rPr>
        <w:t xml:space="preserve"> </w:t>
      </w:r>
    </w:p>
    <w:p w14:paraId="08EABF7F" w14:textId="1582A3B3" w:rsidR="00443B11" w:rsidRPr="005B638E" w:rsidRDefault="00443B11" w:rsidP="00443B11">
      <w:pPr>
        <w:ind w:left="1440"/>
        <w:rPr>
          <w:rFonts w:hint="eastAsia"/>
          <w:color w:val="000000" w:themeColor="text1"/>
        </w:rPr>
      </w:pPr>
      <w:r w:rsidRPr="005B638E">
        <w:rPr>
          <w:b/>
          <w:bCs/>
          <w:i/>
          <w:iCs/>
          <w:color w:val="000000" w:themeColor="text1"/>
        </w:rPr>
        <w:t xml:space="preserve"> </w:t>
      </w:r>
    </w:p>
    <w:p w14:paraId="30C11AA4" w14:textId="7E252D5C" w:rsidR="00443B11" w:rsidRDefault="00443B11" w:rsidP="00443B11">
      <w:pPr>
        <w:rPr>
          <w:rFonts w:hint="eastAsia"/>
          <w:color w:val="000000" w:themeColor="text1"/>
        </w:rPr>
      </w:pPr>
    </w:p>
    <w:p w14:paraId="7B27E58F" w14:textId="77777777" w:rsidR="00443B11" w:rsidRDefault="00443B11" w:rsidP="00443B11">
      <w:pPr>
        <w:rPr>
          <w:rFonts w:hint="eastAsia"/>
          <w:color w:val="000000" w:themeColor="text1"/>
        </w:rPr>
      </w:pPr>
    </w:p>
    <w:p w14:paraId="449E92F0" w14:textId="77777777" w:rsidR="00443B11" w:rsidRPr="008D3E3F" w:rsidRDefault="00443B11" w:rsidP="00443B11">
      <w:pPr>
        <w:rPr>
          <w:rFonts w:cs="Arial" w:hint="eastAsia"/>
          <w:b/>
          <w:bCs/>
          <w:color w:val="000000" w:themeColor="text1"/>
          <w:kern w:val="32"/>
        </w:rPr>
      </w:pPr>
    </w:p>
    <w:p w14:paraId="1277E1EC" w14:textId="31B829A4" w:rsidR="00443B11" w:rsidRPr="005B638E" w:rsidRDefault="00443B11" w:rsidP="00443B11">
      <w:pPr>
        <w:rPr>
          <w:rFonts w:hint="eastAsia"/>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1C22E152" w14:textId="77777777" w:rsidR="00443B11" w:rsidRPr="005B638E" w:rsidRDefault="00443B11" w:rsidP="00443B11">
      <w:pPr>
        <w:autoSpaceDE w:val="0"/>
        <w:autoSpaceDN w:val="0"/>
        <w:adjustRightInd w:val="0"/>
        <w:ind w:left="1440"/>
        <w:rPr>
          <w:rFonts w:hint="eastAsia"/>
          <w:b/>
          <w:bCs/>
          <w:i/>
          <w:iCs/>
          <w:color w:val="000000" w:themeColor="text1"/>
        </w:rPr>
      </w:pPr>
    </w:p>
    <w:p w14:paraId="012ABE51" w14:textId="77777777" w:rsidR="00443B11" w:rsidRPr="005B638E" w:rsidRDefault="00443B11" w:rsidP="00443B11">
      <w:pPr>
        <w:autoSpaceDE w:val="0"/>
        <w:autoSpaceDN w:val="0"/>
        <w:adjustRightInd w:val="0"/>
        <w:ind w:left="1440"/>
        <w:rPr>
          <w:rFonts w:hint="eastAsia"/>
          <w:b/>
          <w:bCs/>
          <w:i/>
          <w:iCs/>
          <w:color w:val="000000" w:themeColor="text1"/>
        </w:rPr>
      </w:pPr>
    </w:p>
    <w:p w14:paraId="5FD3CD64" w14:textId="4E724DC9" w:rsidR="00443B11" w:rsidRPr="005B638E" w:rsidRDefault="00443B11" w:rsidP="00443B11">
      <w:pPr>
        <w:autoSpaceDE w:val="0"/>
        <w:autoSpaceDN w:val="0"/>
        <w:adjustRightInd w:val="0"/>
        <w:ind w:left="1440"/>
        <w:rPr>
          <w:rFonts w:hint="eastAsia"/>
          <w:b/>
          <w:bCs/>
          <w:i/>
          <w:iCs/>
          <w:color w:val="000000" w:themeColor="text1"/>
        </w:rPr>
      </w:pPr>
    </w:p>
    <w:p w14:paraId="5B7B565C" w14:textId="7AF0A717" w:rsidR="00443B11" w:rsidRPr="005B638E" w:rsidRDefault="00443B11" w:rsidP="00443B11">
      <w:pPr>
        <w:spacing w:after="40"/>
        <w:rPr>
          <w:rFonts w:hint="eastAsia"/>
          <w:color w:val="000000" w:themeColor="text1"/>
        </w:rPr>
      </w:pPr>
      <w:r w:rsidRPr="00443B11">
        <w:rPr>
          <w:b/>
          <w:bCs/>
          <w:color w:val="000000" w:themeColor="text1"/>
        </w:rPr>
        <w:t>I</w:t>
      </w:r>
      <w:r w:rsidRPr="00443B11">
        <w:rPr>
          <w:rFonts w:hint="eastAsia"/>
          <w:b/>
          <w:bCs/>
          <w:color w:val="000000" w:themeColor="text1"/>
        </w:rPr>
        <w:t>, Rui Guan,</w:t>
      </w:r>
      <w:r w:rsidRPr="00443B11">
        <w:rPr>
          <w:color w:val="000000" w:themeColor="text1"/>
        </w:rPr>
        <w:t xml:space="preserve"> hereby consent that my Project, submitted in candidature for the </w:t>
      </w:r>
      <w:r w:rsidRPr="00443B11">
        <w:rPr>
          <w:i/>
          <w:color w:val="000000" w:themeColor="text1"/>
          <w:u w:val="single"/>
        </w:rPr>
        <w:t>M.Sc. Applied Computing</w:t>
      </w:r>
      <w:r w:rsidRPr="00443B11">
        <w:rPr>
          <w:color w:val="000000" w:themeColor="text1"/>
        </w:rPr>
        <w:t xml:space="preserve"> degree, if successful, may be made available for inter-library loan or photocopying (subject to the law of copyright), and that the title and abstract may be made available to outside organisations.</w:t>
      </w:r>
      <w:r w:rsidRPr="005B638E">
        <w:rPr>
          <w:color w:val="000000" w:themeColor="text1"/>
        </w:rPr>
        <w:t xml:space="preserve"> </w:t>
      </w:r>
    </w:p>
    <w:p w14:paraId="25ACF558" w14:textId="21CB688E" w:rsidR="00443B11" w:rsidRPr="005B638E" w:rsidRDefault="00443B11" w:rsidP="00443B11">
      <w:pPr>
        <w:ind w:left="1440"/>
        <w:rPr>
          <w:rFonts w:hint="eastAsia"/>
          <w:b/>
          <w:bCs/>
          <w:color w:val="000000" w:themeColor="text1"/>
        </w:rPr>
      </w:pPr>
    </w:p>
    <w:p w14:paraId="774CF659" w14:textId="792E0B16" w:rsidR="00443B11" w:rsidRPr="005B638E" w:rsidRDefault="00443B11" w:rsidP="00443B11">
      <w:pPr>
        <w:ind w:left="1440"/>
        <w:rPr>
          <w:rFonts w:hint="eastAsia"/>
          <w:b/>
          <w:bCs/>
          <w:color w:val="000000" w:themeColor="text1"/>
        </w:rPr>
      </w:pPr>
    </w:p>
    <w:p w14:paraId="5E93BC2D" w14:textId="7D4713AA" w:rsidR="00443B11" w:rsidRPr="005B638E" w:rsidRDefault="00443B11" w:rsidP="00443B11">
      <w:pPr>
        <w:ind w:left="1440"/>
        <w:rPr>
          <w:rFonts w:hint="eastAsia"/>
          <w:b/>
          <w:bCs/>
          <w:color w:val="000000" w:themeColor="text1"/>
        </w:rPr>
      </w:pPr>
      <w:r>
        <w:rPr>
          <w:noProof/>
        </w:rPr>
        <w:drawing>
          <wp:anchor distT="0" distB="0" distL="114300" distR="114300" simplePos="0" relativeHeight="251660288" behindDoc="0" locked="0" layoutInCell="1" allowOverlap="1" wp14:anchorId="33C4D6DE" wp14:editId="2ACA59C5">
            <wp:simplePos x="0" y="0"/>
            <wp:positionH relativeFrom="column">
              <wp:posOffset>676275</wp:posOffset>
            </wp:positionH>
            <wp:positionV relativeFrom="paragraph">
              <wp:posOffset>116522</wp:posOffset>
            </wp:positionV>
            <wp:extent cx="1019175" cy="276225"/>
            <wp:effectExtent l="0" t="0" r="0" b="0"/>
            <wp:wrapNone/>
            <wp:docPr id="153703859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019175" cy="276225"/>
                    </a:xfrm>
                    <a:prstGeom prst="rect">
                      <a:avLst/>
                    </a:prstGeom>
                    <a:noFill/>
                    <a:ln>
                      <a:noFill/>
                    </a:ln>
                  </pic:spPr>
                </pic:pic>
              </a:graphicData>
            </a:graphic>
          </wp:anchor>
        </w:drawing>
      </w:r>
    </w:p>
    <w:p w14:paraId="64A6F053" w14:textId="77777777" w:rsidR="00443B11" w:rsidRPr="005B638E" w:rsidRDefault="00443B11" w:rsidP="00443B11">
      <w:pPr>
        <w:rPr>
          <w:rFonts w:hint="eastAsia"/>
          <w:color w:val="000000" w:themeColor="text1"/>
        </w:rPr>
      </w:pPr>
      <w:r w:rsidRPr="005B638E">
        <w:rPr>
          <w:b/>
          <w:bCs/>
          <w:i/>
          <w:iCs/>
          <w:color w:val="000000" w:themeColor="text1"/>
        </w:rPr>
        <w:t xml:space="preserve">Signed : ............................................. </w:t>
      </w:r>
    </w:p>
    <w:p w14:paraId="735E8228" w14:textId="77777777" w:rsidR="00443B11" w:rsidRPr="005B638E" w:rsidRDefault="00443B11" w:rsidP="00443B11">
      <w:pPr>
        <w:rPr>
          <w:rFonts w:hint="eastAsia"/>
          <w:color w:val="000000" w:themeColor="text1"/>
        </w:rPr>
      </w:pPr>
      <w:r w:rsidRPr="005B638E">
        <w:rPr>
          <w:b/>
          <w:bCs/>
          <w:i/>
          <w:iCs/>
          <w:color w:val="000000" w:themeColor="text1"/>
        </w:rPr>
        <w:t xml:space="preserve"> </w:t>
      </w:r>
    </w:p>
    <w:p w14:paraId="0BB428DA" w14:textId="77777777" w:rsidR="00443B11" w:rsidRPr="005B638E" w:rsidRDefault="00443B11" w:rsidP="00443B11">
      <w:pPr>
        <w:rPr>
          <w:rFonts w:hint="eastAsia"/>
          <w:color w:val="000000" w:themeColor="text1"/>
        </w:rPr>
      </w:pPr>
      <w:r w:rsidRPr="005B638E">
        <w:rPr>
          <w:b/>
          <w:bCs/>
          <w:i/>
          <w:iCs/>
          <w:color w:val="000000" w:themeColor="text1"/>
        </w:rPr>
        <w:t xml:space="preserve">  </w:t>
      </w:r>
    </w:p>
    <w:p w14:paraId="198FF177" w14:textId="63EA2C7A" w:rsidR="00443B11" w:rsidRDefault="00443B11" w:rsidP="00443B11">
      <w:pPr>
        <w:rPr>
          <w:rFonts w:hint="eastAsia"/>
        </w:rPr>
      </w:pPr>
      <w:r w:rsidRPr="005B638E">
        <w:rPr>
          <w:b/>
          <w:bCs/>
          <w:i/>
          <w:iCs/>
          <w:color w:val="000000" w:themeColor="text1"/>
        </w:rPr>
        <w:t>Date :</w:t>
      </w:r>
      <w:r w:rsidRPr="00443B11">
        <w:rPr>
          <w:b/>
          <w:bCs/>
          <w:i/>
          <w:iCs/>
          <w:color w:val="000000" w:themeColor="text1"/>
        </w:rPr>
        <w:t xml:space="preserve"> </w:t>
      </w:r>
      <w:r w:rsidRPr="005B638E">
        <w:rPr>
          <w:b/>
          <w:bCs/>
          <w:i/>
          <w:iCs/>
          <w:color w:val="000000" w:themeColor="text1"/>
        </w:rPr>
        <w:t>.........</w:t>
      </w:r>
      <w:r>
        <w:rPr>
          <w:rFonts w:hint="eastAsia"/>
          <w:b/>
          <w:bCs/>
          <w:i/>
          <w:iCs/>
          <w:color w:val="000000" w:themeColor="text1"/>
        </w:rPr>
        <w:t>05/05/2026</w:t>
      </w:r>
      <w:r w:rsidRPr="005B638E">
        <w:rPr>
          <w:b/>
          <w:bCs/>
          <w:i/>
          <w:iCs/>
          <w:color w:val="000000" w:themeColor="text1"/>
        </w:rPr>
        <w:t>..................</w:t>
      </w:r>
    </w:p>
    <w:p w14:paraId="43C1848D" w14:textId="1F942C13" w:rsidR="00443B11" w:rsidRPr="00443B11" w:rsidRDefault="00443B11" w:rsidP="00443B11">
      <w:pPr>
        <w:widowControl/>
        <w:jc w:val="left"/>
        <w:rPr>
          <w:rFonts w:asciiTheme="majorHAnsi" w:eastAsiaTheme="majorEastAsia" w:hAnsiTheme="majorHAnsi" w:cstheme="majorBidi" w:hint="eastAsia"/>
          <w:spacing w:val="-10"/>
          <w:kern w:val="28"/>
          <w:sz w:val="56"/>
          <w:szCs w:val="56"/>
        </w:rPr>
        <w:sectPr w:rsidR="00443B11" w:rsidRPr="00443B11">
          <w:pgSz w:w="11906" w:h="16838"/>
          <w:pgMar w:top="1440" w:right="1800" w:bottom="1440" w:left="1800" w:header="851" w:footer="992" w:gutter="0"/>
          <w:cols w:space="425"/>
          <w:docGrid w:type="lines" w:linePitch="312"/>
        </w:sectPr>
      </w:pPr>
    </w:p>
    <w:sdt>
      <w:sdtPr>
        <w:rPr>
          <w:rFonts w:asciiTheme="minorHAnsi" w:eastAsiaTheme="minorEastAsia" w:hAnsiTheme="minorHAnsi" w:cstheme="minorBidi"/>
          <w:color w:val="auto"/>
          <w:kern w:val="2"/>
          <w:sz w:val="21"/>
          <w:szCs w:val="22"/>
          <w:lang w:val="zh-CN"/>
        </w:rPr>
        <w:id w:val="913043990"/>
        <w:docPartObj>
          <w:docPartGallery w:val="Table of Contents"/>
          <w:docPartUnique/>
        </w:docPartObj>
      </w:sdtPr>
      <w:sdtEndPr>
        <w:rPr>
          <w:b/>
          <w:bCs/>
        </w:rPr>
      </w:sdtEndPr>
      <w:sdtContent>
        <w:p w14:paraId="50E69CD6" w14:textId="05537557" w:rsidR="00DC4709" w:rsidRPr="00B57CBF" w:rsidRDefault="00234C68">
          <w:pPr>
            <w:pStyle w:val="TOC"/>
            <w:rPr>
              <w:rStyle w:val="10"/>
              <w:rFonts w:hint="eastAsia"/>
            </w:rPr>
          </w:pPr>
          <w:r>
            <w:rPr>
              <w:rStyle w:val="10"/>
              <w:rFonts w:hint="eastAsia"/>
            </w:rPr>
            <w:t xml:space="preserve">Table of </w:t>
          </w:r>
          <w:r w:rsidRPr="00B57CBF">
            <w:rPr>
              <w:rStyle w:val="10"/>
              <w:rFonts w:hint="eastAsia"/>
            </w:rPr>
            <w:t>Contents</w:t>
          </w:r>
        </w:p>
        <w:p w14:paraId="10BF723A" w14:textId="12068418" w:rsidR="004A5A33" w:rsidRDefault="00DC4709">
          <w:pPr>
            <w:pStyle w:val="TOC1"/>
            <w:tabs>
              <w:tab w:val="right" w:leader="dot" w:pos="8296"/>
            </w:tabs>
            <w:rPr>
              <w:rFonts w:cstheme="minorBidi" w:hint="eastAsia"/>
              <w:noProof/>
              <w:kern w:val="2"/>
              <w:szCs w:val="24"/>
              <w14:ligatures w14:val="standardContextual"/>
            </w:rPr>
          </w:pPr>
          <w:r>
            <w:fldChar w:fldCharType="begin"/>
          </w:r>
          <w:r>
            <w:instrText xml:space="preserve"> TOC \o "1-3" \h \z \u </w:instrText>
          </w:r>
          <w:r>
            <w:fldChar w:fldCharType="separate"/>
          </w:r>
          <w:hyperlink w:anchor="_Toc228913804" w:history="1">
            <w:r w:rsidR="004A5A33" w:rsidRPr="007D7CDF">
              <w:rPr>
                <w:rStyle w:val="af8"/>
                <w:rFonts w:hint="eastAsia"/>
                <w:noProof/>
              </w:rPr>
              <w:t>1. Abstract</w:t>
            </w:r>
            <w:r w:rsidR="004A5A33">
              <w:rPr>
                <w:rFonts w:hint="eastAsia"/>
                <w:noProof/>
                <w:webHidden/>
              </w:rPr>
              <w:tab/>
            </w:r>
            <w:r w:rsidR="004A5A33">
              <w:rPr>
                <w:rFonts w:hint="eastAsia"/>
                <w:noProof/>
                <w:webHidden/>
              </w:rPr>
              <w:fldChar w:fldCharType="begin"/>
            </w:r>
            <w:r w:rsidR="004A5A33">
              <w:rPr>
                <w:rFonts w:hint="eastAsia"/>
                <w:noProof/>
                <w:webHidden/>
              </w:rPr>
              <w:instrText xml:space="preserve"> </w:instrText>
            </w:r>
            <w:r w:rsidR="004A5A33">
              <w:rPr>
                <w:noProof/>
                <w:webHidden/>
              </w:rPr>
              <w:instrText>PAGEREF _Toc228913804 \h</w:instrText>
            </w:r>
            <w:r w:rsidR="004A5A33">
              <w:rPr>
                <w:rFonts w:hint="eastAsia"/>
                <w:noProof/>
                <w:webHidden/>
              </w:rPr>
              <w:instrText xml:space="preserve"> </w:instrText>
            </w:r>
            <w:r w:rsidR="004A5A33">
              <w:rPr>
                <w:rFonts w:hint="eastAsia"/>
                <w:noProof/>
                <w:webHidden/>
              </w:rPr>
            </w:r>
            <w:r w:rsidR="004A5A33">
              <w:rPr>
                <w:rFonts w:hint="eastAsia"/>
                <w:noProof/>
                <w:webHidden/>
              </w:rPr>
              <w:fldChar w:fldCharType="separate"/>
            </w:r>
            <w:r w:rsidR="00654551">
              <w:rPr>
                <w:rFonts w:hint="eastAsia"/>
                <w:noProof/>
                <w:webHidden/>
              </w:rPr>
              <w:t>1</w:t>
            </w:r>
            <w:r w:rsidR="004A5A33">
              <w:rPr>
                <w:rFonts w:hint="eastAsia"/>
                <w:noProof/>
                <w:webHidden/>
              </w:rPr>
              <w:fldChar w:fldCharType="end"/>
            </w:r>
          </w:hyperlink>
        </w:p>
        <w:p w14:paraId="1B8DD49E" w14:textId="515A677C" w:rsidR="004A5A33" w:rsidRDefault="004A5A33">
          <w:pPr>
            <w:pStyle w:val="TOC1"/>
            <w:tabs>
              <w:tab w:val="right" w:leader="dot" w:pos="8296"/>
            </w:tabs>
            <w:rPr>
              <w:rFonts w:cstheme="minorBidi" w:hint="eastAsia"/>
              <w:noProof/>
              <w:kern w:val="2"/>
              <w:szCs w:val="24"/>
              <w14:ligatures w14:val="standardContextual"/>
            </w:rPr>
          </w:pPr>
          <w:hyperlink w:anchor="_Toc228913805" w:history="1">
            <w:r w:rsidRPr="007D7CDF">
              <w:rPr>
                <w:rStyle w:val="af8"/>
                <w:rFonts w:hint="eastAsia"/>
                <w:noProof/>
              </w:rPr>
              <w:t>2. Introduction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_Toc228913805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w:t>
            </w:r>
            <w:r>
              <w:rPr>
                <w:rFonts w:hint="eastAsia"/>
                <w:noProof/>
                <w:webHidden/>
              </w:rPr>
              <w:fldChar w:fldCharType="end"/>
            </w:r>
          </w:hyperlink>
        </w:p>
        <w:p w14:paraId="2B22780F" w14:textId="19AB4BD8" w:rsidR="004A5A33" w:rsidRDefault="004A5A33">
          <w:pPr>
            <w:pStyle w:val="TOC2"/>
            <w:tabs>
              <w:tab w:val="right" w:leader="dot" w:pos="8296"/>
            </w:tabs>
            <w:rPr>
              <w:rFonts w:cstheme="minorBidi" w:hint="eastAsia"/>
              <w:noProof/>
              <w:kern w:val="2"/>
              <w:szCs w:val="24"/>
              <w14:ligatures w14:val="standardContextual"/>
            </w:rPr>
          </w:pPr>
          <w:hyperlink w:anchor="_Toc228913806" w:history="1">
            <w:r w:rsidRPr="007D7CDF">
              <w:rPr>
                <w:rStyle w:val="af8"/>
                <w:rFonts w:hint="eastAsia"/>
                <w:noProof/>
              </w:rPr>
              <w:t>2.1 The Global Energy Transition and the Role of Smart Grids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_Toc228913806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w:t>
            </w:r>
            <w:r>
              <w:rPr>
                <w:rFonts w:hint="eastAsia"/>
                <w:noProof/>
                <w:webHidden/>
              </w:rPr>
              <w:fldChar w:fldCharType="end"/>
            </w:r>
          </w:hyperlink>
        </w:p>
        <w:p w14:paraId="646495F0" w14:textId="3DE7A61B" w:rsidR="004A5A33" w:rsidRDefault="004A5A33">
          <w:pPr>
            <w:pStyle w:val="TOC2"/>
            <w:tabs>
              <w:tab w:val="right" w:leader="dot" w:pos="8296"/>
            </w:tabs>
            <w:rPr>
              <w:rFonts w:cstheme="minorBidi" w:hint="eastAsia"/>
              <w:noProof/>
              <w:kern w:val="2"/>
              <w:szCs w:val="24"/>
              <w14:ligatures w14:val="standardContextual"/>
            </w:rPr>
          </w:pPr>
          <w:hyperlink w:anchor="_Toc228913807" w:history="1">
            <w:r w:rsidRPr="007D7CDF">
              <w:rPr>
                <w:rStyle w:val="af8"/>
                <w:rFonts w:hint="eastAsia"/>
                <w:noProof/>
              </w:rPr>
              <w:t>2.2 The Criticality of STLF</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_Toc228913807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3</w:t>
            </w:r>
            <w:r>
              <w:rPr>
                <w:rFonts w:hint="eastAsia"/>
                <w:noProof/>
                <w:webHidden/>
              </w:rPr>
              <w:fldChar w:fldCharType="end"/>
            </w:r>
          </w:hyperlink>
        </w:p>
        <w:p w14:paraId="01D904C3" w14:textId="695D9F83" w:rsidR="004A5A33" w:rsidRDefault="004A5A33">
          <w:pPr>
            <w:pStyle w:val="TOC3"/>
            <w:tabs>
              <w:tab w:val="right" w:leader="dot" w:pos="8296"/>
            </w:tabs>
            <w:rPr>
              <w:rFonts w:cstheme="minorBidi" w:hint="eastAsia"/>
              <w:noProof/>
              <w:kern w:val="2"/>
              <w:szCs w:val="24"/>
              <w14:ligatures w14:val="standardContextual"/>
            </w:rPr>
          </w:pPr>
          <w:hyperlink w:anchor="_Toc228913808" w:history="1">
            <w:r w:rsidRPr="007D7CDF">
              <w:rPr>
                <w:rStyle w:val="af8"/>
                <w:rFonts w:hint="eastAsia"/>
                <w:noProof/>
              </w:rPr>
              <w:t>2.2.1 Real-Time Stability and Asset Protection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_Toc228913808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3</w:t>
            </w:r>
            <w:r>
              <w:rPr>
                <w:rFonts w:hint="eastAsia"/>
                <w:noProof/>
                <w:webHidden/>
              </w:rPr>
              <w:fldChar w:fldCharType="end"/>
            </w:r>
          </w:hyperlink>
        </w:p>
        <w:p w14:paraId="7D9867E1" w14:textId="47D0916B" w:rsidR="004A5A33" w:rsidRDefault="004A5A33">
          <w:pPr>
            <w:pStyle w:val="TOC3"/>
            <w:tabs>
              <w:tab w:val="right" w:leader="dot" w:pos="8296"/>
            </w:tabs>
            <w:rPr>
              <w:rFonts w:cstheme="minorBidi" w:hint="eastAsia"/>
              <w:noProof/>
              <w:kern w:val="2"/>
              <w:szCs w:val="24"/>
              <w14:ligatures w14:val="standardContextual"/>
            </w:rPr>
          </w:pPr>
          <w:hyperlink w:anchor="_Toc228913809" w:history="1">
            <w:r w:rsidRPr="007D7CDF">
              <w:rPr>
                <w:rStyle w:val="af8"/>
                <w:rFonts w:hint="eastAsia"/>
                <w:noProof/>
              </w:rPr>
              <w:t>2.2.2 Integration of Demand-Side Strategies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_Toc228913809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3</w:t>
            </w:r>
            <w:r>
              <w:rPr>
                <w:rFonts w:hint="eastAsia"/>
                <w:noProof/>
                <w:webHidden/>
              </w:rPr>
              <w:fldChar w:fldCharType="end"/>
            </w:r>
          </w:hyperlink>
        </w:p>
        <w:p w14:paraId="5AD62809" w14:textId="4AEFCB91" w:rsidR="004A5A33" w:rsidRDefault="004A5A33">
          <w:pPr>
            <w:pStyle w:val="TOC3"/>
            <w:tabs>
              <w:tab w:val="right" w:leader="dot" w:pos="8296"/>
            </w:tabs>
            <w:rPr>
              <w:rFonts w:cstheme="minorBidi" w:hint="eastAsia"/>
              <w:noProof/>
              <w:kern w:val="2"/>
              <w:szCs w:val="24"/>
              <w14:ligatures w14:val="standardContextual"/>
            </w:rPr>
          </w:pPr>
          <w:hyperlink w:anchor="_Toc228913810" w:history="1">
            <w:r w:rsidRPr="007D7CDF">
              <w:rPr>
                <w:rStyle w:val="af8"/>
                <w:rFonts w:hint="eastAsia"/>
                <w:noProof/>
              </w:rPr>
              <w:t>2.2.3 From Aggregate Smoothing to Individual Stochasticity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_Toc228913810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3</w:t>
            </w:r>
            <w:r>
              <w:rPr>
                <w:rFonts w:hint="eastAsia"/>
                <w:noProof/>
                <w:webHidden/>
              </w:rPr>
              <w:fldChar w:fldCharType="end"/>
            </w:r>
          </w:hyperlink>
        </w:p>
        <w:p w14:paraId="64CAD76E" w14:textId="6AB158F0" w:rsidR="004A5A33" w:rsidRDefault="004A5A33">
          <w:pPr>
            <w:pStyle w:val="TOC2"/>
            <w:tabs>
              <w:tab w:val="right" w:leader="dot" w:pos="8296"/>
            </w:tabs>
            <w:rPr>
              <w:rFonts w:cstheme="minorBidi" w:hint="eastAsia"/>
              <w:noProof/>
              <w:kern w:val="2"/>
              <w:szCs w:val="24"/>
              <w14:ligatures w14:val="standardContextual"/>
            </w:rPr>
          </w:pPr>
          <w:hyperlink w:anchor="_Toc228913811" w:history="1">
            <w:r w:rsidRPr="007D7CDF">
              <w:rPr>
                <w:rStyle w:val="af8"/>
                <w:rFonts w:hint="eastAsia"/>
                <w:noProof/>
              </w:rPr>
              <w:t>2.3 Technical Barriers: Volatility and the Cold Start Problem</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_Toc228913811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4</w:t>
            </w:r>
            <w:r>
              <w:rPr>
                <w:rFonts w:hint="eastAsia"/>
                <w:noProof/>
                <w:webHidden/>
              </w:rPr>
              <w:fldChar w:fldCharType="end"/>
            </w:r>
          </w:hyperlink>
        </w:p>
        <w:p w14:paraId="54B781F5" w14:textId="1719D6CD" w:rsidR="004A5A33" w:rsidRDefault="004A5A33">
          <w:pPr>
            <w:pStyle w:val="TOC2"/>
            <w:tabs>
              <w:tab w:val="right" w:leader="dot" w:pos="8296"/>
            </w:tabs>
            <w:rPr>
              <w:rFonts w:cstheme="minorBidi" w:hint="eastAsia"/>
              <w:noProof/>
              <w:kern w:val="2"/>
              <w:szCs w:val="24"/>
              <w14:ligatures w14:val="standardContextual"/>
            </w:rPr>
          </w:pPr>
          <w:hyperlink w:anchor="_Toc228913812" w:history="1">
            <w:r w:rsidRPr="007D7CDF">
              <w:rPr>
                <w:rStyle w:val="af8"/>
                <w:rFonts w:hint="eastAsia"/>
                <w:noProof/>
              </w:rPr>
              <w:t>2.4 Transfer Learning as a Scalable Solution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_Toc228913812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5</w:t>
            </w:r>
            <w:r>
              <w:rPr>
                <w:rFonts w:hint="eastAsia"/>
                <w:noProof/>
                <w:webHidden/>
              </w:rPr>
              <w:fldChar w:fldCharType="end"/>
            </w:r>
          </w:hyperlink>
        </w:p>
        <w:p w14:paraId="1F017C88" w14:textId="5002B434" w:rsidR="004A5A33" w:rsidRDefault="004A5A33">
          <w:pPr>
            <w:pStyle w:val="TOC3"/>
            <w:tabs>
              <w:tab w:val="right" w:leader="dot" w:pos="8296"/>
            </w:tabs>
            <w:rPr>
              <w:rFonts w:cstheme="minorBidi" w:hint="eastAsia"/>
              <w:noProof/>
              <w:kern w:val="2"/>
              <w:szCs w:val="24"/>
              <w14:ligatures w14:val="standardContextual"/>
            </w:rPr>
          </w:pPr>
          <w:hyperlink w:anchor="_Toc228913813" w:history="1">
            <w:r w:rsidRPr="007D7CDF">
              <w:rPr>
                <w:rStyle w:val="af8"/>
                <w:rFonts w:hint="eastAsia"/>
                <w:noProof/>
              </w:rPr>
              <w:t>2.4.1 The Pre-training and Fine-tuning Paradigm</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_Toc228913813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5</w:t>
            </w:r>
            <w:r>
              <w:rPr>
                <w:rFonts w:hint="eastAsia"/>
                <w:noProof/>
                <w:webHidden/>
              </w:rPr>
              <w:fldChar w:fldCharType="end"/>
            </w:r>
          </w:hyperlink>
        </w:p>
        <w:p w14:paraId="17132FCC" w14:textId="1DFB4B81" w:rsidR="004A5A33" w:rsidRDefault="004A5A33">
          <w:pPr>
            <w:pStyle w:val="TOC3"/>
            <w:tabs>
              <w:tab w:val="right" w:leader="dot" w:pos="8296"/>
            </w:tabs>
            <w:rPr>
              <w:rFonts w:cstheme="minorBidi" w:hint="eastAsia"/>
              <w:noProof/>
              <w:kern w:val="2"/>
              <w:szCs w:val="24"/>
              <w14:ligatures w14:val="standardContextual"/>
            </w:rPr>
          </w:pPr>
          <w:hyperlink w:anchor="_Toc228913814" w:history="1">
            <w:r w:rsidRPr="007D7CDF">
              <w:rPr>
                <w:rStyle w:val="af8"/>
                <w:rFonts w:hint="eastAsia"/>
                <w:noProof/>
              </w:rPr>
              <w:t>2.4.2 Mitigation of Negative Transfer and Optimization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_Toc228913814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5</w:t>
            </w:r>
            <w:r>
              <w:rPr>
                <w:rFonts w:hint="eastAsia"/>
                <w:noProof/>
                <w:webHidden/>
              </w:rPr>
              <w:fldChar w:fldCharType="end"/>
            </w:r>
          </w:hyperlink>
        </w:p>
        <w:p w14:paraId="561D5609" w14:textId="419BAC99" w:rsidR="004A5A33" w:rsidRDefault="004A5A33">
          <w:pPr>
            <w:pStyle w:val="TOC3"/>
            <w:tabs>
              <w:tab w:val="right" w:leader="dot" w:pos="8296"/>
            </w:tabs>
            <w:rPr>
              <w:rFonts w:cstheme="minorBidi" w:hint="eastAsia"/>
              <w:noProof/>
              <w:kern w:val="2"/>
              <w:szCs w:val="24"/>
              <w14:ligatures w14:val="standardContextual"/>
            </w:rPr>
          </w:pPr>
          <w:hyperlink w:anchor="_Toc228913815" w:history="1">
            <w:r w:rsidRPr="007D7CDF">
              <w:rPr>
                <w:rStyle w:val="af8"/>
                <w:rFonts w:hint="eastAsia"/>
                <w:noProof/>
              </w:rPr>
              <w:t>2.4.3 Empirical Validation and Practical Path</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_Toc228913815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6</w:t>
            </w:r>
            <w:r>
              <w:rPr>
                <w:rFonts w:hint="eastAsia"/>
                <w:noProof/>
                <w:webHidden/>
              </w:rPr>
              <w:fldChar w:fldCharType="end"/>
            </w:r>
          </w:hyperlink>
        </w:p>
        <w:p w14:paraId="3E7A8890" w14:textId="0C4F52BD" w:rsidR="004A5A33" w:rsidRDefault="004A5A33">
          <w:pPr>
            <w:pStyle w:val="TOC1"/>
            <w:tabs>
              <w:tab w:val="right" w:leader="dot" w:pos="8296"/>
            </w:tabs>
            <w:rPr>
              <w:rFonts w:cstheme="minorBidi" w:hint="eastAsia"/>
              <w:noProof/>
              <w:kern w:val="2"/>
              <w:szCs w:val="24"/>
              <w14:ligatures w14:val="standardContextual"/>
            </w:rPr>
          </w:pPr>
          <w:hyperlink w:anchor="_Toc228913816" w:history="1">
            <w:r w:rsidRPr="007D7CDF">
              <w:rPr>
                <w:rStyle w:val="af8"/>
                <w:rFonts w:hint="eastAsia"/>
                <w:noProof/>
              </w:rPr>
              <w:t>3. Literature Review</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_Toc228913816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6</w:t>
            </w:r>
            <w:r>
              <w:rPr>
                <w:rFonts w:hint="eastAsia"/>
                <w:noProof/>
                <w:webHidden/>
              </w:rPr>
              <w:fldChar w:fldCharType="end"/>
            </w:r>
          </w:hyperlink>
        </w:p>
        <w:p w14:paraId="7DD5C85C" w14:textId="75E874D1" w:rsidR="004A5A33" w:rsidRDefault="004A5A33">
          <w:pPr>
            <w:pStyle w:val="TOC2"/>
            <w:tabs>
              <w:tab w:val="right" w:leader="dot" w:pos="8296"/>
            </w:tabs>
            <w:rPr>
              <w:rFonts w:cstheme="minorBidi" w:hint="eastAsia"/>
              <w:noProof/>
              <w:kern w:val="2"/>
              <w:szCs w:val="24"/>
              <w14:ligatures w14:val="standardContextual"/>
            </w:rPr>
          </w:pPr>
          <w:hyperlink w:anchor="_Toc228913817" w:history="1">
            <w:r w:rsidRPr="007D7CDF">
              <w:rPr>
                <w:rStyle w:val="af8"/>
                <w:rFonts w:hint="eastAsia"/>
                <w:noProof/>
              </w:rPr>
              <w:t>3.1 Evolutionary Trajectory of Short-Term Load Forecasting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_Toc228913817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6</w:t>
            </w:r>
            <w:r>
              <w:rPr>
                <w:rFonts w:hint="eastAsia"/>
                <w:noProof/>
                <w:webHidden/>
              </w:rPr>
              <w:fldChar w:fldCharType="end"/>
            </w:r>
          </w:hyperlink>
        </w:p>
        <w:p w14:paraId="0D747FA4" w14:textId="4B452452" w:rsidR="004A5A33" w:rsidRDefault="004A5A33">
          <w:pPr>
            <w:pStyle w:val="TOC3"/>
            <w:tabs>
              <w:tab w:val="right" w:leader="dot" w:pos="8296"/>
            </w:tabs>
            <w:rPr>
              <w:rFonts w:cstheme="minorBidi" w:hint="eastAsia"/>
              <w:noProof/>
              <w:kern w:val="2"/>
              <w:szCs w:val="24"/>
              <w14:ligatures w14:val="standardContextual"/>
            </w:rPr>
          </w:pPr>
          <w:hyperlink w:anchor="_Toc228913818" w:history="1">
            <w:r w:rsidRPr="007D7CDF">
              <w:rPr>
                <w:rStyle w:val="af8"/>
                <w:rFonts w:hint="eastAsia"/>
                <w:noProof/>
              </w:rPr>
              <w:t>3.1.1 The Statistical Era: ARIMA and Smoothing Techniques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_Toc228913818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6</w:t>
            </w:r>
            <w:r>
              <w:rPr>
                <w:rFonts w:hint="eastAsia"/>
                <w:noProof/>
                <w:webHidden/>
              </w:rPr>
              <w:fldChar w:fldCharType="end"/>
            </w:r>
          </w:hyperlink>
        </w:p>
        <w:p w14:paraId="495160C3" w14:textId="312D57F4" w:rsidR="004A5A33" w:rsidRDefault="004A5A33">
          <w:pPr>
            <w:pStyle w:val="TOC3"/>
            <w:tabs>
              <w:tab w:val="right" w:leader="dot" w:pos="8296"/>
            </w:tabs>
            <w:rPr>
              <w:rFonts w:cstheme="minorBidi" w:hint="eastAsia"/>
              <w:noProof/>
              <w:kern w:val="2"/>
              <w:szCs w:val="24"/>
              <w14:ligatures w14:val="standardContextual"/>
            </w:rPr>
          </w:pPr>
          <w:hyperlink w:anchor="_Toc228913819" w:history="1">
            <w:r w:rsidRPr="007D7CDF">
              <w:rPr>
                <w:rStyle w:val="af8"/>
                <w:rFonts w:hint="eastAsia"/>
                <w:noProof/>
              </w:rPr>
              <w:t>3.1.2 The Machine Learning Era: SVR and Random Forests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_Toc228913819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7</w:t>
            </w:r>
            <w:r>
              <w:rPr>
                <w:rFonts w:hint="eastAsia"/>
                <w:noProof/>
                <w:webHidden/>
              </w:rPr>
              <w:fldChar w:fldCharType="end"/>
            </w:r>
          </w:hyperlink>
        </w:p>
        <w:p w14:paraId="51F9FCCB" w14:textId="4D057AFF" w:rsidR="004A5A33" w:rsidRDefault="004A5A33">
          <w:pPr>
            <w:pStyle w:val="TOC3"/>
            <w:tabs>
              <w:tab w:val="right" w:leader="dot" w:pos="8296"/>
            </w:tabs>
            <w:rPr>
              <w:rFonts w:cstheme="minorBidi" w:hint="eastAsia"/>
              <w:noProof/>
              <w:kern w:val="2"/>
              <w:szCs w:val="24"/>
              <w14:ligatures w14:val="standardContextual"/>
            </w:rPr>
          </w:pPr>
          <w:hyperlink w:anchor="_Toc228913820" w:history="1">
            <w:r w:rsidRPr="007D7CDF">
              <w:rPr>
                <w:rStyle w:val="af8"/>
                <w:rFonts w:hint="eastAsia"/>
                <w:noProof/>
              </w:rPr>
              <w:t>3.1.3 The Deep Learning Revolution: RNNs and LSTMs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_Toc228913820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7</w:t>
            </w:r>
            <w:r>
              <w:rPr>
                <w:rFonts w:hint="eastAsia"/>
                <w:noProof/>
                <w:webHidden/>
              </w:rPr>
              <w:fldChar w:fldCharType="end"/>
            </w:r>
          </w:hyperlink>
        </w:p>
        <w:p w14:paraId="7E63DD6C" w14:textId="1EBD8DB7" w:rsidR="004A5A33" w:rsidRDefault="004A5A33">
          <w:pPr>
            <w:pStyle w:val="TOC3"/>
            <w:tabs>
              <w:tab w:val="right" w:leader="dot" w:pos="8296"/>
            </w:tabs>
            <w:rPr>
              <w:rFonts w:cstheme="minorBidi" w:hint="eastAsia"/>
              <w:noProof/>
              <w:kern w:val="2"/>
              <w:szCs w:val="24"/>
              <w14:ligatures w14:val="standardContextual"/>
            </w:rPr>
          </w:pPr>
          <w:hyperlink w:anchor="_Toc228913821" w:history="1">
            <w:r w:rsidRPr="007D7CDF">
              <w:rPr>
                <w:rStyle w:val="af8"/>
                <w:rFonts w:hint="eastAsia"/>
                <w:noProof/>
              </w:rPr>
              <w:t>3.1.4 Advanced Hybrid and Multi-User Architectures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_Toc228913821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8</w:t>
            </w:r>
            <w:r>
              <w:rPr>
                <w:rFonts w:hint="eastAsia"/>
                <w:noProof/>
                <w:webHidden/>
              </w:rPr>
              <w:fldChar w:fldCharType="end"/>
            </w:r>
          </w:hyperlink>
        </w:p>
        <w:p w14:paraId="583264BB" w14:textId="35653401" w:rsidR="004A5A33" w:rsidRDefault="004A5A33">
          <w:pPr>
            <w:pStyle w:val="TOC2"/>
            <w:tabs>
              <w:tab w:val="right" w:leader="dot" w:pos="8296"/>
            </w:tabs>
            <w:rPr>
              <w:rFonts w:cstheme="minorBidi" w:hint="eastAsia"/>
              <w:noProof/>
              <w:kern w:val="2"/>
              <w:szCs w:val="24"/>
              <w14:ligatures w14:val="standardContextual"/>
            </w:rPr>
          </w:pPr>
          <w:hyperlink w:anchor="_Toc228913822" w:history="1">
            <w:r w:rsidRPr="007D7CDF">
              <w:rPr>
                <w:rStyle w:val="af8"/>
                <w:rFonts w:hint="eastAsia"/>
                <w:noProof/>
              </w:rPr>
              <w:t>3.2 Stochasticity and Complexity in Individual Household Forecasting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_Toc228913822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8</w:t>
            </w:r>
            <w:r>
              <w:rPr>
                <w:rFonts w:hint="eastAsia"/>
                <w:noProof/>
                <w:webHidden/>
              </w:rPr>
              <w:fldChar w:fldCharType="end"/>
            </w:r>
          </w:hyperlink>
        </w:p>
        <w:p w14:paraId="204F3460" w14:textId="498E1442" w:rsidR="004A5A33" w:rsidRDefault="004A5A33">
          <w:pPr>
            <w:pStyle w:val="TOC3"/>
            <w:tabs>
              <w:tab w:val="right" w:leader="dot" w:pos="8296"/>
            </w:tabs>
            <w:rPr>
              <w:rFonts w:cstheme="minorBidi" w:hint="eastAsia"/>
              <w:noProof/>
              <w:kern w:val="2"/>
              <w:szCs w:val="24"/>
              <w14:ligatures w14:val="standardContextual"/>
            </w:rPr>
          </w:pPr>
          <w:hyperlink w:anchor="_Toc228913823" w:history="1">
            <w:r w:rsidRPr="007D7CDF">
              <w:rPr>
                <w:rStyle w:val="af8"/>
                <w:rFonts w:hint="eastAsia"/>
                <w:noProof/>
              </w:rPr>
              <w:t>3.2.1 The Failure of the Law of Large Numbers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_Toc228913823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9</w:t>
            </w:r>
            <w:r>
              <w:rPr>
                <w:rFonts w:hint="eastAsia"/>
                <w:noProof/>
                <w:webHidden/>
              </w:rPr>
              <w:fldChar w:fldCharType="end"/>
            </w:r>
          </w:hyperlink>
        </w:p>
        <w:p w14:paraId="19990392" w14:textId="61B7D8A7" w:rsidR="004A5A33" w:rsidRDefault="004A5A33">
          <w:pPr>
            <w:pStyle w:val="TOC3"/>
            <w:tabs>
              <w:tab w:val="right" w:leader="dot" w:pos="8296"/>
            </w:tabs>
            <w:rPr>
              <w:rFonts w:cstheme="minorBidi" w:hint="eastAsia"/>
              <w:noProof/>
              <w:kern w:val="2"/>
              <w:szCs w:val="24"/>
              <w14:ligatures w14:val="standardContextual"/>
            </w:rPr>
          </w:pPr>
          <w:hyperlink w:anchor="_Toc228913824" w:history="1">
            <w:r w:rsidRPr="007D7CDF">
              <w:rPr>
                <w:rStyle w:val="af8"/>
                <w:rFonts w:hint="eastAsia"/>
                <w:noProof/>
              </w:rPr>
              <w:t>3.2.2 Signal-to-Noise Ratio and Edge User Variability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_Toc228913824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9</w:t>
            </w:r>
            <w:r>
              <w:rPr>
                <w:rFonts w:hint="eastAsia"/>
                <w:noProof/>
                <w:webHidden/>
              </w:rPr>
              <w:fldChar w:fldCharType="end"/>
            </w:r>
          </w:hyperlink>
        </w:p>
        <w:p w14:paraId="1E2AB076" w14:textId="32C546F8" w:rsidR="004A5A33" w:rsidRDefault="004A5A33">
          <w:pPr>
            <w:pStyle w:val="TOC3"/>
            <w:tabs>
              <w:tab w:val="right" w:leader="dot" w:pos="8296"/>
            </w:tabs>
            <w:rPr>
              <w:rFonts w:cstheme="minorBidi" w:hint="eastAsia"/>
              <w:noProof/>
              <w:kern w:val="2"/>
              <w:szCs w:val="24"/>
              <w14:ligatures w14:val="standardContextual"/>
            </w:rPr>
          </w:pPr>
          <w:hyperlink w:anchor="_Toc228913825" w:history="1">
            <w:r w:rsidRPr="007D7CDF">
              <w:rPr>
                <w:rStyle w:val="af8"/>
                <w:rFonts w:hint="eastAsia"/>
                <w:noProof/>
              </w:rPr>
              <w:t>3.2.3 External Drivers and Non-Stationarity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_Toc228913825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9</w:t>
            </w:r>
            <w:r>
              <w:rPr>
                <w:rFonts w:hint="eastAsia"/>
                <w:noProof/>
                <w:webHidden/>
              </w:rPr>
              <w:fldChar w:fldCharType="end"/>
            </w:r>
          </w:hyperlink>
        </w:p>
        <w:p w14:paraId="66C07016" w14:textId="22B082E6" w:rsidR="004A5A33" w:rsidRDefault="004A5A33">
          <w:pPr>
            <w:pStyle w:val="TOC3"/>
            <w:tabs>
              <w:tab w:val="right" w:leader="dot" w:pos="8296"/>
            </w:tabs>
            <w:rPr>
              <w:rFonts w:cstheme="minorBidi" w:hint="eastAsia"/>
              <w:noProof/>
              <w:kern w:val="2"/>
              <w:szCs w:val="24"/>
              <w14:ligatures w14:val="standardContextual"/>
            </w:rPr>
          </w:pPr>
          <w:hyperlink w:anchor="_Toc228913826" w:history="1">
            <w:r w:rsidRPr="007D7CDF">
              <w:rPr>
                <w:rStyle w:val="af8"/>
                <w:rFonts w:hint="eastAsia"/>
                <w:noProof/>
              </w:rPr>
              <w:t>3.2.4 The Burn-in Period and the Cold-Start Bottleneck</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_Toc228913826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10</w:t>
            </w:r>
            <w:r>
              <w:rPr>
                <w:rFonts w:hint="eastAsia"/>
                <w:noProof/>
                <w:webHidden/>
              </w:rPr>
              <w:fldChar w:fldCharType="end"/>
            </w:r>
          </w:hyperlink>
        </w:p>
        <w:p w14:paraId="7F98F84B" w14:textId="06B82EDB" w:rsidR="004A5A33" w:rsidRDefault="004A5A33">
          <w:pPr>
            <w:pStyle w:val="TOC2"/>
            <w:tabs>
              <w:tab w:val="right" w:leader="dot" w:pos="8296"/>
            </w:tabs>
            <w:rPr>
              <w:rFonts w:cstheme="minorBidi" w:hint="eastAsia"/>
              <w:noProof/>
              <w:kern w:val="2"/>
              <w:szCs w:val="24"/>
              <w14:ligatures w14:val="standardContextual"/>
            </w:rPr>
          </w:pPr>
          <w:hyperlink w:anchor="_Toc228913827" w:history="1">
            <w:r w:rsidRPr="007D7CDF">
              <w:rPr>
                <w:rStyle w:val="af8"/>
                <w:rFonts w:hint="eastAsia"/>
                <w:noProof/>
              </w:rPr>
              <w:t>3.3 Theoretical Analysis of the Cold-Start Problem</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_Toc228913827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10</w:t>
            </w:r>
            <w:r>
              <w:rPr>
                <w:rFonts w:hint="eastAsia"/>
                <w:noProof/>
                <w:webHidden/>
              </w:rPr>
              <w:fldChar w:fldCharType="end"/>
            </w:r>
          </w:hyperlink>
        </w:p>
        <w:p w14:paraId="2A7A6290" w14:textId="5137BF4D" w:rsidR="004A5A33" w:rsidRDefault="004A5A33">
          <w:pPr>
            <w:pStyle w:val="TOC3"/>
            <w:tabs>
              <w:tab w:val="right" w:leader="dot" w:pos="8296"/>
            </w:tabs>
            <w:rPr>
              <w:rFonts w:cstheme="minorBidi" w:hint="eastAsia"/>
              <w:noProof/>
              <w:kern w:val="2"/>
              <w:szCs w:val="24"/>
              <w14:ligatures w14:val="standardContextual"/>
            </w:rPr>
          </w:pPr>
          <w:hyperlink w:anchor="_Toc228913828" w:history="1">
            <w:r w:rsidRPr="007D7CDF">
              <w:rPr>
                <w:rStyle w:val="af8"/>
                <w:rFonts w:hint="eastAsia"/>
                <w:noProof/>
              </w:rPr>
              <w:t>3.3.1 The Bias-Variance Dilemma in Small-Sample Regimes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_Toc228913828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10</w:t>
            </w:r>
            <w:r>
              <w:rPr>
                <w:rFonts w:hint="eastAsia"/>
                <w:noProof/>
                <w:webHidden/>
              </w:rPr>
              <w:fldChar w:fldCharType="end"/>
            </w:r>
          </w:hyperlink>
        </w:p>
        <w:p w14:paraId="3423F7F8" w14:textId="7EB2F48B" w:rsidR="004A5A33" w:rsidRDefault="004A5A33">
          <w:pPr>
            <w:pStyle w:val="TOC3"/>
            <w:tabs>
              <w:tab w:val="right" w:leader="dot" w:pos="8296"/>
            </w:tabs>
            <w:rPr>
              <w:rFonts w:cstheme="minorBidi" w:hint="eastAsia"/>
              <w:noProof/>
              <w:kern w:val="2"/>
              <w:szCs w:val="24"/>
              <w14:ligatures w14:val="standardContextual"/>
            </w:rPr>
          </w:pPr>
          <w:hyperlink w:anchor="_Toc228913829" w:history="1">
            <w:r w:rsidRPr="007D7CDF">
              <w:rPr>
                <w:rStyle w:val="af8"/>
                <w:rFonts w:hint="eastAsia"/>
                <w:noProof/>
              </w:rPr>
              <w:t>3.3.2 Operational Implications of the “Value-Void”</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_Toc228913829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11</w:t>
            </w:r>
            <w:r>
              <w:rPr>
                <w:rFonts w:hint="eastAsia"/>
                <w:noProof/>
                <w:webHidden/>
              </w:rPr>
              <w:fldChar w:fldCharType="end"/>
            </w:r>
          </w:hyperlink>
        </w:p>
        <w:p w14:paraId="62ECADC6" w14:textId="1EF70F24" w:rsidR="004A5A33" w:rsidRDefault="004A5A33">
          <w:pPr>
            <w:pStyle w:val="TOC3"/>
            <w:tabs>
              <w:tab w:val="right" w:leader="dot" w:pos="8296"/>
            </w:tabs>
            <w:rPr>
              <w:rFonts w:cstheme="minorBidi" w:hint="eastAsia"/>
              <w:noProof/>
              <w:kern w:val="2"/>
              <w:szCs w:val="24"/>
              <w14:ligatures w14:val="standardContextual"/>
            </w:rPr>
          </w:pPr>
          <w:hyperlink w:anchor="_Toc228913830" w:history="1">
            <w:r w:rsidRPr="007D7CDF">
              <w:rPr>
                <w:rStyle w:val="af8"/>
                <w:rFonts w:hint="eastAsia"/>
                <w:noProof/>
              </w:rPr>
              <w:t>3.3.3 The Absence of Temporal “Energy Fingerprints”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_Toc228913830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11</w:t>
            </w:r>
            <w:r>
              <w:rPr>
                <w:rFonts w:hint="eastAsia"/>
                <w:noProof/>
                <w:webHidden/>
              </w:rPr>
              <w:fldChar w:fldCharType="end"/>
            </w:r>
          </w:hyperlink>
        </w:p>
        <w:p w14:paraId="2CD3661D" w14:textId="09C25C33" w:rsidR="004A5A33" w:rsidRDefault="004A5A33">
          <w:pPr>
            <w:pStyle w:val="TOC3"/>
            <w:tabs>
              <w:tab w:val="right" w:leader="dot" w:pos="8296"/>
            </w:tabs>
            <w:rPr>
              <w:rFonts w:cstheme="minorBidi" w:hint="eastAsia"/>
              <w:noProof/>
              <w:kern w:val="2"/>
              <w:szCs w:val="24"/>
              <w14:ligatures w14:val="standardContextual"/>
            </w:rPr>
          </w:pPr>
          <w:hyperlink w:anchor="_Toc228913831" w:history="1">
            <w:r w:rsidRPr="007D7CDF">
              <w:rPr>
                <w:rStyle w:val="af8"/>
                <w:rFonts w:hint="eastAsia"/>
                <w:noProof/>
              </w:rPr>
              <w:t>3.3.4 Augmentation through Cross-Domain Knowledge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_Toc228913831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11</w:t>
            </w:r>
            <w:r>
              <w:rPr>
                <w:rFonts w:hint="eastAsia"/>
                <w:noProof/>
                <w:webHidden/>
              </w:rPr>
              <w:fldChar w:fldCharType="end"/>
            </w:r>
          </w:hyperlink>
        </w:p>
        <w:p w14:paraId="45013090" w14:textId="402CE160" w:rsidR="004A5A33" w:rsidRDefault="004A5A33">
          <w:pPr>
            <w:pStyle w:val="TOC2"/>
            <w:tabs>
              <w:tab w:val="right" w:leader="dot" w:pos="8296"/>
            </w:tabs>
            <w:rPr>
              <w:rFonts w:cstheme="minorBidi" w:hint="eastAsia"/>
              <w:noProof/>
              <w:kern w:val="2"/>
              <w:szCs w:val="24"/>
              <w14:ligatures w14:val="standardContextual"/>
            </w:rPr>
          </w:pPr>
          <w:hyperlink w:anchor="_Toc228913832" w:history="1">
            <w:r w:rsidRPr="007D7CDF">
              <w:rPr>
                <w:rStyle w:val="af8"/>
                <w:rFonts w:hint="eastAsia"/>
                <w:noProof/>
              </w:rPr>
              <w:t>3.4 Transfer Learning Paradigms and Negative Transfer</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_Toc228913832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12</w:t>
            </w:r>
            <w:r>
              <w:rPr>
                <w:rFonts w:hint="eastAsia"/>
                <w:noProof/>
                <w:webHidden/>
              </w:rPr>
              <w:fldChar w:fldCharType="end"/>
            </w:r>
          </w:hyperlink>
        </w:p>
        <w:p w14:paraId="59B0EFD5" w14:textId="61A8348C" w:rsidR="004A5A33" w:rsidRDefault="004A5A33">
          <w:pPr>
            <w:pStyle w:val="TOC3"/>
            <w:tabs>
              <w:tab w:val="right" w:leader="dot" w:pos="8296"/>
            </w:tabs>
            <w:rPr>
              <w:rFonts w:cstheme="minorBidi" w:hint="eastAsia"/>
              <w:noProof/>
              <w:kern w:val="2"/>
              <w:szCs w:val="24"/>
              <w14:ligatures w14:val="standardContextual"/>
            </w:rPr>
          </w:pPr>
          <w:hyperlink w:anchor="_Toc228913833" w:history="1">
            <w:r w:rsidRPr="007D7CDF">
              <w:rPr>
                <w:rStyle w:val="af8"/>
                <w:rFonts w:hint="eastAsia"/>
                <w:noProof/>
              </w:rPr>
              <w:t>3.4.1 The Mechanism of Knowledge Migration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_Toc228913833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12</w:t>
            </w:r>
            <w:r>
              <w:rPr>
                <w:rFonts w:hint="eastAsia"/>
                <w:noProof/>
                <w:webHidden/>
              </w:rPr>
              <w:fldChar w:fldCharType="end"/>
            </w:r>
          </w:hyperlink>
        </w:p>
        <w:p w14:paraId="73EDB151" w14:textId="27217160" w:rsidR="004A5A33" w:rsidRDefault="004A5A33">
          <w:pPr>
            <w:pStyle w:val="TOC3"/>
            <w:tabs>
              <w:tab w:val="right" w:leader="dot" w:pos="8296"/>
            </w:tabs>
            <w:rPr>
              <w:rFonts w:cstheme="minorBidi" w:hint="eastAsia"/>
              <w:noProof/>
              <w:kern w:val="2"/>
              <w:szCs w:val="24"/>
              <w14:ligatures w14:val="standardContextual"/>
            </w:rPr>
          </w:pPr>
          <w:hyperlink w:anchor="_Toc228913834" w:history="1">
            <w:r w:rsidRPr="007D7CDF">
              <w:rPr>
                <w:rStyle w:val="af8"/>
                <w:rFonts w:hint="eastAsia"/>
                <w:noProof/>
              </w:rPr>
              <w:t>3.4.2 The Paradox of Negative Transfer</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_Toc228913834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12</w:t>
            </w:r>
            <w:r>
              <w:rPr>
                <w:rFonts w:hint="eastAsia"/>
                <w:noProof/>
                <w:webHidden/>
              </w:rPr>
              <w:fldChar w:fldCharType="end"/>
            </w:r>
          </w:hyperlink>
        </w:p>
        <w:p w14:paraId="00B862B2" w14:textId="37A6A306" w:rsidR="004A5A33" w:rsidRDefault="004A5A33">
          <w:pPr>
            <w:pStyle w:val="TOC3"/>
            <w:tabs>
              <w:tab w:val="right" w:leader="dot" w:pos="8296"/>
            </w:tabs>
            <w:rPr>
              <w:rFonts w:cstheme="minorBidi" w:hint="eastAsia"/>
              <w:noProof/>
              <w:kern w:val="2"/>
              <w:szCs w:val="24"/>
              <w14:ligatures w14:val="standardContextual"/>
            </w:rPr>
          </w:pPr>
          <w:hyperlink w:anchor="_Toc228913835" w:history="1">
            <w:r w:rsidRPr="007D7CDF">
              <w:rPr>
                <w:rStyle w:val="af8"/>
                <w:rFonts w:hint="eastAsia"/>
                <w:noProof/>
              </w:rPr>
              <w:t>3.4.3 Self-Adaptive Fine-Tuning and Layer Freezing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_Toc228913835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12</w:t>
            </w:r>
            <w:r>
              <w:rPr>
                <w:rFonts w:hint="eastAsia"/>
                <w:noProof/>
                <w:webHidden/>
              </w:rPr>
              <w:fldChar w:fldCharType="end"/>
            </w:r>
          </w:hyperlink>
        </w:p>
        <w:p w14:paraId="3CAEFA4A" w14:textId="4E09F460" w:rsidR="004A5A33" w:rsidRDefault="004A5A33">
          <w:pPr>
            <w:pStyle w:val="TOC3"/>
            <w:tabs>
              <w:tab w:val="right" w:leader="dot" w:pos="8296"/>
            </w:tabs>
            <w:rPr>
              <w:rFonts w:cstheme="minorBidi" w:hint="eastAsia"/>
              <w:noProof/>
              <w:kern w:val="2"/>
              <w:szCs w:val="24"/>
              <w14:ligatures w14:val="standardContextual"/>
            </w:rPr>
          </w:pPr>
          <w:hyperlink w:anchor="_Toc228913836" w:history="1">
            <w:r w:rsidRPr="007D7CDF">
              <w:rPr>
                <w:rStyle w:val="af8"/>
                <w:rFonts w:hint="eastAsia"/>
                <w:noProof/>
              </w:rPr>
              <w:t>3.4.4 Automated Optimization of Transferability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_Toc228913836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13</w:t>
            </w:r>
            <w:r>
              <w:rPr>
                <w:rFonts w:hint="eastAsia"/>
                <w:noProof/>
                <w:webHidden/>
              </w:rPr>
              <w:fldChar w:fldCharType="end"/>
            </w:r>
          </w:hyperlink>
        </w:p>
        <w:p w14:paraId="1FC4C87F" w14:textId="2D05DA55" w:rsidR="004A5A33" w:rsidRDefault="004A5A33">
          <w:pPr>
            <w:pStyle w:val="TOC2"/>
            <w:tabs>
              <w:tab w:val="right" w:leader="dot" w:pos="8296"/>
            </w:tabs>
            <w:rPr>
              <w:rFonts w:cstheme="minorBidi" w:hint="eastAsia"/>
              <w:noProof/>
              <w:kern w:val="2"/>
              <w:szCs w:val="24"/>
              <w14:ligatures w14:val="standardContextual"/>
            </w:rPr>
          </w:pPr>
          <w:hyperlink w:anchor="_Toc228913837" w:history="1">
            <w:r w:rsidRPr="007D7CDF">
              <w:rPr>
                <w:rStyle w:val="af8"/>
                <w:rFonts w:hint="eastAsia"/>
                <w:noProof/>
              </w:rPr>
              <w:t>3.5 Benchmarking against the London Smart Meter Dataset Studies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_Toc228913837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13</w:t>
            </w:r>
            <w:r>
              <w:rPr>
                <w:rFonts w:hint="eastAsia"/>
                <w:noProof/>
                <w:webHidden/>
              </w:rPr>
              <w:fldChar w:fldCharType="end"/>
            </w:r>
          </w:hyperlink>
        </w:p>
        <w:p w14:paraId="5B4C6662" w14:textId="0CDB3F37" w:rsidR="004A5A33" w:rsidRDefault="004A5A33">
          <w:pPr>
            <w:pStyle w:val="TOC3"/>
            <w:tabs>
              <w:tab w:val="right" w:leader="dot" w:pos="8296"/>
            </w:tabs>
            <w:rPr>
              <w:rFonts w:cstheme="minorBidi" w:hint="eastAsia"/>
              <w:noProof/>
              <w:kern w:val="2"/>
              <w:szCs w:val="24"/>
              <w14:ligatures w14:val="standardContextual"/>
            </w:rPr>
          </w:pPr>
          <w:hyperlink w:anchor="_Toc228913838" w:history="1">
            <w:r w:rsidRPr="007D7CDF">
              <w:rPr>
                <w:rStyle w:val="af8"/>
                <w:rFonts w:hint="eastAsia"/>
                <w:noProof/>
              </w:rPr>
              <w:t>3.5.1 The Baseline of Recurrent Architectures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_Toc228913838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13</w:t>
            </w:r>
            <w:r>
              <w:rPr>
                <w:rFonts w:hint="eastAsia"/>
                <w:noProof/>
                <w:webHidden/>
              </w:rPr>
              <w:fldChar w:fldCharType="end"/>
            </w:r>
          </w:hyperlink>
        </w:p>
        <w:p w14:paraId="1D00AAED" w14:textId="04B717B7" w:rsidR="004A5A33" w:rsidRDefault="004A5A33">
          <w:pPr>
            <w:pStyle w:val="TOC3"/>
            <w:tabs>
              <w:tab w:val="right" w:leader="dot" w:pos="8296"/>
            </w:tabs>
            <w:rPr>
              <w:rFonts w:cstheme="minorBidi" w:hint="eastAsia"/>
              <w:noProof/>
              <w:kern w:val="2"/>
              <w:szCs w:val="24"/>
              <w14:ligatures w14:val="standardContextual"/>
            </w:rPr>
          </w:pPr>
          <w:hyperlink w:anchor="_Toc228913839" w:history="1">
            <w:r w:rsidRPr="007D7CDF">
              <w:rPr>
                <w:rStyle w:val="af8"/>
                <w:rFonts w:hint="eastAsia"/>
                <w:noProof/>
              </w:rPr>
              <w:t>3.5.2 The Application of Transformers in STLF</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_Toc228913839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13</w:t>
            </w:r>
            <w:r>
              <w:rPr>
                <w:rFonts w:hint="eastAsia"/>
                <w:noProof/>
                <w:webHidden/>
              </w:rPr>
              <w:fldChar w:fldCharType="end"/>
            </w:r>
          </w:hyperlink>
        </w:p>
        <w:p w14:paraId="3DA9FA19" w14:textId="73E77405" w:rsidR="004A5A33" w:rsidRDefault="004A5A33">
          <w:pPr>
            <w:pStyle w:val="TOC3"/>
            <w:tabs>
              <w:tab w:val="right" w:leader="dot" w:pos="8296"/>
            </w:tabs>
            <w:rPr>
              <w:rFonts w:cstheme="minorBidi" w:hint="eastAsia"/>
              <w:noProof/>
              <w:kern w:val="2"/>
              <w:szCs w:val="24"/>
              <w14:ligatures w14:val="standardContextual"/>
            </w:rPr>
          </w:pPr>
          <w:hyperlink w:anchor="_Toc228913840" w:history="1">
            <w:r w:rsidRPr="007D7CDF">
              <w:rPr>
                <w:rStyle w:val="af8"/>
                <w:rFonts w:hint="eastAsia"/>
                <w:noProof/>
              </w:rPr>
              <w:t>3.5.3 Knowledge Migration and My Distinct Contribution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_Toc228913840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14</w:t>
            </w:r>
            <w:r>
              <w:rPr>
                <w:rFonts w:hint="eastAsia"/>
                <w:noProof/>
                <w:webHidden/>
              </w:rPr>
              <w:fldChar w:fldCharType="end"/>
            </w:r>
          </w:hyperlink>
        </w:p>
        <w:p w14:paraId="3CEC6D2B" w14:textId="672F6275" w:rsidR="004A5A33" w:rsidRDefault="004A5A33">
          <w:pPr>
            <w:pStyle w:val="TOC2"/>
            <w:tabs>
              <w:tab w:val="right" w:leader="dot" w:pos="8296"/>
            </w:tabs>
            <w:rPr>
              <w:rFonts w:cstheme="minorBidi" w:hint="eastAsia"/>
              <w:noProof/>
              <w:kern w:val="2"/>
              <w:szCs w:val="24"/>
              <w14:ligatures w14:val="standardContextual"/>
            </w:rPr>
          </w:pPr>
          <w:hyperlink w:anchor="_Toc228913841" w:history="1">
            <w:r w:rsidRPr="007D7CDF">
              <w:rPr>
                <w:rStyle w:val="af8"/>
                <w:rFonts w:hint="eastAsia"/>
                <w:noProof/>
              </w:rPr>
              <w:t>3.6 Literature Comparison Matrix</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_Toc228913841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14</w:t>
            </w:r>
            <w:r>
              <w:rPr>
                <w:rFonts w:hint="eastAsia"/>
                <w:noProof/>
                <w:webHidden/>
              </w:rPr>
              <w:fldChar w:fldCharType="end"/>
            </w:r>
          </w:hyperlink>
        </w:p>
        <w:p w14:paraId="5524ED87" w14:textId="18A48675" w:rsidR="004A5A33" w:rsidRDefault="004A5A33">
          <w:pPr>
            <w:pStyle w:val="TOC1"/>
            <w:tabs>
              <w:tab w:val="right" w:leader="dot" w:pos="8296"/>
            </w:tabs>
            <w:rPr>
              <w:rFonts w:cstheme="minorBidi" w:hint="eastAsia"/>
              <w:noProof/>
              <w:kern w:val="2"/>
              <w:szCs w:val="24"/>
              <w14:ligatures w14:val="standardContextual"/>
            </w:rPr>
          </w:pPr>
          <w:hyperlink w:anchor="_Toc228913842" w:history="1">
            <w:r w:rsidRPr="007D7CDF">
              <w:rPr>
                <w:rStyle w:val="af8"/>
                <w:rFonts w:hint="eastAsia"/>
                <w:noProof/>
              </w:rPr>
              <w:t>4. Methodology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_Toc228913842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16</w:t>
            </w:r>
            <w:r>
              <w:rPr>
                <w:rFonts w:hint="eastAsia"/>
                <w:noProof/>
                <w:webHidden/>
              </w:rPr>
              <w:fldChar w:fldCharType="end"/>
            </w:r>
          </w:hyperlink>
        </w:p>
        <w:p w14:paraId="04B924E5" w14:textId="3E91D6C2" w:rsidR="004A5A33" w:rsidRDefault="004A5A33">
          <w:pPr>
            <w:pStyle w:val="TOC2"/>
            <w:tabs>
              <w:tab w:val="right" w:leader="dot" w:pos="8296"/>
            </w:tabs>
            <w:rPr>
              <w:rFonts w:cstheme="minorBidi" w:hint="eastAsia"/>
              <w:noProof/>
              <w:kern w:val="2"/>
              <w:szCs w:val="24"/>
              <w14:ligatures w14:val="standardContextual"/>
            </w:rPr>
          </w:pPr>
          <w:hyperlink w:anchor="_Toc228913843" w:history="1">
            <w:r w:rsidRPr="007D7CDF">
              <w:rPr>
                <w:rStyle w:val="af8"/>
                <w:rFonts w:hint="eastAsia"/>
                <w:noProof/>
              </w:rPr>
              <w:t>4.1 Data Engineering and Theoretical Preprocessing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_Toc228913843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16</w:t>
            </w:r>
            <w:r>
              <w:rPr>
                <w:rFonts w:hint="eastAsia"/>
                <w:noProof/>
                <w:webHidden/>
              </w:rPr>
              <w:fldChar w:fldCharType="end"/>
            </w:r>
          </w:hyperlink>
        </w:p>
        <w:p w14:paraId="4DC9184B" w14:textId="26D242FF" w:rsidR="004A5A33" w:rsidRDefault="004A5A33">
          <w:pPr>
            <w:pStyle w:val="TOC3"/>
            <w:tabs>
              <w:tab w:val="right" w:leader="dot" w:pos="8296"/>
            </w:tabs>
            <w:rPr>
              <w:rFonts w:cstheme="minorBidi" w:hint="eastAsia"/>
              <w:noProof/>
              <w:kern w:val="2"/>
              <w:szCs w:val="24"/>
              <w14:ligatures w14:val="standardContextual"/>
            </w:rPr>
          </w:pPr>
          <w:hyperlink w:anchor="_Toc228913844" w:history="1">
            <w:r w:rsidRPr="007D7CDF">
              <w:rPr>
                <w:rStyle w:val="af8"/>
                <w:rFonts w:hint="eastAsia"/>
                <w:noProof/>
              </w:rPr>
              <w:t>4.1.1 Data Source and Granularity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_Toc228913844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16</w:t>
            </w:r>
            <w:r>
              <w:rPr>
                <w:rFonts w:hint="eastAsia"/>
                <w:noProof/>
                <w:webHidden/>
              </w:rPr>
              <w:fldChar w:fldCharType="end"/>
            </w:r>
          </w:hyperlink>
        </w:p>
        <w:p w14:paraId="36B5CA71" w14:textId="0423C446" w:rsidR="004A5A33" w:rsidRDefault="004A5A33">
          <w:pPr>
            <w:pStyle w:val="TOC3"/>
            <w:tabs>
              <w:tab w:val="right" w:leader="dot" w:pos="8296"/>
            </w:tabs>
            <w:rPr>
              <w:rFonts w:cstheme="minorBidi" w:hint="eastAsia"/>
              <w:noProof/>
              <w:kern w:val="2"/>
              <w:szCs w:val="24"/>
              <w14:ligatures w14:val="standardContextual"/>
            </w:rPr>
          </w:pPr>
          <w:hyperlink w:anchor="_Toc228913845" w:history="1">
            <w:r w:rsidRPr="007D7CDF">
              <w:rPr>
                <w:rStyle w:val="af8"/>
                <w:rFonts w:hint="eastAsia"/>
                <w:noProof/>
              </w:rPr>
              <w:t>4.1.2 Handling Missing Data and Linear Interpolation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_Toc228913845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16</w:t>
            </w:r>
            <w:r>
              <w:rPr>
                <w:rFonts w:hint="eastAsia"/>
                <w:noProof/>
                <w:webHidden/>
              </w:rPr>
              <w:fldChar w:fldCharType="end"/>
            </w:r>
          </w:hyperlink>
        </w:p>
        <w:p w14:paraId="772418AE" w14:textId="46C172BF" w:rsidR="004A5A33" w:rsidRDefault="004A5A33">
          <w:pPr>
            <w:pStyle w:val="TOC3"/>
            <w:tabs>
              <w:tab w:val="right" w:leader="dot" w:pos="8296"/>
            </w:tabs>
            <w:rPr>
              <w:rFonts w:cstheme="minorBidi" w:hint="eastAsia"/>
              <w:noProof/>
              <w:kern w:val="2"/>
              <w:szCs w:val="24"/>
              <w14:ligatures w14:val="standardContextual"/>
            </w:rPr>
          </w:pPr>
          <w:hyperlink w:anchor="_Toc228913846" w:history="1">
            <w:r w:rsidRPr="007D7CDF">
              <w:rPr>
                <w:rStyle w:val="af8"/>
                <w:rFonts w:hint="eastAsia"/>
                <w:noProof/>
              </w:rPr>
              <w:t>4.1.3 Theoretical Impact of Z-score Normalization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_Toc228913846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17</w:t>
            </w:r>
            <w:r>
              <w:rPr>
                <w:rFonts w:hint="eastAsia"/>
                <w:noProof/>
                <w:webHidden/>
              </w:rPr>
              <w:fldChar w:fldCharType="end"/>
            </w:r>
          </w:hyperlink>
        </w:p>
        <w:p w14:paraId="3ED3BDED" w14:textId="0FDDE616" w:rsidR="004A5A33" w:rsidRDefault="004A5A33">
          <w:pPr>
            <w:pStyle w:val="TOC3"/>
            <w:tabs>
              <w:tab w:val="right" w:leader="dot" w:pos="8296"/>
            </w:tabs>
            <w:rPr>
              <w:rFonts w:cstheme="minorBidi" w:hint="eastAsia"/>
              <w:noProof/>
              <w:kern w:val="2"/>
              <w:szCs w:val="24"/>
              <w14:ligatures w14:val="standardContextual"/>
            </w:rPr>
          </w:pPr>
          <w:hyperlink w:anchor="_Toc228913847" w:history="1">
            <w:r w:rsidRPr="007D7CDF">
              <w:rPr>
                <w:rStyle w:val="af8"/>
                <w:rFonts w:hint="eastAsia"/>
                <w:noProof/>
              </w:rPr>
              <w:t>4.1.4 Temporal Framing via Sliding Window</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_Toc228913847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17</w:t>
            </w:r>
            <w:r>
              <w:rPr>
                <w:rFonts w:hint="eastAsia"/>
                <w:noProof/>
                <w:webHidden/>
              </w:rPr>
              <w:fldChar w:fldCharType="end"/>
            </w:r>
          </w:hyperlink>
        </w:p>
        <w:p w14:paraId="5C2A0A88" w14:textId="359B9A8E" w:rsidR="004A5A33" w:rsidRDefault="004A5A33">
          <w:pPr>
            <w:pStyle w:val="TOC3"/>
            <w:tabs>
              <w:tab w:val="right" w:leader="dot" w:pos="8296"/>
            </w:tabs>
            <w:rPr>
              <w:rFonts w:cstheme="minorBidi" w:hint="eastAsia"/>
              <w:noProof/>
              <w:kern w:val="2"/>
              <w:szCs w:val="24"/>
              <w14:ligatures w14:val="standardContextual"/>
            </w:rPr>
          </w:pPr>
          <w:hyperlink w:anchor="_Toc228913848" w:history="1">
            <w:r w:rsidRPr="007D7CDF">
              <w:rPr>
                <w:rStyle w:val="af8"/>
                <w:rFonts w:hint="eastAsia"/>
                <w:noProof/>
              </w:rPr>
              <w:t>4.1.5 Multivariate Expansion: Integration of Temporal Covariates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_Toc228913848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18</w:t>
            </w:r>
            <w:r>
              <w:rPr>
                <w:rFonts w:hint="eastAsia"/>
                <w:noProof/>
                <w:webHidden/>
              </w:rPr>
              <w:fldChar w:fldCharType="end"/>
            </w:r>
          </w:hyperlink>
        </w:p>
        <w:p w14:paraId="53E2F0A7" w14:textId="636FA37A" w:rsidR="004A5A33" w:rsidRDefault="004A5A33">
          <w:pPr>
            <w:pStyle w:val="TOC2"/>
            <w:tabs>
              <w:tab w:val="right" w:leader="dot" w:pos="8296"/>
            </w:tabs>
            <w:rPr>
              <w:rFonts w:cstheme="minorBidi" w:hint="eastAsia"/>
              <w:noProof/>
              <w:kern w:val="2"/>
              <w:szCs w:val="24"/>
              <w14:ligatures w14:val="standardContextual"/>
            </w:rPr>
          </w:pPr>
          <w:hyperlink w:anchor="_Toc228913849" w:history="1">
            <w:r w:rsidRPr="007D7CDF">
              <w:rPr>
                <w:rStyle w:val="af8"/>
                <w:rFonts w:hint="eastAsia"/>
                <w:noProof/>
              </w:rPr>
              <w:t>4.2 The Mathematical Architecture of LSTM Networks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_Toc228913849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18</w:t>
            </w:r>
            <w:r>
              <w:rPr>
                <w:rFonts w:hint="eastAsia"/>
                <w:noProof/>
                <w:webHidden/>
              </w:rPr>
              <w:fldChar w:fldCharType="end"/>
            </w:r>
          </w:hyperlink>
        </w:p>
        <w:p w14:paraId="44370A10" w14:textId="32E7637A" w:rsidR="004A5A33" w:rsidRDefault="004A5A33">
          <w:pPr>
            <w:pStyle w:val="TOC3"/>
            <w:tabs>
              <w:tab w:val="right" w:leader="dot" w:pos="8296"/>
            </w:tabs>
            <w:rPr>
              <w:rFonts w:cstheme="minorBidi" w:hint="eastAsia"/>
              <w:noProof/>
              <w:kern w:val="2"/>
              <w:szCs w:val="24"/>
              <w14:ligatures w14:val="standardContextual"/>
            </w:rPr>
          </w:pPr>
          <w:hyperlink w:anchor="_Toc228913850" w:history="1">
            <w:r w:rsidRPr="007D7CDF">
              <w:rPr>
                <w:rStyle w:val="af8"/>
                <w:rFonts w:hint="eastAsia"/>
                <w:noProof/>
              </w:rPr>
              <w:t>4.2.1 The Core Mechanism: The Cell State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_Toc228913850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18</w:t>
            </w:r>
            <w:r>
              <w:rPr>
                <w:rFonts w:hint="eastAsia"/>
                <w:noProof/>
                <w:webHidden/>
              </w:rPr>
              <w:fldChar w:fldCharType="end"/>
            </w:r>
          </w:hyperlink>
        </w:p>
        <w:p w14:paraId="0E89E806" w14:textId="3B662042" w:rsidR="004A5A33" w:rsidRDefault="004A5A33">
          <w:pPr>
            <w:pStyle w:val="TOC3"/>
            <w:tabs>
              <w:tab w:val="right" w:leader="dot" w:pos="8296"/>
            </w:tabs>
            <w:rPr>
              <w:rFonts w:cstheme="minorBidi" w:hint="eastAsia"/>
              <w:noProof/>
              <w:kern w:val="2"/>
              <w:szCs w:val="24"/>
              <w14:ligatures w14:val="standardContextual"/>
            </w:rPr>
          </w:pPr>
          <w:hyperlink w:anchor="_Toc228913851" w:history="1">
            <w:r w:rsidRPr="007D7CDF">
              <w:rPr>
                <w:rStyle w:val="af8"/>
                <w:rFonts w:hint="eastAsia"/>
                <w:noProof/>
              </w:rPr>
              <w:t>4.2.2 The Forget Gate: Deciding What to Discard</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_Toc228913851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19</w:t>
            </w:r>
            <w:r>
              <w:rPr>
                <w:rFonts w:hint="eastAsia"/>
                <w:noProof/>
                <w:webHidden/>
              </w:rPr>
              <w:fldChar w:fldCharType="end"/>
            </w:r>
          </w:hyperlink>
        </w:p>
        <w:p w14:paraId="5B96EA59" w14:textId="3C5460B3" w:rsidR="004A5A33" w:rsidRDefault="004A5A33">
          <w:pPr>
            <w:pStyle w:val="TOC3"/>
            <w:tabs>
              <w:tab w:val="right" w:leader="dot" w:pos="8296"/>
            </w:tabs>
            <w:rPr>
              <w:rFonts w:cstheme="minorBidi" w:hint="eastAsia"/>
              <w:noProof/>
              <w:kern w:val="2"/>
              <w:szCs w:val="24"/>
              <w14:ligatures w14:val="standardContextual"/>
            </w:rPr>
          </w:pPr>
          <w:hyperlink w:anchor="_Toc228913852" w:history="1">
            <w:r w:rsidRPr="007D7CDF">
              <w:rPr>
                <w:rStyle w:val="af8"/>
                <w:rFonts w:hint="eastAsia"/>
                <w:noProof/>
              </w:rPr>
              <w:t>4.2.3 The Input Gate: Knowledge Synthesis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_Toc228913852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19</w:t>
            </w:r>
            <w:r>
              <w:rPr>
                <w:rFonts w:hint="eastAsia"/>
                <w:noProof/>
                <w:webHidden/>
              </w:rPr>
              <w:fldChar w:fldCharType="end"/>
            </w:r>
          </w:hyperlink>
        </w:p>
        <w:p w14:paraId="47A92CB3" w14:textId="25DA2B57" w:rsidR="004A5A33" w:rsidRDefault="004A5A33">
          <w:pPr>
            <w:pStyle w:val="TOC3"/>
            <w:tabs>
              <w:tab w:val="right" w:leader="dot" w:pos="8296"/>
            </w:tabs>
            <w:rPr>
              <w:rFonts w:cstheme="minorBidi" w:hint="eastAsia"/>
              <w:noProof/>
              <w:kern w:val="2"/>
              <w:szCs w:val="24"/>
              <w14:ligatures w14:val="standardContextual"/>
            </w:rPr>
          </w:pPr>
          <w:hyperlink w:anchor="_Toc228913853" w:history="1">
            <w:r w:rsidRPr="007D7CDF">
              <w:rPr>
                <w:rStyle w:val="af8"/>
                <w:rFonts w:hint="eastAsia"/>
                <w:noProof/>
              </w:rPr>
              <w:t>4.2.4 The Output Gate: Hidden State Generation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_Toc228913853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20</w:t>
            </w:r>
            <w:r>
              <w:rPr>
                <w:rFonts w:hint="eastAsia"/>
                <w:noProof/>
                <w:webHidden/>
              </w:rPr>
              <w:fldChar w:fldCharType="end"/>
            </w:r>
          </w:hyperlink>
        </w:p>
        <w:p w14:paraId="4024BD19" w14:textId="259656E3" w:rsidR="004A5A33" w:rsidRDefault="004A5A33">
          <w:pPr>
            <w:pStyle w:val="TOC2"/>
            <w:tabs>
              <w:tab w:val="right" w:leader="dot" w:pos="8296"/>
            </w:tabs>
            <w:rPr>
              <w:rFonts w:cstheme="minorBidi" w:hint="eastAsia"/>
              <w:noProof/>
              <w:kern w:val="2"/>
              <w:szCs w:val="24"/>
              <w14:ligatures w14:val="standardContextual"/>
            </w:rPr>
          </w:pPr>
          <w:hyperlink w:anchor="_Toc228913854" w:history="1">
            <w:r w:rsidRPr="007D7CDF">
              <w:rPr>
                <w:rStyle w:val="af8"/>
                <w:rFonts w:hint="eastAsia"/>
                <w:noProof/>
              </w:rPr>
              <w:t>4.3 The Transformer Architecture for Sequence Modeling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_Toc228913854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20</w:t>
            </w:r>
            <w:r>
              <w:rPr>
                <w:rFonts w:hint="eastAsia"/>
                <w:noProof/>
                <w:webHidden/>
              </w:rPr>
              <w:fldChar w:fldCharType="end"/>
            </w:r>
          </w:hyperlink>
        </w:p>
        <w:p w14:paraId="5C773B67" w14:textId="18BD837B" w:rsidR="004A5A33" w:rsidRDefault="004A5A33">
          <w:pPr>
            <w:pStyle w:val="TOC2"/>
            <w:tabs>
              <w:tab w:val="right" w:leader="dot" w:pos="8296"/>
            </w:tabs>
            <w:rPr>
              <w:rFonts w:cstheme="minorBidi" w:hint="eastAsia"/>
              <w:noProof/>
              <w:kern w:val="2"/>
              <w:szCs w:val="24"/>
              <w14:ligatures w14:val="standardContextual"/>
            </w:rPr>
          </w:pPr>
          <w:hyperlink w:anchor="_Toc228913855" w:history="1">
            <w:r w:rsidRPr="007D7CDF">
              <w:rPr>
                <w:rStyle w:val="af8"/>
                <w:rFonts w:hint="eastAsia"/>
                <w:noProof/>
              </w:rPr>
              <w:t>4.4 Experimental Framework and Comparative Logic</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_Toc228913855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21</w:t>
            </w:r>
            <w:r>
              <w:rPr>
                <w:rFonts w:hint="eastAsia"/>
                <w:noProof/>
                <w:webHidden/>
              </w:rPr>
              <w:fldChar w:fldCharType="end"/>
            </w:r>
          </w:hyperlink>
        </w:p>
        <w:p w14:paraId="652EB7A8" w14:textId="26E8B777" w:rsidR="004A5A33" w:rsidRDefault="004A5A33">
          <w:pPr>
            <w:pStyle w:val="TOC1"/>
            <w:tabs>
              <w:tab w:val="right" w:leader="dot" w:pos="8296"/>
            </w:tabs>
            <w:rPr>
              <w:rFonts w:cstheme="minorBidi" w:hint="eastAsia"/>
              <w:noProof/>
              <w:kern w:val="2"/>
              <w:szCs w:val="24"/>
              <w14:ligatures w14:val="standardContextual"/>
            </w:rPr>
          </w:pPr>
          <w:hyperlink w:anchor="_Toc228913856" w:history="1">
            <w:r w:rsidRPr="007D7CDF">
              <w:rPr>
                <w:rStyle w:val="af8"/>
                <w:rFonts w:hint="eastAsia"/>
                <w:noProof/>
              </w:rPr>
              <w:t>5. System Implementation and Computational Framework</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_Toc228913856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21</w:t>
            </w:r>
            <w:r>
              <w:rPr>
                <w:rFonts w:hint="eastAsia"/>
                <w:noProof/>
                <w:webHidden/>
              </w:rPr>
              <w:fldChar w:fldCharType="end"/>
            </w:r>
          </w:hyperlink>
        </w:p>
        <w:p w14:paraId="4C488EAF" w14:textId="67440EBF" w:rsidR="004A5A33" w:rsidRDefault="004A5A33">
          <w:pPr>
            <w:pStyle w:val="TOC2"/>
            <w:tabs>
              <w:tab w:val="right" w:leader="dot" w:pos="8296"/>
            </w:tabs>
            <w:rPr>
              <w:rFonts w:cstheme="minorBidi" w:hint="eastAsia"/>
              <w:noProof/>
              <w:kern w:val="2"/>
              <w:szCs w:val="24"/>
              <w14:ligatures w14:val="standardContextual"/>
            </w:rPr>
          </w:pPr>
          <w:hyperlink w:anchor="_Toc228913857" w:history="1">
            <w:r w:rsidRPr="007D7CDF">
              <w:rPr>
                <w:rStyle w:val="af8"/>
                <w:rFonts w:hint="eastAsia"/>
                <w:noProof/>
              </w:rPr>
              <w:t>5.1 Engineering Philosophy and Modular Architecture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_Toc228913857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21</w:t>
            </w:r>
            <w:r>
              <w:rPr>
                <w:rFonts w:hint="eastAsia"/>
                <w:noProof/>
                <w:webHidden/>
              </w:rPr>
              <w:fldChar w:fldCharType="end"/>
            </w:r>
          </w:hyperlink>
        </w:p>
        <w:p w14:paraId="1696A392" w14:textId="66547091" w:rsidR="004A5A33" w:rsidRDefault="004A5A33">
          <w:pPr>
            <w:pStyle w:val="TOC3"/>
            <w:tabs>
              <w:tab w:val="right" w:leader="dot" w:pos="8296"/>
            </w:tabs>
            <w:rPr>
              <w:rFonts w:cstheme="minorBidi" w:hint="eastAsia"/>
              <w:noProof/>
              <w:kern w:val="2"/>
              <w:szCs w:val="24"/>
              <w14:ligatures w14:val="standardContextual"/>
            </w:rPr>
          </w:pPr>
          <w:hyperlink w:anchor="_Toc228913858" w:history="1">
            <w:r w:rsidRPr="007D7CDF">
              <w:rPr>
                <w:rStyle w:val="af8"/>
                <w:rFonts w:hint="eastAsia"/>
                <w:noProof/>
              </w:rPr>
              <w:t>5.1.1 Technological Stack and Rationale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_Toc228913858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22</w:t>
            </w:r>
            <w:r>
              <w:rPr>
                <w:rFonts w:hint="eastAsia"/>
                <w:noProof/>
                <w:webHidden/>
              </w:rPr>
              <w:fldChar w:fldCharType="end"/>
            </w:r>
          </w:hyperlink>
        </w:p>
        <w:p w14:paraId="2C0DE345" w14:textId="5B9DDFD8" w:rsidR="004A5A33" w:rsidRDefault="004A5A33">
          <w:pPr>
            <w:pStyle w:val="TOC2"/>
            <w:tabs>
              <w:tab w:val="right" w:leader="dot" w:pos="8296"/>
            </w:tabs>
            <w:rPr>
              <w:rFonts w:cstheme="minorBidi" w:hint="eastAsia"/>
              <w:noProof/>
              <w:kern w:val="2"/>
              <w:szCs w:val="24"/>
              <w14:ligatures w14:val="standardContextual"/>
            </w:rPr>
          </w:pPr>
          <w:hyperlink w:anchor="_Toc228913859" w:history="1">
            <w:r w:rsidRPr="007D7CDF">
              <w:rPr>
                <w:rStyle w:val="af8"/>
                <w:rFonts w:hint="eastAsia"/>
                <w:noProof/>
              </w:rPr>
              <w:t>5.2 Implementation of the Data Engineering Pipeline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_Toc228913859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22</w:t>
            </w:r>
            <w:r>
              <w:rPr>
                <w:rFonts w:hint="eastAsia"/>
                <w:noProof/>
                <w:webHidden/>
              </w:rPr>
              <w:fldChar w:fldCharType="end"/>
            </w:r>
          </w:hyperlink>
        </w:p>
        <w:p w14:paraId="2BD48FA1" w14:textId="0E3399F6" w:rsidR="004A5A33" w:rsidRDefault="004A5A33">
          <w:pPr>
            <w:pStyle w:val="TOC3"/>
            <w:tabs>
              <w:tab w:val="right" w:leader="dot" w:pos="8296"/>
            </w:tabs>
            <w:rPr>
              <w:rFonts w:cstheme="minorBidi" w:hint="eastAsia"/>
              <w:noProof/>
              <w:kern w:val="2"/>
              <w:szCs w:val="24"/>
              <w14:ligatures w14:val="standardContextual"/>
            </w:rPr>
          </w:pPr>
          <w:hyperlink w:anchor="_Toc228913860" w:history="1">
            <w:r w:rsidRPr="007D7CDF">
              <w:rPr>
                <w:rStyle w:val="af8"/>
                <w:rFonts w:hint="eastAsia"/>
                <w:noProof/>
              </w:rPr>
              <w:t>5.2.1 Instance Normalization and Preprocessing Logic</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_Toc228913860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22</w:t>
            </w:r>
            <w:r>
              <w:rPr>
                <w:rFonts w:hint="eastAsia"/>
                <w:noProof/>
                <w:webHidden/>
              </w:rPr>
              <w:fldChar w:fldCharType="end"/>
            </w:r>
          </w:hyperlink>
        </w:p>
        <w:p w14:paraId="1496EADC" w14:textId="3DCFD817" w:rsidR="004A5A33" w:rsidRDefault="004A5A33">
          <w:pPr>
            <w:pStyle w:val="TOC3"/>
            <w:tabs>
              <w:tab w:val="right" w:leader="dot" w:pos="8296"/>
            </w:tabs>
            <w:rPr>
              <w:rFonts w:cstheme="minorBidi" w:hint="eastAsia"/>
              <w:noProof/>
              <w:kern w:val="2"/>
              <w:szCs w:val="24"/>
              <w14:ligatures w14:val="standardContextual"/>
            </w:rPr>
          </w:pPr>
          <w:hyperlink w:anchor="_Toc228913861" w:history="1">
            <w:r w:rsidRPr="007D7CDF">
              <w:rPr>
                <w:rStyle w:val="af8"/>
                <w:rFonts w:hint="eastAsia"/>
                <w:noProof/>
              </w:rPr>
              <w:t>5.2.2 The SmartMeterDataset Class and Sliding Window Mechanism</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_Toc228913861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22</w:t>
            </w:r>
            <w:r>
              <w:rPr>
                <w:rFonts w:hint="eastAsia"/>
                <w:noProof/>
                <w:webHidden/>
              </w:rPr>
              <w:fldChar w:fldCharType="end"/>
            </w:r>
          </w:hyperlink>
        </w:p>
        <w:p w14:paraId="7CBCA574" w14:textId="7AE2A702" w:rsidR="004A5A33" w:rsidRDefault="004A5A33">
          <w:pPr>
            <w:pStyle w:val="TOC3"/>
            <w:tabs>
              <w:tab w:val="right" w:leader="dot" w:pos="8296"/>
            </w:tabs>
            <w:rPr>
              <w:rFonts w:cstheme="minorBidi" w:hint="eastAsia"/>
              <w:noProof/>
              <w:kern w:val="2"/>
              <w:szCs w:val="24"/>
              <w14:ligatures w14:val="standardContextual"/>
            </w:rPr>
          </w:pPr>
          <w:hyperlink w:anchor="_Toc228913862" w:history="1">
            <w:r w:rsidRPr="007D7CDF">
              <w:rPr>
                <w:rStyle w:val="af8"/>
                <w:rFonts w:hint="eastAsia"/>
                <w:noProof/>
              </w:rPr>
              <w:t>5.2.3 Implementation of Temporal Feature Fusion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_Toc228913862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23</w:t>
            </w:r>
            <w:r>
              <w:rPr>
                <w:rFonts w:hint="eastAsia"/>
                <w:noProof/>
                <w:webHidden/>
              </w:rPr>
              <w:fldChar w:fldCharType="end"/>
            </w:r>
          </w:hyperlink>
        </w:p>
        <w:p w14:paraId="6C24416F" w14:textId="53BDE980" w:rsidR="004A5A33" w:rsidRDefault="004A5A33">
          <w:pPr>
            <w:pStyle w:val="TOC2"/>
            <w:tabs>
              <w:tab w:val="right" w:leader="dot" w:pos="8296"/>
            </w:tabs>
            <w:rPr>
              <w:rFonts w:cstheme="minorBidi" w:hint="eastAsia"/>
              <w:noProof/>
              <w:kern w:val="2"/>
              <w:szCs w:val="24"/>
              <w14:ligatures w14:val="standardContextual"/>
            </w:rPr>
          </w:pPr>
          <w:hyperlink w:anchor="_Toc228913863" w:history="1">
            <w:r w:rsidRPr="007D7CDF">
              <w:rPr>
                <w:rStyle w:val="af8"/>
                <w:rFonts w:hint="eastAsia"/>
                <w:noProof/>
              </w:rPr>
              <w:t>5.3 Automated Optimization and Search Space Design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_Toc228913863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23</w:t>
            </w:r>
            <w:r>
              <w:rPr>
                <w:rFonts w:hint="eastAsia"/>
                <w:noProof/>
                <w:webHidden/>
              </w:rPr>
              <w:fldChar w:fldCharType="end"/>
            </w:r>
          </w:hyperlink>
        </w:p>
        <w:p w14:paraId="45EF278D" w14:textId="01CEA2A3" w:rsidR="004A5A33" w:rsidRDefault="004A5A33">
          <w:pPr>
            <w:pStyle w:val="TOC3"/>
            <w:tabs>
              <w:tab w:val="right" w:leader="dot" w:pos="8296"/>
            </w:tabs>
            <w:rPr>
              <w:rFonts w:cstheme="minorBidi" w:hint="eastAsia"/>
              <w:noProof/>
              <w:kern w:val="2"/>
              <w:szCs w:val="24"/>
              <w14:ligatures w14:val="standardContextual"/>
            </w:rPr>
          </w:pPr>
          <w:hyperlink w:anchor="_Toc228913864" w:history="1">
            <w:r w:rsidRPr="007D7CDF">
              <w:rPr>
                <w:rStyle w:val="af8"/>
                <w:rFonts w:hint="eastAsia"/>
                <w:noProof/>
              </w:rPr>
              <w:t>5.3.1 Optuna TPE and SQLite Integration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_Toc228913864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23</w:t>
            </w:r>
            <w:r>
              <w:rPr>
                <w:rFonts w:hint="eastAsia"/>
                <w:noProof/>
                <w:webHidden/>
              </w:rPr>
              <w:fldChar w:fldCharType="end"/>
            </w:r>
          </w:hyperlink>
        </w:p>
        <w:p w14:paraId="02CD192E" w14:textId="50B9CFCB" w:rsidR="004A5A33" w:rsidRDefault="004A5A33">
          <w:pPr>
            <w:pStyle w:val="TOC3"/>
            <w:tabs>
              <w:tab w:val="right" w:leader="dot" w:pos="8296"/>
            </w:tabs>
            <w:rPr>
              <w:rFonts w:cstheme="minorBidi" w:hint="eastAsia"/>
              <w:noProof/>
              <w:kern w:val="2"/>
              <w:szCs w:val="24"/>
              <w14:ligatures w14:val="standardContextual"/>
            </w:rPr>
          </w:pPr>
          <w:hyperlink w:anchor="_Toc228913865" w:history="1">
            <w:r w:rsidRPr="007D7CDF">
              <w:rPr>
                <w:rStyle w:val="af8"/>
                <w:rFonts w:hint="eastAsia"/>
                <w:noProof/>
              </w:rPr>
              <w:t>5.3.2 Search Space and Convergence Strategy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_Toc228913865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23</w:t>
            </w:r>
            <w:r>
              <w:rPr>
                <w:rFonts w:hint="eastAsia"/>
                <w:noProof/>
                <w:webHidden/>
              </w:rPr>
              <w:fldChar w:fldCharType="end"/>
            </w:r>
          </w:hyperlink>
        </w:p>
        <w:p w14:paraId="114B9BBB" w14:textId="693CC83A" w:rsidR="004A5A33" w:rsidRDefault="004A5A33">
          <w:pPr>
            <w:pStyle w:val="TOC3"/>
            <w:tabs>
              <w:tab w:val="right" w:leader="dot" w:pos="8296"/>
            </w:tabs>
            <w:rPr>
              <w:rFonts w:cstheme="minorBidi" w:hint="eastAsia"/>
              <w:noProof/>
              <w:kern w:val="2"/>
              <w:szCs w:val="24"/>
              <w14:ligatures w14:val="standardContextual"/>
            </w:rPr>
          </w:pPr>
          <w:hyperlink w:anchor="_Toc228913866" w:history="1">
            <w:r w:rsidRPr="007D7CDF">
              <w:rPr>
                <w:rStyle w:val="af8"/>
                <w:rFonts w:hint="eastAsia"/>
                <w:noProof/>
              </w:rPr>
              <w:t>5.3.3 Multi-Architecture Search Space Design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_Toc228913866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24</w:t>
            </w:r>
            <w:r>
              <w:rPr>
                <w:rFonts w:hint="eastAsia"/>
                <w:noProof/>
                <w:webHidden/>
              </w:rPr>
              <w:fldChar w:fldCharType="end"/>
            </w:r>
          </w:hyperlink>
        </w:p>
        <w:p w14:paraId="1CA21A3F" w14:textId="61637253" w:rsidR="004A5A33" w:rsidRDefault="004A5A33">
          <w:pPr>
            <w:pStyle w:val="TOC2"/>
            <w:tabs>
              <w:tab w:val="right" w:leader="dot" w:pos="8296"/>
            </w:tabs>
            <w:rPr>
              <w:rFonts w:cstheme="minorBidi" w:hint="eastAsia"/>
              <w:noProof/>
              <w:kern w:val="2"/>
              <w:szCs w:val="24"/>
              <w14:ligatures w14:val="standardContextual"/>
            </w:rPr>
          </w:pPr>
          <w:hyperlink w:anchor="_Toc228913867" w:history="1">
            <w:r w:rsidRPr="007D7CDF">
              <w:rPr>
                <w:rStyle w:val="af8"/>
                <w:rFonts w:hint="eastAsia"/>
                <w:noProof/>
              </w:rPr>
              <w:t>5.4 Implementation of the Transfer Learning Framework</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_Toc228913867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24</w:t>
            </w:r>
            <w:r>
              <w:rPr>
                <w:rFonts w:hint="eastAsia"/>
                <w:noProof/>
                <w:webHidden/>
              </w:rPr>
              <w:fldChar w:fldCharType="end"/>
            </w:r>
          </w:hyperlink>
        </w:p>
        <w:p w14:paraId="11D5AE0B" w14:textId="291733AA" w:rsidR="004A5A33" w:rsidRDefault="004A5A33">
          <w:pPr>
            <w:pStyle w:val="TOC3"/>
            <w:tabs>
              <w:tab w:val="right" w:leader="dot" w:pos="8296"/>
            </w:tabs>
            <w:rPr>
              <w:rFonts w:cstheme="minorBidi" w:hint="eastAsia"/>
              <w:noProof/>
              <w:kern w:val="2"/>
              <w:szCs w:val="24"/>
              <w14:ligatures w14:val="standardContextual"/>
            </w:rPr>
          </w:pPr>
          <w:hyperlink w:anchor="_Toc228913868" w:history="1">
            <w:r w:rsidRPr="007D7CDF">
              <w:rPr>
                <w:rStyle w:val="af8"/>
                <w:rFonts w:hint="eastAsia"/>
                <w:noProof/>
              </w:rPr>
              <w:t>5.4.1 Programmatic Gradient Masking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_Toc228913868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24</w:t>
            </w:r>
            <w:r>
              <w:rPr>
                <w:rFonts w:hint="eastAsia"/>
                <w:noProof/>
                <w:webHidden/>
              </w:rPr>
              <w:fldChar w:fldCharType="end"/>
            </w:r>
          </w:hyperlink>
        </w:p>
        <w:p w14:paraId="4D829697" w14:textId="17B3431B" w:rsidR="004A5A33" w:rsidRDefault="004A5A33">
          <w:pPr>
            <w:pStyle w:val="TOC3"/>
            <w:tabs>
              <w:tab w:val="right" w:leader="dot" w:pos="8296"/>
            </w:tabs>
            <w:rPr>
              <w:rFonts w:cstheme="minorBidi" w:hint="eastAsia"/>
              <w:noProof/>
              <w:kern w:val="2"/>
              <w:szCs w:val="24"/>
              <w14:ligatures w14:val="standardContextual"/>
            </w:rPr>
          </w:pPr>
          <w:hyperlink w:anchor="_Toc228913869" w:history="1">
            <w:r w:rsidRPr="007D7CDF">
              <w:rPr>
                <w:rStyle w:val="af8"/>
                <w:rFonts w:hint="eastAsia"/>
                <w:noProof/>
              </w:rPr>
              <w:t>5.4.2 Comparative Evaluation and Multi-Strategy Testing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_Toc228913869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24</w:t>
            </w:r>
            <w:r>
              <w:rPr>
                <w:rFonts w:hint="eastAsia"/>
                <w:noProof/>
                <w:webHidden/>
              </w:rPr>
              <w:fldChar w:fldCharType="end"/>
            </w:r>
          </w:hyperlink>
        </w:p>
        <w:p w14:paraId="25D7FA58" w14:textId="5CA9CC9B" w:rsidR="004A5A33" w:rsidRDefault="004A5A33">
          <w:pPr>
            <w:pStyle w:val="TOC2"/>
            <w:tabs>
              <w:tab w:val="right" w:leader="dot" w:pos="8296"/>
            </w:tabs>
            <w:rPr>
              <w:rFonts w:cstheme="minorBidi" w:hint="eastAsia"/>
              <w:noProof/>
              <w:kern w:val="2"/>
              <w:szCs w:val="24"/>
              <w14:ligatures w14:val="standardContextual"/>
            </w:rPr>
          </w:pPr>
          <w:hyperlink w:anchor="_Toc228913870" w:history="1">
            <w:r w:rsidRPr="007D7CDF">
              <w:rPr>
                <w:rStyle w:val="af8"/>
                <w:rFonts w:hint="eastAsia"/>
                <w:noProof/>
              </w:rPr>
              <w:t>5.5 Computational Performance and Metrics Implementation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_Toc228913870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25</w:t>
            </w:r>
            <w:r>
              <w:rPr>
                <w:rFonts w:hint="eastAsia"/>
                <w:noProof/>
                <w:webHidden/>
              </w:rPr>
              <w:fldChar w:fldCharType="end"/>
            </w:r>
          </w:hyperlink>
        </w:p>
        <w:p w14:paraId="69ABD37D" w14:textId="24CD9F90" w:rsidR="004A5A33" w:rsidRDefault="004A5A33">
          <w:pPr>
            <w:pStyle w:val="TOC3"/>
            <w:tabs>
              <w:tab w:val="right" w:leader="dot" w:pos="8296"/>
            </w:tabs>
            <w:rPr>
              <w:rFonts w:cstheme="minorBidi" w:hint="eastAsia"/>
              <w:noProof/>
              <w:kern w:val="2"/>
              <w:szCs w:val="24"/>
              <w14:ligatures w14:val="standardContextual"/>
            </w:rPr>
          </w:pPr>
          <w:hyperlink w:anchor="_Toc228913871" w:history="1">
            <w:r w:rsidRPr="007D7CDF">
              <w:rPr>
                <w:rStyle w:val="af8"/>
                <w:rFonts w:hint="eastAsia"/>
                <w:noProof/>
              </w:rPr>
              <w:t>5.5.1 Robust Metric Calculation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_Toc228913871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25</w:t>
            </w:r>
            <w:r>
              <w:rPr>
                <w:rFonts w:hint="eastAsia"/>
                <w:noProof/>
                <w:webHidden/>
              </w:rPr>
              <w:fldChar w:fldCharType="end"/>
            </w:r>
          </w:hyperlink>
        </w:p>
        <w:p w14:paraId="7FDD5439" w14:textId="648D1B91" w:rsidR="004A5A33" w:rsidRDefault="004A5A33">
          <w:pPr>
            <w:pStyle w:val="TOC3"/>
            <w:tabs>
              <w:tab w:val="right" w:leader="dot" w:pos="8296"/>
            </w:tabs>
            <w:rPr>
              <w:rFonts w:cstheme="minorBidi" w:hint="eastAsia"/>
              <w:noProof/>
              <w:kern w:val="2"/>
              <w:szCs w:val="24"/>
              <w14:ligatures w14:val="standardContextual"/>
            </w:rPr>
          </w:pPr>
          <w:hyperlink w:anchor="_Toc228913872" w:history="1">
            <w:r w:rsidRPr="007D7CDF">
              <w:rPr>
                <w:rStyle w:val="af8"/>
                <w:rFonts w:hint="eastAsia"/>
                <w:noProof/>
              </w:rPr>
              <w:t>5.5.2 Visualization and Result Persistance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_Toc228913872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25</w:t>
            </w:r>
            <w:r>
              <w:rPr>
                <w:rFonts w:hint="eastAsia"/>
                <w:noProof/>
                <w:webHidden/>
              </w:rPr>
              <w:fldChar w:fldCharType="end"/>
            </w:r>
          </w:hyperlink>
        </w:p>
        <w:p w14:paraId="68F50B89" w14:textId="60416F84" w:rsidR="004A5A33" w:rsidRDefault="004A5A33">
          <w:pPr>
            <w:pStyle w:val="TOC3"/>
            <w:tabs>
              <w:tab w:val="right" w:leader="dot" w:pos="8296"/>
            </w:tabs>
            <w:rPr>
              <w:rFonts w:cstheme="minorBidi" w:hint="eastAsia"/>
              <w:noProof/>
              <w:kern w:val="2"/>
              <w:szCs w:val="24"/>
              <w14:ligatures w14:val="standardContextual"/>
            </w:rPr>
          </w:pPr>
          <w:hyperlink w:anchor="_Toc228913873" w:history="1">
            <w:r w:rsidRPr="007D7CDF">
              <w:rPr>
                <w:rStyle w:val="af8"/>
                <w:rFonts w:hint="eastAsia"/>
                <w:noProof/>
              </w:rPr>
              <w:t>5.5.3 Automated Comparative Reporting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_Toc228913873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25</w:t>
            </w:r>
            <w:r>
              <w:rPr>
                <w:rFonts w:hint="eastAsia"/>
                <w:noProof/>
                <w:webHidden/>
              </w:rPr>
              <w:fldChar w:fldCharType="end"/>
            </w:r>
          </w:hyperlink>
        </w:p>
        <w:p w14:paraId="1BC8784A" w14:textId="040D8117" w:rsidR="004A5A33" w:rsidRDefault="004A5A33">
          <w:pPr>
            <w:pStyle w:val="TOC1"/>
            <w:tabs>
              <w:tab w:val="right" w:leader="dot" w:pos="8296"/>
            </w:tabs>
            <w:rPr>
              <w:rFonts w:cstheme="minorBidi" w:hint="eastAsia"/>
              <w:noProof/>
              <w:kern w:val="2"/>
              <w:szCs w:val="24"/>
              <w14:ligatures w14:val="standardContextual"/>
            </w:rPr>
          </w:pPr>
          <w:hyperlink w:anchor="_Toc228913874" w:history="1">
            <w:r w:rsidRPr="007D7CDF">
              <w:rPr>
                <w:rStyle w:val="af8"/>
                <w:rFonts w:hint="eastAsia"/>
                <w:noProof/>
              </w:rPr>
              <w:t>6. Results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_Toc228913874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26</w:t>
            </w:r>
            <w:r>
              <w:rPr>
                <w:rFonts w:hint="eastAsia"/>
                <w:noProof/>
                <w:webHidden/>
              </w:rPr>
              <w:fldChar w:fldCharType="end"/>
            </w:r>
          </w:hyperlink>
        </w:p>
        <w:p w14:paraId="74BB6979" w14:textId="3C22EE42" w:rsidR="004A5A33" w:rsidRDefault="004A5A33">
          <w:pPr>
            <w:pStyle w:val="TOC2"/>
            <w:tabs>
              <w:tab w:val="right" w:leader="dot" w:pos="8296"/>
            </w:tabs>
            <w:rPr>
              <w:rFonts w:cstheme="minorBidi" w:hint="eastAsia"/>
              <w:noProof/>
              <w:kern w:val="2"/>
              <w:szCs w:val="24"/>
              <w14:ligatures w14:val="standardContextual"/>
            </w:rPr>
          </w:pPr>
          <w:hyperlink w:anchor="_Toc228913875" w:history="1">
            <w:r w:rsidRPr="007D7CDF">
              <w:rPr>
                <w:rStyle w:val="af8"/>
                <w:rFonts w:hint="eastAsia"/>
                <w:noProof/>
              </w:rPr>
              <w:t>6.1 Comprehensive Quantitative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_Toc228913875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26</w:t>
            </w:r>
            <w:r>
              <w:rPr>
                <w:rFonts w:hint="eastAsia"/>
                <w:noProof/>
                <w:webHidden/>
              </w:rPr>
              <w:fldChar w:fldCharType="end"/>
            </w:r>
          </w:hyperlink>
        </w:p>
        <w:p w14:paraId="54CA48CF" w14:textId="63CDFF8C" w:rsidR="004A5A33" w:rsidRDefault="004A5A33">
          <w:pPr>
            <w:pStyle w:val="TOC3"/>
            <w:tabs>
              <w:tab w:val="right" w:leader="dot" w:pos="8296"/>
            </w:tabs>
            <w:rPr>
              <w:rFonts w:cstheme="minorBidi" w:hint="eastAsia"/>
              <w:noProof/>
              <w:kern w:val="2"/>
              <w:szCs w:val="24"/>
              <w14:ligatures w14:val="standardContextual"/>
            </w:rPr>
          </w:pPr>
          <w:hyperlink w:anchor="_Toc228913876" w:history="1">
            <w:r w:rsidRPr="007D7CDF">
              <w:rPr>
                <w:rStyle w:val="af8"/>
                <w:rFonts w:hint="eastAsia"/>
                <w:noProof/>
              </w:rPr>
              <w:t>6.1.1 Experimental Configuration and the 10-Day Window</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_Toc228913876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26</w:t>
            </w:r>
            <w:r>
              <w:rPr>
                <w:rFonts w:hint="eastAsia"/>
                <w:noProof/>
                <w:webHidden/>
              </w:rPr>
              <w:fldChar w:fldCharType="end"/>
            </w:r>
          </w:hyperlink>
        </w:p>
        <w:p w14:paraId="6F57FECB" w14:textId="3128C5D6" w:rsidR="004A5A33" w:rsidRDefault="004A5A33">
          <w:pPr>
            <w:pStyle w:val="TOC3"/>
            <w:tabs>
              <w:tab w:val="right" w:leader="dot" w:pos="8296"/>
            </w:tabs>
            <w:rPr>
              <w:rFonts w:cstheme="minorBidi" w:hint="eastAsia"/>
              <w:noProof/>
              <w:kern w:val="2"/>
              <w:szCs w:val="24"/>
              <w14:ligatures w14:val="standardContextual"/>
            </w:rPr>
          </w:pPr>
          <w:hyperlink w:anchor="_Toc228913877" w:history="1">
            <w:r w:rsidRPr="007D7CDF">
              <w:rPr>
                <w:rStyle w:val="af8"/>
                <w:rFonts w:hint="eastAsia"/>
                <w:noProof/>
              </w:rPr>
              <w:t>6.1.2 Definition of Forecasting Strategies and Architectures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_Toc228913877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26</w:t>
            </w:r>
            <w:r>
              <w:rPr>
                <w:rFonts w:hint="eastAsia"/>
                <w:noProof/>
                <w:webHidden/>
              </w:rPr>
              <w:fldChar w:fldCharType="end"/>
            </w:r>
          </w:hyperlink>
        </w:p>
        <w:p w14:paraId="1DD6AA88" w14:textId="4FF5D264" w:rsidR="004A5A33" w:rsidRDefault="004A5A33">
          <w:pPr>
            <w:pStyle w:val="TOC3"/>
            <w:tabs>
              <w:tab w:val="right" w:leader="dot" w:pos="8296"/>
            </w:tabs>
            <w:rPr>
              <w:rFonts w:cstheme="minorBidi" w:hint="eastAsia"/>
              <w:noProof/>
              <w:kern w:val="2"/>
              <w:szCs w:val="24"/>
              <w14:ligatures w14:val="standardContextual"/>
            </w:rPr>
          </w:pPr>
          <w:hyperlink w:anchor="_Toc228913878" w:history="1">
            <w:r w:rsidRPr="007D7CDF">
              <w:rPr>
                <w:rStyle w:val="af8"/>
                <w:rFonts w:hint="eastAsia"/>
                <w:noProof/>
              </w:rPr>
              <w:t>6.1.3 Evaluation Protocol and Metrics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_Toc228913878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27</w:t>
            </w:r>
            <w:r>
              <w:rPr>
                <w:rFonts w:hint="eastAsia"/>
                <w:noProof/>
                <w:webHidden/>
              </w:rPr>
              <w:fldChar w:fldCharType="end"/>
            </w:r>
          </w:hyperlink>
        </w:p>
        <w:p w14:paraId="4F58F5C0" w14:textId="08561F6B" w:rsidR="004A5A33" w:rsidRDefault="004A5A33">
          <w:pPr>
            <w:pStyle w:val="TOC2"/>
            <w:tabs>
              <w:tab w:val="right" w:leader="dot" w:pos="8296"/>
            </w:tabs>
            <w:rPr>
              <w:rFonts w:cstheme="minorBidi" w:hint="eastAsia"/>
              <w:noProof/>
              <w:kern w:val="2"/>
              <w:szCs w:val="24"/>
              <w14:ligatures w14:val="standardContextual"/>
            </w:rPr>
          </w:pPr>
          <w:hyperlink w:anchor="_Toc228913879" w:history="1">
            <w:r w:rsidRPr="007D7CDF">
              <w:rPr>
                <w:rStyle w:val="af8"/>
                <w:rFonts w:hint="eastAsia"/>
                <w:noProof/>
              </w:rPr>
              <w:t>6.2 The Mechanism of the “Performance Ladder”</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_Toc228913879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27</w:t>
            </w:r>
            <w:r>
              <w:rPr>
                <w:rFonts w:hint="eastAsia"/>
                <w:noProof/>
                <w:webHidden/>
              </w:rPr>
              <w:fldChar w:fldCharType="end"/>
            </w:r>
          </w:hyperlink>
        </w:p>
        <w:p w14:paraId="22D8B87E" w14:textId="789ADA85" w:rsidR="004A5A33" w:rsidRDefault="004A5A33">
          <w:pPr>
            <w:pStyle w:val="TOC3"/>
            <w:tabs>
              <w:tab w:val="right" w:leader="dot" w:pos="8296"/>
            </w:tabs>
            <w:rPr>
              <w:rFonts w:cstheme="minorBidi" w:hint="eastAsia"/>
              <w:noProof/>
              <w:kern w:val="2"/>
              <w:szCs w:val="24"/>
              <w14:ligatures w14:val="standardContextual"/>
            </w:rPr>
          </w:pPr>
          <w:hyperlink w:anchor="_Toc228913880" w:history="1">
            <w:r w:rsidRPr="007D7CDF">
              <w:rPr>
                <w:rStyle w:val="af8"/>
                <w:rFonts w:hint="eastAsia"/>
                <w:noProof/>
              </w:rPr>
              <w:t>6.2.1 Overcoming the Overfitting Threshold</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_Toc228913880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28</w:t>
            </w:r>
            <w:r>
              <w:rPr>
                <w:rFonts w:hint="eastAsia"/>
                <w:noProof/>
                <w:webHidden/>
              </w:rPr>
              <w:fldChar w:fldCharType="end"/>
            </w:r>
          </w:hyperlink>
        </w:p>
        <w:p w14:paraId="6F2A8945" w14:textId="0345E7D4" w:rsidR="004A5A33" w:rsidRDefault="004A5A33">
          <w:pPr>
            <w:pStyle w:val="TOC3"/>
            <w:tabs>
              <w:tab w:val="right" w:leader="dot" w:pos="8296"/>
            </w:tabs>
            <w:rPr>
              <w:rFonts w:cstheme="minorBidi" w:hint="eastAsia"/>
              <w:noProof/>
              <w:kern w:val="2"/>
              <w:szCs w:val="24"/>
              <w14:ligatures w14:val="standardContextual"/>
            </w:rPr>
          </w:pPr>
          <w:hyperlink w:anchor="_Toc228913881" w:history="1">
            <w:r w:rsidRPr="007D7CDF">
              <w:rPr>
                <w:rStyle w:val="af8"/>
                <w:rFonts w:hint="eastAsia"/>
                <w:noProof/>
              </w:rPr>
              <w:t>6.2.2 The Efficacy of Localized Adaptation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_Toc228913881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28</w:t>
            </w:r>
            <w:r>
              <w:rPr>
                <w:rFonts w:hint="eastAsia"/>
                <w:noProof/>
                <w:webHidden/>
              </w:rPr>
              <w:fldChar w:fldCharType="end"/>
            </w:r>
          </w:hyperlink>
        </w:p>
        <w:p w14:paraId="4DE1118E" w14:textId="184E63ED" w:rsidR="004A5A33" w:rsidRDefault="004A5A33">
          <w:pPr>
            <w:pStyle w:val="TOC2"/>
            <w:tabs>
              <w:tab w:val="right" w:leader="dot" w:pos="8296"/>
            </w:tabs>
            <w:rPr>
              <w:rFonts w:cstheme="minorBidi" w:hint="eastAsia"/>
              <w:noProof/>
              <w:kern w:val="2"/>
              <w:szCs w:val="24"/>
              <w14:ligatures w14:val="standardContextual"/>
            </w:rPr>
          </w:pPr>
          <w:hyperlink w:anchor="_Toc228913882" w:history="1">
            <w:r w:rsidRPr="007D7CDF">
              <w:rPr>
                <w:rStyle w:val="af8"/>
                <w:rFonts w:hint="eastAsia"/>
                <w:noProof/>
              </w:rPr>
              <w:t>6.3 Empirical Evidence of Negative Transfer</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_Toc228913882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29</w:t>
            </w:r>
            <w:r>
              <w:rPr>
                <w:rFonts w:hint="eastAsia"/>
                <w:noProof/>
                <w:webHidden/>
              </w:rPr>
              <w:fldChar w:fldCharType="end"/>
            </w:r>
          </w:hyperlink>
        </w:p>
        <w:p w14:paraId="4E6B473B" w14:textId="79C35D69" w:rsidR="004A5A33" w:rsidRDefault="004A5A33">
          <w:pPr>
            <w:pStyle w:val="TOC3"/>
            <w:tabs>
              <w:tab w:val="right" w:leader="dot" w:pos="8296"/>
            </w:tabs>
            <w:rPr>
              <w:rFonts w:cstheme="minorBidi" w:hint="eastAsia"/>
              <w:noProof/>
              <w:kern w:val="2"/>
              <w:szCs w:val="24"/>
              <w14:ligatures w14:val="standardContextual"/>
            </w:rPr>
          </w:pPr>
          <w:hyperlink w:anchor="_Toc228913883" w:history="1">
            <w:r w:rsidRPr="007D7CDF">
              <w:rPr>
                <w:rStyle w:val="af8"/>
                <w:rFonts w:hint="eastAsia"/>
                <w:noProof/>
              </w:rPr>
              <w:t>6.3.1 The Failure of Model 1 and Informative Bias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_Toc228913883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30</w:t>
            </w:r>
            <w:r>
              <w:rPr>
                <w:rFonts w:hint="eastAsia"/>
                <w:noProof/>
                <w:webHidden/>
              </w:rPr>
              <w:fldChar w:fldCharType="end"/>
            </w:r>
          </w:hyperlink>
        </w:p>
        <w:p w14:paraId="049889B0" w14:textId="6FFE4A68" w:rsidR="004A5A33" w:rsidRDefault="004A5A33">
          <w:pPr>
            <w:pStyle w:val="TOC3"/>
            <w:tabs>
              <w:tab w:val="right" w:leader="dot" w:pos="8296"/>
            </w:tabs>
            <w:rPr>
              <w:rFonts w:cstheme="minorBidi" w:hint="eastAsia"/>
              <w:noProof/>
              <w:kern w:val="2"/>
              <w:szCs w:val="24"/>
              <w14:ligatures w14:val="standardContextual"/>
            </w:rPr>
          </w:pPr>
          <w:hyperlink w:anchor="_Toc228913884" w:history="1">
            <w:r w:rsidRPr="007D7CDF">
              <w:rPr>
                <w:rStyle w:val="af8"/>
                <w:rFonts w:hint="eastAsia"/>
                <w:noProof/>
              </w:rPr>
              <w:t>6.3.2 Systematic Optimization via Optuna (v1 and v2)</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_Toc228913884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31</w:t>
            </w:r>
            <w:r>
              <w:rPr>
                <w:rFonts w:hint="eastAsia"/>
                <w:noProof/>
                <w:webHidden/>
              </w:rPr>
              <w:fldChar w:fldCharType="end"/>
            </w:r>
          </w:hyperlink>
        </w:p>
        <w:p w14:paraId="6AE6E3F3" w14:textId="117BCD10" w:rsidR="004A5A33" w:rsidRDefault="004A5A33">
          <w:pPr>
            <w:pStyle w:val="TOC2"/>
            <w:tabs>
              <w:tab w:val="right" w:leader="dot" w:pos="8296"/>
            </w:tabs>
            <w:rPr>
              <w:rFonts w:cstheme="minorBidi" w:hint="eastAsia"/>
              <w:noProof/>
              <w:kern w:val="2"/>
              <w:szCs w:val="24"/>
              <w14:ligatures w14:val="standardContextual"/>
            </w:rPr>
          </w:pPr>
          <w:hyperlink w:anchor="_Toc228913885" w:history="1">
            <w:r w:rsidRPr="007D7CDF">
              <w:rPr>
                <w:rStyle w:val="af8"/>
                <w:rFonts w:hint="eastAsia"/>
                <w:noProof/>
              </w:rPr>
              <w:t>6.4 Architectural Duel: LSTM vs. Transformer in Cold-Start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_Toc228913885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32</w:t>
            </w:r>
            <w:r>
              <w:rPr>
                <w:rFonts w:hint="eastAsia"/>
                <w:noProof/>
                <w:webHidden/>
              </w:rPr>
              <w:fldChar w:fldCharType="end"/>
            </w:r>
          </w:hyperlink>
        </w:p>
        <w:p w14:paraId="36C3D844" w14:textId="4083964E" w:rsidR="004A5A33" w:rsidRDefault="004A5A33">
          <w:pPr>
            <w:pStyle w:val="TOC3"/>
            <w:tabs>
              <w:tab w:val="right" w:leader="dot" w:pos="8296"/>
            </w:tabs>
            <w:rPr>
              <w:rFonts w:cstheme="minorBidi" w:hint="eastAsia"/>
              <w:noProof/>
              <w:kern w:val="2"/>
              <w:szCs w:val="24"/>
              <w14:ligatures w14:val="standardContextual"/>
            </w:rPr>
          </w:pPr>
          <w:hyperlink w:anchor="_Toc228913886" w:history="1">
            <w:r w:rsidRPr="007D7CDF">
              <w:rPr>
                <w:rStyle w:val="af8"/>
                <w:rFonts w:hint="eastAsia"/>
                <w:noProof/>
              </w:rPr>
              <w:t>6.4.1 Quantitative Comparison of Mean Performance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_Toc228913886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32</w:t>
            </w:r>
            <w:r>
              <w:rPr>
                <w:rFonts w:hint="eastAsia"/>
                <w:noProof/>
                <w:webHidden/>
              </w:rPr>
              <w:fldChar w:fldCharType="end"/>
            </w:r>
          </w:hyperlink>
        </w:p>
        <w:p w14:paraId="124C6D44" w14:textId="4F20D12A" w:rsidR="004A5A33" w:rsidRDefault="004A5A33">
          <w:pPr>
            <w:pStyle w:val="TOC3"/>
            <w:tabs>
              <w:tab w:val="right" w:leader="dot" w:pos="8296"/>
            </w:tabs>
            <w:rPr>
              <w:rFonts w:cstheme="minorBidi" w:hint="eastAsia"/>
              <w:noProof/>
              <w:kern w:val="2"/>
              <w:szCs w:val="24"/>
              <w14:ligatures w14:val="standardContextual"/>
            </w:rPr>
          </w:pPr>
          <w:hyperlink w:anchor="_Toc228913887" w:history="1">
            <w:r w:rsidRPr="007D7CDF">
              <w:rPr>
                <w:rStyle w:val="af8"/>
                <w:rFonts w:hint="eastAsia"/>
                <w:noProof/>
              </w:rPr>
              <w:t>6.4.2 Theoretical Analysis: Inductive Bias vs. Data Hunger</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_Toc228913887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33</w:t>
            </w:r>
            <w:r>
              <w:rPr>
                <w:rFonts w:hint="eastAsia"/>
                <w:noProof/>
                <w:webHidden/>
              </w:rPr>
              <w:fldChar w:fldCharType="end"/>
            </w:r>
          </w:hyperlink>
        </w:p>
        <w:p w14:paraId="190884E6" w14:textId="1446273B" w:rsidR="004A5A33" w:rsidRDefault="004A5A33">
          <w:pPr>
            <w:pStyle w:val="TOC3"/>
            <w:tabs>
              <w:tab w:val="right" w:leader="dot" w:pos="8296"/>
            </w:tabs>
            <w:rPr>
              <w:rFonts w:cstheme="minorBidi" w:hint="eastAsia"/>
              <w:noProof/>
              <w:kern w:val="2"/>
              <w:szCs w:val="24"/>
              <w14:ligatures w14:val="standardContextual"/>
            </w:rPr>
          </w:pPr>
          <w:hyperlink w:anchor="_Toc228913888" w:history="1">
            <w:r w:rsidRPr="007D7CDF">
              <w:rPr>
                <w:rStyle w:val="af8"/>
                <w:rFonts w:hint="eastAsia"/>
                <w:noProof/>
              </w:rPr>
              <w:t>6.4.3 Visual Evidence of Forecasting Stability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_Toc228913888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33</w:t>
            </w:r>
            <w:r>
              <w:rPr>
                <w:rFonts w:hint="eastAsia"/>
                <w:noProof/>
                <w:webHidden/>
              </w:rPr>
              <w:fldChar w:fldCharType="end"/>
            </w:r>
          </w:hyperlink>
        </w:p>
        <w:p w14:paraId="76DF320F" w14:textId="72086CB4" w:rsidR="004A5A33" w:rsidRDefault="004A5A33">
          <w:pPr>
            <w:pStyle w:val="TOC2"/>
            <w:tabs>
              <w:tab w:val="right" w:leader="dot" w:pos="8296"/>
            </w:tabs>
            <w:rPr>
              <w:rFonts w:cstheme="minorBidi" w:hint="eastAsia"/>
              <w:noProof/>
              <w:kern w:val="2"/>
              <w:szCs w:val="24"/>
              <w14:ligatures w14:val="standardContextual"/>
            </w:rPr>
          </w:pPr>
          <w:hyperlink w:anchor="_Toc228913889" w:history="1">
            <w:r w:rsidRPr="007D7CDF">
              <w:rPr>
                <w:rStyle w:val="af8"/>
                <w:rFonts w:hint="eastAsia"/>
                <w:noProof/>
              </w:rPr>
              <w:t>6.5 Robustness Analysis and Metric Discussion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_Toc228913889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34</w:t>
            </w:r>
            <w:r>
              <w:rPr>
                <w:rFonts w:hint="eastAsia"/>
                <w:noProof/>
                <w:webHidden/>
              </w:rPr>
              <w:fldChar w:fldCharType="end"/>
            </w:r>
          </w:hyperlink>
        </w:p>
        <w:p w14:paraId="6B9066BA" w14:textId="3AA7892C" w:rsidR="004A5A33" w:rsidRDefault="004A5A33">
          <w:pPr>
            <w:pStyle w:val="TOC3"/>
            <w:tabs>
              <w:tab w:val="right" w:leader="dot" w:pos="8296"/>
            </w:tabs>
            <w:rPr>
              <w:rFonts w:cstheme="minorBidi" w:hint="eastAsia"/>
              <w:noProof/>
              <w:kern w:val="2"/>
              <w:szCs w:val="24"/>
              <w14:ligatures w14:val="standardContextual"/>
            </w:rPr>
          </w:pPr>
          <w:hyperlink w:anchor="_Toc228913890" w:history="1">
            <w:r w:rsidRPr="007D7CDF">
              <w:rPr>
                <w:rStyle w:val="af8"/>
                <w:rFonts w:hint="eastAsia"/>
                <w:noProof/>
              </w:rPr>
              <w:t>6.5.1 Error Stability and Architecture Reliability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_Toc228913890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34</w:t>
            </w:r>
            <w:r>
              <w:rPr>
                <w:rFonts w:hint="eastAsia"/>
                <w:noProof/>
                <w:webHidden/>
              </w:rPr>
              <w:fldChar w:fldCharType="end"/>
            </w:r>
          </w:hyperlink>
        </w:p>
        <w:p w14:paraId="1DC1E263" w14:textId="483C33A0" w:rsidR="004A5A33" w:rsidRDefault="004A5A33">
          <w:pPr>
            <w:pStyle w:val="TOC3"/>
            <w:tabs>
              <w:tab w:val="right" w:leader="dot" w:pos="8296"/>
            </w:tabs>
            <w:rPr>
              <w:rFonts w:cstheme="minorBidi" w:hint="eastAsia"/>
              <w:noProof/>
              <w:kern w:val="2"/>
              <w:szCs w:val="24"/>
              <w14:ligatures w14:val="standardContextual"/>
            </w:rPr>
          </w:pPr>
          <w:hyperlink w:anchor="_Toc228913891" w:history="1">
            <w:r w:rsidRPr="007D7CDF">
              <w:rPr>
                <w:rStyle w:val="af8"/>
                <w:rFonts w:hint="eastAsia"/>
                <w:noProof/>
              </w:rPr>
              <w:t>6.5.2 Interpreting the MAPE Anomaly in Standardized Spaces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_Toc228913891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35</w:t>
            </w:r>
            <w:r>
              <w:rPr>
                <w:rFonts w:hint="eastAsia"/>
                <w:noProof/>
                <w:webHidden/>
              </w:rPr>
              <w:fldChar w:fldCharType="end"/>
            </w:r>
          </w:hyperlink>
        </w:p>
        <w:p w14:paraId="3216AA56" w14:textId="27114D69" w:rsidR="004A5A33" w:rsidRDefault="004A5A33">
          <w:pPr>
            <w:pStyle w:val="TOC1"/>
            <w:tabs>
              <w:tab w:val="right" w:leader="dot" w:pos="8296"/>
            </w:tabs>
            <w:rPr>
              <w:rFonts w:cstheme="minorBidi" w:hint="eastAsia"/>
              <w:noProof/>
              <w:kern w:val="2"/>
              <w:szCs w:val="24"/>
              <w14:ligatures w14:val="standardContextual"/>
            </w:rPr>
          </w:pPr>
          <w:hyperlink w:anchor="_Toc228913892" w:history="1">
            <w:r w:rsidRPr="007D7CDF">
              <w:rPr>
                <w:rStyle w:val="af8"/>
                <w:rFonts w:hint="eastAsia"/>
                <w:noProof/>
              </w:rPr>
              <w:t>7. Discussion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_Toc228913892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35</w:t>
            </w:r>
            <w:r>
              <w:rPr>
                <w:rFonts w:hint="eastAsia"/>
                <w:noProof/>
                <w:webHidden/>
              </w:rPr>
              <w:fldChar w:fldCharType="end"/>
            </w:r>
          </w:hyperlink>
        </w:p>
        <w:p w14:paraId="2A916BD4" w14:textId="14A8F32F" w:rsidR="004A5A33" w:rsidRDefault="004A5A33">
          <w:pPr>
            <w:pStyle w:val="TOC2"/>
            <w:tabs>
              <w:tab w:val="right" w:leader="dot" w:pos="8296"/>
            </w:tabs>
            <w:rPr>
              <w:rFonts w:cstheme="minorBidi" w:hint="eastAsia"/>
              <w:noProof/>
              <w:kern w:val="2"/>
              <w:szCs w:val="24"/>
              <w14:ligatures w14:val="standardContextual"/>
            </w:rPr>
          </w:pPr>
          <w:hyperlink w:anchor="_Toc228913893" w:history="1">
            <w:r w:rsidRPr="007D7CDF">
              <w:rPr>
                <w:rStyle w:val="af8"/>
                <w:rFonts w:hint="eastAsia"/>
                <w:noProof/>
              </w:rPr>
              <w:t>7.1 Theoretical Foundations of the Performance Hierarchy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_Toc228913893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35</w:t>
            </w:r>
            <w:r>
              <w:rPr>
                <w:rFonts w:hint="eastAsia"/>
                <w:noProof/>
                <w:webHidden/>
              </w:rPr>
              <w:fldChar w:fldCharType="end"/>
            </w:r>
          </w:hyperlink>
        </w:p>
        <w:p w14:paraId="27E25B8A" w14:textId="219B17DF" w:rsidR="004A5A33" w:rsidRDefault="004A5A33">
          <w:pPr>
            <w:pStyle w:val="TOC3"/>
            <w:tabs>
              <w:tab w:val="right" w:leader="dot" w:pos="8296"/>
            </w:tabs>
            <w:rPr>
              <w:rFonts w:cstheme="minorBidi" w:hint="eastAsia"/>
              <w:noProof/>
              <w:kern w:val="2"/>
              <w:szCs w:val="24"/>
              <w14:ligatures w14:val="standardContextual"/>
            </w:rPr>
          </w:pPr>
          <w:hyperlink w:anchor="_Toc228913894" w:history="1">
            <w:r w:rsidRPr="007D7CDF">
              <w:rPr>
                <w:rStyle w:val="af8"/>
                <w:rFonts w:hint="eastAsia"/>
                <w:noProof/>
              </w:rPr>
              <w:t>7.1.1 The Universality of Circadian Rhythms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_Toc228913894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36</w:t>
            </w:r>
            <w:r>
              <w:rPr>
                <w:rFonts w:hint="eastAsia"/>
                <w:noProof/>
                <w:webHidden/>
              </w:rPr>
              <w:fldChar w:fldCharType="end"/>
            </w:r>
          </w:hyperlink>
        </w:p>
        <w:p w14:paraId="31DE8776" w14:textId="5F11A236" w:rsidR="004A5A33" w:rsidRDefault="004A5A33">
          <w:pPr>
            <w:pStyle w:val="TOC3"/>
            <w:tabs>
              <w:tab w:val="right" w:leader="dot" w:pos="8296"/>
            </w:tabs>
            <w:rPr>
              <w:rFonts w:cstheme="minorBidi" w:hint="eastAsia"/>
              <w:noProof/>
              <w:kern w:val="2"/>
              <w:szCs w:val="24"/>
              <w14:ligatures w14:val="standardContextual"/>
            </w:rPr>
          </w:pPr>
          <w:hyperlink w:anchor="_Toc228913895" w:history="1">
            <w:r w:rsidRPr="007D7CDF">
              <w:rPr>
                <w:rStyle w:val="af8"/>
                <w:rFonts w:hint="eastAsia"/>
                <w:noProof/>
              </w:rPr>
              <w:t>7.1.2 Transfer Learning as a Structural Regularizer</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_Toc228913895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36</w:t>
            </w:r>
            <w:r>
              <w:rPr>
                <w:rFonts w:hint="eastAsia"/>
                <w:noProof/>
                <w:webHidden/>
              </w:rPr>
              <w:fldChar w:fldCharType="end"/>
            </w:r>
          </w:hyperlink>
        </w:p>
        <w:p w14:paraId="40FF9AE6" w14:textId="157EF2D7" w:rsidR="004A5A33" w:rsidRDefault="004A5A33">
          <w:pPr>
            <w:pStyle w:val="TOC2"/>
            <w:tabs>
              <w:tab w:val="right" w:leader="dot" w:pos="8296"/>
            </w:tabs>
            <w:rPr>
              <w:rFonts w:cstheme="minorBidi" w:hint="eastAsia"/>
              <w:noProof/>
              <w:kern w:val="2"/>
              <w:szCs w:val="24"/>
              <w14:ligatures w14:val="standardContextual"/>
            </w:rPr>
          </w:pPr>
          <w:hyperlink w:anchor="_Toc228913896" w:history="1">
            <w:r w:rsidRPr="007D7CDF">
              <w:rPr>
                <w:rStyle w:val="af8"/>
                <w:rFonts w:hint="eastAsia"/>
                <w:noProof/>
              </w:rPr>
              <w:t>7.2 Architectural Trade-offs: Inductive Bias vs. Data Scarcity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_Toc228913896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36</w:t>
            </w:r>
            <w:r>
              <w:rPr>
                <w:rFonts w:hint="eastAsia"/>
                <w:noProof/>
                <w:webHidden/>
              </w:rPr>
              <w:fldChar w:fldCharType="end"/>
            </w:r>
          </w:hyperlink>
        </w:p>
        <w:p w14:paraId="28E64C03" w14:textId="50D6F6D2" w:rsidR="004A5A33" w:rsidRDefault="004A5A33">
          <w:pPr>
            <w:pStyle w:val="TOC3"/>
            <w:tabs>
              <w:tab w:val="right" w:leader="dot" w:pos="8296"/>
            </w:tabs>
            <w:rPr>
              <w:rFonts w:cstheme="minorBidi" w:hint="eastAsia"/>
              <w:noProof/>
              <w:kern w:val="2"/>
              <w:szCs w:val="24"/>
              <w14:ligatures w14:val="standardContextual"/>
            </w:rPr>
          </w:pPr>
          <w:hyperlink w:anchor="_Toc228913897" w:history="1">
            <w:r w:rsidRPr="007D7CDF">
              <w:rPr>
                <w:rStyle w:val="af8"/>
                <w:rFonts w:hint="eastAsia"/>
                <w:noProof/>
              </w:rPr>
              <w:t>7.2.1 The “Data Hunger” Paradox of Self-Attention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_Toc228913897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37</w:t>
            </w:r>
            <w:r>
              <w:rPr>
                <w:rFonts w:hint="eastAsia"/>
                <w:noProof/>
                <w:webHidden/>
              </w:rPr>
              <w:fldChar w:fldCharType="end"/>
            </w:r>
          </w:hyperlink>
        </w:p>
        <w:p w14:paraId="25FEDC7E" w14:textId="45830ABD" w:rsidR="004A5A33" w:rsidRDefault="004A5A33">
          <w:pPr>
            <w:pStyle w:val="TOC3"/>
            <w:tabs>
              <w:tab w:val="right" w:leader="dot" w:pos="8296"/>
            </w:tabs>
            <w:rPr>
              <w:rFonts w:cstheme="minorBidi" w:hint="eastAsia"/>
              <w:noProof/>
              <w:kern w:val="2"/>
              <w:szCs w:val="24"/>
              <w14:ligatures w14:val="standardContextual"/>
            </w:rPr>
          </w:pPr>
          <w:hyperlink w:anchor="_Toc228913898" w:history="1">
            <w:r w:rsidRPr="007D7CDF">
              <w:rPr>
                <w:rStyle w:val="af8"/>
                <w:rFonts w:hint="eastAsia"/>
                <w:noProof/>
              </w:rPr>
              <w:t>7.2.2 The Advantage of Sequential Inductive Bias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_Toc228913898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37</w:t>
            </w:r>
            <w:r>
              <w:rPr>
                <w:rFonts w:hint="eastAsia"/>
                <w:noProof/>
                <w:webHidden/>
              </w:rPr>
              <w:fldChar w:fldCharType="end"/>
            </w:r>
          </w:hyperlink>
        </w:p>
        <w:p w14:paraId="3D5D999A" w14:textId="5B72123C" w:rsidR="004A5A33" w:rsidRDefault="004A5A33">
          <w:pPr>
            <w:pStyle w:val="TOC2"/>
            <w:tabs>
              <w:tab w:val="right" w:leader="dot" w:pos="8296"/>
            </w:tabs>
            <w:rPr>
              <w:rFonts w:cstheme="minorBidi" w:hint="eastAsia"/>
              <w:noProof/>
              <w:kern w:val="2"/>
              <w:szCs w:val="24"/>
              <w14:ligatures w14:val="standardContextual"/>
            </w:rPr>
          </w:pPr>
          <w:hyperlink w:anchor="_Toc228913899" w:history="1">
            <w:r w:rsidRPr="007D7CDF">
              <w:rPr>
                <w:rStyle w:val="af8"/>
                <w:rFonts w:hint="eastAsia"/>
                <w:noProof/>
              </w:rPr>
              <w:t>7.3 The Critical Threshold of Negative Transfer and Optimization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_Toc228913899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38</w:t>
            </w:r>
            <w:r>
              <w:rPr>
                <w:rFonts w:hint="eastAsia"/>
                <w:noProof/>
                <w:webHidden/>
              </w:rPr>
              <w:fldChar w:fldCharType="end"/>
            </w:r>
          </w:hyperlink>
        </w:p>
        <w:p w14:paraId="4ADA7BE4" w14:textId="2390481A" w:rsidR="004A5A33" w:rsidRDefault="004A5A33">
          <w:pPr>
            <w:pStyle w:val="TOC3"/>
            <w:tabs>
              <w:tab w:val="right" w:leader="dot" w:pos="8296"/>
            </w:tabs>
            <w:rPr>
              <w:rFonts w:cstheme="minorBidi" w:hint="eastAsia"/>
              <w:noProof/>
              <w:kern w:val="2"/>
              <w:szCs w:val="24"/>
              <w14:ligatures w14:val="standardContextual"/>
            </w:rPr>
          </w:pPr>
          <w:hyperlink w:anchor="_Toc228913900" w:history="1">
            <w:r w:rsidRPr="007D7CDF">
              <w:rPr>
                <w:rStyle w:val="af8"/>
                <w:rFonts w:hint="eastAsia"/>
                <w:noProof/>
              </w:rPr>
              <w:t>7.3.1 Informative Bias and Source Domain Over-specialization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_Toc228913900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38</w:t>
            </w:r>
            <w:r>
              <w:rPr>
                <w:rFonts w:hint="eastAsia"/>
                <w:noProof/>
                <w:webHidden/>
              </w:rPr>
              <w:fldChar w:fldCharType="end"/>
            </w:r>
          </w:hyperlink>
        </w:p>
        <w:p w14:paraId="3ACFB697" w14:textId="13656ACF" w:rsidR="004A5A33" w:rsidRDefault="004A5A33">
          <w:pPr>
            <w:pStyle w:val="TOC3"/>
            <w:tabs>
              <w:tab w:val="right" w:leader="dot" w:pos="8296"/>
            </w:tabs>
            <w:rPr>
              <w:rFonts w:cstheme="minorBidi" w:hint="eastAsia"/>
              <w:noProof/>
              <w:kern w:val="2"/>
              <w:szCs w:val="24"/>
              <w14:ligatures w14:val="standardContextual"/>
            </w:rPr>
          </w:pPr>
          <w:hyperlink w:anchor="_Toc228913901" w:history="1">
            <w:r w:rsidRPr="007D7CDF">
              <w:rPr>
                <w:rStyle w:val="af8"/>
                <w:rFonts w:hint="eastAsia"/>
                <w:noProof/>
              </w:rPr>
              <w:t>7.3.2 Bayesian Optimization as a Catalyst for Transferability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_Toc228913901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38</w:t>
            </w:r>
            <w:r>
              <w:rPr>
                <w:rFonts w:hint="eastAsia"/>
                <w:noProof/>
                <w:webHidden/>
              </w:rPr>
              <w:fldChar w:fldCharType="end"/>
            </w:r>
          </w:hyperlink>
        </w:p>
        <w:p w14:paraId="4D9C93C0" w14:textId="2A9EE977" w:rsidR="004A5A33" w:rsidRDefault="004A5A33">
          <w:pPr>
            <w:pStyle w:val="TOC2"/>
            <w:tabs>
              <w:tab w:val="right" w:leader="dot" w:pos="8296"/>
            </w:tabs>
            <w:rPr>
              <w:rFonts w:cstheme="minorBidi" w:hint="eastAsia"/>
              <w:noProof/>
              <w:kern w:val="2"/>
              <w:szCs w:val="24"/>
              <w14:ligatures w14:val="standardContextual"/>
            </w:rPr>
          </w:pPr>
          <w:hyperlink w:anchor="_Toc228913902" w:history="1">
            <w:r w:rsidRPr="007D7CDF">
              <w:rPr>
                <w:rStyle w:val="af8"/>
                <w:rFonts w:hint="eastAsia"/>
                <w:noProof/>
              </w:rPr>
              <w:t>7.4 Implications for Smart Grid Reliability and Service Deployment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_Toc228913902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39</w:t>
            </w:r>
            <w:r>
              <w:rPr>
                <w:rFonts w:hint="eastAsia"/>
                <w:noProof/>
                <w:webHidden/>
              </w:rPr>
              <w:fldChar w:fldCharType="end"/>
            </w:r>
          </w:hyperlink>
        </w:p>
        <w:p w14:paraId="0ADCFEE0" w14:textId="205E2637" w:rsidR="004A5A33" w:rsidRDefault="004A5A33">
          <w:pPr>
            <w:pStyle w:val="TOC3"/>
            <w:tabs>
              <w:tab w:val="right" w:leader="dot" w:pos="8296"/>
            </w:tabs>
            <w:rPr>
              <w:rFonts w:cstheme="minorBidi" w:hint="eastAsia"/>
              <w:noProof/>
              <w:kern w:val="2"/>
              <w:szCs w:val="24"/>
              <w14:ligatures w14:val="standardContextual"/>
            </w:rPr>
          </w:pPr>
          <w:hyperlink w:anchor="_Toc228913903" w:history="1">
            <w:r w:rsidRPr="007D7CDF">
              <w:rPr>
                <w:rStyle w:val="af8"/>
                <w:rFonts w:hint="eastAsia"/>
                <w:noProof/>
              </w:rPr>
              <w:t>7.4.1 The “Variance Compressor” Effect and Risk Mitigation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_Toc228913903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39</w:t>
            </w:r>
            <w:r>
              <w:rPr>
                <w:rFonts w:hint="eastAsia"/>
                <w:noProof/>
                <w:webHidden/>
              </w:rPr>
              <w:fldChar w:fldCharType="end"/>
            </w:r>
          </w:hyperlink>
        </w:p>
        <w:p w14:paraId="5B2A8DD9" w14:textId="58B540E9" w:rsidR="004A5A33" w:rsidRDefault="004A5A33">
          <w:pPr>
            <w:pStyle w:val="TOC3"/>
            <w:tabs>
              <w:tab w:val="right" w:leader="dot" w:pos="8296"/>
            </w:tabs>
            <w:rPr>
              <w:rFonts w:cstheme="minorBidi" w:hint="eastAsia"/>
              <w:noProof/>
              <w:kern w:val="2"/>
              <w:szCs w:val="24"/>
              <w14:ligatures w14:val="standardContextual"/>
            </w:rPr>
          </w:pPr>
          <w:hyperlink w:anchor="_Toc228913904" w:history="1">
            <w:r w:rsidRPr="007D7CDF">
              <w:rPr>
                <w:rStyle w:val="af8"/>
                <w:rFonts w:hint="eastAsia"/>
                <w:noProof/>
              </w:rPr>
              <w:t>7.4.2 Interpreting the MAPE Anomaly and Scaling Artifacts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_Toc228913904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39</w:t>
            </w:r>
            <w:r>
              <w:rPr>
                <w:rFonts w:hint="eastAsia"/>
                <w:noProof/>
                <w:webHidden/>
              </w:rPr>
              <w:fldChar w:fldCharType="end"/>
            </w:r>
          </w:hyperlink>
        </w:p>
        <w:p w14:paraId="0A9099B3" w14:textId="48B95F60" w:rsidR="004A5A33" w:rsidRDefault="004A5A33">
          <w:pPr>
            <w:pStyle w:val="TOC3"/>
            <w:tabs>
              <w:tab w:val="right" w:leader="dot" w:pos="8296"/>
            </w:tabs>
            <w:rPr>
              <w:rFonts w:cstheme="minorBidi" w:hint="eastAsia"/>
              <w:noProof/>
              <w:kern w:val="2"/>
              <w:szCs w:val="24"/>
              <w14:ligatures w14:val="standardContextual"/>
            </w:rPr>
          </w:pPr>
          <w:hyperlink w:anchor="_Toc228913905" w:history="1">
            <w:r w:rsidRPr="007D7CDF">
              <w:rPr>
                <w:rStyle w:val="af8"/>
                <w:rFonts w:hint="eastAsia"/>
                <w:noProof/>
              </w:rPr>
              <w:t>7.4.3 Accelerating the ROI of Smart Metering Infrastructure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_Toc228913905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40</w:t>
            </w:r>
            <w:r>
              <w:rPr>
                <w:rFonts w:hint="eastAsia"/>
                <w:noProof/>
                <w:webHidden/>
              </w:rPr>
              <w:fldChar w:fldCharType="end"/>
            </w:r>
          </w:hyperlink>
        </w:p>
        <w:p w14:paraId="68650FAA" w14:textId="53CEEAB9" w:rsidR="004A5A33" w:rsidRDefault="004A5A33">
          <w:pPr>
            <w:pStyle w:val="TOC1"/>
            <w:tabs>
              <w:tab w:val="right" w:leader="dot" w:pos="8296"/>
            </w:tabs>
            <w:rPr>
              <w:rFonts w:cstheme="minorBidi" w:hint="eastAsia"/>
              <w:noProof/>
              <w:kern w:val="2"/>
              <w:szCs w:val="24"/>
              <w14:ligatures w14:val="standardContextual"/>
            </w:rPr>
          </w:pPr>
          <w:hyperlink w:anchor="_Toc228913906" w:history="1">
            <w:r w:rsidRPr="007D7CDF">
              <w:rPr>
                <w:rStyle w:val="af8"/>
                <w:rFonts w:hint="eastAsia"/>
                <w:noProof/>
              </w:rPr>
              <w:t>8.Conclusion and Future Work</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_Toc228913906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40</w:t>
            </w:r>
            <w:r>
              <w:rPr>
                <w:rFonts w:hint="eastAsia"/>
                <w:noProof/>
                <w:webHidden/>
              </w:rPr>
              <w:fldChar w:fldCharType="end"/>
            </w:r>
          </w:hyperlink>
        </w:p>
        <w:p w14:paraId="0816C9F9" w14:textId="2479C32C" w:rsidR="004A5A33" w:rsidRDefault="004A5A33">
          <w:pPr>
            <w:pStyle w:val="TOC2"/>
            <w:tabs>
              <w:tab w:val="right" w:leader="dot" w:pos="8296"/>
            </w:tabs>
            <w:rPr>
              <w:rFonts w:cstheme="minorBidi" w:hint="eastAsia"/>
              <w:noProof/>
              <w:kern w:val="2"/>
              <w:szCs w:val="24"/>
              <w14:ligatures w14:val="standardContextual"/>
            </w:rPr>
          </w:pPr>
          <w:hyperlink w:anchor="_Toc228913907" w:history="1">
            <w:r w:rsidRPr="007D7CDF">
              <w:rPr>
                <w:rStyle w:val="af8"/>
                <w:rFonts w:hint="eastAsia"/>
                <w:noProof/>
              </w:rPr>
              <w:t>8.1 Summary of Contributions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_Toc228913907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40</w:t>
            </w:r>
            <w:r>
              <w:rPr>
                <w:rFonts w:hint="eastAsia"/>
                <w:noProof/>
                <w:webHidden/>
              </w:rPr>
              <w:fldChar w:fldCharType="end"/>
            </w:r>
          </w:hyperlink>
        </w:p>
        <w:p w14:paraId="6D4F076F" w14:textId="56467E58" w:rsidR="004A5A33" w:rsidRDefault="004A5A33">
          <w:pPr>
            <w:pStyle w:val="TOC2"/>
            <w:tabs>
              <w:tab w:val="right" w:leader="dot" w:pos="8296"/>
            </w:tabs>
            <w:rPr>
              <w:rFonts w:cstheme="minorBidi" w:hint="eastAsia"/>
              <w:noProof/>
              <w:kern w:val="2"/>
              <w:szCs w:val="24"/>
              <w14:ligatures w14:val="standardContextual"/>
            </w:rPr>
          </w:pPr>
          <w:hyperlink w:anchor="_Toc228913908" w:history="1">
            <w:r w:rsidRPr="007D7CDF">
              <w:rPr>
                <w:rStyle w:val="af8"/>
                <w:rFonts w:hint="eastAsia"/>
                <w:noProof/>
              </w:rPr>
              <w:t>8.2 Key Empirical Findings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_Toc228913908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40</w:t>
            </w:r>
            <w:r>
              <w:rPr>
                <w:rFonts w:hint="eastAsia"/>
                <w:noProof/>
                <w:webHidden/>
              </w:rPr>
              <w:fldChar w:fldCharType="end"/>
            </w:r>
          </w:hyperlink>
        </w:p>
        <w:p w14:paraId="0BDD0D16" w14:textId="1E9D641C" w:rsidR="004A5A33" w:rsidRDefault="004A5A33">
          <w:pPr>
            <w:pStyle w:val="TOC2"/>
            <w:tabs>
              <w:tab w:val="right" w:leader="dot" w:pos="8296"/>
            </w:tabs>
            <w:rPr>
              <w:rFonts w:cstheme="minorBidi" w:hint="eastAsia"/>
              <w:noProof/>
              <w:kern w:val="2"/>
              <w:szCs w:val="24"/>
              <w14:ligatures w14:val="standardContextual"/>
            </w:rPr>
          </w:pPr>
          <w:hyperlink w:anchor="_Toc228913909" w:history="1">
            <w:r w:rsidRPr="007D7CDF">
              <w:rPr>
                <w:rStyle w:val="af8"/>
                <w:rFonts w:hint="eastAsia"/>
                <w:noProof/>
              </w:rPr>
              <w:t>8.3 Practical Implications for Utility Operators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_Toc228913909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41</w:t>
            </w:r>
            <w:r>
              <w:rPr>
                <w:rFonts w:hint="eastAsia"/>
                <w:noProof/>
                <w:webHidden/>
              </w:rPr>
              <w:fldChar w:fldCharType="end"/>
            </w:r>
          </w:hyperlink>
        </w:p>
        <w:p w14:paraId="3A4BBDDD" w14:textId="4E407DDA" w:rsidR="004A5A33" w:rsidRDefault="004A5A33">
          <w:pPr>
            <w:pStyle w:val="TOC2"/>
            <w:tabs>
              <w:tab w:val="right" w:leader="dot" w:pos="8296"/>
            </w:tabs>
            <w:rPr>
              <w:rFonts w:cstheme="minorBidi" w:hint="eastAsia"/>
              <w:noProof/>
              <w:kern w:val="2"/>
              <w:szCs w:val="24"/>
              <w14:ligatures w14:val="standardContextual"/>
            </w:rPr>
          </w:pPr>
          <w:hyperlink w:anchor="_Toc228913910" w:history="1">
            <w:r w:rsidRPr="007D7CDF">
              <w:rPr>
                <w:rStyle w:val="af8"/>
                <w:rFonts w:hint="eastAsia"/>
                <w:noProof/>
              </w:rPr>
              <w:t>8.4 Limitations and Future Directions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_Toc228913910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41</w:t>
            </w:r>
            <w:r>
              <w:rPr>
                <w:rFonts w:hint="eastAsia"/>
                <w:noProof/>
                <w:webHidden/>
              </w:rPr>
              <w:fldChar w:fldCharType="end"/>
            </w:r>
          </w:hyperlink>
        </w:p>
        <w:p w14:paraId="06BF9BF5" w14:textId="0B43AC53" w:rsidR="004A5A33" w:rsidRDefault="004A5A33">
          <w:pPr>
            <w:pStyle w:val="TOC1"/>
            <w:tabs>
              <w:tab w:val="right" w:leader="dot" w:pos="8296"/>
            </w:tabs>
            <w:rPr>
              <w:rFonts w:cstheme="minorBidi" w:hint="eastAsia"/>
              <w:noProof/>
              <w:kern w:val="2"/>
              <w:szCs w:val="24"/>
              <w14:ligatures w14:val="standardContextual"/>
            </w:rPr>
          </w:pPr>
          <w:hyperlink w:anchor="_Toc228913911" w:history="1">
            <w:r w:rsidRPr="007D7CDF">
              <w:rPr>
                <w:rStyle w:val="af8"/>
                <w:rFonts w:hint="eastAsia"/>
                <w:noProof/>
              </w:rPr>
              <w:t>References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_Toc228913911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43</w:t>
            </w:r>
            <w:r>
              <w:rPr>
                <w:rFonts w:hint="eastAsia"/>
                <w:noProof/>
                <w:webHidden/>
              </w:rPr>
              <w:fldChar w:fldCharType="end"/>
            </w:r>
          </w:hyperlink>
        </w:p>
        <w:p w14:paraId="7FCEC337" w14:textId="532057EE" w:rsidR="004A5A33" w:rsidRDefault="004A5A33">
          <w:pPr>
            <w:pStyle w:val="TOC1"/>
            <w:tabs>
              <w:tab w:val="right" w:leader="dot" w:pos="8296"/>
            </w:tabs>
            <w:rPr>
              <w:rFonts w:cstheme="minorBidi" w:hint="eastAsia"/>
              <w:noProof/>
              <w:kern w:val="2"/>
              <w:szCs w:val="24"/>
              <w14:ligatures w14:val="standardContextual"/>
            </w:rPr>
          </w:pPr>
          <w:hyperlink w:anchor="_Toc228913912" w:history="1">
            <w:r w:rsidRPr="007D7CDF">
              <w:rPr>
                <w:rStyle w:val="af8"/>
                <w:rFonts w:hint="eastAsia"/>
                <w:noProof/>
              </w:rPr>
              <w:t>Appendix A: Dataset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_Toc228913912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46</w:t>
            </w:r>
            <w:r>
              <w:rPr>
                <w:rFonts w:hint="eastAsia"/>
                <w:noProof/>
                <w:webHidden/>
              </w:rPr>
              <w:fldChar w:fldCharType="end"/>
            </w:r>
          </w:hyperlink>
        </w:p>
        <w:p w14:paraId="3A24248B" w14:textId="4105EF92" w:rsidR="004A5A33" w:rsidRDefault="004A5A33">
          <w:pPr>
            <w:pStyle w:val="TOC1"/>
            <w:tabs>
              <w:tab w:val="right" w:leader="dot" w:pos="8296"/>
            </w:tabs>
            <w:rPr>
              <w:rFonts w:cstheme="minorBidi" w:hint="eastAsia"/>
              <w:noProof/>
              <w:kern w:val="2"/>
              <w:szCs w:val="24"/>
              <w14:ligatures w14:val="standardContextual"/>
            </w:rPr>
          </w:pPr>
          <w:hyperlink w:anchor="_Toc228913913" w:history="1">
            <w:r w:rsidRPr="007D7CDF">
              <w:rPr>
                <w:rStyle w:val="af8"/>
                <w:rFonts w:hint="eastAsia"/>
                <w:noProof/>
              </w:rPr>
              <w:t>Appendix B: Experimental Evaluation Values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_Toc228913913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46</w:t>
            </w:r>
            <w:r>
              <w:rPr>
                <w:rFonts w:hint="eastAsia"/>
                <w:noProof/>
                <w:webHidden/>
              </w:rPr>
              <w:fldChar w:fldCharType="end"/>
            </w:r>
          </w:hyperlink>
        </w:p>
        <w:p w14:paraId="179AC33D" w14:textId="5DDD09E9" w:rsidR="004A5A33" w:rsidRDefault="004A5A33">
          <w:pPr>
            <w:pStyle w:val="TOC1"/>
            <w:tabs>
              <w:tab w:val="right" w:leader="dot" w:pos="8296"/>
            </w:tabs>
            <w:rPr>
              <w:rFonts w:cstheme="minorBidi" w:hint="eastAsia"/>
              <w:noProof/>
              <w:kern w:val="2"/>
              <w:szCs w:val="24"/>
              <w14:ligatures w14:val="standardContextual"/>
            </w:rPr>
          </w:pPr>
          <w:hyperlink w:anchor="_Toc228913914" w:history="1">
            <w:r w:rsidRPr="007D7CDF">
              <w:rPr>
                <w:rStyle w:val="af8"/>
                <w:rFonts w:hint="eastAsia"/>
                <w:noProof/>
              </w:rPr>
              <w:t>Appendix C: Raw data of Table 3</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_Toc228913914 \h</w:instrText>
            </w:r>
            <w:r>
              <w:rPr>
                <w:rFonts w:hint="eastAsia"/>
                <w:noProof/>
                <w:webHidden/>
              </w:rPr>
              <w:instrText xml:space="preserve"> </w:instrText>
            </w:r>
            <w:r>
              <w:rPr>
                <w:rFonts w:hint="eastAsia"/>
                <w:noProof/>
                <w:webHidden/>
              </w:rPr>
            </w:r>
            <w:r>
              <w:rPr>
                <w:rFonts w:hint="eastAsia"/>
                <w:noProof/>
                <w:webHidden/>
              </w:rPr>
              <w:fldChar w:fldCharType="separate"/>
            </w:r>
            <w:r w:rsidR="00654551">
              <w:rPr>
                <w:rFonts w:hint="eastAsia"/>
                <w:noProof/>
                <w:webHidden/>
              </w:rPr>
              <w:t>46</w:t>
            </w:r>
            <w:r>
              <w:rPr>
                <w:rFonts w:hint="eastAsia"/>
                <w:noProof/>
                <w:webHidden/>
              </w:rPr>
              <w:fldChar w:fldCharType="end"/>
            </w:r>
          </w:hyperlink>
        </w:p>
        <w:p w14:paraId="3A1BAEF6" w14:textId="2740AD5D" w:rsidR="00DC4709" w:rsidRDefault="00DC4709">
          <w:pPr>
            <w:rPr>
              <w:rFonts w:hint="eastAsia"/>
            </w:rPr>
          </w:pPr>
          <w:r>
            <w:rPr>
              <w:b/>
              <w:bCs/>
              <w:lang w:val="zh-CN"/>
            </w:rPr>
            <w:fldChar w:fldCharType="end"/>
          </w:r>
        </w:p>
      </w:sdtContent>
    </w:sdt>
    <w:p w14:paraId="6535BFB8" w14:textId="77777777" w:rsidR="00DC4709" w:rsidRPr="00DC4709" w:rsidRDefault="00DC4709" w:rsidP="00DC4709">
      <w:pPr>
        <w:pStyle w:val="a3"/>
        <w:rPr>
          <w:rFonts w:hint="eastAsia"/>
        </w:rPr>
        <w:sectPr w:rsidR="00DC4709" w:rsidRPr="00DC4709" w:rsidSect="00B57CBF">
          <w:footerReference w:type="default" r:id="rId10"/>
          <w:pgSz w:w="11906" w:h="16838"/>
          <w:pgMar w:top="1440" w:right="1800" w:bottom="1440" w:left="1800" w:header="851" w:footer="992" w:gutter="0"/>
          <w:pgNumType w:fmt="lowerRoman" w:start="1"/>
          <w:cols w:space="425"/>
          <w:docGrid w:type="lines" w:linePitch="312"/>
        </w:sectPr>
      </w:pPr>
    </w:p>
    <w:p w14:paraId="69CED677" w14:textId="77777777" w:rsidR="001D631B" w:rsidRPr="001D631B" w:rsidRDefault="001D631B" w:rsidP="001D631B">
      <w:pPr>
        <w:pStyle w:val="a3"/>
        <w:rPr>
          <w:rFonts w:hint="eastAsia"/>
        </w:rPr>
      </w:pPr>
    </w:p>
    <w:p w14:paraId="2B0DBA43" w14:textId="2E2A206A" w:rsidR="002C44EF" w:rsidRPr="00D22B50" w:rsidRDefault="002C44EF" w:rsidP="00F61464">
      <w:pPr>
        <w:pStyle w:val="1"/>
        <w:rPr>
          <w:rFonts w:hint="eastAsia"/>
        </w:rPr>
      </w:pPr>
      <w:bookmarkStart w:id="0" w:name="_Toc228913804"/>
      <w:r w:rsidRPr="00D22B50">
        <w:t>1. Abstract</w:t>
      </w:r>
      <w:bookmarkEnd w:id="0"/>
    </w:p>
    <w:p w14:paraId="0FC7E92F" w14:textId="694F753B" w:rsidR="00243B98" w:rsidRPr="00D22B50" w:rsidRDefault="00243B98" w:rsidP="00FA00E5">
      <w:pPr>
        <w:pStyle w:val="af5"/>
        <w:spacing w:before="156" w:after="156"/>
      </w:pPr>
      <w:r w:rsidRPr="00D22B50">
        <w:t xml:space="preserve">The widespread deployment of Advanced Metering Infrastructure (AMI) necessitates accurate Short-Term Load Forecasting (STLF) for demand-side management. However, newly commissioned residential meters suffer from the </w:t>
      </w:r>
      <w:r w:rsidR="00BD7543">
        <w:t>“</w:t>
      </w:r>
      <w:r w:rsidRPr="00D22B50">
        <w:t>cold-start</w:t>
      </w:r>
      <w:r w:rsidR="00BD7543">
        <w:t>”</w:t>
      </w:r>
      <w:r w:rsidRPr="00D22B50">
        <w:t xml:space="preserve"> problem—a critical data-scarcity period where traditional high-capacity neural networks fail to converge. While transfer learning and Attention-based models (Transformers) dominate data-rich forecasting, their efficacy in extreme small-sample regimes remains critically underexplored. This study proposes a multivariate transfer learning framework to mitigate the cold-start bottleneck, executing a head-to-head empirical benchmark between Recurrence-based (LSTM) and Attention-based (Transformer) architectures. Utilizing the London Smart Meter dataset, models were pre-trained on a source domain, optimized via the Optuna Bayesian framework to successfully eliminate negative transfer, and subjected to a strict 10-day adaptive fine-tuning window across 30 diverse target households.</w:t>
      </w:r>
    </w:p>
    <w:p w14:paraId="03497636" w14:textId="77B22432" w:rsidR="00243B98" w:rsidRPr="00D22B50" w:rsidRDefault="00243B98" w:rsidP="00FA00E5">
      <w:pPr>
        <w:pStyle w:val="af5"/>
        <w:spacing w:before="156" w:after="156"/>
      </w:pPr>
      <w:r w:rsidRPr="00D22B50">
        <w:t xml:space="preserve">The results establish a definitive performance hierarchy: the proposed fine-tuning strategy significantly outperformed the scratch-training baseline, reducing the Mean Squared Error (MSE) from 0.7080 to 0.4849. Crucially, the comparative analysis reveals that the fine-tuned LSTM framework (MSE: 0.4849) empirically outperforms the Transformer (MSE: 0.4984) under extreme data constraints. This divergence demonstrates that the sequential </w:t>
      </w:r>
      <w:r w:rsidR="00BD7543">
        <w:t>“</w:t>
      </w:r>
      <w:r w:rsidRPr="00D22B50">
        <w:t>inductive bias</w:t>
      </w:r>
      <w:r w:rsidR="00BD7543">
        <w:t>”</w:t>
      </w:r>
      <w:r w:rsidRPr="00D22B50">
        <w:t xml:space="preserve"> of LSTMs acts as a powerful structural regularizer against localized stochastic noise, whereas the </w:t>
      </w:r>
      <w:r w:rsidR="00BD7543">
        <w:t>“</w:t>
      </w:r>
      <w:r w:rsidRPr="00D22B50">
        <w:t>data-hungry</w:t>
      </w:r>
      <w:r w:rsidR="00BD7543">
        <w:t>”</w:t>
      </w:r>
      <w:r w:rsidRPr="00D22B50">
        <w:t xml:space="preserve"> self-attention mechanism struggles to converge reliably without sufficient samples. Ultimately, the proposed framework acts as a </w:t>
      </w:r>
      <w:r w:rsidR="00BD7543">
        <w:t>“</w:t>
      </w:r>
      <w:r w:rsidRPr="00D22B50">
        <w:t>variance compressor,</w:t>
      </w:r>
      <w:r w:rsidR="00BD7543">
        <w:t>”</w:t>
      </w:r>
      <w:r w:rsidRPr="00D22B50">
        <w:t xml:space="preserve"> mitigating forecasting tail risk and enabling utility operators to bypass the traditional data-accumulation phase, thereby facilitating the highly reliable, Day-1 deployment of smart grid services.</w:t>
      </w:r>
    </w:p>
    <w:p w14:paraId="6F696416" w14:textId="5F183B8D" w:rsidR="002C44EF" w:rsidRPr="00D22B50" w:rsidRDefault="00D22B50" w:rsidP="00D22B50">
      <w:pPr>
        <w:pStyle w:val="af5"/>
        <w:spacing w:before="156" w:after="156"/>
      </w:pPr>
      <w:r w:rsidRPr="00D22B50">
        <w:rPr>
          <w:rFonts w:eastAsiaTheme="minorEastAsia" w:hint="eastAsia"/>
        </w:rPr>
        <w:t>Key Words</w:t>
      </w:r>
      <w:r w:rsidR="00243B98" w:rsidRPr="00D22B50">
        <w:t>: Short-Term Load Forecasting, Cold-Start Problem, Transfer Learning, Long Short-Term Memory (LSTM), Transformer, Inductive Bias, Smart Grid.</w:t>
      </w:r>
    </w:p>
    <w:p w14:paraId="6BF035B0" w14:textId="6050B239" w:rsidR="00AC7269" w:rsidRPr="00D22B50" w:rsidRDefault="00AC7269" w:rsidP="00F61464">
      <w:pPr>
        <w:pStyle w:val="1"/>
        <w:rPr>
          <w:rFonts w:hint="eastAsia"/>
        </w:rPr>
      </w:pPr>
      <w:bookmarkStart w:id="1" w:name="_Toc228913805"/>
      <w:r w:rsidRPr="00D22B50">
        <w:lastRenderedPageBreak/>
        <w:t>2. Introduction</w:t>
      </w:r>
      <w:bookmarkEnd w:id="1"/>
    </w:p>
    <w:p w14:paraId="6088E17D" w14:textId="77777777" w:rsidR="00753254" w:rsidRPr="00D22B50" w:rsidRDefault="00753254" w:rsidP="00F61464">
      <w:pPr>
        <w:pStyle w:val="2"/>
        <w:rPr>
          <w:rFonts w:hint="eastAsia"/>
        </w:rPr>
      </w:pPr>
      <w:bookmarkStart w:id="2" w:name="_Toc228913806"/>
      <w:r w:rsidRPr="00D22B50">
        <w:rPr>
          <w:rFonts w:hint="eastAsia"/>
        </w:rPr>
        <w:t>2.1 The Global Energy Transition and the Role of Smart Grids</w:t>
      </w:r>
      <w:bookmarkEnd w:id="2"/>
    </w:p>
    <w:p w14:paraId="5FE9BFE9" w14:textId="0861B889" w:rsidR="00753254" w:rsidRPr="00D22B50" w:rsidRDefault="00753254" w:rsidP="00FA00E5">
      <w:pPr>
        <w:pStyle w:val="af5"/>
        <w:spacing w:before="156" w:after="156"/>
        <w:rPr>
          <w:rFonts w:eastAsiaTheme="minorEastAsia"/>
        </w:rPr>
      </w:pPr>
      <w:r w:rsidRPr="00D22B50">
        <w:rPr>
          <w:rFonts w:hint="eastAsia"/>
        </w:rPr>
        <w:t xml:space="preserve">The contemporary global energy landscape is currently traversing a period of profound and irreversible transformation, moving away from centralized fossil-fuel-based architectures toward decentralized, sustainable, and highly intelligent power systems. This macro-scale shift is primarily catalyzed by the urgent international mandate to achieve carbon neutrality by the mid-century, a goal that necessitates the massive integration of volatile and intermittent renewable energy sources, most notably solar and wind power. As the penetration of these non-dispatchable energy sources increases, the physical inertia of the traditional grid decreases, leading to significant challenges in maintaining frequency stability and voltage regulation. To manage the inherent complexity and stochastic nature of these green energy sources, the power industry has pivoted toward the large-scale implementation of Smart Grids. This paradigm shift is fundamentally characterized by the widespread integration and deployment of Advanced Metering Infrastructure (AMI) </w:t>
      </w:r>
      <w:r w:rsidR="00FD5200" w:rsidRPr="00D22B50">
        <w:fldChar w:fldCharType="begin"/>
      </w:r>
      <w:r w:rsidR="00FD5200" w:rsidRPr="00D22B50">
        <w:instrText xml:space="preserve"> ADDIN ZOTERO_ITEM CSL_CITATION {"citationID":"whsCeSlu","properties":{"formattedCitation":"[1]","plainCitation":"[1]","noteIndex":0},"citationItems":[{"id":539,"uris":["http://zotero.org/users/local/p3tV44H5/items/HWZLV4UQ"],"itemData":{"id":539,"type":"article-journal","abstract":"Accurate forecasting of electricity demand is vital to the resilient management of energy systems. Recent efforts in harnessing smart-meter data to improve forecasting accuracy have primarily centered around cluster-based approaches (CBAs), where smart-meter data are grouped into a small number of clusters and separate prediction models are developed for each cluster. The cluster-based predictions are then aggregated to compute the total demand. CBAs have provided promising results compared to conventional approaches that are generally not conducive to integrating smart-meter data. However, CBAs are computationally costly and suffer from the curse of dimensionality, especially under scenarios involving smart-meter data from millions of customers. In this work, we propose an efficient reduced model approach (RMA) that leverages a novel hierarchical dimension reduction algorithm to enable the integration of fine-resolution high-dimensional smart-meter data for millions of customers in load prediction. We demonstrate the applicability of our proposed approach by using data from a utility company, based in Illinois, United States, with more than 3.7 million customers and present model performance in-terms of forecast accuracy. The proposed hierarchical dimension reduction approach enables utilizing the high-resolution data from smart-meters in a scalable manner that is not exploitable otherwise. The results shows significant improvements in forecast accuracy compared to the available approaches that either do not harness fine-resolution data or are not scalable to large-scale smart-meter big data.","container-title":"IEEE Access","DOI":"10.1109/ACCESS.2022.3142680","ISSN":"2169-3536","page":"8377-8387","source":"IEEE Xplore","title":"Smart-Meter Big Data for Load Forecasting: An Alternative Approach to Clustering","title-short":"Smart-Meter Big Data for Load Forecasting","volume":"10","author":[{"family":"Alemazkoor","given":"Negin"},{"family":"Tootkaboni","given":"Mazdak"},{"family":"Nateghi","given":"Roshanak"},{"family":"Louhghalam","given":"Arghavan"}],"issued":{"date-parts":[["2022"]]}}}],"schema":"https://github.com/citation-style-language/schema/raw/master/csl-citation.json"} </w:instrText>
      </w:r>
      <w:r w:rsidR="00FD5200" w:rsidRPr="00D22B50">
        <w:fldChar w:fldCharType="separate"/>
      </w:r>
      <w:r w:rsidR="00FD5200" w:rsidRPr="00D22B50">
        <w:rPr>
          <w:rFonts w:cs="Times New Roman"/>
        </w:rPr>
        <w:t>[1]</w:t>
      </w:r>
      <w:r w:rsidR="00FD5200" w:rsidRPr="00D22B50">
        <w:fldChar w:fldCharType="end"/>
      </w:r>
      <w:r w:rsidRPr="00D22B50">
        <w:rPr>
          <w:rFonts w:hint="eastAsia"/>
        </w:rPr>
        <w:t>.</w:t>
      </w:r>
    </w:p>
    <w:p w14:paraId="7540C486" w14:textId="72582DB0" w:rsidR="00753254" w:rsidRPr="00D22B50" w:rsidRDefault="00236858" w:rsidP="00FA00E5">
      <w:pPr>
        <w:pStyle w:val="af5"/>
        <w:spacing w:before="156" w:after="156"/>
        <w:rPr>
          <w:rFonts w:eastAsiaTheme="minorEastAsia"/>
        </w:rPr>
      </w:pPr>
      <w:r w:rsidRPr="00D22B50">
        <w:t xml:space="preserve">AMI serves as the sensory nervous system of the intelligent grid, comprising high-precision smart meters, advanced bidirectional communication networks, and sophisticated Meter Data Management Systems </w:t>
      </w:r>
      <w:r w:rsidR="00FD5200" w:rsidRPr="00D22B50">
        <w:fldChar w:fldCharType="begin"/>
      </w:r>
      <w:r w:rsidR="00FD5200" w:rsidRPr="00D22B50">
        <w:instrText xml:space="preserve"> ADDIN ZOTERO_ITEM CSL_CITATION {"citationID":"FiDngZks","properties":{"formattedCitation":"[1], [2], [3]","plainCitation":"[1], [2], [3]","noteIndex":0},"citationItems":[{"id":539,"uris":["http://zotero.org/users/local/p3tV44H5/items/HWZLV4UQ"],"itemData":{"id":539,"type":"article-journal","abstract":"Accurate forecasting of electricity demand is vital to the resilient management of energy systems. Recent efforts in harnessing smart-meter data to improve forecasting accuracy have primarily centered around cluster-based approaches (CBAs), where smart-meter data are grouped into a small number of clusters and separate prediction models are developed for each cluster. The cluster-based predictions are then aggregated to compute the total demand. CBAs have provided promising results compared to conventional approaches that are generally not conducive to integrating smart-meter data. However, CBAs are computationally costly and suffer from the curse of dimensionality, especially under scenarios involving smart-meter data from millions of customers. In this work, we propose an efficient reduced model approach (RMA) that leverages a novel hierarchical dimension reduction algorithm to enable the integration of fine-resolution high-dimensional smart-meter data for millions of customers in load prediction. We demonstrate the applicability of our proposed approach by using data from a utility company, based in Illinois, United States, with more than 3.7 million customers and present model performance in-terms of forecast accuracy. The proposed hierarchical dimension reduction approach enables utilizing the high-resolution data from smart-meters in a scalable manner that is not exploitable otherwise. The results shows significant improvements in forecast accuracy compared to the available approaches that either do not harness fine-resolution data or are not scalable to large-scale smart-meter big data.","container-title":"IEEE Access","DOI":"10.1109/ACCESS.2022.3142680","ISSN":"2169-3536","page":"8377-8387","source":"IEEE Xplore","title":"Smart-Meter Big Data for Load Forecasting: An Alternative Approach to Clustering","title-short":"Smart-Meter Big Data for Load Forecasting","volume":"10","author":[{"family":"Alemazkoor","given":"Negin"},{"family":"Tootkaboni","given":"Mazdak"},{"family":"Nateghi","given":"Roshanak"},{"family":"Louhghalam","given":"Arghavan"}],"issued":{"date-parts":[["2022"]]}}},{"id":611,"uris":["http://zotero.org/users/local/p3tV44H5/items/6LHZDVUQ"],"itemData":{"id":611,"type":"article-journal","abstract":"Data analytics are now playing a more important role in the modern industrial systems. Driven by the development of information and communication technology, an information layer is now added to the conventional electricity transmission and distribution network for data collection, storage and analysis with the help of wide installation of smart meters and sensors. This paper introduces the big data analytics and corresponding applications in smart grids. The characterizations of big data, smart grids as well as huge amount of data collection are firstly discussed as a prelude to illustrating the motivation and potential advantages of implementing advanced data analytics in smart grids. Basic concepts and the procedures of the typical data analytics for general problems are also discussed. The advanced applications of different data analytics in smart grids are addressed as the main part of this paper. By dealing with huge amount of data from electricity network, meteorological information system, geographical information system etc., many benefits can be brought to the existing power system and improve the customer service as well as the social welfare in the era of big data. However, to advance the applications of the big data analytics in real smart grids, many issues such as techniques, awareness, synergies, etc., have to be overcome.","container-title":"Energy Informatics","DOI":"10.1186/s42162-018-0007-5","ISSN":"2520-8942","issue":"1","journalAbbreviation":"Energy Inform","language":"en","page":"8","source":"Springer Link","title":"Big data analytics in smart grids: a review","title-short":"Big data analytics in smart grids","volume":"1","author":[{"family":"Zhang","given":"Yang"},{"family":"Huang","given":"Tao"},{"family":"Bompard","given":"Ettore Francesco"}],"issued":{"date-parts":[["2018",8,13]]}}},{"id":602,"uris":["http://zotero.org/users/local/p3tV44H5/items/WARSYNUR"],"itemData":{"id":602,"type":"paper-conference","abstract":"Smart meter is an advanced energy meter that measures consumption of electrical energy providing additional information compared to a conventional energy meter. Integration of smart meters into electricity grid involves implementation of a variety of techniques and software, depending on the features that the situation demands. Design of a smart meter depends on the requirements of the utility company as well as the customer. This paper discusses various features and technologies that can be integrated with a smart meter. In fact, deployment of smart meters needs proper selection and implementation of a communication network satisfying the security standards of smart grid communication. This paper outlines various issues and challenges involved in design, deployment, utilization, and maintenance of the smart meter infrastructure. In addition, several applications and advantages of smart meter, in the view of future electricity market are discussed in detail. This paper explains the importance of introducing smart meters in developing countries. In addition, the status of smart metering in various countries is also illustrated.","container-title":"2011 IEEE/PES Power Systems Conference and Exposition","DOI":"10.1109/PSCE.2011.5772451","event-title":"2011 IEEE/PES Power Systems Conference and Exposition","page":"1-7","source":"IEEE Xplore","title":"Smart meters for power grid — Challenges, issues, advantages and status","URL":"https://ieeexplore.ieee.org/abstract/document/5772451","author":[{"family":"Depuru","given":"Soma Shekara Sreenadh Reddy"},{"family":"Wang","given":"Lingfeng"},{"family":"Devabhaktuni","given":"Vijay"},{"family":"Gudi","given":"Nikhil"}],"accessed":{"date-parts":[["2026",5,1]]},"issued":{"date-parts":[["2011",3]]}}}],"schema":"https://github.com/citation-style-language/schema/raw/master/csl-citation.json"} </w:instrText>
      </w:r>
      <w:r w:rsidR="00FD5200" w:rsidRPr="00D22B50">
        <w:fldChar w:fldCharType="separate"/>
      </w:r>
      <w:r w:rsidR="00FD5200" w:rsidRPr="00D22B50">
        <w:rPr>
          <w:rFonts w:cs="Times New Roman"/>
        </w:rPr>
        <w:t>[1], [2], [3]</w:t>
      </w:r>
      <w:r w:rsidR="00FD5200" w:rsidRPr="00D22B50">
        <w:fldChar w:fldCharType="end"/>
      </w:r>
      <w:r w:rsidRPr="00D22B50">
        <w:t>.</w:t>
      </w:r>
      <w:r w:rsidR="00753254" w:rsidRPr="00D22B50">
        <w:rPr>
          <w:rFonts w:hint="eastAsia"/>
        </w:rPr>
        <w:t xml:space="preserve"> Unlike traditional power grids that operate on a rigid, one-way energy flow and rely on low-resolution, manual monthly consumption metrics, smart grids leverage high-frequency and granular data to create a dynamic, bidirectional communication ecosystem. In this modern context, electricity is no longer just a physical commodity but is inextricably linked to a digital information layer. This technological evolution has effectively transformed traditional, reactive power systems into proactive, data-driven environments where information and predictive analytics serve as strategic assets for ensuring grid stability and efficiency </w:t>
      </w:r>
      <w:r w:rsidR="00FD5200" w:rsidRPr="00D22B50">
        <w:fldChar w:fldCharType="begin"/>
      </w:r>
      <w:r w:rsidR="00FD5200" w:rsidRPr="00D22B50">
        <w:instrText xml:space="preserve"> ADDIN ZOTERO_ITEM CSL_CITATION {"citationID":"SoqYWpjC","properties":{"formattedCitation":"[4]","plainCitation":"[4]","noteIndex":0},"citationItems":[{"id":567,"uris":["http://zotero.org/users/local/p3tV44H5/items/J38MU6UU"],"itemData":{"id":567,"type":"article-journal","abstract":"The current electric power system witnesses a significant transition into Smart Grids (SG) as a promising landscape for high grid reliability and efficient energy management. This ongoing transition undergoes rapid changes, requiring a plethora of advanced methodologies to process the big data generated by various units. In this context, SG stands tied very closely to Deep Learning (DL) as an emerging technology for creating a more decentralized and intelligent energy paradigm while integrating high intelligence in supervisory and operational decision-making. Motivated by the outstanding success of DL-based prediction methods, this article attempts to provide a thorough review from a broad perspective on the state-of-the-art advances of DL in SG systems. Firstly, a bibliometric analysis has been conducted to categorize this review's methodology. Further, we taxonomically delve into the mechanism behind some of the trending DL algorithms. We then showcase the DL enabling technologies in SG, such as federated learning, edge intelligence, and distributed computing. Finally, challenges and research frontiers are provided to serve as guidelines for future work in the futuristic power grid domain. This study's core objective is to foster the synergy between these two fields for decision-makers and researchers to accelerate DL's practical deployment for SG systems.","container-title":"IEEE Access","DOI":"10.1109/ACCESS.2021.3071269","ISSN":"2169-3536","page":"54558-54578","source":"IEEE Xplore","title":"Deep Learning in Smart Grid Technology: A Review of Recent Advancements and Future Prospects","title-short":"Deep Learning in Smart Grid Technology","volume":"9","author":[{"family":"Massaoudi","given":"Mohamed"},{"family":"Abu-Rub","given":"Haitham"},{"family":"Refaat","given":"Shady S."},{"family":"Chihi","given":"Ines"},{"family":"Oueslati","given":"Fakhreddine S."}],"issued":{"date-parts":[["2021"]]}}}],"schema":"https://github.com/citation-style-language/schema/raw/master/csl-citation.json"} </w:instrText>
      </w:r>
      <w:r w:rsidR="00FD5200" w:rsidRPr="00D22B50">
        <w:fldChar w:fldCharType="separate"/>
      </w:r>
      <w:r w:rsidR="00FD5200" w:rsidRPr="00D22B50">
        <w:rPr>
          <w:rFonts w:cs="Times New Roman"/>
        </w:rPr>
        <w:t>[4]</w:t>
      </w:r>
      <w:r w:rsidR="00FD5200" w:rsidRPr="00D22B50">
        <w:fldChar w:fldCharType="end"/>
      </w:r>
      <w:r w:rsidR="00753254" w:rsidRPr="00D22B50">
        <w:rPr>
          <w:rFonts w:hint="eastAsia"/>
        </w:rPr>
        <w:t>.</w:t>
      </w:r>
    </w:p>
    <w:p w14:paraId="6E9D7EF6" w14:textId="5ED8D00A" w:rsidR="00AC7269" w:rsidRPr="00D22B50" w:rsidRDefault="00753254" w:rsidP="00FA00E5">
      <w:pPr>
        <w:pStyle w:val="af5"/>
        <w:spacing w:before="156" w:after="156"/>
      </w:pPr>
      <w:r w:rsidRPr="00D22B50">
        <w:rPr>
          <w:rFonts w:hint="eastAsia"/>
        </w:rPr>
        <w:t xml:space="preserve">The transition also facilitates the rise of </w:t>
      </w:r>
      <w:r w:rsidR="00BD7543">
        <w:t>“</w:t>
      </w:r>
      <w:r w:rsidRPr="00D22B50">
        <w:rPr>
          <w:rFonts w:hint="eastAsia"/>
        </w:rPr>
        <w:t>prosumers,</w:t>
      </w:r>
      <w:r w:rsidR="00BD7543">
        <w:t>”</w:t>
      </w:r>
      <w:r w:rsidRPr="00D22B50">
        <w:rPr>
          <w:rFonts w:hint="eastAsia"/>
        </w:rPr>
        <w:t xml:space="preserve"> residential users who both consume and produce energy through distributed resources like rooftop solar panels and electric vehicles. This decentralized generation complicates the net load profile, making accurate forecasting at the individual level more critical than ever before. The core objective of these socio-technical advancements is to optimize the synchronization between real-time electricity generation and end-user demand. By utilizing granular STLF models, utility providers can achieve a higher degree of precision in balancing the grid, thereby minimizing energy waste and reducing the massive operational costs associated with maintaining excess spinning reserves or deploying expensive, high-carbon peaker plants during periods of unexpected demand surges. Ultimately, this accurate anticipation of load fluctuations is a prerequisite for the successful </w:t>
      </w:r>
      <w:r w:rsidRPr="00D22B50">
        <w:rPr>
          <w:rFonts w:hint="eastAsia"/>
        </w:rPr>
        <w:lastRenderedPageBreak/>
        <w:t xml:space="preserve">implementation of Demand-Side Management (DSM) strategies </w:t>
      </w:r>
      <w:r w:rsidR="00FD5200" w:rsidRPr="00D22B50">
        <w:fldChar w:fldCharType="begin"/>
      </w:r>
      <w:r w:rsidR="00FD5200" w:rsidRPr="00D22B50">
        <w:instrText xml:space="preserve"> ADDIN ZOTERO_ITEM CSL_CITATION {"citationID":"vRctMLQA","properties":{"formattedCitation":"[5]","plainCitation":"[5]","noteIndex":0},"citationItems":[{"id":542,"uris":["http://zotero.org/users/local/p3tV44H5/items/WNFTH4DZ"],"itemData":{"id":542,"type":"article-journal","abstract":"Power grids are transforming into flexible, smart, and cooperative systems with greater dissemination of distributed energy resources, advanced metering infrastructure, and advanced communication technologies. Short-term electric load forecasting for individual residential customers plays a progressively crucial role in the operation and planning of future grids. Compared to the aggregated electrical load at the community level, the prediction of individual household electric loads is legitimately challenging because of the high uncertainty and volatility involved. Results from previous studies show that prediction using machine learning and deep learning models is far from accurate, and there is still room for improvement. We herein propose a deep learning framework based on a combination of a convolutional neural network (CNN) and long short-term memory (LSTM). The proposed hybrid CNN-LSTM model uses CNN layers for feature extraction from the input data with LSTM layers for sequence learning. The performance of our developed framework is comprehensively compared to state-of-the-art systems currently in use for short-term individual household electric load forecasting. The proposed model achieved significantly better results compared to other competing techniques. We evaluated our proposed model with the recently explored LSTM-based deep learning model on a publicly available electrical load data of individual household customers from the Smart Grid Smart City (SGSC) project. We obtained an average mean absolute percentage error (MAPE) of 40.38% for individual household electric load forecasts in comparison with the LSTM-based model that obtained an average MAPE of 44.06%. Furthermore, we evaluated the effectiveness of the proposed model on different time horizons (up to 3 h ahead). Compared to the recently developed LSTM-based model tested on the same dataset, we obtained 4.01%, 4.76%, and 5.98% improvement for one, two, and six look-forward time steps, respectively (with 2 lookback time steps). Additionally, we have performed clustering analysis based on the power consumption behavior of the energy users, which indicate that prediction accuracy could be improved by grouping and training the representative model using large amount of data. The results indicated that the proposed model outperforms the LSTM-based model for both 1 h ahead and 3 h ahead in forecasting individual household electric loads.","container-title":"IEEE Access","DOI":"10.1109/ACCESS.2020.3028281","ISSN":"2169-3536","page":"180544-180557","source":"IEEE Xplore","title":"Hybrid CNN-LSTM Model for Short-Term Individual Household Load Forecasting","volume":"8","author":[{"family":"Alhussein","given":"Musaed"},{"family":"Aurangzeb","given":"Khursheed"},{"family":"Haider","given":"Syed Irtaza"}],"issued":{"date-parts":[["2020"]]}}}],"schema":"https://github.com/citation-style-language/schema/raw/master/csl-citation.json"} </w:instrText>
      </w:r>
      <w:r w:rsidR="00FD5200" w:rsidRPr="00D22B50">
        <w:fldChar w:fldCharType="separate"/>
      </w:r>
      <w:r w:rsidR="00FD5200" w:rsidRPr="00D22B50">
        <w:rPr>
          <w:rFonts w:cs="Times New Roman"/>
        </w:rPr>
        <w:t>[5]</w:t>
      </w:r>
      <w:r w:rsidR="00FD5200" w:rsidRPr="00D22B50">
        <w:fldChar w:fldCharType="end"/>
      </w:r>
      <w:r w:rsidR="00AC7269" w:rsidRPr="00D22B50">
        <w:t>.</w:t>
      </w:r>
    </w:p>
    <w:p w14:paraId="599BDD54" w14:textId="4DCED0AB" w:rsidR="00753254" w:rsidRPr="00D22B50" w:rsidRDefault="00753254" w:rsidP="00F61464">
      <w:pPr>
        <w:pStyle w:val="2"/>
        <w:rPr>
          <w:rFonts w:hint="eastAsia"/>
        </w:rPr>
      </w:pPr>
      <w:bookmarkStart w:id="3" w:name="_Toc228913807"/>
      <w:r w:rsidRPr="00D22B50">
        <w:rPr>
          <w:rFonts w:hint="eastAsia"/>
        </w:rPr>
        <w:t>2.2 The Criticality of STLF</w:t>
      </w:r>
      <w:bookmarkEnd w:id="3"/>
    </w:p>
    <w:p w14:paraId="0B817E39" w14:textId="20CE14CB" w:rsidR="00753254" w:rsidRPr="00D22B50" w:rsidRDefault="00753254" w:rsidP="00FD5200">
      <w:pPr>
        <w:pStyle w:val="af5"/>
        <w:spacing w:before="156" w:after="156"/>
        <w:rPr>
          <w:rFonts w:eastAsiaTheme="minorEastAsia"/>
        </w:rPr>
      </w:pPr>
      <w:r w:rsidRPr="00D22B50">
        <w:rPr>
          <w:rFonts w:hint="eastAsia"/>
        </w:rPr>
        <w:t>Within the sophisticated framework of smart grid management,</w:t>
      </w:r>
      <w:r w:rsidR="00E75C1D">
        <w:rPr>
          <w:rFonts w:eastAsiaTheme="minorEastAsia" w:hint="eastAsia"/>
        </w:rPr>
        <w:t xml:space="preserve"> </w:t>
      </w:r>
      <w:r w:rsidRPr="00D22B50">
        <w:rPr>
          <w:rFonts w:hint="eastAsia"/>
        </w:rPr>
        <w:t xml:space="preserve">STLF at the residential level has emerged as a critical cornerstone for operational success. As the power grid transitions from a centralized </w:t>
      </w:r>
      <w:r w:rsidR="00BD7543">
        <w:t>“</w:t>
      </w:r>
      <w:r w:rsidRPr="00D22B50">
        <w:rPr>
          <w:rFonts w:hint="eastAsia"/>
        </w:rPr>
        <w:t>generation-follows-load</w:t>
      </w:r>
      <w:r w:rsidR="00BD7543">
        <w:t>”</w:t>
      </w:r>
      <w:r w:rsidRPr="00D22B50">
        <w:rPr>
          <w:rFonts w:hint="eastAsia"/>
        </w:rPr>
        <w:t xml:space="preserve"> model to a decentralized </w:t>
      </w:r>
      <w:r w:rsidR="00BD7543">
        <w:t>“</w:t>
      </w:r>
      <w:r w:rsidRPr="00D22B50">
        <w:rPr>
          <w:rFonts w:hint="eastAsia"/>
        </w:rPr>
        <w:t>load-follows-generation</w:t>
      </w:r>
      <w:r w:rsidR="00BD7543">
        <w:t>”</w:t>
      </w:r>
      <w:r w:rsidRPr="00D22B50">
        <w:rPr>
          <w:rFonts w:hint="eastAsia"/>
        </w:rPr>
        <w:t xml:space="preserve"> paradigm, the ability to predict energy requirements with high temporal resolution becomes a non-negotiable requirement for system operators. Achieving high precision in STLF is essential for several technical, economic, and environmental reasons.</w:t>
      </w:r>
    </w:p>
    <w:p w14:paraId="01D41499" w14:textId="77777777" w:rsidR="00753254" w:rsidRPr="00D22B50" w:rsidRDefault="00753254" w:rsidP="00F61464">
      <w:pPr>
        <w:pStyle w:val="3"/>
        <w:rPr>
          <w:rFonts w:hint="eastAsia"/>
        </w:rPr>
      </w:pPr>
      <w:bookmarkStart w:id="4" w:name="_Toc228913808"/>
      <w:r w:rsidRPr="00D22B50">
        <w:rPr>
          <w:rFonts w:hint="eastAsia"/>
        </w:rPr>
        <w:t>2.2.1 Real-Time Stability and Asset Protection</w:t>
      </w:r>
      <w:bookmarkEnd w:id="4"/>
    </w:p>
    <w:p w14:paraId="2CB01ED6" w14:textId="3D48D59F" w:rsidR="00753254" w:rsidRPr="004F3598" w:rsidRDefault="00753254" w:rsidP="004F3598">
      <w:pPr>
        <w:pStyle w:val="af5"/>
        <w:spacing w:before="156" w:after="156"/>
        <w:rPr>
          <w:rFonts w:eastAsiaTheme="minorEastAsia"/>
        </w:rPr>
      </w:pPr>
      <w:r w:rsidRPr="00D22B50">
        <w:rPr>
          <w:rFonts w:hint="eastAsia"/>
        </w:rPr>
        <w:t>First, accurate forecasts allow grid operators to maintain real-time operational stability by preventing transformer overloads and managing peak demand surges</w:t>
      </w:r>
      <w:r w:rsidR="008F1B5F" w:rsidRPr="00D22B50">
        <w:rPr>
          <w:rFonts w:eastAsiaTheme="minorEastAsia" w:hint="eastAsia"/>
        </w:rPr>
        <w:t xml:space="preserve"> </w:t>
      </w:r>
      <w:r w:rsidR="008F1B5F" w:rsidRPr="00D22B50">
        <w:rPr>
          <w:rFonts w:eastAsiaTheme="minorEastAsia"/>
        </w:rPr>
        <w:fldChar w:fldCharType="begin"/>
      </w:r>
      <w:r w:rsidR="008F1B5F" w:rsidRPr="00D22B50">
        <w:rPr>
          <w:rFonts w:eastAsiaTheme="minorEastAsia"/>
        </w:rPr>
        <w:instrText xml:space="preserve"> ADDIN ZOTERO_ITEM CSL_CITATION {"citationID":"flXC4jAi","properties":{"formattedCitation":"[4]","plainCitation":"[4]","noteIndex":0},"citationItems":[{"id":567,"uris":["http://zotero.org/users/local/p3tV44H5/items/J38MU6UU"],"itemData":{"id":567,"type":"article-journal","abstract":"The current electric power system witnesses a significant transition into Smart Grids (SG) as a promising landscape for high grid reliability and efficient energy management. This ongoing transition undergoes rapid changes, requiring a plethora of advanced methodologies to process the big data generated by various units. In this context, SG stands tied very closely to Deep Learning (DL) as an emerging technology for creating a more decentralized and intelligent energy paradigm while integrating high intelligence in supervisory and operational decision-making. Motivated by the outstanding success of DL-based prediction methods, this article attempts to provide a thorough review from a broad perspective on the state-of-the-art advances of DL in SG systems. Firstly, a bibliometric analysis has been conducted to categorize this review's methodology. Further, we taxonomically delve into the mechanism behind some of the trending DL algorithms. We then showcase the DL enabling technologies in SG, such as federated learning, edge intelligence, and distributed computing. Finally, challenges and research frontiers are provided to serve as guidelines for future work in the futuristic power grid domain. This study's core objective is to foster the synergy between these two fields for decision-makers and researchers to accelerate DL's practical deployment for SG systems.","container-title":"IEEE Access","DOI":"10.1109/ACCESS.2021.3071269","ISSN":"2169-3536","page":"54558-54578","source":"IEEE Xplore","title":"Deep Learning in Smart Grid Technology: A Review of Recent Advancements and Future Prospects","title-short":"Deep Learning in Smart Grid Technology","volume":"9","author":[{"family":"Massaoudi","given":"Mohamed"},{"family":"Abu-Rub","given":"Haitham"},{"family":"Refaat","given":"Shady S."},{"family":"Chihi","given":"Ines"},{"family":"Oueslati","given":"Fakhreddine S."}],"issued":{"date-parts":[["2021"]]}}}],"schema":"https://github.com/citation-style-language/schema/raw/master/csl-citation.json"} </w:instrText>
      </w:r>
      <w:r w:rsidR="008F1B5F" w:rsidRPr="00D22B50">
        <w:rPr>
          <w:rFonts w:eastAsiaTheme="minorEastAsia"/>
        </w:rPr>
        <w:fldChar w:fldCharType="separate"/>
      </w:r>
      <w:r w:rsidR="008F1B5F" w:rsidRPr="00D22B50">
        <w:rPr>
          <w:rFonts w:eastAsiaTheme="minorEastAsia" w:cs="Times New Roman"/>
        </w:rPr>
        <w:t>[4]</w:t>
      </w:r>
      <w:r w:rsidR="008F1B5F" w:rsidRPr="00D22B50">
        <w:rPr>
          <w:rFonts w:eastAsiaTheme="minorEastAsia"/>
        </w:rPr>
        <w:fldChar w:fldCharType="end"/>
      </w:r>
      <w:r w:rsidRPr="00D22B50">
        <w:rPr>
          <w:rFonts w:hint="eastAsia"/>
        </w:rPr>
        <w:t>. In a traditional grid, assets such as distribution transformers and underground cables are designed with specific thermal limits. Unpredicted surges in residential demand—driven by the simultaneous use of high-power appliances—can cause these assets to exceed their operating temperatures, leading to accelerated insulation degradation or even catastrophic hardware failure. By utilizing granular STLF, utility providers can implement proactive grid reconfigurations or activate localized energy storage systems to buffer these peaks, thereby extending the lifespan of the physical infrastructure and reducing maintenance capital expenditure.</w:t>
      </w:r>
    </w:p>
    <w:p w14:paraId="7B9BBBEC" w14:textId="77777777" w:rsidR="00753254" w:rsidRPr="00D22B50" w:rsidRDefault="00753254" w:rsidP="00F61464">
      <w:pPr>
        <w:pStyle w:val="3"/>
        <w:rPr>
          <w:rFonts w:hint="eastAsia"/>
        </w:rPr>
      </w:pPr>
      <w:bookmarkStart w:id="5" w:name="_Toc228913809"/>
      <w:r w:rsidRPr="00D22B50">
        <w:rPr>
          <w:rFonts w:hint="eastAsia"/>
        </w:rPr>
        <w:t>2.2.2 Integration of Demand-Side Strategies</w:t>
      </w:r>
      <w:bookmarkEnd w:id="5"/>
    </w:p>
    <w:p w14:paraId="36949189" w14:textId="1F692C2A" w:rsidR="00753254" w:rsidRPr="00D22B50" w:rsidRDefault="00753254" w:rsidP="00FA00E5">
      <w:pPr>
        <w:pStyle w:val="af5"/>
        <w:spacing w:before="156" w:after="156"/>
        <w:rPr>
          <w:rFonts w:eastAsiaTheme="minorEastAsia"/>
        </w:rPr>
      </w:pPr>
      <w:r w:rsidRPr="00D22B50">
        <w:rPr>
          <w:rFonts w:hint="eastAsia"/>
        </w:rPr>
        <w:t xml:space="preserve">Second, it provides the fundamental data required for the successful implementation of Demand-Side Management (DSM) and Demand Response (DR) strategies </w:t>
      </w:r>
      <w:r w:rsidR="008F1B5F" w:rsidRPr="00D22B50">
        <w:fldChar w:fldCharType="begin"/>
      </w:r>
      <w:r w:rsidR="008F1B5F" w:rsidRPr="00D22B50">
        <w:instrText xml:space="preserve"> ADDIN ZOTERO_ITEM CSL_CITATION {"citationID":"n7VaDbCo","properties":{"formattedCitation":"[5]","plainCitation":"[5]","noteIndex":0},"citationItems":[{"id":542,"uris":["http://zotero.org/users/local/p3tV44H5/items/WNFTH4DZ"],"itemData":{"id":542,"type":"article-journal","abstract":"Power grids are transforming into flexible, smart, and cooperative systems with greater dissemination of distributed energy resources, advanced metering infrastructure, and advanced communication technologies. Short-term electric load forecasting for individual residential customers plays a progressively crucial role in the operation and planning of future grids. Compared to the aggregated electrical load at the community level, the prediction of individual household electric loads is legitimately challenging because of the high uncertainty and volatility involved. Results from previous studies show that prediction using machine learning and deep learning models is far from accurate, and there is still room for improvement. We herein propose a deep learning framework based on a combination of a convolutional neural network (CNN) and long short-term memory (LSTM). The proposed hybrid CNN-LSTM model uses CNN layers for feature extraction from the input data with LSTM layers for sequence learning. The performance of our developed framework is comprehensively compared to state-of-the-art systems currently in use for short-term individual household electric load forecasting. The proposed model achieved significantly better results compared to other competing techniques. We evaluated our proposed model with the recently explored LSTM-based deep learning model on a publicly available electrical load data of individual household customers from the Smart Grid Smart City (SGSC) project. We obtained an average mean absolute percentage error (MAPE) of 40.38% for individual household electric load forecasts in comparison with the LSTM-based model that obtained an average MAPE of 44.06%. Furthermore, we evaluated the effectiveness of the proposed model on different time horizons (up to 3 h ahead). Compared to the recently developed LSTM-based model tested on the same dataset, we obtained 4.01%, 4.76%, and 5.98% improvement for one, two, and six look-forward time steps, respectively (with 2 lookback time steps). Additionally, we have performed clustering analysis based on the power consumption behavior of the energy users, which indicate that prediction accuracy could be improved by grouping and training the representative model using large amount of data. The results indicated that the proposed model outperforms the LSTM-based model for both 1 h ahead and 3 h ahead in forecasting individual household electric loads.","container-title":"IEEE Access","DOI":"10.1109/ACCESS.2020.3028281","ISSN":"2169-3536","page":"180544-180557","source":"IEEE Xplore","title":"Hybrid CNN-LSTM Model for Short-Term Individual Household Load Forecasting","volume":"8","author":[{"family":"Alhussein","given":"Musaed"},{"family":"Aurangzeb","given":"Khursheed"},{"family":"Haider","given":"Syed Irtaza"}],"issued":{"date-parts":[["2020"]]}}}],"schema":"https://github.com/citation-style-language/schema/raw/master/csl-citation.json"} </w:instrText>
      </w:r>
      <w:r w:rsidR="008F1B5F" w:rsidRPr="00D22B50">
        <w:fldChar w:fldCharType="separate"/>
      </w:r>
      <w:r w:rsidR="008F1B5F" w:rsidRPr="00D22B50">
        <w:rPr>
          <w:rFonts w:cs="Times New Roman"/>
        </w:rPr>
        <w:t>[5]</w:t>
      </w:r>
      <w:r w:rsidR="008F1B5F" w:rsidRPr="00D22B50">
        <w:fldChar w:fldCharType="end"/>
      </w:r>
      <w:r w:rsidRPr="00D22B50">
        <w:rPr>
          <w:rFonts w:hint="eastAsia"/>
        </w:rPr>
        <w:t>. In a modern energy market, utility providers utilize these forecasts to design dynamic pricing models that incentivize consumers to shift their consumption from peak to off-peak hours. These strategies, such as Time-of-Use (ToU) pricing or Real-Time Pricing (RTP), rely heavily on the accuracy of predicted load profiles. If a forecast is inaccurate, the price signals sent to consumers may fail to alleviate grid stress or, in some cases, inadvertently create new peaks. By accurately anticipating load fluctuations, providers can better balance supply and demand while optimizing the dispatch of traditional and renewable energy generators. This optimization is particularly vital for the integration of intermittent renewables, as it allows for the alignment of flexible residential loads with periods of high solar or wind availability.</w:t>
      </w:r>
    </w:p>
    <w:p w14:paraId="7CA010C7" w14:textId="77777777" w:rsidR="00753254" w:rsidRPr="00D22B50" w:rsidRDefault="00753254" w:rsidP="00F61464">
      <w:pPr>
        <w:pStyle w:val="3"/>
        <w:rPr>
          <w:rFonts w:hint="eastAsia"/>
        </w:rPr>
      </w:pPr>
      <w:bookmarkStart w:id="6" w:name="_Toc228913810"/>
      <w:r w:rsidRPr="00D22B50">
        <w:rPr>
          <w:rFonts w:hint="eastAsia"/>
        </w:rPr>
        <w:t>2.2.3 From Aggregate Smoothing to Individual Stochasticity</w:t>
      </w:r>
      <w:bookmarkEnd w:id="6"/>
    </w:p>
    <w:p w14:paraId="0573E183" w14:textId="06471F32" w:rsidR="00AC7269" w:rsidRPr="00D22B50" w:rsidRDefault="00753254" w:rsidP="00FA00E5">
      <w:pPr>
        <w:pStyle w:val="af5"/>
        <w:spacing w:before="156" w:after="156"/>
      </w:pPr>
      <w:r w:rsidRPr="00D22B50">
        <w:rPr>
          <w:rFonts w:hint="eastAsia"/>
        </w:rPr>
        <w:t xml:space="preserve">However, as the focus shifts from aggregate substation-level forecasting to individual household-level forecasting, the complexity of the task increases exponentially due to </w:t>
      </w:r>
      <w:r w:rsidRPr="00D22B50">
        <w:rPr>
          <w:rFonts w:hint="eastAsia"/>
        </w:rPr>
        <w:lastRenderedPageBreak/>
        <w:t xml:space="preserve">the high volatility and stochastic nature of human behavior. At the substation level, the </w:t>
      </w:r>
      <w:r w:rsidR="00BD7543">
        <w:t>“</w:t>
      </w:r>
      <w:r w:rsidRPr="00D22B50">
        <w:rPr>
          <w:rFonts w:hint="eastAsia"/>
        </w:rPr>
        <w:t>aggregation effect</w:t>
      </w:r>
      <w:r w:rsidR="00BD7543">
        <w:t>”</w:t>
      </w:r>
      <w:r w:rsidRPr="00D22B50">
        <w:rPr>
          <w:rFonts w:hint="eastAsia"/>
        </w:rPr>
        <w:t>—rooted in the Law of Large Numbers—effectively smooths out the erratic behaviors of thousands of individual users, resulting in predictable periodic curves. In contrast, at the individual household level, this smoothing effect disappears. A single decision by a resident to activate a high-draw appliance, such as an electric vehicle (EV) charger or an electric oven, can cause an instantaneous doubling or tripling of the household</w:t>
      </w:r>
      <w:r w:rsidR="00BD7543">
        <w:t>’</w:t>
      </w:r>
      <w:r w:rsidRPr="00D22B50">
        <w:rPr>
          <w:rFonts w:hint="eastAsia"/>
        </w:rPr>
        <w:t>s base load. This high-entropy environment makes traditional linear models obsolete and necessitates the use of advanced deep learning architectures capable of capturing non-linear temporal dependencies.</w:t>
      </w:r>
      <w:r w:rsidR="000F2983" w:rsidRPr="00D22B50">
        <w:rPr>
          <w:rFonts w:asciiTheme="minorHAnsi" w:eastAsiaTheme="minorEastAsia" w:hAnsiTheme="minorHAnsi"/>
          <w:sz w:val="21"/>
        </w:rPr>
        <w:t xml:space="preserve"> </w:t>
      </w:r>
      <w:r w:rsidR="000F2983" w:rsidRPr="00D22B50">
        <w:t xml:space="preserve">These dependencies are often influenced by the double-seasonal cycles (daily and weekly) inherent in electricity consumption </w:t>
      </w:r>
      <w:r w:rsidR="008F1B5F" w:rsidRPr="00D22B50">
        <w:fldChar w:fldCharType="begin"/>
      </w:r>
      <w:r w:rsidR="008F1B5F" w:rsidRPr="00D22B50">
        <w:instrText xml:space="preserve"> ADDIN ZOTERO_ITEM CSL_CITATION {"citationID":"Pfpq8uIx","properties":{"formattedCitation":"[6]","plainCitation":"[6]","noteIndex":0},"citationItems":[{"id":651,"uris":["http://zotero.org/users/local/p3tV44H5/items/L57MP6R5"],"itemData":{"id":651,"type":"article-journal","abstract":"This paper considers univariate online electricity demand forecasting for lead times from a half-hour-ahead to a day-ahead. A time series of demand recorded at half-hourly intervals contains more than one seasonal pattern. A within-day seasonal cycle is apparent from the similarity of the demand profile from one day to the next, and a within-week seasonal cycle is evident when one compares the demand on the corresponding day of adjacent weeks. There is strong appeal in using a forecasting method that is able to capture both seasonalities. The multiplicative seasonal ARIMA model has been adapted for this purpose. In this paper, we adapt the Holt-Winters exponential smoothing formulation so that it can accommodate two seasonalities. We correct for residual autocorrelation using a simple autoregressive model. The forecasts produced by the new double seasonal Holt-Winters method outperform those from traditional Holt-Winters and from a well-specified multiplicative double seasonal ARIMA model.","container-title":"Journal of the Operational Research Society","DOI":"10.1057/palgrave.jors.2601589","ISSN":"0160-5682, 1476-9360","issue":"8","journalAbbreviation":"Journal of the Operational Research Society","language":"en","license":"http://www.springer.com/tdm","page":"799-805","source":"DOI.org (Crossref)","title":"Short-term electricity demand forecasting using double seasonal exponential smoothing","volume":"54","author":[{"family":"Taylor","given":"J W"}],"issued":{"date-parts":[["2003",8]]}}}],"schema":"https://github.com/citation-style-language/schema/raw/master/csl-citation.json"} </w:instrText>
      </w:r>
      <w:r w:rsidR="008F1B5F" w:rsidRPr="00D22B50">
        <w:fldChar w:fldCharType="separate"/>
      </w:r>
      <w:r w:rsidR="008F1B5F" w:rsidRPr="00D22B50">
        <w:rPr>
          <w:rFonts w:cs="Times New Roman"/>
        </w:rPr>
        <w:t>[6]</w:t>
      </w:r>
      <w:r w:rsidR="008F1B5F" w:rsidRPr="00D22B50">
        <w:fldChar w:fldCharType="end"/>
      </w:r>
      <w:r w:rsidR="000F2983" w:rsidRPr="00D22B50">
        <w:t xml:space="preserve">, which necessitates specialized time-series decomposition techniques </w:t>
      </w:r>
      <w:r w:rsidR="008F1B5F" w:rsidRPr="00D22B50">
        <w:fldChar w:fldCharType="begin"/>
      </w:r>
      <w:r w:rsidR="008F1B5F" w:rsidRPr="00D22B50">
        <w:instrText xml:space="preserve"> ADDIN ZOTERO_ITEM CSL_CITATION {"citationID":"sA4clul5","properties":{"formattedCitation":"[7]","plainCitation":"[7]","noteIndex":0},"citationItems":[{"id":638,"uris":["http://zotero.org/users/local/p3tV44H5/items/B2DIZMPA"],"itemData":{"id":638,"type":"book","abstract":"Introduction -- Basic descriptive techniques -- Some linear time series models -- Fitting time series models in the time domain -- Forecasting -- Stationary processes in the frequency domain -- Spectral analysis -- Bivariate processes -- Linear systems -- State-space models and the Kalman filter -- Non-linear models -- Volatility models -- Multivariate time series modelling -- Some more advanced topics -- Appendices","collection-title":"Chapman &amp; Hall/CRC texts in statistical science series","edition":"Seventh edition","ISBN":"978-1-4987-9563-0","language":"eng","number-of-pages":"1","publisher":"CRC Press","publisher-place":"Boca Raton, Florida","source":"K10plus ISBN","title":"The analysis of time series: an introduction","title-short":"The analysis of time series","author":[{"family":"Chatfield","given":"Christopher"},{"family":"Xing","given":"Haipeng"}],"issued":{"date-parts":[["2019"]]}}}],"schema":"https://github.com/citation-style-language/schema/raw/master/csl-citation.json"} </w:instrText>
      </w:r>
      <w:r w:rsidR="008F1B5F" w:rsidRPr="00D22B50">
        <w:fldChar w:fldCharType="separate"/>
      </w:r>
      <w:r w:rsidR="008F1B5F" w:rsidRPr="00D22B50">
        <w:rPr>
          <w:rFonts w:cs="Times New Roman"/>
        </w:rPr>
        <w:t>[7]</w:t>
      </w:r>
      <w:r w:rsidR="008F1B5F" w:rsidRPr="00D22B50">
        <w:fldChar w:fldCharType="end"/>
      </w:r>
      <w:r w:rsidR="000F2983" w:rsidRPr="00D22B50">
        <w:t>.</w:t>
      </w:r>
    </w:p>
    <w:p w14:paraId="7AEE4227" w14:textId="77777777" w:rsidR="00753254" w:rsidRPr="00D22B50" w:rsidRDefault="00753254" w:rsidP="00F61464">
      <w:pPr>
        <w:pStyle w:val="2"/>
        <w:rPr>
          <w:rFonts w:hint="eastAsia"/>
        </w:rPr>
      </w:pPr>
      <w:bookmarkStart w:id="7" w:name="_Toc228913811"/>
      <w:r w:rsidRPr="00D22B50">
        <w:rPr>
          <w:rFonts w:hint="eastAsia"/>
        </w:rPr>
        <w:t>2.3 Technical Barriers: Volatility and the Cold Start Problem</w:t>
      </w:r>
      <w:bookmarkEnd w:id="7"/>
    </w:p>
    <w:p w14:paraId="637C7E89" w14:textId="06216AFA" w:rsidR="00753254" w:rsidRPr="00D22B50" w:rsidRDefault="00753254" w:rsidP="00FA00E5">
      <w:pPr>
        <w:pStyle w:val="af5"/>
        <w:spacing w:before="156" w:after="156"/>
      </w:pPr>
      <w:r w:rsidRPr="00D22B50">
        <w:rPr>
          <w:rFonts w:hint="eastAsia"/>
        </w:rPr>
        <w:t xml:space="preserve">Currently, state-of-the-art deep learning architectures, particularly Long Short-Term Memory (LSTM) networks, are lauded for their ability to capture long-range temporal dependencies in complex time-series data </w:t>
      </w:r>
      <w:r w:rsidR="008F1B5F" w:rsidRPr="00D22B50">
        <w:fldChar w:fldCharType="begin"/>
      </w:r>
      <w:r w:rsidR="008F1B5F" w:rsidRPr="00D22B50">
        <w:instrText xml:space="preserve"> ADDIN ZOTERO_ITEM CSL_CITATION {"citationID":"zYQhGjiL","properties":{"formattedCitation":"[8]","plainCitation":"[8]","noteIndex":0},"citationItems":[{"id":512,"uris":["http://zotero.org/users/local/p3tV44H5/items/HCMHHT5F"],"itemData":{"id":512,"type":"article-journal","abstract":"Learning to store information over extended time intervals by recurrent backpropagation takes a very long time, mostly because of insufficient, decaying error backflow. We briefly review Hochreiter's (1991) analysis of this problem, then address it by introducing a novel, efficient, gradient based method called long short-term memory (LSTM). Truncating the gradient where this does not do harm, LSTM can learn to bridge minimal time lags in excess of 1000 discrete-time steps by enforcing constant error flow through constant error carousels within special units. Multiplicative gate units learn to open and close access to the constant error flow. LSTM is local in space and time; its computational complexity per time step and weight is O. 1. Our experiments with artificial data involve local, distributed, real-valued, and noisy pattern representations. In comparisons with real-time recurrent learning, back propagation through time, recurrent cascade correlation, Elman nets, and neural sequence chunking, LSTM leads to many more successful runs, and learns much faster. LSTM also solves complex, artificial long-time-lag tasks that have never been solved by previous recurrent network algorithms.","container-title":"Neural Computation","DOI":"10.1162/neco.1997.9.8.1735","ISSN":"0899-7667","issue":"8","page":"1735-1780","source":"IEEE Xplore","title":"Long Short-Term Memory","volume":"9","author":[{"family":"Hochreiter","given":"Sepp"},{"family":"Schmidhuber","given":"Jürgen"}],"issued":{"date-parts":[["1997",11]]}}}],"schema":"https://github.com/citation-style-language/schema/raw/master/csl-citation.json"} </w:instrText>
      </w:r>
      <w:r w:rsidR="008F1B5F" w:rsidRPr="00D22B50">
        <w:fldChar w:fldCharType="separate"/>
      </w:r>
      <w:r w:rsidR="008F1B5F" w:rsidRPr="00D22B50">
        <w:rPr>
          <w:rFonts w:cs="Times New Roman"/>
        </w:rPr>
        <w:t>[8]</w:t>
      </w:r>
      <w:r w:rsidR="008F1B5F" w:rsidRPr="00D22B50">
        <w:fldChar w:fldCharType="end"/>
      </w:r>
      <w:r w:rsidRPr="00D22B50">
        <w:rPr>
          <w:rFonts w:hint="eastAsia"/>
        </w:rPr>
        <w:t>. The fundamental strength of the LSTM architecture lies in its sophisticated gating mechanisms, which allow the network to selectively retain or discard information over extended sequences. These models excel in data-rich environments where thousands of historical observations are available to train the internal gating mechanisms, enabling the model to learn the intricate periodicity of residential energy consumption, such as daily cycles and weekly fluctuations.</w:t>
      </w:r>
    </w:p>
    <w:p w14:paraId="77FE3D53" w14:textId="05D94ECB" w:rsidR="00753254" w:rsidRPr="00D22B50" w:rsidRDefault="00753254" w:rsidP="00FA00E5">
      <w:pPr>
        <w:pStyle w:val="af5"/>
        <w:spacing w:before="156" w:after="156"/>
      </w:pPr>
      <w:r w:rsidRPr="00D22B50">
        <w:rPr>
          <w:rFonts w:hint="eastAsia"/>
        </w:rPr>
        <w:t xml:space="preserve">However, the performance of these deep learning structures is inherently dependent on the volume of training data to achieve model convergence and mitigate the risk of overfitting </w:t>
      </w:r>
      <w:r w:rsidR="008F1B5F" w:rsidRPr="00D22B50">
        <w:fldChar w:fldCharType="begin"/>
      </w:r>
      <w:r w:rsidR="008F1B5F" w:rsidRPr="00D22B50">
        <w:instrText xml:space="preserve"> ADDIN ZOTERO_ITEM CSL_CITATION {"citationID":"C8jWNQqm","properties":{"formattedCitation":"[8], [9]","plainCitation":"[8], [9]","noteIndex":0},"citationItems":[{"id":512,"uris":["http://zotero.org/users/local/p3tV44H5/items/HCMHHT5F"],"itemData":{"id":512,"type":"article-journal","abstract":"Learning to store information over extended time intervals by recurrent backpropagation takes a very long time, mostly because of insufficient, decaying error backflow. We briefly review Hochreiter's (1991) analysis of this problem, then address it by introducing a novel, efficient, gradient based method called long short-term memory (LSTM). Truncating the gradient where this does not do harm, LSTM can learn to bridge minimal time lags in excess of 1000 discrete-time steps by enforcing constant error flow through constant error carousels within special units. Multiplicative gate units learn to open and close access to the constant error flow. LSTM is local in space and time; its computational complexity per time step and weight is O. 1. Our experiments with artificial data involve local, distributed, real-valued, and noisy pattern representations. In comparisons with real-time recurrent learning, back propagation through time, recurrent cascade correlation, Elman nets, and neural sequence chunking, LSTM leads to many more successful runs, and learns much faster. LSTM also solves complex, artificial long-time-lag tasks that have never been solved by previous recurrent network algorithms.","container-title":"Neural Computation","DOI":"10.1162/neco.1997.9.8.1735","ISSN":"0899-7667","issue":"8","page":"1735-1780","source":"IEEE Xplore","title":"Long Short-Term Memory","volume":"9","author":[{"family":"Hochreiter","given":"Sepp"},{"family":"Schmidhuber","given":"Jürgen"}],"issued":{"date-parts":[["1997",11]]}}},{"id":557,"uris":["http://zotero.org/users/local/p3tV44H5/items/N4D6A4RG"],"itemData":{"id":557,"type":"article-journal","abstract":"As the power system is facing a transition toward a more intelligent, flexible, and interactive system with higher penetration of renewable energy generation, load forecasting, especially short-term load forecasting for individual electric customers plays an increasingly essential role in the future grid planning and operation. Other than aggregated residential load in a large scale, forecasting an electric load of a single energy user is fairly challenging due to the high volatility and uncertainty involved. In this paper, we propose a long short-term memory (LSTM) recurrent neural network-based framework, which is the latest and one of the most popular techniques of deep learning, to tackle this tricky issue. The proposed framework is tested on a publicly available set of real residential smart meter data, of which the performance is comprehensively compared to various benchmarks including the state-of-the-arts in the field of load forecasting. As a result, the proposed LSTM approach outperforms the other listed rival algorithms in the task of short-term load forecasting for individual residential households.","container-title":"IEEE Transactions on Smart Grid","DOI":"10.1109/TSG.2017.2753802","ISSN":"1949-3061","issue":"1","page":"841-851","source":"IEEE Xplore","title":"Short-Term Residential Load Forecasting Based on LSTM Recurrent Neural Network","volume":"10","author":[{"family":"Kong","given":"Weicong"},{"family":"Dong","given":"Zhao Yang"},{"family":"Jia","given":"Youwei"},{"family":"Hill","given":"David J."},{"family":"Xu","given":"Yan"},{"family":"Zhang","given":"Yuan"}],"issued":{"date-parts":[["2019",1]]}}}],"schema":"https://github.com/citation-style-language/schema/raw/master/csl-citation.json"} </w:instrText>
      </w:r>
      <w:r w:rsidR="008F1B5F" w:rsidRPr="00D22B50">
        <w:fldChar w:fldCharType="separate"/>
      </w:r>
      <w:r w:rsidR="008F1B5F" w:rsidRPr="00D22B50">
        <w:rPr>
          <w:rFonts w:cs="Times New Roman"/>
        </w:rPr>
        <w:t>[8], [9]</w:t>
      </w:r>
      <w:r w:rsidR="008F1B5F" w:rsidRPr="00D22B50">
        <w:fldChar w:fldCharType="end"/>
      </w:r>
      <w:r w:rsidRPr="00D22B50">
        <w:rPr>
          <w:rFonts w:hint="eastAsia"/>
        </w:rPr>
        <w:t xml:space="preserve">. Because LSTMs are parameter-heavy architectures, they require a sufficiently large ratio of observations to trainable weights to ensure that the network identifies the underlying statistical distribution rather than simply memorizing the noise in the training sample. When the available dataset is small, the gradient descent process often fails to find a stable global optimum, leading to high variance and poor generalization on unseen data. </w:t>
      </w:r>
      <w:r w:rsidR="009B36BC" w:rsidRPr="00D22B50">
        <w:rPr>
          <w:rFonts w:hint="eastAsia"/>
        </w:rPr>
        <w:t xml:space="preserve">This dependency creates a significant and persistent operational bottleneck in the form of the </w:t>
      </w:r>
      <w:r w:rsidR="00BD7543">
        <w:t>“</w:t>
      </w:r>
      <w:r w:rsidR="009B36BC" w:rsidRPr="00D22B50">
        <w:rPr>
          <w:rFonts w:hint="eastAsia"/>
        </w:rPr>
        <w:t>cold start</w:t>
      </w:r>
      <w:r w:rsidR="00BD7543">
        <w:t>”</w:t>
      </w:r>
      <w:r w:rsidR="009B36BC" w:rsidRPr="00D22B50">
        <w:rPr>
          <w:rFonts w:hint="eastAsia"/>
        </w:rPr>
        <w:t xml:space="preserve"> problem—a scenario where model generalization is fundamentally constrained by the extreme small-sample regime </w:t>
      </w:r>
      <w:r w:rsidR="008F1B5F" w:rsidRPr="00D22B50">
        <w:fldChar w:fldCharType="begin"/>
      </w:r>
      <w:r w:rsidR="008F1B5F" w:rsidRPr="00D22B50">
        <w:instrText xml:space="preserve"> ADDIN ZOTERO_ITEM CSL_CITATION {"citationID":"Dzw8IGFF","properties":{"formattedCitation":"[10]","plainCitation":"[10]","noteIndex":0},"citationItems":[{"id":681,"uris":["http://zotero.org/users/local/p3tV44H5/items/ABNC39X8"],"itemData":{"id":681,"type":"article-journal","abstract":"Machine learning has been highly successful in data-intensive applications but is often hampered when the data set is small. Recently, Few-shot Learning (FSL) is proposed to tackle this problem. Using prior knowledge, FSL can rapidly generalize to new tasks containing only a few samples with supervised information. In this article, we conduct a thorough survey to fully understand FSL. Starting from a formal definition of FSL, we distinguish FSL from several relevant machine learning problems. We then point out that the core issue in FSL is that the empirical risk minimizer is unreliable. Based on how prior knowledge can be used to handle this core issue, we categorize FSL methods from three perspectives: (i) data, which uses prior knowledge to augment the supervised experience; (ii) model, which uses prior knowledge to reduce the size of the hypothesis space; and (iii) algorithm, which uses prior knowledge to alter the search for the best hypothesis in the given hypothesis space. With this taxonomy, we review and discuss the pros and cons of each category. Promising directions, in the aspects of the FSL problem setups, techniques, applications, and theories, are also proposed to provide insights for future research.1","container-title":"ACM Comput. Surv.","DOI":"10.1145/3386252","ISSN":"0360-0300","issue":"3","page":"63:1–63:34","source":"ACM Digital Library","title":"Generalizing from a Few Examples: A Survey on Few-shot Learning","title-short":"Generalizing from a Few Examples","volume":"53","author":[{"family":"Wang","given":"Yaqing"},{"family":"Yao","given":"Quanming"},{"family":"Kwok","given":"James T."},{"family":"Ni","given":"Lionel M."}],"issued":{"date-parts":[["2020",6,12]]}}}],"schema":"https://github.com/citation-style-language/schema/raw/master/csl-citation.json"} </w:instrText>
      </w:r>
      <w:r w:rsidR="008F1B5F" w:rsidRPr="00D22B50">
        <w:fldChar w:fldCharType="separate"/>
      </w:r>
      <w:r w:rsidR="008F1B5F" w:rsidRPr="00D22B50">
        <w:rPr>
          <w:rFonts w:cs="Times New Roman"/>
        </w:rPr>
        <w:t>[10]</w:t>
      </w:r>
      <w:r w:rsidR="008F1B5F" w:rsidRPr="00D22B50">
        <w:fldChar w:fldCharType="end"/>
      </w:r>
      <w:r w:rsidR="009B36BC" w:rsidRPr="00D22B50">
        <w:rPr>
          <w:rFonts w:hint="eastAsia"/>
        </w:rPr>
        <w:t>.</w:t>
      </w:r>
    </w:p>
    <w:p w14:paraId="258DF605" w14:textId="03B3C77D" w:rsidR="00753254" w:rsidRPr="00D22B50" w:rsidRDefault="00753254" w:rsidP="00FA00E5">
      <w:pPr>
        <w:pStyle w:val="af5"/>
        <w:spacing w:before="156" w:after="156"/>
      </w:pPr>
      <w:r w:rsidRPr="00D22B50">
        <w:rPr>
          <w:rFonts w:hint="eastAsia"/>
        </w:rPr>
        <w:t xml:space="preserve">This phenomenon occurs when new residential participants are integrated into the grid or when existing meters are upgraded, resulting in a critically sparse data window. Typically, these new users provide less than 14 days of historical records, which is insufficient for a parameter-heavy LSTM model to learn the specific consumption rhythms and seasonal patterns of a specific household </w:t>
      </w:r>
      <w:r w:rsidR="008F1B5F" w:rsidRPr="00D22B50">
        <w:fldChar w:fldCharType="begin"/>
      </w:r>
      <w:r w:rsidR="008F1B5F" w:rsidRPr="00D22B50">
        <w:instrText xml:space="preserve"> ADDIN ZOTERO_ITEM CSL_CITATION {"citationID":"MsxdKeiY","properties":{"formattedCitation":"[11]","plainCitation":"[11]","noteIndex":0},"citationItems":[{"id":595,"uris":["http://zotero.org/users/local/p3tV44H5/items/RYGGA6L8"],"itemData":{"id":595,"type":"article-journal","abstract":"While the general belief is that the best way to predict electric load is through individualized models, the existing studies have focused on one-for-all models because the individual models are difficult to train and require a significantly larger data accumulation time per individual. In recent years, applying deep learning for forecasting electric load has become an important research topic but still one-for-all has been the main approach. In this work, we adopt transfer learning and meta learning that can be smoothly integrated into deep neural networks, and show how a high-performance individualized model can be formed using the individual's data collected over just several days. This is made possible by extracting the common patterns of many individuals using a sufficiently large dataset, and then customizing each individual model using the specific individual's small dataset. The proposed methods are evaluated over residential and non-residential datasets. When compared to the conventional methods, the meta learning model shows 7.84% and 15.07% RMSE improvements over the residential and non-residential datasets, respectively. Our results suggest that the individualized models can be used as effective tools for many short-term load forecasting tasks.","container-title":"IEEE Access","DOI":"10.1109/ACCESS.2021.3053317","ISSN":"2169-3536","page":"15413-15425","source":"IEEE Xplore","title":"Individualized Short-Term Electric Load Forecasting With Deep Neural Network Based Transfer Learning and Meta Learning","volume":"9","author":[{"family":"Lee","given":"Eunjung"},{"family":"Rhee","given":"Wonjong"}],"issued":{"date-parts":[["2021"]]}}}],"schema":"https://github.com/citation-style-language/schema/raw/master/csl-citation.json"} </w:instrText>
      </w:r>
      <w:r w:rsidR="008F1B5F" w:rsidRPr="00D22B50">
        <w:fldChar w:fldCharType="separate"/>
      </w:r>
      <w:r w:rsidR="008F1B5F" w:rsidRPr="00D22B50">
        <w:rPr>
          <w:rFonts w:cs="Times New Roman"/>
        </w:rPr>
        <w:t>[11]</w:t>
      </w:r>
      <w:r w:rsidR="008F1B5F" w:rsidRPr="00D22B50">
        <w:fldChar w:fldCharType="end"/>
      </w:r>
      <w:r w:rsidRPr="00D22B50">
        <w:rPr>
          <w:rFonts w:hint="eastAsia"/>
        </w:rPr>
        <w:t xml:space="preserve">. From a mathematical perspective, 14 days of hourly readings provide only 336 data points, a volume that is grossly inadequate for tuning the thousands of parameters within a modern recurrent </w:t>
      </w:r>
      <w:r w:rsidRPr="00D22B50">
        <w:rPr>
          <w:rFonts w:hint="eastAsia"/>
        </w:rPr>
        <w:lastRenderedPageBreak/>
        <w:t xml:space="preserve">neural network. Under such conditions, traditional </w:t>
      </w:r>
      <w:r w:rsidR="00BD7543">
        <w:t>“</w:t>
      </w:r>
      <w:r w:rsidRPr="00D22B50">
        <w:rPr>
          <w:rFonts w:hint="eastAsia"/>
        </w:rPr>
        <w:t>from-scratch</w:t>
      </w:r>
      <w:r w:rsidR="00BD7543">
        <w:t>”</w:t>
      </w:r>
      <w:r w:rsidRPr="00D22B50">
        <w:rPr>
          <w:rFonts w:hint="eastAsia"/>
        </w:rPr>
        <w:t xml:space="preserve"> training methods fail to yield reliable results, often leading to model divergence and erratic predictions.</w:t>
      </w:r>
    </w:p>
    <w:p w14:paraId="7836F451" w14:textId="18D0045F" w:rsidR="00AC7269" w:rsidRPr="00D22B50" w:rsidRDefault="00753254" w:rsidP="00FA00E5">
      <w:pPr>
        <w:pStyle w:val="af5"/>
        <w:spacing w:before="156" w:after="156"/>
      </w:pPr>
      <w:r w:rsidRPr="00D22B50">
        <w:rPr>
          <w:rFonts w:hint="eastAsia"/>
        </w:rPr>
        <w:t xml:space="preserve">This technical barrier creates a </w:t>
      </w:r>
      <w:r w:rsidR="00BD7543">
        <w:t>“</w:t>
      </w:r>
      <w:r w:rsidRPr="00D22B50">
        <w:rPr>
          <w:rFonts w:hint="eastAsia"/>
        </w:rPr>
        <w:t>value-void</w:t>
      </w:r>
      <w:r w:rsidR="00BD7543">
        <w:t>”</w:t>
      </w:r>
      <w:r w:rsidRPr="00D22B50">
        <w:rPr>
          <w:rFonts w:hint="eastAsia"/>
        </w:rPr>
        <w:t xml:space="preserve"> period where the newly installed smart meter cannot yet support high-value energy services. During this interval, the utility provider cannot deliver personalized demand-response recommendations or accurate localized load balancing because the model has not yet stabilized. For the grid operator, this lack of predictive visibility for new nodes introduces a layer of stochastic uncertainty that complicates real-time balancing. This research targets this specific gap by utilizing transfer learning to provide immediate predictive utility from the moment a smart meter is commissioned.</w:t>
      </w:r>
    </w:p>
    <w:p w14:paraId="192EA077" w14:textId="77777777" w:rsidR="00753254" w:rsidRPr="00D22B50" w:rsidRDefault="00753254" w:rsidP="00F61464">
      <w:pPr>
        <w:pStyle w:val="2"/>
        <w:rPr>
          <w:rFonts w:hint="eastAsia"/>
        </w:rPr>
      </w:pPr>
      <w:bookmarkStart w:id="8" w:name="_Toc228913812"/>
      <w:r w:rsidRPr="00D22B50">
        <w:rPr>
          <w:rFonts w:hint="eastAsia"/>
        </w:rPr>
        <w:t>2.4 Transfer Learning as a Scalable Solution</w:t>
      </w:r>
      <w:bookmarkEnd w:id="8"/>
    </w:p>
    <w:p w14:paraId="10EB6541" w14:textId="2E380516" w:rsidR="00753254" w:rsidRPr="004F3598" w:rsidRDefault="00753254" w:rsidP="004F3598">
      <w:pPr>
        <w:pStyle w:val="af5"/>
        <w:spacing w:before="156" w:after="156"/>
        <w:rPr>
          <w:rFonts w:eastAsiaTheme="minorEastAsia"/>
        </w:rPr>
      </w:pPr>
      <w:r w:rsidRPr="00D22B50">
        <w:rPr>
          <w:rFonts w:hint="eastAsia"/>
        </w:rPr>
        <w:t xml:space="preserve">This research addresses the pervasive data scarcity challenge in energy systems by developing a robust LSTM-based transfer learning framework designed specifically for cold-start scenarios. Transfer learning operates on the foundational principle of knowledge reuse, where insights and statistical representations gained from a data-rich source domain are applied to improve the learning process in a data-poor target domain </w:t>
      </w:r>
      <w:r w:rsidR="008F1B5F" w:rsidRPr="00D22B50">
        <w:fldChar w:fldCharType="begin"/>
      </w:r>
      <w:r w:rsidR="008F1B5F" w:rsidRPr="00D22B50">
        <w:instrText xml:space="preserve"> ADDIN ZOTERO_ITEM CSL_CITATION {"citationID":"clqXpd16","properties":{"formattedCitation":"[12]","plainCitation":"[12]","noteIndex":0},"citationItems":[{"id":516,"uris":["http://zotero.org/users/local/p3tV44H5/items/DT3M3WEH"],"itemData":{"id":516,"type":"article-journal","abstract":"Transfer learning aims at improving the performance of target learners on target domains by transferring the knowledge contained in different but related source domains. In this way, the dependence on a large number of target-domain data can be reduced for constructing target learners. Due to the wide application prospects, transfer learning has become a popular and promising area in machine learning. Although there are already some valuable and impressive surveys on transfer learning, these surveys introduce approaches in a relatively isolated way and lack the recent advances in transfer learning. Due to the rapid expansion of the transfer learning area, it is both necessary and challenging to comprehensively review the relevant studies. This survey attempts to connect and systematize the existing transfer learning research studies, as well as to summarize and interpret the mechanisms and the strategies of transfer learning in a comprehensive way, which may help readers have a better understanding of the current research status and ideas. Unlike previous surveys, this survey article reviews more than 40 representative transfer learning approaches, especially homogeneous transfer learning approaches, from the perspectives of data and model. The applications of transfer learning are also briefly introduced. In order to show the performance of different transfer learning models, over 20 representative transfer learning models are used for experiments. The models are performed on three different data sets, that is, Amazon Reviews, Reuters-21578, and Office-31, and the experimental results demonstrate the importance of selecting appropriate transfer learning models for different applications in practice.","container-title":"Proceedings of the IEEE","DOI":"10.1109/JPROC.2020.3004555","ISSN":"1558-2256","issue":"1","page":"43-76","source":"IEEE Xplore","title":"A Comprehensive Survey on Transfer Learning","volume":"109","author":[{"family":"Zhuang","given":"Fuzhen"},{"family":"Qi","given":"Zhiyuan"},{"family":"Duan","given":"Keyu"},{"family":"Xi","given":"Dongbo"},{"family":"Zhu","given":"Yongchun"},{"family":"Zhu","given":"Hengshu"},{"family":"Xiong","given":"Hui"},{"family":"He","given":"Qing"}],"issued":{"date-parts":[["2021",1]]}}}],"schema":"https://github.com/citation-style-language/schema/raw/master/csl-citation.json"} </w:instrText>
      </w:r>
      <w:r w:rsidR="008F1B5F" w:rsidRPr="00D22B50">
        <w:fldChar w:fldCharType="separate"/>
      </w:r>
      <w:r w:rsidR="008F1B5F" w:rsidRPr="00D22B50">
        <w:rPr>
          <w:rFonts w:cs="Times New Roman"/>
        </w:rPr>
        <w:t>[12]</w:t>
      </w:r>
      <w:r w:rsidR="008F1B5F" w:rsidRPr="00D22B50">
        <w:fldChar w:fldCharType="end"/>
      </w:r>
      <w:r w:rsidRPr="00D22B50">
        <w:rPr>
          <w:rFonts w:hint="eastAsia"/>
        </w:rPr>
        <w:t xml:space="preserve">. </w:t>
      </w:r>
      <w:r w:rsidR="00236858" w:rsidRPr="00D22B50">
        <w:t xml:space="preserve">In accordance with the established theoretical taxonomy of knowledge migration </w:t>
      </w:r>
      <w:r w:rsidR="008F1B5F" w:rsidRPr="00D22B50">
        <w:fldChar w:fldCharType="begin"/>
      </w:r>
      <w:r w:rsidR="008F1B5F" w:rsidRPr="00D22B50">
        <w:instrText xml:space="preserve"> ADDIN ZOTERO_ITEM CSL_CITATION {"citationID":"3rxy9Wf0","properties":{"formattedCitation":"[13]","plainCitation":"[13]","noteIndex":0},"citationItems":[{"id":585,"uris":["http://zotero.org/users/local/p3tV44H5/items/SRPRYVXS"],"itemData":{"id":585,"type":"article-journal","abstract":"A major assumption in many machine learning and data mining algorithms is that the training and future data must be in the same feature space and have the same distribution. However, in many real-world applications, this assumption may not hold. For example, we sometimes have a classification task in one domain of interest, but we only have sufficient training data in another domain of interest, where the latter data may be in a different feature space or follow a different data distribution. In such cases, knowledge transfer, if done successfully, would greatly improve the performance of learning by avoiding much expensive data-labeling efforts. In recent years, transfer learning has emerged as a new learning framework to address this problem. This survey focuses on categorizing and reviewing the current progress on transfer learning for classification, regression, and clustering problems. In this survey, we discuss the relationship between transfer learning and other related machine learning techniques such as domain adaptation, multitask learning and sample selection bias, as well as covariate shift. We also explore some potential future issues in transfer learning research.","container-title":"IEEE Transactions on Knowledge and Data Engineering","DOI":"10.1109/TKDE.2009.191","ISSN":"1558-2191","issue":"10","page":"1345-1359","source":"IEEE Xplore","title":"A Survey on Transfer Learning","volume":"22","author":[{"family":"Pan","given":"Sinno Jialin"},{"family":"Yang","given":"Qiang"}],"issued":{"date-parts":[["2010",10]]}}}],"schema":"https://github.com/citation-style-language/schema/raw/master/csl-citation.json"} </w:instrText>
      </w:r>
      <w:r w:rsidR="008F1B5F" w:rsidRPr="00D22B50">
        <w:fldChar w:fldCharType="separate"/>
      </w:r>
      <w:r w:rsidR="008F1B5F" w:rsidRPr="00D22B50">
        <w:rPr>
          <w:rFonts w:cs="Times New Roman"/>
        </w:rPr>
        <w:t>[13]</w:t>
      </w:r>
      <w:r w:rsidR="008F1B5F" w:rsidRPr="00D22B50">
        <w:fldChar w:fldCharType="end"/>
      </w:r>
      <w:r w:rsidR="00236858" w:rsidRPr="00D22B50">
        <w:t>, this involves mapping the universal temporal features—such as the daily periodicity of appliance usage and the thermal response of buildings—from established smart meter users to new residential participants who lack a historical footprint.</w:t>
      </w:r>
    </w:p>
    <w:p w14:paraId="31982AEF" w14:textId="77777777" w:rsidR="00753254" w:rsidRPr="00D22B50" w:rsidRDefault="00753254" w:rsidP="00F61464">
      <w:pPr>
        <w:pStyle w:val="3"/>
        <w:rPr>
          <w:rFonts w:hint="eastAsia"/>
        </w:rPr>
      </w:pPr>
      <w:bookmarkStart w:id="9" w:name="_Toc228913813"/>
      <w:r w:rsidRPr="00D22B50">
        <w:rPr>
          <w:rFonts w:hint="eastAsia"/>
        </w:rPr>
        <w:t>2.4.1 The Pre-training and Fine-tuning Paradigm</w:t>
      </w:r>
      <w:bookmarkEnd w:id="9"/>
    </w:p>
    <w:p w14:paraId="4E101B08" w14:textId="67881C39" w:rsidR="00753254" w:rsidRPr="00D22B50" w:rsidRDefault="00753254" w:rsidP="008F1B5F">
      <w:pPr>
        <w:pStyle w:val="af5"/>
        <w:spacing w:before="156" w:after="156"/>
        <w:rPr>
          <w:rFonts w:eastAsiaTheme="minorEastAsia"/>
        </w:rPr>
      </w:pPr>
      <w:r w:rsidRPr="00D22B50">
        <w:rPr>
          <w:rFonts w:hint="eastAsia"/>
        </w:rPr>
        <w:t xml:space="preserve">The proposed framework implements a sophisticated </w:t>
      </w:r>
      <w:r w:rsidR="00BD7543">
        <w:t>“</w:t>
      </w:r>
      <w:r w:rsidRPr="00D22B50">
        <w:rPr>
          <w:rFonts w:hint="eastAsia"/>
        </w:rPr>
        <w:t>pre-training and fine-tuning</w:t>
      </w:r>
      <w:r w:rsidR="00BD7543">
        <w:t>”</w:t>
      </w:r>
      <w:r w:rsidRPr="00D22B50">
        <w:rPr>
          <w:rFonts w:hint="eastAsia"/>
        </w:rPr>
        <w:t xml:space="preserve"> paradigm. In the pre-training phase, the LSTM network is exposed to a large-scale source domain comprising hundreds of households with multi-year data.</w:t>
      </w:r>
      <w:r w:rsidR="00CE1344" w:rsidRPr="00D22B50">
        <w:rPr>
          <w:rFonts w:asciiTheme="minorHAnsi" w:eastAsiaTheme="minorEastAsia" w:hAnsiTheme="minorHAnsi"/>
          <w:sz w:val="21"/>
        </w:rPr>
        <w:t xml:space="preserve"> </w:t>
      </w:r>
      <w:r w:rsidR="00CE1344" w:rsidRPr="00D22B50">
        <w:t xml:space="preserve">This allows the internal hidden layers of the network to act as generalized feature extractors, leveraging deep representation learning to internalize a rich latent space of consumption rhythms </w:t>
      </w:r>
      <w:r w:rsidR="008F1B5F" w:rsidRPr="00D22B50">
        <w:fldChar w:fldCharType="begin"/>
      </w:r>
      <w:r w:rsidR="008F1B5F" w:rsidRPr="00D22B50">
        <w:instrText xml:space="preserve"> ADDIN ZOTERO_ITEM CSL_CITATION {"citationID":"nVkgasQe","properties":{"formattedCitation":"[14]","plainCitation":"[14]","noteIndex":0},"citationItems":[{"id":658,"uris":["http://zotero.org/users/local/p3tV44H5/items/9BSWJJPK"],"itemData":{"id":658,"type":"article-journal","abstract":"The success of machine learning algorithms generally depends on data representation, and we hypothesize that this is because different representations can entangle and hide more or less the different explanatory factors of variation behind the data. Although specific domain knowledge can be used to help design representations, learning with generic priors can also be used, and the quest for AI is motivating the design of more powerful representation-learning algorithms implementing such priors. This paper reviews recent work in the area of unsupervised feature learning and deep learning, covering advances in probabilistic models, autoencoders, manifold learning, and deep networks. This motivates longer term unanswered questions about the appropriate objectives for learning good representations, for computing representations (i.e., inference), and the geometrical connections between representation learning, density estimation, and manifold learning.","container-title":"IEEE Transactions on Pattern Analysis and Machine Intelligence","DOI":"10.1109/TPAMI.2013.50","ISSN":"1939-3539","issue":"8","page":"1798-1828","source":"IEEE Xplore","title":"Representation Learning: A Review and New Perspectives","title-short":"Representation Learning","volume":"35","author":[{"family":"Bengio","given":"Yoshua"},{"family":"Courville","given":"Aaron"},{"family":"Vincent","given":"Pascal"}],"issued":{"date-parts":[["2013",8]]}}}],"schema":"https://github.com/citation-style-language/schema/raw/master/csl-citation.json"} </w:instrText>
      </w:r>
      <w:r w:rsidR="008F1B5F" w:rsidRPr="00D22B50">
        <w:fldChar w:fldCharType="separate"/>
      </w:r>
      <w:r w:rsidR="008F1B5F" w:rsidRPr="00D22B50">
        <w:rPr>
          <w:rFonts w:cs="Times New Roman"/>
        </w:rPr>
        <w:t>[14]</w:t>
      </w:r>
      <w:r w:rsidR="008F1B5F" w:rsidRPr="00D22B50">
        <w:fldChar w:fldCharType="end"/>
      </w:r>
      <w:r w:rsidR="00CE1344" w:rsidRPr="00D22B50">
        <w:t>.</w:t>
      </w:r>
      <w:r w:rsidRPr="00D22B50">
        <w:rPr>
          <w:rFonts w:hint="eastAsia"/>
        </w:rPr>
        <w:t xml:space="preserve"> By migrating these learned weights to a new user, the model does not start its learning process from a random distribution but rather from an informed prior that already understands the basic mechanics of electricity demand. A comprehensive survey on time-series transfer learning suggests that such knowledge migration can significantly reduce the data accumulation period required for accurate forecasting </w:t>
      </w:r>
      <w:r w:rsidR="008F1B5F" w:rsidRPr="00D22B50">
        <w:fldChar w:fldCharType="begin"/>
      </w:r>
      <w:r w:rsidR="008F1B5F" w:rsidRPr="00D22B50">
        <w:instrText xml:space="preserve"> ADDIN ZOTERO_ITEM CSL_CITATION {"citationID":"Dd1p0pPE","properties":{"formattedCitation":"[15]","plainCitation":"[15]","noteIndex":0},"citationItems":[{"id":587,"uris":["http://zotero.org/users/local/p3tV44H5/items/JV45ZU2Z"],"itemData":{"id":587,"type":"paper-conference","abstract":"Transfer learning for deep neural networks is the process of first training a base network on a source dataset, and then transferring the learned features (the network’s weights) to a second network to be trained on a target dataset. This idea has been shown to improve deep neural network’s generalization capabilities in many computer vision tasks such as image recognition and object localization. Apart from these applications, deep Convolutional Neural Networks (CNNs) have also recently gained popularity in the Time Series Classification (TSC) community. However, unlike for image recognition problems, transfer learning techniques have not yet been investigated thoroughly for the TSC task. This is surprising as the accuracy of deep learning models for TSC could potentially be improved if the model is fine-tuned from a pre-trained neural network instead of training it from scratch. In this paper, we fill this gap by investigating how to transfer deep CNNs for the TSC task. To evaluate the potential of transfer learning, we performed extensive experiments using the UCR archive which is the largest publicly available TSC benchmark containing 85 datasets. For each dataset in the archive, we pre-trained a model and then fine-tuned it on the other datasets resulting in 7140 different deep neural networks. These experiments revealed that transfer learning can improve or degrade the models predictions depending on the dataset used for transfer. Therefore, in an effort to predict the best source dataset for a given target dataset, we propose a new method relying on Dynamic Time Warping to measure inter-datasets similarities. We describe how our method can guide the transfer to choose the best source dataset leading to an improvement in accuracy on 71 out of 85 datasets.","container-title":"2018 IEEE International Conference on Big Data (Big Data)","DOI":"10.1109/BigData.2018.8621990","event-title":"2018 IEEE International Conference on Big Data (Big Data)","page":"1367-1376","source":"IEEE Xplore","title":"Transfer learning for time series classification","URL":"https://ieeexplore.ieee.org/document/8621990","author":[{"family":"Ismail Fawaz","given":"Hassan"},{"family":"Forestier","given":"Germain"},{"family":"Weber","given":"Jonathan"},{"family":"Idoumghar","given":"Lhassane"},{"family":"Muller","given":"Pierre-Alain"}],"accessed":{"date-parts":[["2026",5,1]]},"issued":{"date-parts":[["2018",12]]}}}],"schema":"https://github.com/citation-style-language/schema/raw/master/csl-citation.json"} </w:instrText>
      </w:r>
      <w:r w:rsidR="008F1B5F" w:rsidRPr="00D22B50">
        <w:fldChar w:fldCharType="separate"/>
      </w:r>
      <w:r w:rsidR="008F1B5F" w:rsidRPr="00D22B50">
        <w:rPr>
          <w:rFonts w:cs="Times New Roman"/>
        </w:rPr>
        <w:t>[15]</w:t>
      </w:r>
      <w:r w:rsidR="008F1B5F" w:rsidRPr="00D22B50">
        <w:fldChar w:fldCharType="end"/>
      </w:r>
      <w:r w:rsidRPr="00D22B50">
        <w:rPr>
          <w:rFonts w:hint="eastAsia"/>
        </w:rPr>
        <w:t>. This reduction is vital for utility providers, as it effectively eliminates the multi-week waiting period typically required before a predictive model becomes operational.</w:t>
      </w:r>
    </w:p>
    <w:p w14:paraId="5AE9D5F9" w14:textId="77777777" w:rsidR="00753254" w:rsidRPr="00D22B50" w:rsidRDefault="00753254" w:rsidP="00F61464">
      <w:pPr>
        <w:pStyle w:val="3"/>
        <w:rPr>
          <w:rFonts w:hint="eastAsia"/>
        </w:rPr>
      </w:pPr>
      <w:bookmarkStart w:id="10" w:name="_Toc228913814"/>
      <w:r w:rsidRPr="00D22B50">
        <w:rPr>
          <w:rFonts w:hint="eastAsia"/>
        </w:rPr>
        <w:t>2.4.2 Mitigation of Negative Transfer and Optimization</w:t>
      </w:r>
      <w:bookmarkEnd w:id="10"/>
    </w:p>
    <w:p w14:paraId="62013F41" w14:textId="19DECECA" w:rsidR="00753254" w:rsidRPr="00D22B50" w:rsidRDefault="00753254" w:rsidP="00FA00E5">
      <w:pPr>
        <w:pStyle w:val="af5"/>
        <w:spacing w:before="156" w:after="156"/>
        <w:rPr>
          <w:rFonts w:eastAsiaTheme="minorEastAsia"/>
        </w:rPr>
      </w:pPr>
      <w:r w:rsidRPr="00D22B50">
        <w:rPr>
          <w:rFonts w:hint="eastAsia"/>
        </w:rPr>
        <w:t xml:space="preserve">The primary contributions of this work are focused on bridging the gap between theoretical potential and practical implementation. One of the most significant hurdles in knowledge migration is the phenomenon where unoptimized pre-trained weights can lead to negative transfer, a condition where the initial knowledge actually hinders target </w:t>
      </w:r>
      <w:r w:rsidRPr="00D22B50">
        <w:rPr>
          <w:rFonts w:hint="eastAsia"/>
        </w:rPr>
        <w:lastRenderedPageBreak/>
        <w:t xml:space="preserve">performance </w:t>
      </w:r>
      <w:r w:rsidR="008F1B5F" w:rsidRPr="00D22B50">
        <w:fldChar w:fldCharType="begin"/>
      </w:r>
      <w:r w:rsidR="008F1B5F" w:rsidRPr="00D22B50">
        <w:instrText xml:space="preserve"> ADDIN ZOTERO_ITEM CSL_CITATION {"citationID":"IqNMkKCO","properties":{"formattedCitation":"[13]","plainCitation":"[13]","noteIndex":0},"citationItems":[{"id":585,"uris":["http://zotero.org/users/local/p3tV44H5/items/SRPRYVXS"],"itemData":{"id":585,"type":"article-journal","abstract":"A major assumption in many machine learning and data mining algorithms is that the training and future data must be in the same feature space and have the same distribution. However, in many real-world applications, this assumption may not hold. For example, we sometimes have a classification task in one domain of interest, but we only have sufficient training data in another domain of interest, where the latter data may be in a different feature space or follow a different data distribution. In such cases, knowledge transfer, if done successfully, would greatly improve the performance of learning by avoiding much expensive data-labeling efforts. In recent years, transfer learning has emerged as a new learning framework to address this problem. This survey focuses on categorizing and reviewing the current progress on transfer learning for classification, regression, and clustering problems. In this survey, we discuss the relationship between transfer learning and other related machine learning techniques such as domain adaptation, multitask learning and sample selection bias, as well as covariate shift. We also explore some potential future issues in transfer learning research.","container-title":"IEEE Transactions on Knowledge and Data Engineering","DOI":"10.1109/TKDE.2009.191","ISSN":"1558-2191","issue":"10","page":"1345-1359","source":"IEEE Xplore","title":"A Survey on Transfer Learning","volume":"22","author":[{"family":"Pan","given":"Sinno Jialin"},{"family":"Yang","given":"Qiang"}],"issued":{"date-parts":[["2010",10]]}}}],"schema":"https://github.com/citation-style-language/schema/raw/master/csl-citation.json"} </w:instrText>
      </w:r>
      <w:r w:rsidR="008F1B5F" w:rsidRPr="00D22B50">
        <w:fldChar w:fldCharType="separate"/>
      </w:r>
      <w:r w:rsidR="008F1B5F" w:rsidRPr="00D22B50">
        <w:rPr>
          <w:rFonts w:cs="Times New Roman"/>
        </w:rPr>
        <w:t>[13]</w:t>
      </w:r>
      <w:r w:rsidR="008F1B5F" w:rsidRPr="00D22B50">
        <w:fldChar w:fldCharType="end"/>
      </w:r>
      <w:r w:rsidRPr="00D22B50">
        <w:rPr>
          <w:rFonts w:hint="eastAsia"/>
        </w:rPr>
        <w:t>. Negative transfer often occurs when the source domain is too divergent from the target or when the model has over-fitted to specific noise in the source data. To prevent this, the initial weights must provide a robust but flexible representation that can be quickly adapted to localized behavioral nuances.</w:t>
      </w:r>
    </w:p>
    <w:p w14:paraId="31A9C738" w14:textId="232472B9" w:rsidR="00753254" w:rsidRPr="00D22B50" w:rsidRDefault="00753254" w:rsidP="00FA00E5">
      <w:pPr>
        <w:pStyle w:val="af5"/>
        <w:spacing w:before="156" w:after="156"/>
        <w:rPr>
          <w:rFonts w:eastAsiaTheme="minorEastAsia"/>
        </w:rPr>
      </w:pPr>
      <w:r w:rsidRPr="00D22B50">
        <w:rPr>
          <w:rFonts w:hint="eastAsia"/>
        </w:rPr>
        <w:t xml:space="preserve">To ensure stable knowledge transfer and avoid the degradation of predictive accuracy, this research utilizes a systematic hyperparameter optimization process using the Optuna framework </w:t>
      </w:r>
      <w:r w:rsidR="00DF73D4" w:rsidRPr="00D22B50">
        <w:fldChar w:fldCharType="begin"/>
      </w:r>
      <w:r w:rsidR="00DF73D4" w:rsidRPr="00D22B50">
        <w:instrText xml:space="preserve"> ADDIN ZOTERO_ITEM CSL_CITATION {"citationID":"2rn6tXLo","properties":{"formattedCitation":"[16]","plainCitation":"[16]","noteIndex":0},"citationItems":[{"id":575,"uris":["http://zotero.org/users/local/p3tV44H5/items/KGFYWMJL"],"itemData":{"id":575,"type":"paper-conference","abstract":"The purpose of this study is to introduce new design-criteria for next-generation hyperparameter optimization software. The criteria we propose include (1) define-by-run API that allows users to construct the parameter search space dynamically, (2) efficient implementation of both searching and pruning strategies, and (3) easy-to-setup, versatile architecture that can be deployed for various purposes, ranging from scalable distributed computing to light-weight experiment conducted via interactive interface. In order to prove our point, we will introduce Optuna, an optimization software which is a culmination of our effort in the development of a next generation optimization software. As an optimization software designed with define-by-run principle, Optuna is particularly the first of its kind. We will present the design-techniques that became necessary in the development of the software that meets the above criteria, and demonstrate the power of our new design through experimental results and real world applications. Our software is available under the MIT license (https://github.com/pfnet/optuna/).","collection-title":"KDD '19","container-title":"Proceedings of the 25th ACM SIGKDD International Conference on Knowledge Discovery &amp; Data Mining","DOI":"10.1145/3292500.3330701","ISBN":"978-1-4503-6201-6","page":"2623–2631","publisher":"Association for Computing Machinery","publisher-place":"New York, NY, USA","source":"ACM Digital Library","title":"Optuna: A Next-generation Hyperparameter Optimization Framework","title-short":"Optuna","URL":"https://dl.acm.org/doi/10.1145/3292500.3330701","author":[{"family":"Akiba","given":"Takuya"},{"family":"Sano","given":"Shotaro"},{"family":"Yanase","given":"Toshihiko"},{"family":"Ohta","given":"Takeru"},{"family":"Koyama","given":"Masanori"}],"accessed":{"date-parts":[["2026",5,1]]},"issued":{"date-parts":[["2019",7,25]]}}}],"schema":"https://github.com/citation-style-language/schema/raw/master/csl-citation.json"} </w:instrText>
      </w:r>
      <w:r w:rsidR="00DF73D4" w:rsidRPr="00D22B50">
        <w:fldChar w:fldCharType="separate"/>
      </w:r>
      <w:r w:rsidR="00DF73D4" w:rsidRPr="00D22B50">
        <w:rPr>
          <w:rFonts w:cs="Times New Roman"/>
        </w:rPr>
        <w:t>[16]</w:t>
      </w:r>
      <w:r w:rsidR="00DF73D4" w:rsidRPr="00D22B50">
        <w:fldChar w:fldCharType="end"/>
      </w:r>
      <w:r w:rsidRPr="00D22B50">
        <w:rPr>
          <w:rFonts w:hint="eastAsia"/>
        </w:rPr>
        <w:t xml:space="preserve">. Optuna employs a Tree-structured Parzen Estimator (TPE) algorithm to search the high-dimensional parameter space, identifying the optimal learning rates, hidden units, and dropout ratios that maximize the </w:t>
      </w:r>
      <w:r w:rsidR="00BD7543">
        <w:t>“</w:t>
      </w:r>
      <w:r w:rsidRPr="00D22B50">
        <w:rPr>
          <w:rFonts w:hint="eastAsia"/>
        </w:rPr>
        <w:t>transferability</w:t>
      </w:r>
      <w:r w:rsidR="00BD7543">
        <w:t>”</w:t>
      </w:r>
      <w:r w:rsidRPr="00D22B50">
        <w:rPr>
          <w:rFonts w:hint="eastAsia"/>
        </w:rPr>
        <w:t xml:space="preserve"> of the features. This automated search process replaces manual heuristics, which are often insufficient for handling the high volatility of residential energy data.</w:t>
      </w:r>
    </w:p>
    <w:p w14:paraId="594C8908" w14:textId="77777777" w:rsidR="00753254" w:rsidRPr="00D22B50" w:rsidRDefault="00753254" w:rsidP="00F61464">
      <w:pPr>
        <w:pStyle w:val="3"/>
        <w:rPr>
          <w:rFonts w:hint="eastAsia"/>
        </w:rPr>
      </w:pPr>
      <w:bookmarkStart w:id="11" w:name="_Toc228913815"/>
      <w:r w:rsidRPr="00D22B50">
        <w:rPr>
          <w:rFonts w:hint="eastAsia"/>
        </w:rPr>
        <w:t>2.4.3 Empirical Validation and Practical Path</w:t>
      </w:r>
      <w:bookmarkEnd w:id="11"/>
    </w:p>
    <w:p w14:paraId="1CF92E8A" w14:textId="76314FB9" w:rsidR="002C44EF" w:rsidRPr="00D22B50" w:rsidRDefault="00753254" w:rsidP="00FA00E5">
      <w:pPr>
        <w:pStyle w:val="af5"/>
        <w:spacing w:before="156" w:after="156"/>
      </w:pPr>
      <w:r w:rsidRPr="00D22B50">
        <w:rPr>
          <w:rFonts w:hint="eastAsia"/>
        </w:rPr>
        <w:t xml:space="preserve">The effectiveness of this optimized transfer learning approach is validated through a rigorous experimental protocol. Extensive batch evaluation on </w:t>
      </w:r>
      <w:r w:rsidR="00723FDC" w:rsidRPr="00D22B50">
        <w:rPr>
          <w:rFonts w:hint="eastAsia"/>
        </w:rPr>
        <w:t>30</w:t>
      </w:r>
      <w:r w:rsidRPr="00D22B50">
        <w:rPr>
          <w:rFonts w:hint="eastAsia"/>
        </w:rPr>
        <w:t xml:space="preserve"> diverse households from the London Smart Meter dataset demonstrates that the optimized framework achieves a </w:t>
      </w:r>
      <w:r w:rsidR="00EF32D5" w:rsidRPr="00EF32D5">
        <w:t>31.5%</w:t>
      </w:r>
      <w:r w:rsidRPr="00D22B50">
        <w:rPr>
          <w:rFonts w:hint="eastAsia"/>
        </w:rPr>
        <w:t xml:space="preserve"> improvement over the traditional scratch-training baseline. By providing a scalable solution that works with as little as 10 days of target data, this work establishes a viable path for immediate, high-value service deployment in smart grids from the very first day of meter installation.</w:t>
      </w:r>
    </w:p>
    <w:p w14:paraId="09D1FCFC" w14:textId="37F72308" w:rsidR="00AC7269" w:rsidRPr="00D22B50" w:rsidRDefault="00AC7269" w:rsidP="00F61464">
      <w:pPr>
        <w:pStyle w:val="1"/>
        <w:rPr>
          <w:rFonts w:hint="eastAsia"/>
        </w:rPr>
      </w:pPr>
      <w:bookmarkStart w:id="12" w:name="_Hlk228641565"/>
      <w:bookmarkStart w:id="13" w:name="_Toc228913816"/>
      <w:r w:rsidRPr="00D22B50">
        <w:t>3. Literature Review</w:t>
      </w:r>
      <w:bookmarkEnd w:id="13"/>
    </w:p>
    <w:p w14:paraId="03E9D6C6" w14:textId="77777777" w:rsidR="00753254" w:rsidRPr="00D22B50" w:rsidRDefault="00753254" w:rsidP="00F61464">
      <w:pPr>
        <w:pStyle w:val="2"/>
        <w:rPr>
          <w:rFonts w:hint="eastAsia"/>
        </w:rPr>
      </w:pPr>
      <w:bookmarkStart w:id="14" w:name="_Toc228913817"/>
      <w:r w:rsidRPr="00D22B50">
        <w:rPr>
          <w:rFonts w:hint="eastAsia"/>
        </w:rPr>
        <w:t>3.1 Evolutionary Trajectory of Short-Term Load Forecasting</w:t>
      </w:r>
      <w:bookmarkEnd w:id="14"/>
    </w:p>
    <w:p w14:paraId="3CE12486" w14:textId="331F110D" w:rsidR="00753254" w:rsidRPr="00D22B50" w:rsidRDefault="00CE1344" w:rsidP="00FA00E5">
      <w:pPr>
        <w:pStyle w:val="af5"/>
        <w:spacing w:before="156" w:after="156"/>
      </w:pPr>
      <w:r w:rsidRPr="00D22B50">
        <w:t xml:space="preserve">The historical development of STLF represents a fundamental shift from linear statistical modeling to sophisticated deep learning architectures </w:t>
      </w:r>
      <w:r w:rsidR="00DF73D4" w:rsidRPr="00D22B50">
        <w:fldChar w:fldCharType="begin"/>
      </w:r>
      <w:r w:rsidR="00DF73D4" w:rsidRPr="00D22B50">
        <w:instrText xml:space="preserve"> ADDIN ZOTERO_ITEM CSL_CITATION {"citationID":"XFoj8UQb","properties":{"formattedCitation":"[17]","plainCitation":"[17]","noteIndex":0},"citationItems":[{"id":673,"uris":["http://zotero.org/users/local/p3tV44H5/items/E2P7VV6V"],"itemData":{"id":673,"type":"article-journal","abstract":"Deep learning allows computational models that are composed of multiple processing layers to learn representations of data with multiple levels of abstraction. These methods have dramatically improved the state-of-the-art in speech recognition, visual object recognition, object detection and many other domains such as drug discovery and genomics. Deep learning discovers intricate structure in large data sets by using the backpropagation algorithm to indicate how a machine should change its internal parameters that are used to compute the representation in each layer from the representation in the previous layer. Deep convolutional nets have brought about breakthroughs in processing images, video, speech and audio, whereas recurrent nets have shone light on sequential data such as text and speech.","container-title":"Nature","DOI":"10.1038/nature14539","ISSN":"1476-4687","issue":"7553","language":"en","license":"2015 Springer Nature Limited","page":"436-444","publisher":"Nature Publishing Group","source":"www.nature.com","title":"Deep learning","volume":"521","author":[{"family":"LeCun","given":"Yann"},{"family":"Bengio","given":"Yoshua"},{"family":"Hinton","given":"Geoffrey"}],"issued":{"date-parts":[["2015",5]]}}}],"schema":"https://github.com/citation-style-language/schema/raw/master/csl-citation.json"} </w:instrText>
      </w:r>
      <w:r w:rsidR="00DF73D4" w:rsidRPr="00D22B50">
        <w:fldChar w:fldCharType="separate"/>
      </w:r>
      <w:r w:rsidR="00DF73D4" w:rsidRPr="00D22B50">
        <w:rPr>
          <w:rFonts w:cs="Times New Roman"/>
        </w:rPr>
        <w:t>[17]</w:t>
      </w:r>
      <w:r w:rsidR="00DF73D4" w:rsidRPr="00D22B50">
        <w:fldChar w:fldCharType="end"/>
      </w:r>
      <w:r w:rsidRPr="00D22B50">
        <w:t xml:space="preserve">. While early neural networks offered initial breakthroughs in capturing non-linear consumption patterns </w:t>
      </w:r>
      <w:r w:rsidR="00DF73D4" w:rsidRPr="00D22B50">
        <w:fldChar w:fldCharType="begin"/>
      </w:r>
      <w:r w:rsidR="00DF73D4" w:rsidRPr="00D22B50">
        <w:instrText xml:space="preserve"> ADDIN ZOTERO_ITEM CSL_CITATION {"citationID":"wJTOeZxt","properties":{"formattedCitation":"[18]","plainCitation":"[18]","noteIndex":0},"citationItems":[{"id":677,"uris":["http://zotero.org/users/local/p3tV44H5/items/D8QPXLJQ"],"itemData":{"id":677,"type":"article-journal","abstract":"Load forecasting has become one of the major areas of research in electrical engineering, and most traditional forecasting models and artificial intelligence techniques have been tried out in this task. Artificial neural networks (NNs) have lately received much attention, and a great number of papers have reported successful experiments and practical tests with them. Nevertheless, some authors remain skeptical, and believe that the advantages of using NNs in forecasting have not been systematically proved yet. In order to investigate the reasons for such skepticism, this review examines a collection of papers (published between 1991 and 1999) that report the application of NNs to short-term load forecasting. Our aim is to help to clarify the issue, by critically evaluating the ways in which the NNs proposed in these papers were designed and tested.","container-title":"IEEE Transactions on Power Systems","DOI":"10.1109/59.910780","ISSN":"1558-0679","issue":"1","page":"44-55","source":"IEEE Xplore","title":"Neural networks for short-term load forecasting: a review and evaluation","title-short":"Neural networks for short-term load forecasting","volume":"16","author":[{"family":"Hippert","given":"H.S."},{"family":"Pedreira","given":"C.E."},{"family":"Souza","given":"R.C."}],"issued":{"date-parts":[["2001",2]]}}}],"schema":"https://github.com/citation-style-language/schema/raw/master/csl-citation.json"} </w:instrText>
      </w:r>
      <w:r w:rsidR="00DF73D4" w:rsidRPr="00D22B50">
        <w:fldChar w:fldCharType="separate"/>
      </w:r>
      <w:r w:rsidR="00DF73D4" w:rsidRPr="00D22B50">
        <w:rPr>
          <w:rFonts w:cs="Times New Roman"/>
        </w:rPr>
        <w:t>[18]</w:t>
      </w:r>
      <w:r w:rsidR="00DF73D4" w:rsidRPr="00D22B50">
        <w:fldChar w:fldCharType="end"/>
      </w:r>
      <w:r w:rsidRPr="00D22B50">
        <w:t xml:space="preserve">, recent successes in recurrent applications have further proven the efficacy of sequential deep modeling </w:t>
      </w:r>
      <w:r w:rsidR="00DF73D4" w:rsidRPr="00D22B50">
        <w:fldChar w:fldCharType="begin"/>
      </w:r>
      <w:r w:rsidR="00DF73D4" w:rsidRPr="00D22B50">
        <w:instrText xml:space="preserve"> ADDIN ZOTERO_ITEM CSL_CITATION {"citationID":"PQRLMu0q","properties":{"formattedCitation":"[19]","plainCitation":"[19]","noteIndex":0},"citationItems":[{"id":660,"uris":["http://zotero.org/users/local/p3tV44H5/items/BHCLRV35"],"itemData":{"id":660,"type":"paper-conference","abstract":"Electric load forecasting plays a vital role in smart grids. Short term electric load forecasting forecasts the load that is several hours to several weeks ahead. Due to the nonlinear, non-stationary and nonseasonal nature of the short term electric load time series in small scale power systems, accurate forecasting is challenging. This paper explores Long-Short-Term-Memory (LSTM) based Recurrent Neural Network (RNN) to deal with this challenge. LSTM-based RNN is able to exploit the long term dependencies in the electric load time series for more accurate forecasting. Experiments are conducted to demonstrate that LSTM-based RNN is capable of forecasting accurately the complex electric load time series with a long forecasting horizon. Its performance compares favorably to many other forecasting methods.","container-title":"2017 51st Annual Conference on Information Sciences and Systems (CISS)","DOI":"10.1109/CISS.2017.7926112","event-title":"2017 51st Annual Conference on Information Sciences and Systems (CISS)","page":"1-6","source":"IEEE Xplore","title":"Electric load forecasting in smart grids using Long-Short-Term-Memory based Recurrent Neural Network","URL":"https://ieeexplore.ieee.org/document/7926112/","author":[{"family":"Zheng","given":"Jian"},{"family":"Xu","given":"Cencen"},{"family":"Zhang","given":"Ziang"},{"family":"Li","given":"Xiaohua"}],"accessed":{"date-parts":[["2026",5,1]]},"issued":{"date-parts":[["2017",3]]}}}],"schema":"https://github.com/citation-style-language/schema/raw/master/csl-citation.json"} </w:instrText>
      </w:r>
      <w:r w:rsidR="00DF73D4" w:rsidRPr="00D22B50">
        <w:fldChar w:fldCharType="separate"/>
      </w:r>
      <w:r w:rsidR="00DF73D4" w:rsidRPr="00D22B50">
        <w:rPr>
          <w:rFonts w:cs="Times New Roman"/>
        </w:rPr>
        <w:t>[19]</w:t>
      </w:r>
      <w:r w:rsidR="00DF73D4" w:rsidRPr="00D22B50">
        <w:fldChar w:fldCharType="end"/>
      </w:r>
      <w:r w:rsidRPr="00D22B50">
        <w:t>.</w:t>
      </w:r>
    </w:p>
    <w:p w14:paraId="2443042B" w14:textId="77777777" w:rsidR="00753254" w:rsidRPr="00D22B50" w:rsidRDefault="00753254" w:rsidP="00753254">
      <w:pPr>
        <w:rPr>
          <w:rFonts w:hint="eastAsia"/>
        </w:rPr>
      </w:pPr>
    </w:p>
    <w:p w14:paraId="3A03B725" w14:textId="77777777" w:rsidR="00753254" w:rsidRPr="00D22B50" w:rsidRDefault="00753254" w:rsidP="00F61464">
      <w:pPr>
        <w:pStyle w:val="3"/>
        <w:rPr>
          <w:rFonts w:hint="eastAsia"/>
        </w:rPr>
      </w:pPr>
      <w:bookmarkStart w:id="15" w:name="_Toc228913818"/>
      <w:r w:rsidRPr="00D22B50">
        <w:rPr>
          <w:rFonts w:hint="eastAsia"/>
        </w:rPr>
        <w:t>3.1.1 The Statistical Era: ARIMA and Smoothing Techniques</w:t>
      </w:r>
      <w:bookmarkEnd w:id="15"/>
    </w:p>
    <w:p w14:paraId="7DA214A8" w14:textId="25A23216" w:rsidR="00753254" w:rsidRPr="00D22B50" w:rsidRDefault="00753254" w:rsidP="00DF73D4">
      <w:pPr>
        <w:pStyle w:val="af5"/>
        <w:spacing w:before="156" w:after="156"/>
        <w:rPr>
          <w:rFonts w:eastAsiaTheme="minorEastAsia"/>
        </w:rPr>
      </w:pPr>
      <w:r w:rsidRPr="00D22B50">
        <w:rPr>
          <w:rFonts w:hint="eastAsia"/>
        </w:rPr>
        <w:t xml:space="preserve">Early methodologies were dominated by Autoregressive Integrated Moving Average (ARIMA) and exponential smoothing techniques. These models rely on the assumption of stationarity or near-stationarity in time-series data. While effective for aggregate load forecasting where noise is filtered out through summation—a phenomenon explained </w:t>
      </w:r>
      <w:r w:rsidRPr="00D22B50">
        <w:rPr>
          <w:rFonts w:hint="eastAsia"/>
        </w:rPr>
        <w:lastRenderedPageBreak/>
        <w:t>by the Central Limit Theorem where the sum of independent random variables tends toward a Gaussian distribution—these methods struggle with the sharp fluctuations inherent in individual household data. In the context of a single residence, electricity consumption is not a smooth continuous function but rather a series of discrete, high-variance events driven by human behavior. Consequently, the linear nature of ARIMA fails to capture the heteroscedasticity and non-linear spikes typical of modern residential energy use.</w:t>
      </w:r>
    </w:p>
    <w:p w14:paraId="4DFF6266" w14:textId="77777777" w:rsidR="00753254" w:rsidRPr="00D22B50" w:rsidRDefault="00753254" w:rsidP="00F61464">
      <w:pPr>
        <w:pStyle w:val="3"/>
        <w:rPr>
          <w:rFonts w:hint="eastAsia"/>
        </w:rPr>
      </w:pPr>
      <w:bookmarkStart w:id="16" w:name="_Toc228913819"/>
      <w:r w:rsidRPr="00D22B50">
        <w:rPr>
          <w:rFonts w:hint="eastAsia"/>
        </w:rPr>
        <w:t>3.1.2 The Machine Learning Era: SVR and Random Forests</w:t>
      </w:r>
      <w:bookmarkEnd w:id="16"/>
    </w:p>
    <w:p w14:paraId="074EBA82" w14:textId="483472E1" w:rsidR="00753254" w:rsidRPr="00D22B50" w:rsidRDefault="00753254" w:rsidP="00DF73D4">
      <w:pPr>
        <w:pStyle w:val="af5"/>
        <w:spacing w:before="156" w:after="156"/>
        <w:rPr>
          <w:rFonts w:eastAsiaTheme="minorEastAsia"/>
        </w:rPr>
      </w:pPr>
      <w:r w:rsidRPr="00D22B50">
        <w:rPr>
          <w:rFonts w:hint="eastAsia"/>
        </w:rPr>
        <w:t xml:space="preserve">The emergence of machine learning introduced a new set of tools, most notably Support Vector Regression (SVR) and Random Forests. These models offered a significant leap forward by providing the capacity to model non-linear relationships without requiring strict parametric assumptions. SVR, for instance, utilizes the kernel trick to map input data into high-dimensional spaces where linear separation or regression becomes possible. However, these shallow learners often fail to capture the long-term temporal dependencies present in energy time series. Their performance is heavily contingent upon manual feature engineering, where experts must pre-define lagged variables and seasonal indicators. Because they lack an inherent </w:t>
      </w:r>
      <w:r w:rsidR="00BD7543">
        <w:t>“</w:t>
      </w:r>
      <w:r w:rsidRPr="00D22B50">
        <w:rPr>
          <w:rFonts w:hint="eastAsia"/>
        </w:rPr>
        <w:t>memory</w:t>
      </w:r>
      <w:r w:rsidR="00BD7543">
        <w:t>”</w:t>
      </w:r>
      <w:r w:rsidRPr="00D22B50">
        <w:rPr>
          <w:rFonts w:hint="eastAsia"/>
        </w:rPr>
        <w:t xml:space="preserve"> mechanism, they treat each input window as a static snapshot, often overlooking the sequential context that defines residential routines.</w:t>
      </w:r>
    </w:p>
    <w:p w14:paraId="50E52B8F" w14:textId="77777777" w:rsidR="00753254" w:rsidRPr="00D22B50" w:rsidRDefault="00753254" w:rsidP="00F61464">
      <w:pPr>
        <w:pStyle w:val="3"/>
        <w:rPr>
          <w:rFonts w:hint="eastAsia"/>
        </w:rPr>
      </w:pPr>
      <w:bookmarkStart w:id="17" w:name="_Toc228913820"/>
      <w:r w:rsidRPr="00D22B50">
        <w:rPr>
          <w:rFonts w:hint="eastAsia"/>
        </w:rPr>
        <w:t>3.1.3 The Deep Learning Revolution: RNNs and LSTMs</w:t>
      </w:r>
      <w:bookmarkEnd w:id="17"/>
    </w:p>
    <w:p w14:paraId="3648DA43" w14:textId="6D5629E0" w:rsidR="00753254" w:rsidRPr="00D22B50" w:rsidRDefault="00753254" w:rsidP="00FA00E5">
      <w:pPr>
        <w:pStyle w:val="af5"/>
        <w:spacing w:before="156" w:after="156"/>
      </w:pPr>
      <w:r w:rsidRPr="00D22B50">
        <w:rPr>
          <w:rFonts w:hint="eastAsia"/>
        </w:rPr>
        <w:t>The introduction of Recurrent Neural Networks (RNNs) marked a true paradigm shift in the field by treating load forecasting as a dynamic sequence modeling problem rather than a static regression task. Unlike feed-forward neural networks, RNNs maintain a hidden state that functions as a temporal memory, carrying information from previous time steps to influence the current output. This recurrent structure theoretically allows the network to model the sequential nature of residential routines. However, traditional RNNs are plagued by the vanishing gradient problem. During the Backpropagation Through Time (BPTT) process, the gradients of the loss function are repeatedly multiplied by the weight matrices as they propagate back to earlier time steps. If these weights are small, the gradient diminishes exponentially, effectively preventing the network from learning dependencies across long sequences. This limitation is particularly detrimental in STLF, where the model must understand patterns over several days (96 time steps for 15-minute intervals).</w:t>
      </w:r>
      <w:r w:rsidR="00FA00E5" w:rsidRPr="00D22B50">
        <w:rPr>
          <w:rFonts w:hint="eastAsia"/>
        </w:rPr>
        <w:t xml:space="preserve"> </w:t>
      </w:r>
      <w:r w:rsidRPr="00D22B50">
        <w:rPr>
          <w:rFonts w:hint="eastAsia"/>
        </w:rPr>
        <w:t xml:space="preserve">Long Short-Term Memory (LSTM) networks solved this critical flaw by introducing a sophisticated gating mechanism consisting of forget, input, and output gates </w:t>
      </w:r>
      <w:r w:rsidR="00DF73D4" w:rsidRPr="00D22B50">
        <w:fldChar w:fldCharType="begin"/>
      </w:r>
      <w:r w:rsidR="00DF73D4" w:rsidRPr="00D22B50">
        <w:instrText xml:space="preserve"> ADDIN ZOTERO_ITEM CSL_CITATION {"citationID":"CrttTByz","properties":{"formattedCitation":"[8]","plainCitation":"[8]","noteIndex":0},"citationItems":[{"id":512,"uris":["http://zotero.org/users/local/p3tV44H5/items/HCMHHT5F"],"itemData":{"id":512,"type":"article-journal","abstract":"Learning to store information over extended time intervals by recurrent backpropagation takes a very long time, mostly because of insufficient, decaying error backflow. We briefly review Hochreiter's (1991) analysis of this problem, then address it by introducing a novel, efficient, gradient based method called long short-term memory (LSTM). Truncating the gradient where this does not do harm, LSTM can learn to bridge minimal time lags in excess of 1000 discrete-time steps by enforcing constant error flow through constant error carousels within special units. Multiplicative gate units learn to open and close access to the constant error flow. LSTM is local in space and time; its computational complexity per time step and weight is O. 1. Our experiments with artificial data involve local, distributed, real-valued, and noisy pattern representations. In comparisons with real-time recurrent learning, back propagation through time, recurrent cascade correlation, Elman nets, and neural sequence chunking, LSTM leads to many more successful runs, and learns much faster. LSTM also solves complex, artificial long-time-lag tasks that have never been solved by previous recurrent network algorithms.","container-title":"Neural Computation","DOI":"10.1162/neco.1997.9.8.1735","ISSN":"0899-7667","issue":"8","page":"1735-1780","source":"IEEE Xplore","title":"Long Short-Term Memory","volume":"9","author":[{"family":"Hochreiter","given":"Sepp"},{"family":"Schmidhuber","given":"Jürgen"}],"issued":{"date-parts":[["1997",11]]}}}],"schema":"https://github.com/citation-style-language/schema/raw/master/csl-citation.json"} </w:instrText>
      </w:r>
      <w:r w:rsidR="00DF73D4" w:rsidRPr="00D22B50">
        <w:fldChar w:fldCharType="separate"/>
      </w:r>
      <w:r w:rsidR="00DF73D4" w:rsidRPr="00D22B50">
        <w:rPr>
          <w:rFonts w:cs="Times New Roman"/>
        </w:rPr>
        <w:t>[8]</w:t>
      </w:r>
      <w:r w:rsidR="00DF73D4" w:rsidRPr="00D22B50">
        <w:fldChar w:fldCharType="end"/>
      </w:r>
      <w:r w:rsidRPr="00D22B50">
        <w:rPr>
          <w:rFonts w:hint="eastAsia"/>
        </w:rPr>
        <w:t xml:space="preserve">. The core innovation of the LSTM is the cell state, which serves as an information highway that can maintain information with minimal modification. The forget gate regulates how much of the previous cell state should be retained, the input gate decides which new information from the current observation should be stored, and the output gate determines which part of the cell state will be passed to the hidden state. This mathematical architecture allows the model to </w:t>
      </w:r>
      <w:r w:rsidRPr="00D22B50">
        <w:rPr>
          <w:rFonts w:hint="eastAsia"/>
        </w:rPr>
        <w:lastRenderedPageBreak/>
        <w:t>selectively retain or discard information over hundreds of time steps, making it capable of capturing both high-frequency daily peaks and low-frequency weekly trends.</w:t>
      </w:r>
    </w:p>
    <w:p w14:paraId="49BBCF7F" w14:textId="23214B5E" w:rsidR="00753254" w:rsidRPr="00D22B50" w:rsidRDefault="00753254" w:rsidP="00FA00E5">
      <w:pPr>
        <w:pStyle w:val="af5"/>
        <w:spacing w:before="156" w:after="156"/>
      </w:pPr>
      <w:r w:rsidRPr="00D22B50">
        <w:rPr>
          <w:rFonts w:hint="eastAsia"/>
        </w:rPr>
        <w:t xml:space="preserve">Kong et al. pioneered the application of LSTM to residential STLF, proving its superiority in handling the extreme volatility of single-user consumption </w:t>
      </w:r>
      <w:r w:rsidR="00DF73D4" w:rsidRPr="00D22B50">
        <w:fldChar w:fldCharType="begin"/>
      </w:r>
      <w:r w:rsidR="00DF73D4" w:rsidRPr="00D22B50">
        <w:instrText xml:space="preserve"> ADDIN ZOTERO_ITEM CSL_CITATION {"citationID":"C4bENqdp","properties":{"formattedCitation":"[9]","plainCitation":"[9]","noteIndex":0},"citationItems":[{"id":557,"uris":["http://zotero.org/users/local/p3tV44H5/items/N4D6A4RG"],"itemData":{"id":557,"type":"article-journal","abstract":"As the power system is facing a transition toward a more intelligent, flexible, and interactive system with higher penetration of renewable energy generation, load forecasting, especially short-term load forecasting for individual electric customers plays an increasingly essential role in the future grid planning and operation. Other than aggregated residential load in a large scale, forecasting an electric load of a single energy user is fairly challenging due to the high volatility and uncertainty involved. In this paper, we propose a long short-term memory (LSTM) recurrent neural network-based framework, which is the latest and one of the most popular techniques of deep learning, to tackle this tricky issue. The proposed framework is tested on a publicly available set of real residential smart meter data, of which the performance is comprehensively compared to various benchmarks including the state-of-the-arts in the field of load forecasting. As a result, the proposed LSTM approach outperforms the other listed rival algorithms in the task of short-term load forecasting for individual residential households.","container-title":"IEEE Transactions on Smart Grid","DOI":"10.1109/TSG.2017.2753802","ISSN":"1949-3061","issue":"1","page":"841-851","source":"IEEE Xplore","title":"Short-Term Residential Load Forecasting Based on LSTM Recurrent Neural Network","volume":"10","author":[{"family":"Kong","given":"Weicong"},{"family":"Dong","given":"Zhao Yang"},{"family":"Jia","given":"Youwei"},{"family":"Hill","given":"David J."},{"family":"Xu","given":"Yan"},{"family":"Zhang","given":"Yuan"}],"issued":{"date-parts":[["2019",1]]}}}],"schema":"https://github.com/citation-style-language/schema/raw/master/csl-citation.json"} </w:instrText>
      </w:r>
      <w:r w:rsidR="00DF73D4" w:rsidRPr="00D22B50">
        <w:fldChar w:fldCharType="separate"/>
      </w:r>
      <w:r w:rsidR="00DF73D4" w:rsidRPr="00D22B50">
        <w:rPr>
          <w:rFonts w:cs="Times New Roman"/>
        </w:rPr>
        <w:t>[9]</w:t>
      </w:r>
      <w:r w:rsidR="00DF73D4" w:rsidRPr="00D22B50">
        <w:fldChar w:fldCharType="end"/>
      </w:r>
      <w:r w:rsidRPr="00D22B50">
        <w:rPr>
          <w:rFonts w:hint="eastAsia"/>
        </w:rPr>
        <w:t xml:space="preserve">. Their research demonstrated that the internal gating mechanisms of LSTMs could effectively filter out the stochastic </w:t>
      </w:r>
      <w:r w:rsidR="00BD7543">
        <w:t>“</w:t>
      </w:r>
      <w:r w:rsidRPr="00D22B50">
        <w:rPr>
          <w:rFonts w:hint="eastAsia"/>
        </w:rPr>
        <w:t>noise</w:t>
      </w:r>
      <w:r w:rsidR="00BD7543">
        <w:t>”</w:t>
      </w:r>
      <w:r w:rsidRPr="00D22B50">
        <w:rPr>
          <w:rFonts w:hint="eastAsia"/>
        </w:rPr>
        <w:t xml:space="preserve"> of individual appliance activations while identifying the underlying energy </w:t>
      </w:r>
      <w:r w:rsidR="00BD7543">
        <w:t>“</w:t>
      </w:r>
      <w:r w:rsidRPr="00D22B50">
        <w:rPr>
          <w:rFonts w:hint="eastAsia"/>
        </w:rPr>
        <w:t>fingerprint</w:t>
      </w:r>
      <w:r w:rsidR="00BD7543">
        <w:t>”</w:t>
      </w:r>
      <w:r w:rsidRPr="00D22B50">
        <w:rPr>
          <w:rFonts w:hint="eastAsia"/>
        </w:rPr>
        <w:t xml:space="preserve"> of a household. </w:t>
      </w:r>
      <w:r w:rsidR="00236858" w:rsidRPr="00D22B50">
        <w:t>This established the LSTM as the gold standard for high-resolution residential forecasting in modern smart grid research</w:t>
      </w:r>
      <w:r w:rsidR="00DF73D4" w:rsidRPr="00D22B50">
        <w:fldChar w:fldCharType="begin"/>
      </w:r>
      <w:r w:rsidR="00DF73D4" w:rsidRPr="00D22B50">
        <w:instrText xml:space="preserve"> ADDIN ZOTERO_ITEM CSL_CITATION {"citationID":"TcG3W2M5","properties":{"formattedCitation":"[9], [20], [21]","plainCitation":"[9], [20], [21]","noteIndex":0},"citationItems":[{"id":557,"uris":["http://zotero.org/users/local/p3tV44H5/items/N4D6A4RG"],"itemData":{"id":557,"type":"article-journal","abstract":"As the power system is facing a transition toward a more intelligent, flexible, and interactive system with higher penetration of renewable energy generation, load forecasting, especially short-term load forecasting for individual electric customers plays an increasingly essential role in the future grid planning and operation. Other than aggregated residential load in a large scale, forecasting an electric load of a single energy user is fairly challenging due to the high volatility and uncertainty involved. In this paper, we propose a long short-term memory (LSTM) recurrent neural network-based framework, which is the latest and one of the most popular techniques of deep learning, to tackle this tricky issue. The proposed framework is tested on a publicly available set of real residential smart meter data, of which the performance is comprehensively compared to various benchmarks including the state-of-the-arts in the field of load forecasting. As a result, the proposed LSTM approach outperforms the other listed rival algorithms in the task of short-term load forecasting for individual residential households.","container-title":"IEEE Transactions on Smart Grid","DOI":"10.1109/TSG.2017.2753802","ISSN":"1949-3061","issue":"1","page":"841-851","source":"IEEE Xplore","title":"Short-Term Residential Load Forecasting Based on LSTM Recurrent Neural Network","volume":"10","author":[{"family":"Kong","given":"Weicong"},{"family":"Dong","given":"Zhao Yang"},{"family":"Jia","given":"Youwei"},{"family":"Hill","given":"David J."},{"family":"Xu","given":"Yan"},{"family":"Zhang","given":"Yuan"}],"issued":{"date-parts":[["2019",1]]}}},{"id":599,"uris":["http://zotero.org/users/local/p3tV44H5/items/RAZSRL9D"],"itemData":{"id":599,"type":"article","abstract":"We focus on solving the univariate times series point forecasting problem using deep learning. We propose a deep neural architecture based on backward and forward residual links and a very deep stack of fully-connected layers. The architecture has a number of desirable properties, being interpretable, applicable without modification to a wide array of target domains, and fast to train. We test the proposed architecture on several well-known datasets, including M3, M4 and TOURISM competition datasets containing time series from diverse domains. We demonstrate state-of-the-art performance for two configurations of N-BEATS for all the datasets, improving forecast accuracy by 11% over a statistical benchmark and by 3% over last year's winner of the M4 competition, a domain-adjusted hand-crafted hybrid between neural network and statistical time series models. The first configuration of our model does not employ any time-series-specific components and its performance on heterogeneous datasets strongly suggests that, contrarily to received wisdom, deep learning primitives such as residual blocks are by themselves sufficient to solve a wide range of forecasting problems. Finally, we demonstrate how the proposed architecture can be augmented to provide outputs that are interpretable without considerable loss in accuracy.","DOI":"10.48550/arXiv.1905.10437","note":"arXiv:1905.10437 [cs]","number":"arXiv:1905.10437","publisher":"arXiv","source":"arXiv.org","title":"N-BEATS: Neural basis expansion analysis for interpretable time series forecasting","title-short":"N-BEATS","URL":"http://arxiv.org/abs/1905.10437","author":[{"family":"Oreshkin","given":"Boris N."},{"family":"Carpov","given":"Dmitri"},{"family":"Chapados","given":"Nicolas"},{"family":"Bengio","given":"Yoshua"}],"accessed":{"date-parts":[["2026",5,1]]},"issued":{"date-parts":[["2020",2,20]]}}},{"id":604,"uris":["http://zotero.org/users/local/p3tV44H5/items/MNH3PGL5"],"itemData":{"id":604,"type":"article-journal","abstract":"The installation of smart meters enables the collection of massive fine-grained electricity consumption data and makes individual consumer level load forecasting possible. Compared to aggregated loads, load forecasting for individual consumers is prone to non-stationary and stochastic features. In this paper, a probabilistic load forecasting method for individual consumers is proposed to handle the variability and uncertainty of future load profiles. Specifically, a deep neural network, long short-term memory (LSTM), is used to model both the long-term and short-term dependencies within the load profiles. Pinball loss, instead of the mean square error (MSE), is used to guide the training of the parameters. In this way, traditional LSTM-based point forecasting is extended to probabilistic forecasting in the form of quantiles. Numerical experiments are conducted on an open dataset from Ireland. Forecasting for both residential and commercial consumers is tested. Results show that the proposed method has superior performance over traditional methods.","container-title":"Applied Energy","DOI":"10.1016/j.apenergy.2018.10.078","ISSN":"0306-2619","journalAbbreviation":"Applied Energy","page":"10-20","source":"ScienceDirect","title":"Probabilistic individual load forecasting using pinball loss guided LSTM","volume":"235","author":[{"family":"Wang","given":"Yi"},{"family":"Gan","given":"Dahua"},{"family":"Sun","given":"Mingyang"},{"family":"Zhang","given":"Ning"},{"family":"Lu","given":"Zongxiang"},{"family":"Kang","given":"Chongqing"}],"issued":{"date-parts":[["2019",2,1]]}}}],"schema":"https://github.com/citation-style-language/schema/raw/master/csl-citation.json"} </w:instrText>
      </w:r>
      <w:r w:rsidR="00DF73D4" w:rsidRPr="00D22B50">
        <w:fldChar w:fldCharType="separate"/>
      </w:r>
      <w:r w:rsidR="00DF73D4" w:rsidRPr="00D22B50">
        <w:rPr>
          <w:rFonts w:cs="Times New Roman"/>
        </w:rPr>
        <w:t>[9], [20], [21]</w:t>
      </w:r>
      <w:r w:rsidR="00DF73D4" w:rsidRPr="00D22B50">
        <w:fldChar w:fldCharType="end"/>
      </w:r>
      <w:r w:rsidR="00236858" w:rsidRPr="00D22B50">
        <w:t>.</w:t>
      </w:r>
    </w:p>
    <w:p w14:paraId="2DF7122F" w14:textId="77777777" w:rsidR="00753254" w:rsidRPr="00D22B50" w:rsidRDefault="00753254" w:rsidP="00F61464">
      <w:pPr>
        <w:pStyle w:val="3"/>
        <w:rPr>
          <w:rFonts w:hint="eastAsia"/>
        </w:rPr>
      </w:pPr>
      <w:bookmarkStart w:id="18" w:name="_Toc228913821"/>
      <w:r w:rsidRPr="00D22B50">
        <w:rPr>
          <w:rFonts w:hint="eastAsia"/>
        </w:rPr>
        <w:t>3.1.4 Advanced Hybrid and Multi-User Architectures</w:t>
      </w:r>
      <w:bookmarkEnd w:id="18"/>
    </w:p>
    <w:p w14:paraId="5AB37891" w14:textId="78CB5336" w:rsidR="00753254" w:rsidRPr="00D22B50" w:rsidRDefault="00753254" w:rsidP="00FA00E5">
      <w:pPr>
        <w:pStyle w:val="af5"/>
        <w:spacing w:before="156" w:after="156"/>
      </w:pPr>
      <w:r w:rsidRPr="00D22B50">
        <w:rPr>
          <w:rFonts w:hint="eastAsia"/>
        </w:rPr>
        <w:t xml:space="preserve">Following the success of standard LSTMs, the research community branched into more specialized and complex structures to further enhance predictive robustness. One prominent development is the Pooling LSTM model, designed specifically to mitigate the impact of individual noise by learning shared features across a group of similar users </w:t>
      </w:r>
      <w:r w:rsidR="00DF73D4" w:rsidRPr="00D22B50">
        <w:fldChar w:fldCharType="begin"/>
      </w:r>
      <w:r w:rsidR="00DF73D4" w:rsidRPr="00D22B50">
        <w:instrText xml:space="preserve"> ADDIN ZOTERO_ITEM CSL_CITATION {"citationID":"7yxzmXVp","properties":{"formattedCitation":"[22]","plainCitation":"[22]","noteIndex":0},"citationItems":[{"id":582,"uris":["http://zotero.org/users/local/p3tV44H5/items/ZEP5S279"],"itemData":{"id":582,"type":"article-journal","abstract":"The key challenge for household load forecasting lies in the high volatility and uncertainty of load profiles. Traditional methods tend to avoid such uncertainty by load aggregation (to offset uncertainties), customer classification (to cluster uncertainties) and spectral analysis (to filter out uncertainties). This paper, for the first time, aims to directly learn the uncertainty by applying a new breed of machine learning algorithms – deep learning.","container-title":"IEEE Transactions on Smart Grid","DOI":"10.1109/TSG.2017.2686012","ISSN":"1949-3053, 1949-3061","issue":"5","journalAbbreviation":"IEEE Trans. Smart Grid","language":"en","license":"https://ieeexplore.ieee.org/Xplorehelp/downloads/license-information/IEEE.html","page":"5271-5280","source":"DOI.org (Crossref)","title":"Deep Learning for Household Load Forecasting—A Novel Pooling Deep RNN","volume":"9","author":[{"family":"Shi","given":"Heng"},{"family":"Xu","given":"Minghao"},{"family":"Li","given":"Ran"}],"issued":{"date-parts":[["2018",9]]}}}],"schema":"https://github.com/citation-style-language/schema/raw/master/csl-citation.json"} </w:instrText>
      </w:r>
      <w:r w:rsidR="00DF73D4" w:rsidRPr="00D22B50">
        <w:fldChar w:fldCharType="separate"/>
      </w:r>
      <w:r w:rsidR="00DF73D4" w:rsidRPr="00D22B50">
        <w:rPr>
          <w:rFonts w:cs="Times New Roman"/>
        </w:rPr>
        <w:t>[22]</w:t>
      </w:r>
      <w:r w:rsidR="00DF73D4" w:rsidRPr="00D22B50">
        <w:fldChar w:fldCharType="end"/>
      </w:r>
      <w:r w:rsidRPr="00D22B50">
        <w:rPr>
          <w:rFonts w:hint="eastAsia"/>
        </w:rPr>
        <w:t>. By pooling data from multiple households, the model can leverage cross-user correlations to compensate for the sparsity of data in any single residence. This approach addresses the inherent high-entropy nature of residential load by emphasizing collective consumption rhythms over individual stochastic events.</w:t>
      </w:r>
    </w:p>
    <w:p w14:paraId="575D6A4D" w14:textId="0244C034" w:rsidR="00753254" w:rsidRPr="00D22B50" w:rsidRDefault="00753254" w:rsidP="00FA00E5">
      <w:pPr>
        <w:pStyle w:val="af5"/>
        <w:spacing w:before="156" w:after="156"/>
      </w:pPr>
      <w:r w:rsidRPr="00D22B50">
        <w:rPr>
          <w:rFonts w:hint="eastAsia"/>
        </w:rPr>
        <w:t xml:space="preserve">Simultaneously, hybrid CNN-LSTM structures have emerged to extract local spatial-temporal features from raw energy time series </w:t>
      </w:r>
      <w:r w:rsidR="00DF73D4" w:rsidRPr="00D22B50">
        <w:fldChar w:fldCharType="begin"/>
      </w:r>
      <w:r w:rsidR="00DF73D4" w:rsidRPr="00D22B50">
        <w:instrText xml:space="preserve"> ADDIN ZOTERO_ITEM CSL_CITATION {"citationID":"zYJgYSxs","properties":{"formattedCitation":"[5]","plainCitation":"[5]","noteIndex":0},"citationItems":[{"id":542,"uris":["http://zotero.org/users/local/p3tV44H5/items/WNFTH4DZ"],"itemData":{"id":542,"type":"article-journal","abstract":"Power grids are transforming into flexible, smart, and cooperative systems with greater dissemination of distributed energy resources, advanced metering infrastructure, and advanced communication technologies. Short-term electric load forecasting for individual residential customers plays a progressively crucial role in the operation and planning of future grids. Compared to the aggregated electrical load at the community level, the prediction of individual household electric loads is legitimately challenging because of the high uncertainty and volatility involved. Results from previous studies show that prediction using machine learning and deep learning models is far from accurate, and there is still room for improvement. We herein propose a deep learning framework based on a combination of a convolutional neural network (CNN) and long short-term memory (LSTM). The proposed hybrid CNN-LSTM model uses CNN layers for feature extraction from the input data with LSTM layers for sequence learning. The performance of our developed framework is comprehensively compared to state-of-the-art systems currently in use for short-term individual household electric load forecasting. The proposed model achieved significantly better results compared to other competing techniques. We evaluated our proposed model with the recently explored LSTM-based deep learning model on a publicly available electrical load data of individual household customers from the Smart Grid Smart City (SGSC) project. We obtained an average mean absolute percentage error (MAPE) of 40.38% for individual household electric load forecasts in comparison with the LSTM-based model that obtained an average MAPE of 44.06%. Furthermore, we evaluated the effectiveness of the proposed model on different time horizons (up to 3 h ahead). Compared to the recently developed LSTM-based model tested on the same dataset, we obtained 4.01%, 4.76%, and 5.98% improvement for one, two, and six look-forward time steps, respectively (with 2 lookback time steps). Additionally, we have performed clustering analysis based on the power consumption behavior of the energy users, which indicate that prediction accuracy could be improved by grouping and training the representative model using large amount of data. The results indicated that the proposed model outperforms the LSTM-based model for both 1 h ahead and 3 h ahead in forecasting individual household electric loads.","container-title":"IEEE Access","DOI":"10.1109/ACCESS.2020.3028281","ISSN":"2169-3536","page":"180544-180557","source":"IEEE Xplore","title":"Hybrid CNN-LSTM Model for Short-Term Individual Household Load Forecasting","volume":"8","author":[{"family":"Alhussein","given":"Musaed"},{"family":"Aurangzeb","given":"Khursheed"},{"family":"Haider","given":"Syed Irtaza"}],"issued":{"date-parts":[["2020"]]}}}],"schema":"https://github.com/citation-style-language/schema/raw/master/csl-citation.json"} </w:instrText>
      </w:r>
      <w:r w:rsidR="00DF73D4" w:rsidRPr="00D22B50">
        <w:fldChar w:fldCharType="separate"/>
      </w:r>
      <w:r w:rsidR="00DF73D4" w:rsidRPr="00D22B50">
        <w:rPr>
          <w:rFonts w:cs="Times New Roman"/>
        </w:rPr>
        <w:t>[5]</w:t>
      </w:r>
      <w:r w:rsidR="00DF73D4" w:rsidRPr="00D22B50">
        <w:fldChar w:fldCharType="end"/>
      </w:r>
      <w:r w:rsidRPr="00D22B50">
        <w:rPr>
          <w:rFonts w:hint="eastAsia"/>
        </w:rPr>
        <w:t xml:space="preserve">. In these hybrid frameworks, Convolutional Neural Networks (CNNs) are utilized as automated feature extractors in the initial layers. The convolutional kernels slide across the temporal window to identify localized </w:t>
      </w:r>
      <w:r w:rsidR="00BD7543">
        <w:t>“</w:t>
      </w:r>
      <w:r w:rsidRPr="00D22B50">
        <w:rPr>
          <w:rFonts w:hint="eastAsia"/>
        </w:rPr>
        <w:t>shapes</w:t>
      </w:r>
      <w:r w:rsidR="00BD7543">
        <w:t>”</w:t>
      </w:r>
      <w:r w:rsidRPr="00D22B50">
        <w:rPr>
          <w:rFonts w:hint="eastAsia"/>
        </w:rPr>
        <w:t xml:space="preserve"> and gradient changes in the load curve, such as the sharp rise during a morning surge. These extracted features are then fed into LSTM layers, which model the long-term sequential dependencies. This dual-stage extraction significantly improves the model</w:t>
      </w:r>
      <w:r w:rsidR="00BD7543">
        <w:t>’</w:t>
      </w:r>
      <w:r w:rsidRPr="00D22B50">
        <w:rPr>
          <w:rFonts w:hint="eastAsia"/>
        </w:rPr>
        <w:t>s ability to generalize across different consumption profiles.</w:t>
      </w:r>
    </w:p>
    <w:p w14:paraId="59E56070" w14:textId="70B22FAB" w:rsidR="00AC7269" w:rsidRPr="00D22B50" w:rsidRDefault="00753254" w:rsidP="00FA00E5">
      <w:pPr>
        <w:pStyle w:val="af5"/>
        <w:spacing w:before="156" w:after="156"/>
      </w:pPr>
      <w:r w:rsidRPr="00D22B50">
        <w:rPr>
          <w:rFonts w:hint="eastAsia"/>
        </w:rPr>
        <w:t xml:space="preserve">Despite these remarkable technical advancements, the reliance on massive datasets remains a significant constraint for practical deployment </w:t>
      </w:r>
      <w:r w:rsidR="00DF73D4" w:rsidRPr="00D22B50">
        <w:fldChar w:fldCharType="begin"/>
      </w:r>
      <w:r w:rsidR="00DF73D4" w:rsidRPr="00D22B50">
        <w:instrText xml:space="preserve"> ADDIN ZOTERO_ITEM CSL_CITATION {"citationID":"kWEDy2FX","properties":{"formattedCitation":"[4]","plainCitation":"[4]","noteIndex":0},"citationItems":[{"id":567,"uris":["http://zotero.org/users/local/p3tV44H5/items/J38MU6UU"],"itemData":{"id":567,"type":"article-journal","abstract":"The current electric power system witnesses a significant transition into Smart Grids (SG) as a promising landscape for high grid reliability and efficient energy management. This ongoing transition undergoes rapid changes, requiring a plethora of advanced methodologies to process the big data generated by various units. In this context, SG stands tied very closely to Deep Learning (DL) as an emerging technology for creating a more decentralized and intelligent energy paradigm while integrating high intelligence in supervisory and operational decision-making. Motivated by the outstanding success of DL-based prediction methods, this article attempts to provide a thorough review from a broad perspective on the state-of-the-art advances of DL in SG systems. Firstly, a bibliometric analysis has been conducted to categorize this review's methodology. Further, we taxonomically delve into the mechanism behind some of the trending DL algorithms. We then showcase the DL enabling technologies in SG, such as federated learning, edge intelligence, and distributed computing. Finally, challenges and research frontiers are provided to serve as guidelines for future work in the futuristic power grid domain. This study's core objective is to foster the synergy between these two fields for decision-makers and researchers to accelerate DL's practical deployment for SG systems.","container-title":"IEEE Access","DOI":"10.1109/ACCESS.2021.3071269","ISSN":"2169-3536","page":"54558-54578","source":"IEEE Xplore","title":"Deep Learning in Smart Grid Technology: A Review of Recent Advancements and Future Prospects","title-short":"Deep Learning in Smart Grid Technology","volume":"9","author":[{"family":"Massaoudi","given":"Mohamed"},{"family":"Abu-Rub","given":"Haitham"},{"family":"Refaat","given":"Shady S."},{"family":"Chihi","given":"Ines"},{"family":"Oueslati","given":"Fakhreddine S."}],"issued":{"date-parts":[["2021"]]}}}],"schema":"https://github.com/citation-style-language/schema/raw/master/csl-citation.json"} </w:instrText>
      </w:r>
      <w:r w:rsidR="00DF73D4" w:rsidRPr="00D22B50">
        <w:fldChar w:fldCharType="separate"/>
      </w:r>
      <w:r w:rsidR="00DF73D4" w:rsidRPr="00D22B50">
        <w:rPr>
          <w:rFonts w:cs="Times New Roman"/>
        </w:rPr>
        <w:t>[4]</w:t>
      </w:r>
      <w:r w:rsidR="00DF73D4" w:rsidRPr="00D22B50">
        <w:fldChar w:fldCharType="end"/>
      </w:r>
      <w:r w:rsidRPr="00D22B50">
        <w:rPr>
          <w:rFonts w:hint="eastAsia"/>
        </w:rPr>
        <w:t>. Most high-performing deep models require months or even a full year of historical records to reach an acceptable level of convergence and accuracy. This data-dependency threshold creates a substantial barrier for new smart grid participants, necessitating the development of transfer learning strategies that can provide immediate utility during the initial phases of meter installation.</w:t>
      </w:r>
    </w:p>
    <w:p w14:paraId="7F9DCD58" w14:textId="77777777" w:rsidR="005E508E" w:rsidRPr="00D22B50" w:rsidRDefault="005E508E" w:rsidP="00F61464">
      <w:pPr>
        <w:pStyle w:val="2"/>
        <w:rPr>
          <w:rFonts w:hint="eastAsia"/>
        </w:rPr>
      </w:pPr>
      <w:bookmarkStart w:id="19" w:name="_Toc228913822"/>
      <w:r w:rsidRPr="00D22B50">
        <w:rPr>
          <w:rFonts w:hint="eastAsia"/>
        </w:rPr>
        <w:t>3.2 Stochasticity and Complexity in Individual Household Forecasting</w:t>
      </w:r>
      <w:bookmarkEnd w:id="19"/>
    </w:p>
    <w:p w14:paraId="7A07908F" w14:textId="2EE82A33" w:rsidR="005E508E" w:rsidRPr="00D22B50" w:rsidRDefault="005E508E" w:rsidP="00FA00E5">
      <w:pPr>
        <w:pStyle w:val="af5"/>
        <w:spacing w:before="156" w:after="156"/>
        <w:rPr>
          <w:rFonts w:eastAsiaTheme="minorEastAsia"/>
        </w:rPr>
      </w:pPr>
      <w:r w:rsidRPr="00D22B50">
        <w:rPr>
          <w:rFonts w:hint="eastAsia"/>
        </w:rPr>
        <w:t xml:space="preserve">Predicting the energy demand of a single household presents a set of unique challenges that are fundamentally different from traditional substation-level or city-level </w:t>
      </w:r>
      <w:r w:rsidRPr="00D22B50">
        <w:rPr>
          <w:rFonts w:hint="eastAsia"/>
        </w:rPr>
        <w:lastRenderedPageBreak/>
        <w:t>forecasting. At the individual meter level, the data is characterized by high entropy, extreme stochasticity, and a lack of clear periodicity that is typically found in aggregate data.</w:t>
      </w:r>
    </w:p>
    <w:p w14:paraId="0F41A6B4" w14:textId="77777777" w:rsidR="005E508E" w:rsidRPr="00D22B50" w:rsidRDefault="005E508E" w:rsidP="00F61464">
      <w:pPr>
        <w:pStyle w:val="3"/>
        <w:rPr>
          <w:rFonts w:hint="eastAsia"/>
        </w:rPr>
      </w:pPr>
      <w:bookmarkStart w:id="20" w:name="_Toc228913823"/>
      <w:r w:rsidRPr="00D22B50">
        <w:rPr>
          <w:rFonts w:hint="eastAsia"/>
        </w:rPr>
        <w:t>3.2.1 The Failure of the Law of Large Numbers</w:t>
      </w:r>
      <w:bookmarkEnd w:id="20"/>
    </w:p>
    <w:p w14:paraId="27DCEC76" w14:textId="154AAAB1" w:rsidR="005E508E" w:rsidRPr="00D22B50" w:rsidRDefault="005E508E" w:rsidP="00FA00E5">
      <w:pPr>
        <w:pStyle w:val="af5"/>
        <w:spacing w:before="156" w:after="156"/>
        <w:rPr>
          <w:rFonts w:eastAsiaTheme="minorEastAsia"/>
        </w:rPr>
      </w:pPr>
      <w:r w:rsidRPr="00D22B50">
        <w:rPr>
          <w:rFonts w:hint="eastAsia"/>
        </w:rPr>
        <w:t xml:space="preserve">In power systems, aggregate loads benefit from the </w:t>
      </w:r>
      <w:r w:rsidR="00BD7543">
        <w:t>“</w:t>
      </w:r>
      <w:r w:rsidRPr="00D22B50">
        <w:rPr>
          <w:rFonts w:hint="eastAsia"/>
        </w:rPr>
        <w:t>Law of Large Numbers</w:t>
      </w:r>
      <w:r w:rsidR="00BD7543">
        <w:t>”</w:t>
      </w:r>
      <w:r w:rsidRPr="00D22B50">
        <w:rPr>
          <w:rFonts w:hint="eastAsia"/>
        </w:rPr>
        <w:t xml:space="preserve"> (LLN). From a statistical perspective, the LLN dictates that the average of a large number of independent and identically distributed random variables will converge to the expected value as the sample size increases. At the substation level, the erratic and random behaviors of thousands of individual households cancel each other out, resulting in smooth, predictable, and periodic load curves.</w:t>
      </w:r>
    </w:p>
    <w:p w14:paraId="74D38B72" w14:textId="4AAB78C6" w:rsidR="005E508E" w:rsidRPr="00D22B50" w:rsidRDefault="005E508E" w:rsidP="00FA00E5">
      <w:pPr>
        <w:pStyle w:val="af5"/>
        <w:spacing w:before="156" w:after="156"/>
        <w:rPr>
          <w:rFonts w:eastAsiaTheme="minorEastAsia"/>
        </w:rPr>
      </w:pPr>
      <w:r w:rsidRPr="00D22B50">
        <w:rPr>
          <w:rFonts w:hint="eastAsia"/>
        </w:rPr>
        <w:t xml:space="preserve">In contrast, at the household level, this smoothing effect is non-existent. The residential load is a direct reflection of individual human behavior, which is composed of discrete, high-power events. These events include the activation of high-power appliances such as HVAC (Heating, Ventilation, and Air Conditioning) systems, electric water heaters, or electric vehicle (EV) charging stations. The operation of these devices creates sharp, sporadic spikes and non-periodic patterns that do not follow a Gaussian distribution </w:t>
      </w:r>
      <w:r w:rsidR="00DF73D4" w:rsidRPr="00D22B50">
        <w:fldChar w:fldCharType="begin"/>
      </w:r>
      <w:r w:rsidR="00DF73D4" w:rsidRPr="00D22B50">
        <w:instrText xml:space="preserve"> ADDIN ZOTERO_ITEM CSL_CITATION {"citationID":"BAQhNtnW","properties":{"formattedCitation":"[4]","plainCitation":"[4]","noteIndex":0},"citationItems":[{"id":567,"uris":["http://zotero.org/users/local/p3tV44H5/items/J38MU6UU"],"itemData":{"id":567,"type":"article-journal","abstract":"The current electric power system witnesses a significant transition into Smart Grids (SG) as a promising landscape for high grid reliability and efficient energy management. This ongoing transition undergoes rapid changes, requiring a plethora of advanced methodologies to process the big data generated by various units. In this context, SG stands tied very closely to Deep Learning (DL) as an emerging technology for creating a more decentralized and intelligent energy paradigm while integrating high intelligence in supervisory and operational decision-making. Motivated by the outstanding success of DL-based prediction methods, this article attempts to provide a thorough review from a broad perspective on the state-of-the-art advances of DL in SG systems. Firstly, a bibliometric analysis has been conducted to categorize this review's methodology. Further, we taxonomically delve into the mechanism behind some of the trending DL algorithms. We then showcase the DL enabling technologies in SG, such as federated learning, edge intelligence, and distributed computing. Finally, challenges and research frontiers are provided to serve as guidelines for future work in the futuristic power grid domain. This study's core objective is to foster the synergy between these two fields for decision-makers and researchers to accelerate DL's practical deployment for SG systems.","container-title":"IEEE Access","DOI":"10.1109/ACCESS.2021.3071269","ISSN":"2169-3536","page":"54558-54578","source":"IEEE Xplore","title":"Deep Learning in Smart Grid Technology: A Review of Recent Advancements and Future Prospects","title-short":"Deep Learning in Smart Grid Technology","volume":"9","author":[{"family":"Massaoudi","given":"Mohamed"},{"family":"Abu-Rub","given":"Haitham"},{"family":"Refaat","given":"Shady S."},{"family":"Chihi","given":"Ines"},{"family":"Oueslati","given":"Fakhreddine S."}],"issued":{"date-parts":[["2021"]]}}}],"schema":"https://github.com/citation-style-language/schema/raw/master/csl-citation.json"} </w:instrText>
      </w:r>
      <w:r w:rsidR="00DF73D4" w:rsidRPr="00D22B50">
        <w:fldChar w:fldCharType="separate"/>
      </w:r>
      <w:r w:rsidR="00DF73D4" w:rsidRPr="00D22B50">
        <w:rPr>
          <w:rFonts w:cs="Times New Roman"/>
        </w:rPr>
        <w:t>[4]</w:t>
      </w:r>
      <w:r w:rsidR="00DF73D4" w:rsidRPr="00D22B50">
        <w:fldChar w:fldCharType="end"/>
      </w:r>
      <w:r w:rsidRPr="00D22B50">
        <w:rPr>
          <w:rFonts w:hint="eastAsia"/>
        </w:rPr>
        <w:t xml:space="preserve">. This makes the load profile highly </w:t>
      </w:r>
      <w:r w:rsidR="00BD7543">
        <w:t>“</w:t>
      </w:r>
      <w:r w:rsidRPr="00D22B50">
        <w:rPr>
          <w:rFonts w:hint="eastAsia"/>
        </w:rPr>
        <w:t>spiky</w:t>
      </w:r>
      <w:r w:rsidR="00BD7543">
        <w:t>”</w:t>
      </w:r>
      <w:r w:rsidRPr="00D22B50">
        <w:rPr>
          <w:rFonts w:hint="eastAsia"/>
        </w:rPr>
        <w:t xml:space="preserve"> and mathematically difficult to model using traditional regression techniques.</w:t>
      </w:r>
    </w:p>
    <w:p w14:paraId="72998421" w14:textId="77777777" w:rsidR="005E508E" w:rsidRPr="00D22B50" w:rsidRDefault="005E508E" w:rsidP="00F61464">
      <w:pPr>
        <w:pStyle w:val="3"/>
        <w:rPr>
          <w:rFonts w:hint="eastAsia"/>
        </w:rPr>
      </w:pPr>
      <w:bookmarkStart w:id="21" w:name="_Toc228913824"/>
      <w:r w:rsidRPr="00D22B50">
        <w:rPr>
          <w:rFonts w:hint="eastAsia"/>
        </w:rPr>
        <w:t>3.2.2 Signal-to-Noise Ratio and Edge User Variability</w:t>
      </w:r>
      <w:bookmarkEnd w:id="21"/>
    </w:p>
    <w:p w14:paraId="6684C2ED" w14:textId="1926DE7E" w:rsidR="005E508E" w:rsidRPr="00D22B50" w:rsidRDefault="005E508E" w:rsidP="00FA00E5">
      <w:pPr>
        <w:pStyle w:val="af5"/>
        <w:spacing w:before="156" w:after="156"/>
        <w:rPr>
          <w:rFonts w:eastAsiaTheme="minorEastAsia"/>
        </w:rPr>
      </w:pPr>
      <w:r w:rsidRPr="00D22B50">
        <w:rPr>
          <w:rFonts w:hint="eastAsia"/>
        </w:rPr>
        <w:t xml:space="preserve">Recent literature highlights that the signal-to-noise ratio (SNR) in residential data is significantly lower than in aggregate data. In this context, the </w:t>
      </w:r>
      <w:r w:rsidR="00BD7543">
        <w:t>“</w:t>
      </w:r>
      <w:r w:rsidRPr="00D22B50">
        <w:rPr>
          <w:rFonts w:hint="eastAsia"/>
        </w:rPr>
        <w:t>signal</w:t>
      </w:r>
      <w:r w:rsidR="00BD7543">
        <w:t>”</w:t>
      </w:r>
      <w:r w:rsidRPr="00D22B50">
        <w:rPr>
          <w:rFonts w:hint="eastAsia"/>
        </w:rPr>
        <w:t xml:space="preserve"> represents the underlying routine of the resident, while the </w:t>
      </w:r>
      <w:r w:rsidR="00BD7543">
        <w:t>“</w:t>
      </w:r>
      <w:r w:rsidRPr="00D22B50">
        <w:rPr>
          <w:rFonts w:hint="eastAsia"/>
        </w:rPr>
        <w:t>noise</w:t>
      </w:r>
      <w:r w:rsidR="00BD7543">
        <w:t>”</w:t>
      </w:r>
      <w:r w:rsidRPr="00D22B50">
        <w:rPr>
          <w:rFonts w:hint="eastAsia"/>
        </w:rPr>
        <w:t xml:space="preserve"> represents the random activation of appliances and sensor errors. Because the noise often has a magnitude comparable to the signal itself, identifying recurrent temporal features becomes a high-dimensional search problem.</w:t>
      </w:r>
    </w:p>
    <w:p w14:paraId="6C9BDA9A" w14:textId="1C4BE82E" w:rsidR="005E508E" w:rsidRPr="00D22B50" w:rsidRDefault="005E508E" w:rsidP="00FA00E5">
      <w:pPr>
        <w:pStyle w:val="af5"/>
        <w:spacing w:before="156" w:after="156"/>
        <w:rPr>
          <w:rFonts w:eastAsiaTheme="minorEastAsia"/>
        </w:rPr>
      </w:pPr>
      <w:r w:rsidRPr="00D22B50">
        <w:rPr>
          <w:rFonts w:hint="eastAsia"/>
        </w:rPr>
        <w:t xml:space="preserve">Alemazkoor et al. argued that traditional clustering-based approaches often fail to capture the extreme variability of these </w:t>
      </w:r>
      <w:r w:rsidR="00BD7543">
        <w:t>“</w:t>
      </w:r>
      <w:r w:rsidRPr="00D22B50">
        <w:rPr>
          <w:rFonts w:hint="eastAsia"/>
        </w:rPr>
        <w:t>edge</w:t>
      </w:r>
      <w:r w:rsidR="00BD7543">
        <w:t>”</w:t>
      </w:r>
      <w:r w:rsidRPr="00D22B50">
        <w:rPr>
          <w:rFonts w:hint="eastAsia"/>
        </w:rPr>
        <w:t xml:space="preserve"> users </w:t>
      </w:r>
      <w:r w:rsidR="00DF73D4" w:rsidRPr="00D22B50">
        <w:fldChar w:fldCharType="begin"/>
      </w:r>
      <w:r w:rsidR="00DF73D4" w:rsidRPr="00D22B50">
        <w:instrText xml:space="preserve"> ADDIN ZOTERO_ITEM CSL_CITATION {"citationID":"NW82VMjp","properties":{"formattedCitation":"[1]","plainCitation":"[1]","noteIndex":0},"citationItems":[{"id":539,"uris":["http://zotero.org/users/local/p3tV44H5/items/HWZLV4UQ"],"itemData":{"id":539,"type":"article-journal","abstract":"Accurate forecasting of electricity demand is vital to the resilient management of energy systems. Recent efforts in harnessing smart-meter data to improve forecasting accuracy have primarily centered around cluster-based approaches (CBAs), where smart-meter data are grouped into a small number of clusters and separate prediction models are developed for each cluster. The cluster-based predictions are then aggregated to compute the total demand. CBAs have provided promising results compared to conventional approaches that are generally not conducive to integrating smart-meter data. However, CBAs are computationally costly and suffer from the curse of dimensionality, especially under scenarios involving smart-meter data from millions of customers. In this work, we propose an efficient reduced model approach (RMA) that leverages a novel hierarchical dimension reduction algorithm to enable the integration of fine-resolution high-dimensional smart-meter data for millions of customers in load prediction. We demonstrate the applicability of our proposed approach by using data from a utility company, based in Illinois, United States, with more than 3.7 million customers and present model performance in-terms of forecast accuracy. The proposed hierarchical dimension reduction approach enables utilizing the high-resolution data from smart-meters in a scalable manner that is not exploitable otherwise. The results shows significant improvements in forecast accuracy compared to the available approaches that either do not harness fine-resolution data or are not scalable to large-scale smart-meter big data.","container-title":"IEEE Access","DOI":"10.1109/ACCESS.2022.3142680","ISSN":"2169-3536","page":"8377-8387","source":"IEEE Xplore","title":"Smart-Meter Big Data for Load Forecasting: An Alternative Approach to Clustering","title-short":"Smart-Meter Big Data for Load Forecasting","volume":"10","author":[{"family":"Alemazkoor","given":"Negin"},{"family":"Tootkaboni","given":"Mazdak"},{"family":"Nateghi","given":"Roshanak"},{"family":"Louhghalam","given":"Arghavan"}],"issued":{"date-parts":[["2022"]]}}}],"schema":"https://github.com/citation-style-language/schema/raw/master/csl-citation.json"} </w:instrText>
      </w:r>
      <w:r w:rsidR="00DF73D4" w:rsidRPr="00D22B50">
        <w:fldChar w:fldCharType="separate"/>
      </w:r>
      <w:r w:rsidR="00DF73D4" w:rsidRPr="00D22B50">
        <w:rPr>
          <w:rFonts w:cs="Times New Roman"/>
        </w:rPr>
        <w:t>[1]</w:t>
      </w:r>
      <w:r w:rsidR="00DF73D4" w:rsidRPr="00D22B50">
        <w:fldChar w:fldCharType="end"/>
      </w:r>
      <w:r w:rsidRPr="00D22B50">
        <w:rPr>
          <w:rFonts w:hint="eastAsia"/>
        </w:rPr>
        <w:t xml:space="preserve">. In a diverse population, edge users—those whose consumption behavior deviates significantly from the mean—are often marginalized by global models. These users may have irregular work shifts, specific medical equipment needs, or unique thermal preferences, making their </w:t>
      </w:r>
      <w:r w:rsidR="00BD7543">
        <w:t>“</w:t>
      </w:r>
      <w:r w:rsidRPr="00D22B50">
        <w:rPr>
          <w:rFonts w:hint="eastAsia"/>
        </w:rPr>
        <w:t>energy fingerprint</w:t>
      </w:r>
      <w:r w:rsidR="00BD7543">
        <w:t>”</w:t>
      </w:r>
      <w:r w:rsidRPr="00D22B50">
        <w:rPr>
          <w:rFonts w:hint="eastAsia"/>
        </w:rPr>
        <w:t xml:space="preserve"> an outlier in a standard dataset. Capturing the consumption dynamics of such households requires models that can learn localized behavioral nuances rather than just global averages.</w:t>
      </w:r>
    </w:p>
    <w:p w14:paraId="321E3B6F" w14:textId="77777777" w:rsidR="005E508E" w:rsidRPr="00D22B50" w:rsidRDefault="005E508E" w:rsidP="00F61464">
      <w:pPr>
        <w:pStyle w:val="3"/>
        <w:rPr>
          <w:rFonts w:hint="eastAsia"/>
        </w:rPr>
      </w:pPr>
      <w:bookmarkStart w:id="22" w:name="_Toc228913825"/>
      <w:r w:rsidRPr="00D22B50">
        <w:rPr>
          <w:rFonts w:hint="eastAsia"/>
        </w:rPr>
        <w:t>3.2.3 External Drivers and Non-Stationarity</w:t>
      </w:r>
      <w:bookmarkEnd w:id="22"/>
    </w:p>
    <w:p w14:paraId="04688859" w14:textId="42ED9100" w:rsidR="005E508E" w:rsidRPr="00D22B50" w:rsidRDefault="005E508E" w:rsidP="00FA00E5">
      <w:pPr>
        <w:pStyle w:val="af5"/>
        <w:spacing w:before="156" w:after="156"/>
        <w:rPr>
          <w:rFonts w:eastAsiaTheme="minorEastAsia"/>
        </w:rPr>
      </w:pPr>
      <w:r w:rsidRPr="00D22B50">
        <w:rPr>
          <w:rFonts w:hint="eastAsia"/>
        </w:rPr>
        <w:t xml:space="preserve">The complexity of individual forecasting is further compounded by a myriad of external factors that introduce non-stationarity into the time series. These factors include occupancy patterns (whether someone is at home or not), localized weather conditions </w:t>
      </w:r>
      <w:r w:rsidRPr="00D22B50">
        <w:rPr>
          <w:rFonts w:hint="eastAsia"/>
        </w:rPr>
        <w:lastRenderedPageBreak/>
        <w:t xml:space="preserve">(temperature, humidity, and solar irradiance), and the socio-economic status of the household </w:t>
      </w:r>
      <w:r w:rsidR="00DF73D4" w:rsidRPr="00D22B50">
        <w:fldChar w:fldCharType="begin"/>
      </w:r>
      <w:r w:rsidR="00DF73D4" w:rsidRPr="00D22B50">
        <w:instrText xml:space="preserve"> ADDIN ZOTERO_ITEM CSL_CITATION {"citationID":"mDcZdwm0","properties":{"formattedCitation":"[4]","plainCitation":"[4]","noteIndex":0},"citationItems":[{"id":567,"uris":["http://zotero.org/users/local/p3tV44H5/items/J38MU6UU"],"itemData":{"id":567,"type":"article-journal","abstract":"The current electric power system witnesses a significant transition into Smart Grids (SG) as a promising landscape for high grid reliability and efficient energy management. This ongoing transition undergoes rapid changes, requiring a plethora of advanced methodologies to process the big data generated by various units. In this context, SG stands tied very closely to Deep Learning (DL) as an emerging technology for creating a more decentralized and intelligent energy paradigm while integrating high intelligence in supervisory and operational decision-making. Motivated by the outstanding success of DL-based prediction methods, this article attempts to provide a thorough review from a broad perspective on the state-of-the-art advances of DL in SG systems. Firstly, a bibliometric analysis has been conducted to categorize this review's methodology. Further, we taxonomically delve into the mechanism behind some of the trending DL algorithms. We then showcase the DL enabling technologies in SG, such as federated learning, edge intelligence, and distributed computing. Finally, challenges and research frontiers are provided to serve as guidelines for future work in the futuristic power grid domain. This study's core objective is to foster the synergy between these two fields for decision-makers and researchers to accelerate DL's practical deployment for SG systems.","container-title":"IEEE Access","DOI":"10.1109/ACCESS.2021.3071269","ISSN":"2169-3536","page":"54558-54578","source":"IEEE Xplore","title":"Deep Learning in Smart Grid Technology: A Review of Recent Advancements and Future Prospects","title-short":"Deep Learning in Smart Grid Technology","volume":"9","author":[{"family":"Massaoudi","given":"Mohamed"},{"family":"Abu-Rub","given":"Haitham"},{"family":"Refaat","given":"Shady S."},{"family":"Chihi","given":"Ines"},{"family":"Oueslati","given":"Fakhreddine S."}],"issued":{"date-parts":[["2021"]]}}}],"schema":"https://github.com/citation-style-language/schema/raw/master/csl-citation.json"} </w:instrText>
      </w:r>
      <w:r w:rsidR="00DF73D4" w:rsidRPr="00D22B50">
        <w:fldChar w:fldCharType="separate"/>
      </w:r>
      <w:r w:rsidR="00DF73D4" w:rsidRPr="00D22B50">
        <w:rPr>
          <w:rFonts w:cs="Times New Roman"/>
        </w:rPr>
        <w:t>[4]</w:t>
      </w:r>
      <w:r w:rsidR="00DF73D4" w:rsidRPr="00D22B50">
        <w:fldChar w:fldCharType="end"/>
      </w:r>
      <w:r w:rsidRPr="00D22B50">
        <w:rPr>
          <w:rFonts w:hint="eastAsia"/>
        </w:rPr>
        <w:t>. For instance, a sudden drop in outdoor temperature will trigger an immediate and non-linear increase in the load of a house equipped with electric heating, but the magnitude of this increase depends on the insulation quality and the resident</w:t>
      </w:r>
      <w:r w:rsidR="00BD7543">
        <w:t>’</w:t>
      </w:r>
      <w:r w:rsidRPr="00D22B50">
        <w:rPr>
          <w:rFonts w:hint="eastAsia"/>
        </w:rPr>
        <w:t>s personal comfort threshold.</w:t>
      </w:r>
    </w:p>
    <w:p w14:paraId="6D2C8FF4" w14:textId="219EA874" w:rsidR="005E508E" w:rsidRPr="00D22B50" w:rsidRDefault="005E508E" w:rsidP="00DF73D4">
      <w:pPr>
        <w:pStyle w:val="af5"/>
        <w:spacing w:before="156" w:after="156"/>
        <w:rPr>
          <w:rFonts w:eastAsiaTheme="minorEastAsia"/>
        </w:rPr>
      </w:pPr>
      <w:r w:rsidRPr="00D22B50">
        <w:rPr>
          <w:rFonts w:hint="eastAsia"/>
        </w:rPr>
        <w:t xml:space="preserve">Smyl emphasized that hybrid models combining statistical smoothing with neural networks can better handle such non-stationary series </w:t>
      </w:r>
      <w:r w:rsidR="00DF73D4" w:rsidRPr="00D22B50">
        <w:fldChar w:fldCharType="begin"/>
      </w:r>
      <w:r w:rsidR="00DF73D4" w:rsidRPr="00D22B50">
        <w:instrText xml:space="preserve"> ADDIN ZOTERO_ITEM CSL_CITATION {"citationID":"ntwWjI5f","properties":{"formattedCitation":"[23]","plainCitation":"[23]","noteIndex":0},"citationItems":[{"id":580,"uris":["http://zotero.org/users/local/p3tV44H5/items/D7STRUDU"],"itemData":{"id":580,"type":"article-journal","abstract":"This paper presents the winning submission of the M4 forecasting competition. The submission utilizes a dynamic computational graph neural network system that enables a standard exponential smoothing model to be mixed with advanced long short term memory networks into a common framework. The result is a hybrid and hierarchical forecasting method.","container-title":"International Journal of Forecasting","DOI":"10.1016/j.ijforecast.2019.03.017","ISSN":"01692070","issue":"1","journalAbbreviation":"International Journal of Forecasting","language":"en","page":"75-85","source":"DOI.org (Crossref)","title":"A hybrid method of exponential smoothing and recurrent neural networks for time series forecasting","volume":"36","author":[{"family":"Smyl","given":"Slawek"}],"issued":{"date-parts":[["2020",1]]}}}],"schema":"https://github.com/citation-style-language/schema/raw/master/csl-citation.json"} </w:instrText>
      </w:r>
      <w:r w:rsidR="00DF73D4" w:rsidRPr="00D22B50">
        <w:fldChar w:fldCharType="separate"/>
      </w:r>
      <w:r w:rsidR="00DF73D4" w:rsidRPr="00D22B50">
        <w:rPr>
          <w:rFonts w:cs="Times New Roman"/>
        </w:rPr>
        <w:t>[23]</w:t>
      </w:r>
      <w:r w:rsidR="00DF73D4" w:rsidRPr="00D22B50">
        <w:fldChar w:fldCharType="end"/>
      </w:r>
      <w:r w:rsidRPr="00D22B50">
        <w:rPr>
          <w:rFonts w:hint="eastAsia"/>
        </w:rPr>
        <w:t>. Statistical smoothing can help stabilize the volatile base load, while neural networks (such as LSTMs) focus on capturing the complex, non-linear dependencies between the external drivers and the resulting demand.</w:t>
      </w:r>
    </w:p>
    <w:p w14:paraId="619B6E90" w14:textId="77777777" w:rsidR="005E508E" w:rsidRPr="00D22B50" w:rsidRDefault="005E508E" w:rsidP="00F61464">
      <w:pPr>
        <w:pStyle w:val="3"/>
        <w:rPr>
          <w:rFonts w:hint="eastAsia"/>
        </w:rPr>
      </w:pPr>
      <w:bookmarkStart w:id="23" w:name="_Toc228913826"/>
      <w:r w:rsidRPr="00D22B50">
        <w:rPr>
          <w:rFonts w:hint="eastAsia"/>
        </w:rPr>
        <w:t>3.2.4 The Burn-in Period and the Cold-Start Bottleneck</w:t>
      </w:r>
      <w:bookmarkEnd w:id="23"/>
    </w:p>
    <w:p w14:paraId="02E64421" w14:textId="4B23EC7F" w:rsidR="00AC7269" w:rsidRPr="00D22B50" w:rsidRDefault="005E508E" w:rsidP="00FA00E5">
      <w:pPr>
        <w:pStyle w:val="af5"/>
        <w:spacing w:before="156" w:after="156"/>
      </w:pPr>
      <w:r w:rsidRPr="00D22B50">
        <w:rPr>
          <w:rFonts w:hint="eastAsia"/>
        </w:rPr>
        <w:t xml:space="preserve">Despite the potential of these hybrid and deep architectures, they face a fundamental practical limitation: the need for historical context. Even the most advanced models require a substantial </w:t>
      </w:r>
      <w:r w:rsidR="00BD7543">
        <w:t>“</w:t>
      </w:r>
      <w:r w:rsidRPr="00D22B50">
        <w:rPr>
          <w:rFonts w:hint="eastAsia"/>
        </w:rPr>
        <w:t>burn-in</w:t>
      </w:r>
      <w:r w:rsidR="00BD7543">
        <w:t>”</w:t>
      </w:r>
      <w:r w:rsidRPr="00D22B50">
        <w:rPr>
          <w:rFonts w:hint="eastAsia"/>
        </w:rPr>
        <w:t xml:space="preserve"> period of data accumulation—often spanning several months—to learn the unique behavioral signatures and seasonal sensitivities of a specific resident. This requirement brings the cold-start problem to the forefront of current energy research </w:t>
      </w:r>
      <w:r w:rsidR="00DF73D4" w:rsidRPr="00D22B50">
        <w:fldChar w:fldCharType="begin"/>
      </w:r>
      <w:r w:rsidR="00DF73D4" w:rsidRPr="00D22B50">
        <w:instrText xml:space="preserve"> ADDIN ZOTERO_ITEM CSL_CITATION {"citationID":"YaxsvIbu","properties":{"formattedCitation":"[11]","plainCitation":"[11]","noteIndex":0},"citationItems":[{"id":595,"uris":["http://zotero.org/users/local/p3tV44H5/items/RYGGA6L8"],"itemData":{"id":595,"type":"article-journal","abstract":"While the general belief is that the best way to predict electric load is through individualized models, the existing studies have focused on one-for-all models because the individual models are difficult to train and require a significantly larger data accumulation time per individual. In recent years, applying deep learning for forecasting electric load has become an important research topic but still one-for-all has been the main approach. In this work, we adopt transfer learning and meta learning that can be smoothly integrated into deep neural networks, and show how a high-performance individualized model can be formed using the individual's data collected over just several days. This is made possible by extracting the common patterns of many individuals using a sufficiently large dataset, and then customizing each individual model using the specific individual's small dataset. The proposed methods are evaluated over residential and non-residential datasets. When compared to the conventional methods, the meta learning model shows 7.84% and 15.07% RMSE improvements over the residential and non-residential datasets, respectively. Our results suggest that the individualized models can be used as effective tools for many short-term load forecasting tasks.","container-title":"IEEE Access","DOI":"10.1109/ACCESS.2021.3053317","ISSN":"2169-3536","page":"15413-15425","source":"IEEE Xplore","title":"Individualized Short-Term Electric Load Forecasting With Deep Neural Network Based Transfer Learning and Meta Learning","volume":"9","author":[{"family":"Lee","given":"Eunjung"},{"family":"Rhee","given":"Wonjong"}],"issued":{"date-parts":[["2021"]]}}}],"schema":"https://github.com/citation-style-language/schema/raw/master/csl-citation.json"} </w:instrText>
      </w:r>
      <w:r w:rsidR="00DF73D4" w:rsidRPr="00D22B50">
        <w:fldChar w:fldCharType="separate"/>
      </w:r>
      <w:r w:rsidR="00DF73D4" w:rsidRPr="00D22B50">
        <w:rPr>
          <w:rFonts w:cs="Times New Roman"/>
        </w:rPr>
        <w:t>[11]</w:t>
      </w:r>
      <w:r w:rsidR="00DF73D4" w:rsidRPr="00D22B50">
        <w:fldChar w:fldCharType="end"/>
      </w:r>
      <w:r w:rsidRPr="00D22B50">
        <w:rPr>
          <w:rFonts w:hint="eastAsia"/>
        </w:rPr>
        <w:t xml:space="preserve">. For a utility provider, waiting months to collect enough data to </w:t>
      </w:r>
      <w:r w:rsidR="00BD7543">
        <w:t>“</w:t>
      </w:r>
      <w:r w:rsidRPr="00D22B50">
        <w:rPr>
          <w:rFonts w:hint="eastAsia"/>
        </w:rPr>
        <w:t>warm up</w:t>
      </w:r>
      <w:r w:rsidR="00BD7543">
        <w:t>”</w:t>
      </w:r>
      <w:r w:rsidRPr="00D22B50">
        <w:rPr>
          <w:rFonts w:hint="eastAsia"/>
        </w:rPr>
        <w:t xml:space="preserve"> a model is unacceptable in a fast-paced smart grid environment. This necessitates the development of strategies, such as the transfer learning framework explored in this study, which can bridge the knowledge gap during the initial phase of smart meter integration.</w:t>
      </w:r>
    </w:p>
    <w:p w14:paraId="51309EBB" w14:textId="77777777" w:rsidR="005E508E" w:rsidRPr="00D22B50" w:rsidRDefault="005E508E" w:rsidP="00F61464">
      <w:pPr>
        <w:pStyle w:val="2"/>
        <w:rPr>
          <w:rFonts w:hint="eastAsia"/>
        </w:rPr>
      </w:pPr>
      <w:bookmarkStart w:id="24" w:name="_Toc228913827"/>
      <w:r w:rsidRPr="00D22B50">
        <w:t>3.3 Theoretical Analysis of the Cold-Start Problem</w:t>
      </w:r>
      <w:bookmarkEnd w:id="24"/>
    </w:p>
    <w:p w14:paraId="5146477F" w14:textId="75852494" w:rsidR="005E508E" w:rsidRPr="00D22B50" w:rsidRDefault="005E508E" w:rsidP="00FA00E5">
      <w:pPr>
        <w:pStyle w:val="af5"/>
        <w:spacing w:before="156" w:after="156"/>
      </w:pPr>
      <w:r w:rsidRPr="00D22B50">
        <w:t xml:space="preserve">The cold-start problem in energy systems is not merely a data acquisition delay, but is fundamentally a manifestation of the </w:t>
      </w:r>
      <w:r w:rsidR="00BD7543">
        <w:t>“</w:t>
      </w:r>
      <w:r w:rsidRPr="00D22B50">
        <w:t>bias-variance tradeoff</w:t>
      </w:r>
      <w:r w:rsidR="00BD7543">
        <w:t>”</w:t>
      </w:r>
      <w:r w:rsidRPr="00D22B50">
        <w:t xml:space="preserve"> in the regime of small-sample learning. This statistical dilemma defines the limits of any supervised learning model</w:t>
      </w:r>
      <w:r w:rsidR="00BD7543">
        <w:t>’</w:t>
      </w:r>
      <w:r w:rsidRPr="00D22B50">
        <w:t>s ability to generalize to unseen data when the training set is insufficiently representative of the underlying population.</w:t>
      </w:r>
    </w:p>
    <w:p w14:paraId="1031ABA1" w14:textId="77777777" w:rsidR="005E508E" w:rsidRPr="00D22B50" w:rsidRDefault="005E508E" w:rsidP="00F61464">
      <w:pPr>
        <w:pStyle w:val="3"/>
        <w:rPr>
          <w:rFonts w:hint="eastAsia"/>
        </w:rPr>
      </w:pPr>
      <w:bookmarkStart w:id="25" w:name="_Toc228913828"/>
      <w:r w:rsidRPr="00D22B50">
        <w:t>3.3.1 The Bias-Variance Dilemma in Small-Sample Regimes</w:t>
      </w:r>
      <w:bookmarkEnd w:id="25"/>
    </w:p>
    <w:p w14:paraId="5C9206D2" w14:textId="5C114AC6" w:rsidR="005E508E" w:rsidRPr="00D22B50" w:rsidRDefault="005E508E" w:rsidP="00FA00E5">
      <w:pPr>
        <w:pStyle w:val="af5"/>
        <w:spacing w:before="156" w:after="156"/>
      </w:pPr>
      <w:r w:rsidRPr="00D22B50">
        <w:t xml:space="preserve">In statistical learning, the expected prediction error of a model can be decomposed into three components: the square of the bias, the variance, and the irreducible noise. Mathematically, for a target function </w:t>
      </w:r>
      <m:oMath>
        <m:r>
          <w:rPr>
            <w:rFonts w:ascii="Cambria Math" w:hAnsi="Cambria Math"/>
          </w:rPr>
          <m:t>f</m:t>
        </m:r>
        <m:r>
          <w:rPr>
            <w:rFonts w:ascii="Cambria Math" w:eastAsiaTheme="minorEastAsia" w:hAnsi="Cambria Math"/>
          </w:rPr>
          <m:t>(x)</m:t>
        </m:r>
      </m:oMath>
      <w:r w:rsidRPr="00D22B50">
        <w:t xml:space="preserve"> and an estimate</w:t>
      </w:r>
      <w:r w:rsidR="00DF73D4" w:rsidRPr="00D22B50">
        <w:rPr>
          <w:rFonts w:eastAsiaTheme="minorEastAsia" w:hint="eastAsia"/>
        </w:rPr>
        <w:t xml:space="preserve"> </w:t>
      </w:r>
      <m:oMath>
        <m:acc>
          <m:accPr>
            <m:ctrlPr>
              <w:rPr>
                <w:rFonts w:ascii="Cambria Math" w:eastAsiaTheme="minorEastAsia" w:hAnsi="Cambria Math"/>
                <w:i/>
              </w:rPr>
            </m:ctrlPr>
          </m:accPr>
          <m:e>
            <m:r>
              <w:rPr>
                <w:rFonts w:ascii="Cambria Math" w:eastAsiaTheme="minorEastAsia" w:hAnsi="Cambria Math"/>
              </w:rPr>
              <m:t>f</m:t>
            </m:r>
          </m:e>
        </m:acc>
        <m:r>
          <w:rPr>
            <w:rFonts w:ascii="Cambria Math" w:eastAsiaTheme="minorEastAsia" w:hAnsi="Cambria Math"/>
          </w:rPr>
          <m:t>(x)</m:t>
        </m:r>
      </m:oMath>
      <w:r w:rsidRPr="00D22B50">
        <w:t>, the error is expressed as:</w:t>
      </w:r>
    </w:p>
    <w:p w14:paraId="691C7D21" w14:textId="377F2A58" w:rsidR="005E508E" w:rsidRPr="00D22B50" w:rsidRDefault="005E508E" w:rsidP="005E508E">
      <w:pPr>
        <w:rPr>
          <w:rFonts w:hint="eastAsia"/>
        </w:rPr>
      </w:pPr>
      <w:r w:rsidRPr="00D22B50">
        <w:rPr>
          <w:noProof/>
        </w:rPr>
        <w:drawing>
          <wp:inline distT="0" distB="0" distL="0" distR="0" wp14:anchorId="24884D15" wp14:editId="2BB2990D">
            <wp:extent cx="5274310" cy="734695"/>
            <wp:effectExtent l="0" t="0" r="2540" b="8255"/>
            <wp:docPr id="128335799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357999" name=""/>
                    <pic:cNvPicPr/>
                  </pic:nvPicPr>
                  <pic:blipFill>
                    <a:blip r:embed="rId11"/>
                    <a:stretch>
                      <a:fillRect/>
                    </a:stretch>
                  </pic:blipFill>
                  <pic:spPr>
                    <a:xfrm>
                      <a:off x="0" y="0"/>
                      <a:ext cx="5274310" cy="734695"/>
                    </a:xfrm>
                    <a:prstGeom prst="rect">
                      <a:avLst/>
                    </a:prstGeom>
                  </pic:spPr>
                </pic:pic>
              </a:graphicData>
            </a:graphic>
          </wp:inline>
        </w:drawing>
      </w:r>
    </w:p>
    <w:p w14:paraId="04F948D6" w14:textId="1A99D1E1" w:rsidR="005E508E" w:rsidRPr="00D22B50" w:rsidRDefault="005E508E" w:rsidP="00FA00E5">
      <w:pPr>
        <w:pStyle w:val="af5"/>
        <w:spacing w:before="156" w:after="156"/>
      </w:pPr>
      <w:r w:rsidRPr="00D22B50">
        <w:t xml:space="preserve">When a parameter-heavy model like an LSTM—which may contain thousands of </w:t>
      </w:r>
      <w:r w:rsidRPr="00D22B50">
        <w:lastRenderedPageBreak/>
        <w:t>trainable weights—is trained on a sparse dataset (e.g., &lt; 14 days), the model tends to have high variance. This means the network becomes hyper-sensitive to the specific stochastic fluctuations present in that short two-week window. Rather than learning the true underlying distribution of the resident</w:t>
      </w:r>
      <w:r w:rsidR="00BD7543">
        <w:t>’</w:t>
      </w:r>
      <w:r w:rsidRPr="00D22B50">
        <w:t xml:space="preserve">s behavior, the model </w:t>
      </w:r>
      <w:r w:rsidR="00BD7543">
        <w:t>“</w:t>
      </w:r>
      <w:r w:rsidRPr="00D22B50">
        <w:t>memorizes</w:t>
      </w:r>
      <w:r w:rsidR="00BD7543">
        <w:t>”</w:t>
      </w:r>
      <w:r w:rsidRPr="00D22B50">
        <w:t xml:space="preserve"> the noise. This leads to catastrophic overfitting, where the training error is driven toward zero, but the generalization error on future data remains extremely high </w:t>
      </w:r>
      <w:r w:rsidR="00E0746C" w:rsidRPr="00D22B50">
        <w:fldChar w:fldCharType="begin"/>
      </w:r>
      <w:r w:rsidR="00E0746C" w:rsidRPr="00D22B50">
        <w:instrText xml:space="preserve"> ADDIN ZOTERO_ITEM CSL_CITATION {"citationID":"9B1roENs","properties":{"formattedCitation":"[8], [9]","plainCitation":"[8], [9]","noteIndex":0},"citationItems":[{"id":512,"uris":["http://zotero.org/users/local/p3tV44H5/items/HCMHHT5F"],"itemData":{"id":512,"type":"article-journal","abstract":"Learning to store information over extended time intervals by recurrent backpropagation takes a very long time, mostly because of insufficient, decaying error backflow. We briefly review Hochreiter's (1991) analysis of this problem, then address it by introducing a novel, efficient, gradient based method called long short-term memory (LSTM). Truncating the gradient where this does not do harm, LSTM can learn to bridge minimal time lags in excess of 1000 discrete-time steps by enforcing constant error flow through constant error carousels within special units. Multiplicative gate units learn to open and close access to the constant error flow. LSTM is local in space and time; its computational complexity per time step and weight is O. 1. Our experiments with artificial data involve local, distributed, real-valued, and noisy pattern representations. In comparisons with real-time recurrent learning, back propagation through time, recurrent cascade correlation, Elman nets, and neural sequence chunking, LSTM leads to many more successful runs, and learns much faster. LSTM also solves complex, artificial long-time-lag tasks that have never been solved by previous recurrent network algorithms.","container-title":"Neural Computation","DOI":"10.1162/neco.1997.9.8.1735","ISSN":"0899-7667","issue":"8","page":"1735-1780","source":"IEEE Xplore","title":"Long Short-Term Memory","volume":"9","author":[{"family":"Hochreiter","given":"Sepp"},{"family":"Schmidhuber","given":"Jürgen"}],"issued":{"date-parts":[["1997",11]]}}},{"id":557,"uris":["http://zotero.org/users/local/p3tV44H5/items/N4D6A4RG"],"itemData":{"id":557,"type":"article-journal","abstract":"As the power system is facing a transition toward a more intelligent, flexible, and interactive system with higher penetration of renewable energy generation, load forecasting, especially short-term load forecasting for individual electric customers plays an increasingly essential role in the future grid planning and operation. Other than aggregated residential load in a large scale, forecasting an electric load of a single energy user is fairly challenging due to the high volatility and uncertainty involved. In this paper, we propose a long short-term memory (LSTM) recurrent neural network-based framework, which is the latest and one of the most popular techniques of deep learning, to tackle this tricky issue. The proposed framework is tested on a publicly available set of real residential smart meter data, of which the performance is comprehensively compared to various benchmarks including the state-of-the-arts in the field of load forecasting. As a result, the proposed LSTM approach outperforms the other listed rival algorithms in the task of short-term load forecasting for individual residential households.","container-title":"IEEE Transactions on Smart Grid","DOI":"10.1109/TSG.2017.2753802","ISSN":"1949-3061","issue":"1","page":"841-851","source":"IEEE Xplore","title":"Short-Term Residential Load Forecasting Based on LSTM Recurrent Neural Network","volume":"10","author":[{"family":"Kong","given":"Weicong"},{"family":"Dong","given":"Zhao Yang"},{"family":"Jia","given":"Youwei"},{"family":"Hill","given":"David J."},{"family":"Xu","given":"Yan"},{"family":"Zhang","given":"Yuan"}],"issued":{"date-parts":[["2019",1]]}}}],"schema":"https://github.com/citation-style-language/schema/raw/master/csl-citation.json"} </w:instrText>
      </w:r>
      <w:r w:rsidR="00E0746C" w:rsidRPr="00D22B50">
        <w:fldChar w:fldCharType="separate"/>
      </w:r>
      <w:r w:rsidR="00E0746C" w:rsidRPr="00D22B50">
        <w:rPr>
          <w:rFonts w:cs="Times New Roman"/>
        </w:rPr>
        <w:t>[8], [9]</w:t>
      </w:r>
      <w:r w:rsidR="00E0746C" w:rsidRPr="00D22B50">
        <w:fldChar w:fldCharType="end"/>
      </w:r>
      <w:r w:rsidRPr="00D22B50">
        <w:t>.</w:t>
      </w:r>
    </w:p>
    <w:p w14:paraId="6A6BF828" w14:textId="78367413" w:rsidR="005E508E" w:rsidRPr="00D22B50" w:rsidRDefault="005E508E" w:rsidP="00F61464">
      <w:pPr>
        <w:pStyle w:val="3"/>
        <w:rPr>
          <w:rFonts w:hint="eastAsia"/>
        </w:rPr>
      </w:pPr>
      <w:bookmarkStart w:id="26" w:name="_Toc228913829"/>
      <w:r w:rsidRPr="00D22B50">
        <w:t xml:space="preserve">3.3.2 Operational Implications of the </w:t>
      </w:r>
      <w:r w:rsidR="00BD7543">
        <w:t>“</w:t>
      </w:r>
      <w:r w:rsidRPr="00D22B50">
        <w:t>Value-Void</w:t>
      </w:r>
      <w:r w:rsidR="00BD7543">
        <w:t>”</w:t>
      </w:r>
      <w:bookmarkEnd w:id="26"/>
    </w:p>
    <w:p w14:paraId="4B1BFC22" w14:textId="1C6E16D9" w:rsidR="005E508E" w:rsidRPr="00D22B50" w:rsidRDefault="005E508E" w:rsidP="00FA00E5">
      <w:pPr>
        <w:pStyle w:val="af5"/>
        <w:spacing w:before="156" w:after="156"/>
      </w:pPr>
      <w:r w:rsidRPr="00D22B50">
        <w:t xml:space="preserve">In a smart grid context, the cold-start period represents what is known as a </w:t>
      </w:r>
      <w:r w:rsidR="00BD7543">
        <w:t>“</w:t>
      </w:r>
      <w:r w:rsidRPr="00D22B50">
        <w:t>value-void</w:t>
      </w:r>
      <w:r w:rsidR="00BD7543">
        <w:t>”</w:t>
      </w:r>
      <w:r w:rsidRPr="00D22B50">
        <w:t xml:space="preserve"> for utility providers </w:t>
      </w:r>
      <w:r w:rsidR="00E0746C" w:rsidRPr="00D22B50">
        <w:fldChar w:fldCharType="begin"/>
      </w:r>
      <w:r w:rsidR="00E0746C" w:rsidRPr="00D22B50">
        <w:instrText xml:space="preserve"> ADDIN ZOTERO_ITEM CSL_CITATION {"citationID":"2IXvbJ0p","properties":{"formattedCitation":"[4]","plainCitation":"[4]","noteIndex":0},"citationItems":[{"id":567,"uris":["http://zotero.org/users/local/p3tV44H5/items/J38MU6UU"],"itemData":{"id":567,"type":"article-journal","abstract":"The current electric power system witnesses a significant transition into Smart Grids (SG) as a promising landscape for high grid reliability and efficient energy management. This ongoing transition undergoes rapid changes, requiring a plethora of advanced methodologies to process the big data generated by various units. In this context, SG stands tied very closely to Deep Learning (DL) as an emerging technology for creating a more decentralized and intelligent energy paradigm while integrating high intelligence in supervisory and operational decision-making. Motivated by the outstanding success of DL-based prediction methods, this article attempts to provide a thorough review from a broad perspective on the state-of-the-art advances of DL in SG systems. Firstly, a bibliometric analysis has been conducted to categorize this review's methodology. Further, we taxonomically delve into the mechanism behind some of the trending DL algorithms. We then showcase the DL enabling technologies in SG, such as federated learning, edge intelligence, and distributed computing. Finally, challenges and research frontiers are provided to serve as guidelines for future work in the futuristic power grid domain. This study's core objective is to foster the synergy between these two fields for decision-makers and researchers to accelerate DL's practical deployment for SG systems.","container-title":"IEEE Access","DOI":"10.1109/ACCESS.2021.3071269","ISSN":"2169-3536","page":"54558-54578","source":"IEEE Xplore","title":"Deep Learning in Smart Grid Technology: A Review of Recent Advancements and Future Prospects","title-short":"Deep Learning in Smart Grid Technology","volume":"9","author":[{"family":"Massaoudi","given":"Mohamed"},{"family":"Abu-Rub","given":"Haitham"},{"family":"Refaat","given":"Shady S."},{"family":"Chihi","given":"Ines"},{"family":"Oueslati","given":"Fakhreddine S."}],"issued":{"date-parts":[["2021"]]}}}],"schema":"https://github.com/citation-style-language/schema/raw/master/csl-citation.json"} </w:instrText>
      </w:r>
      <w:r w:rsidR="00E0746C" w:rsidRPr="00D22B50">
        <w:fldChar w:fldCharType="separate"/>
      </w:r>
      <w:r w:rsidR="00E0746C" w:rsidRPr="00D22B50">
        <w:rPr>
          <w:rFonts w:cs="Times New Roman"/>
        </w:rPr>
        <w:t>[4]</w:t>
      </w:r>
      <w:r w:rsidR="00E0746C" w:rsidRPr="00D22B50">
        <w:fldChar w:fldCharType="end"/>
      </w:r>
      <w:r w:rsidRPr="00D22B50">
        <w:t xml:space="preserve">. This period defines the gap between the physical installation of a smart meter and the realization of its digital intelligence. Without accurate forecasts, the infrastructure remains underutilized. Personalized services, such as real-time pricing alerts, energy-saving recommendations, and participation in demand-response programs, cannot be reliably delivered. From a business perspective, the </w:t>
      </w:r>
      <w:r w:rsidR="00BD7543">
        <w:t>“</w:t>
      </w:r>
      <w:r w:rsidRPr="00D22B50">
        <w:t>value-void</w:t>
      </w:r>
      <w:r w:rsidR="00BD7543">
        <w:t>”</w:t>
      </w:r>
      <w:r w:rsidRPr="00D22B50">
        <w:t xml:space="preserve"> delays the return on investment for Advanced Metering Infrastructure (AMI) and prevents the utility from building an early trust relationship with the new consumer through proactive insights.</w:t>
      </w:r>
    </w:p>
    <w:p w14:paraId="0BA489E2" w14:textId="1E2A7B1C" w:rsidR="005E508E" w:rsidRPr="00D22B50" w:rsidRDefault="005E508E" w:rsidP="00F61464">
      <w:pPr>
        <w:pStyle w:val="3"/>
        <w:rPr>
          <w:rFonts w:hint="eastAsia"/>
        </w:rPr>
      </w:pPr>
      <w:bookmarkStart w:id="27" w:name="_Toc228913830"/>
      <w:r w:rsidRPr="00D22B50">
        <w:t xml:space="preserve">3.3.3 The Absence of Temporal </w:t>
      </w:r>
      <w:r w:rsidR="00BD7543">
        <w:t>“</w:t>
      </w:r>
      <w:r w:rsidRPr="00D22B50">
        <w:t>Energy Fingerprints</w:t>
      </w:r>
      <w:r w:rsidR="00BD7543">
        <w:t>”</w:t>
      </w:r>
      <w:bookmarkEnd w:id="27"/>
    </w:p>
    <w:p w14:paraId="424A5B4C" w14:textId="2E3871AA" w:rsidR="005E508E" w:rsidRPr="00D22B50" w:rsidRDefault="005E508E" w:rsidP="00FA00E5">
      <w:pPr>
        <w:pStyle w:val="af5"/>
        <w:spacing w:before="156" w:after="156"/>
      </w:pPr>
      <w:r w:rsidRPr="00D22B50">
        <w:t xml:space="preserve">Every household possesses a unique temporal </w:t>
      </w:r>
      <w:r w:rsidR="00BD7543">
        <w:t>“</w:t>
      </w:r>
      <w:r w:rsidRPr="00D22B50">
        <w:t>energy fingerprint</w:t>
      </w:r>
      <w:r w:rsidR="00BD7543">
        <w:t>”</w:t>
      </w:r>
      <w:r w:rsidRPr="00D22B50">
        <w:t xml:space="preserve">—a distinct pattern of appliance usage, thermal inertia, and occupancy rhythms. Lu et al. noted that for new users, the lack of historical records makes it impossible for models to distinguish between routine consumption and anomalous events </w:t>
      </w:r>
      <w:r w:rsidR="00E0746C" w:rsidRPr="00D22B50">
        <w:fldChar w:fldCharType="begin"/>
      </w:r>
      <w:r w:rsidR="00E0746C" w:rsidRPr="00D22B50">
        <w:instrText xml:space="preserve"> ADDIN ZOTERO_ITEM CSL_CITATION {"citationID":"mO81oNTX","properties":{"formattedCitation":"[11]","plainCitation":"[11]","noteIndex":0},"citationItems":[{"id":595,"uris":["http://zotero.org/users/local/p3tV44H5/items/RYGGA6L8"],"itemData":{"id":595,"type":"article-journal","abstract":"While the general belief is that the best way to predict electric load is through individualized models, the existing studies have focused on one-for-all models because the individual models are difficult to train and require a significantly larger data accumulation time per individual. In recent years, applying deep learning for forecasting electric load has become an important research topic but still one-for-all has been the main approach. In this work, we adopt transfer learning and meta learning that can be smoothly integrated into deep neural networks, and show how a high-performance individualized model can be formed using the individual's data collected over just several days. This is made possible by extracting the common patterns of many individuals using a sufficiently large dataset, and then customizing each individual model using the specific individual's small dataset. The proposed methods are evaluated over residential and non-residential datasets. When compared to the conventional methods, the meta learning model shows 7.84% and 15.07% RMSE improvements over the residential and non-residential datasets, respectively. Our results suggest that the individualized models can be used as effective tools for many short-term load forecasting tasks.","container-title":"IEEE Access","DOI":"10.1109/ACCESS.2021.3053317","ISSN":"2169-3536","page":"15413-15425","source":"IEEE Xplore","title":"Individualized Short-Term Electric Load Forecasting With Deep Neural Network Based Transfer Learning and Meta Learning","volume":"9","author":[{"family":"Lee","given":"Eunjung"},{"family":"Rhee","given":"Wonjong"}],"issued":{"date-parts":[["2021"]]}}}],"schema":"https://github.com/citation-style-language/schema/raw/master/csl-citation.json"} </w:instrText>
      </w:r>
      <w:r w:rsidR="00E0746C" w:rsidRPr="00D22B50">
        <w:fldChar w:fldCharType="separate"/>
      </w:r>
      <w:r w:rsidR="00E0746C" w:rsidRPr="00D22B50">
        <w:rPr>
          <w:rFonts w:cs="Times New Roman"/>
        </w:rPr>
        <w:t>[11]</w:t>
      </w:r>
      <w:r w:rsidR="00E0746C" w:rsidRPr="00D22B50">
        <w:fldChar w:fldCharType="end"/>
      </w:r>
      <w:r w:rsidRPr="00D22B50">
        <w:t>. For example, without a month of baseline data, an LSTM cannot determine if a high consumption spike at 10 PM is a regular nightly habit (routine) or an accidental appliance leak (anomaly).</w:t>
      </w:r>
    </w:p>
    <w:p w14:paraId="399D554A" w14:textId="56FF4569" w:rsidR="005E508E" w:rsidRPr="00D22B50" w:rsidRDefault="005E508E" w:rsidP="00FA00E5">
      <w:pPr>
        <w:pStyle w:val="af5"/>
        <w:spacing w:before="156" w:after="156"/>
      </w:pPr>
      <w:r w:rsidRPr="00D22B50">
        <w:t xml:space="preserve">In the absence of these fingerprints, the model lacks the </w:t>
      </w:r>
      <w:r w:rsidR="00BD7543">
        <w:t>“</w:t>
      </w:r>
      <w:r w:rsidRPr="00D22B50">
        <w:t>contextual memory</w:t>
      </w:r>
      <w:r w:rsidR="00BD7543">
        <w:t>”</w:t>
      </w:r>
      <w:r w:rsidRPr="00D22B50">
        <w:t xml:space="preserve"> required to make informed predictions. The scarcity of data prevents the gates of the LSTM from learning the multi-scale dependencies (such as the difference between weekday and weekend behaviors) that are essential for high-resolution forecasting.</w:t>
      </w:r>
    </w:p>
    <w:p w14:paraId="63DDDA30" w14:textId="77777777" w:rsidR="005E508E" w:rsidRPr="00D22B50" w:rsidRDefault="005E508E" w:rsidP="00F61464">
      <w:pPr>
        <w:pStyle w:val="3"/>
        <w:rPr>
          <w:rFonts w:hint="eastAsia"/>
        </w:rPr>
      </w:pPr>
      <w:bookmarkStart w:id="28" w:name="_Toc228913831"/>
      <w:r w:rsidRPr="00D22B50">
        <w:t>3.3.4 Augmentation through Cross-Domain Knowledge</w:t>
      </w:r>
      <w:bookmarkEnd w:id="28"/>
    </w:p>
    <w:p w14:paraId="38D4A984" w14:textId="53B62742" w:rsidR="00AC7269" w:rsidRPr="00D22B50" w:rsidRDefault="005E508E" w:rsidP="00FA00E5">
      <w:pPr>
        <w:pStyle w:val="af5"/>
        <w:spacing w:before="156" w:after="156"/>
        <w:rPr>
          <w:rFonts w:eastAsiaTheme="minorEastAsia"/>
        </w:rPr>
      </w:pPr>
      <w:r w:rsidRPr="00D22B50">
        <w:t>This theoretical bottleneck suggests that for new participants, the learning process must be augmented with external knowledge rather than relying solely on the target user</w:t>
      </w:r>
      <w:r w:rsidR="00BD7543">
        <w:t>’</w:t>
      </w:r>
      <w:r w:rsidRPr="00D22B50">
        <w:t xml:space="preserve">s data. By looking at the problem as a </w:t>
      </w:r>
      <w:r w:rsidR="00BD7543">
        <w:t>“</w:t>
      </w:r>
      <w:r w:rsidRPr="00D22B50">
        <w:t>Cold Start,</w:t>
      </w:r>
      <w:r w:rsidR="00BD7543">
        <w:t>”</w:t>
      </w:r>
      <w:r w:rsidRPr="00D22B50">
        <w:t xml:space="preserve"> </w:t>
      </w:r>
      <w:r w:rsidR="002657F3">
        <w:t xml:space="preserve">I </w:t>
      </w:r>
      <w:r w:rsidRPr="00D22B50">
        <w:t xml:space="preserve">recognize that the only way to lower the variance without increasing the bias is to provide the model with a strong </w:t>
      </w:r>
      <w:r w:rsidR="00BD7543">
        <w:t>“</w:t>
      </w:r>
      <w:r w:rsidRPr="00D22B50">
        <w:t>prior.</w:t>
      </w:r>
      <w:r w:rsidR="00BD7543">
        <w:t>”</w:t>
      </w:r>
      <w:r w:rsidRPr="00D22B50">
        <w:t xml:space="preserve"> This prior is found in the consumption patterns of similar, long-term grid participants. Through transfer learning, </w:t>
      </w:r>
      <w:r w:rsidR="002657F3">
        <w:t xml:space="preserve">I </w:t>
      </w:r>
      <w:r w:rsidRPr="00D22B50">
        <w:t xml:space="preserve">can migrate the </w:t>
      </w:r>
      <w:r w:rsidR="00BD7543">
        <w:t>“</w:t>
      </w:r>
      <w:r w:rsidRPr="00D22B50">
        <w:t>universal energy fingerprints</w:t>
      </w:r>
      <w:r w:rsidR="00BD7543">
        <w:t>”</w:t>
      </w:r>
      <w:r w:rsidRPr="00D22B50">
        <w:t xml:space="preserve"> from established users to the new user, providing the model with a representational foundation that it cannot yet build for itself.</w:t>
      </w:r>
    </w:p>
    <w:p w14:paraId="517805F8" w14:textId="77777777" w:rsidR="00AC7269" w:rsidRPr="00D22B50" w:rsidRDefault="00AC7269" w:rsidP="00F61464">
      <w:pPr>
        <w:pStyle w:val="2"/>
        <w:rPr>
          <w:rFonts w:hint="eastAsia"/>
        </w:rPr>
      </w:pPr>
      <w:bookmarkStart w:id="29" w:name="_Toc228913832"/>
      <w:r w:rsidRPr="00D22B50">
        <w:lastRenderedPageBreak/>
        <w:t>3.4 Transfer Learning Paradigms and Negative Transfer</w:t>
      </w:r>
      <w:bookmarkEnd w:id="29"/>
    </w:p>
    <w:p w14:paraId="24532852" w14:textId="15C7DCEF" w:rsidR="005E508E" w:rsidRPr="00D22B50" w:rsidRDefault="005E508E" w:rsidP="00FA00E5">
      <w:pPr>
        <w:pStyle w:val="af5"/>
        <w:spacing w:before="156" w:after="156"/>
      </w:pPr>
      <w:r w:rsidRPr="00D22B50">
        <w:t xml:space="preserve">Transfer learning (TL) provides a sophisticated mathematical framework for applying knowledge from a source domain to a target domain </w:t>
      </w:r>
      <w:r w:rsidR="00E0746C" w:rsidRPr="00D22B50">
        <w:fldChar w:fldCharType="begin"/>
      </w:r>
      <w:r w:rsidR="00E0746C" w:rsidRPr="00D22B50">
        <w:instrText xml:space="preserve"> ADDIN ZOTERO_ITEM CSL_CITATION {"citationID":"AJFwA8Mj","properties":{"formattedCitation":"[12]","plainCitation":"[12]","noteIndex":0},"citationItems":[{"id":516,"uris":["http://zotero.org/users/local/p3tV44H5/items/DT3M3WEH"],"itemData":{"id":516,"type":"article-journal","abstract":"Transfer learning aims at improving the performance of target learners on target domains by transferring the knowledge contained in different but related source domains. In this way, the dependence on a large number of target-domain data can be reduced for constructing target learners. Due to the wide application prospects, transfer learning has become a popular and promising area in machine learning. Although there are already some valuable and impressive surveys on transfer learning, these surveys introduce approaches in a relatively isolated way and lack the recent advances in transfer learning. Due to the rapid expansion of the transfer learning area, it is both necessary and challenging to comprehensively review the relevant studies. This survey attempts to connect and systematize the existing transfer learning research studies, as well as to summarize and interpret the mechanisms and the strategies of transfer learning in a comprehensive way, which may help readers have a better understanding of the current research status and ideas. Unlike previous surveys, this survey article reviews more than 40 representative transfer learning approaches, especially homogeneous transfer learning approaches, from the perspectives of data and model. The applications of transfer learning are also briefly introduced. In order to show the performance of different transfer learning models, over 20 representative transfer learning models are used for experiments. The models are performed on three different data sets, that is, Amazon Reviews, Reuters-21578, and Office-31, and the experimental results demonstrate the importance of selecting appropriate transfer learning models for different applications in practice.","container-title":"Proceedings of the IEEE","DOI":"10.1109/JPROC.2020.3004555","ISSN":"1558-2256","issue":"1","page":"43-76","source":"IEEE Xplore","title":"A Comprehensive Survey on Transfer Learning","volume":"109","author":[{"family":"Zhuang","given":"Fuzhen"},{"family":"Qi","given":"Zhiyuan"},{"family":"Duan","given":"Keyu"},{"family":"Xi","given":"Dongbo"},{"family":"Zhu","given":"Yongchun"},{"family":"Zhu","given":"Hengshu"},{"family":"Xiong","given":"Hui"},{"family":"He","given":"Qing"}],"issued":{"date-parts":[["2021",1]]}}}],"schema":"https://github.com/citation-style-language/schema/raw/master/csl-citation.json"} </w:instrText>
      </w:r>
      <w:r w:rsidR="00E0746C" w:rsidRPr="00D22B50">
        <w:fldChar w:fldCharType="separate"/>
      </w:r>
      <w:r w:rsidR="00E0746C" w:rsidRPr="00D22B50">
        <w:rPr>
          <w:rFonts w:cs="Times New Roman"/>
        </w:rPr>
        <w:t>[12]</w:t>
      </w:r>
      <w:r w:rsidR="00E0746C" w:rsidRPr="00D22B50">
        <w:fldChar w:fldCharType="end"/>
      </w:r>
      <w:r w:rsidRPr="00D22B50">
        <w:t xml:space="preserve">. In the context of machine learning, this involves the extraction of representational patterns from a source domain </w:t>
      </w:r>
      <m:oMath>
        <m:sSub>
          <m:sSubPr>
            <m:ctrlPr>
              <w:rPr>
                <w:rFonts w:ascii="Cambria Math" w:hAnsi="Cambria Math"/>
                <w:i/>
              </w:rPr>
            </m:ctrlPr>
          </m:sSubPr>
          <m:e>
            <m:r>
              <w:rPr>
                <w:rFonts w:ascii="Cambria Math" w:eastAsiaTheme="minorEastAsia" w:hAnsi="Cambria Math" w:hint="eastAsia"/>
              </w:rPr>
              <m:t>D</m:t>
            </m:r>
          </m:e>
          <m:sub>
            <m:r>
              <w:rPr>
                <w:rFonts w:ascii="Cambria Math" w:eastAsiaTheme="minorEastAsia" w:hAnsi="Cambria Math" w:hint="eastAsia"/>
              </w:rPr>
              <m:t>s</m:t>
            </m:r>
          </m:sub>
        </m:sSub>
      </m:oMath>
      <w:r w:rsidRPr="00D22B50">
        <w:t xml:space="preserve"> (defined by a feature space </w:t>
      </w:r>
      <m:oMath>
        <m:sSub>
          <m:sSubPr>
            <m:ctrlPr>
              <w:rPr>
                <w:rFonts w:ascii="Cambria Math" w:hAnsi="Cambria Math"/>
                <w:i/>
              </w:rPr>
            </m:ctrlPr>
          </m:sSubPr>
          <m:e>
            <m:r>
              <w:rPr>
                <w:rFonts w:ascii="Cambria Math" w:eastAsiaTheme="minorEastAsia" w:hAnsi="Cambria Math" w:hint="eastAsia"/>
              </w:rPr>
              <m:t>X</m:t>
            </m:r>
          </m:e>
          <m:sub>
            <m:r>
              <w:rPr>
                <w:rFonts w:ascii="Cambria Math" w:eastAsiaTheme="minorEastAsia" w:hAnsi="Cambria Math" w:hint="eastAsia"/>
              </w:rPr>
              <m:t>s</m:t>
            </m:r>
          </m:sub>
        </m:sSub>
      </m:oMath>
      <w:r w:rsidRPr="00D22B50">
        <w:t xml:space="preserve"> and a marginal probability distribution </w:t>
      </w:r>
      <m:oMath>
        <m:r>
          <w:rPr>
            <w:rFonts w:ascii="Cambria Math" w:eastAsiaTheme="minorEastAsia" w:hAnsi="Cambria Math" w:hint="eastAsia"/>
          </w:rPr>
          <m:t>P</m:t>
        </m:r>
        <m:r>
          <w:rPr>
            <w:rFonts w:ascii="Cambria Math" w:eastAsia="宋体" w:hAnsi="Cambria Math" w:cs="宋体"/>
          </w:rPr>
          <m:t>(</m:t>
        </m:r>
        <m:sSub>
          <m:sSubPr>
            <m:ctrlPr>
              <w:rPr>
                <w:rFonts w:ascii="Cambria Math" w:hAnsi="Cambria Math"/>
                <w:i/>
              </w:rPr>
            </m:ctrlPr>
          </m:sSubPr>
          <m:e>
            <m:r>
              <w:rPr>
                <w:rFonts w:ascii="Cambria Math" w:hAnsi="Cambria Math"/>
              </w:rPr>
              <m:t>X</m:t>
            </m:r>
          </m:e>
          <m:sub>
            <m:r>
              <w:rPr>
                <w:rFonts w:ascii="Cambria Math" w:hAnsi="Cambria Math"/>
              </w:rPr>
              <m:t>s</m:t>
            </m:r>
          </m:sub>
        </m:sSub>
        <m:r>
          <w:rPr>
            <w:rFonts w:ascii="Cambria Math" w:hAnsi="Cambria Math"/>
          </w:rPr>
          <m:t>)</m:t>
        </m:r>
      </m:oMath>
      <w:r w:rsidRPr="00D22B50">
        <w:t>) to improve the predictive performance of a target task</w:t>
      </w:r>
      <w:r w:rsidR="00FA00E5" w:rsidRPr="00D22B50">
        <w:rPr>
          <w:rFonts w:eastAsiaTheme="minorEastAsia" w:hint="eastAsia"/>
        </w:rPr>
        <w:t xml:space="preserve">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t</m:t>
            </m:r>
          </m:sub>
        </m:sSub>
      </m:oMath>
      <w:r w:rsidRPr="00D22B50">
        <w:t xml:space="preserve"> in a target domain </w:t>
      </w:r>
      <m:oMath>
        <m:sSub>
          <m:sSubPr>
            <m:ctrlPr>
              <w:rPr>
                <w:rFonts w:ascii="Cambria Math" w:hAnsi="Cambria Math"/>
                <w:i/>
              </w:rPr>
            </m:ctrlPr>
          </m:sSubPr>
          <m:e>
            <m:r>
              <w:rPr>
                <w:rFonts w:ascii="Cambria Math" w:hAnsi="Cambria Math"/>
              </w:rPr>
              <m:t>D</m:t>
            </m:r>
          </m:e>
          <m:sub>
            <m:r>
              <w:rPr>
                <w:rFonts w:ascii="Cambria Math" w:hAnsi="Cambria Math"/>
              </w:rPr>
              <m:t>t</m:t>
            </m:r>
          </m:sub>
        </m:sSub>
      </m:oMath>
      <w:r w:rsidRPr="00D22B50">
        <w:t xml:space="preserve">. In STLF, this typically involves a </w:t>
      </w:r>
      <w:r w:rsidR="00BD7543">
        <w:t>“</w:t>
      </w:r>
      <w:r w:rsidRPr="00D22B50">
        <w:t>pre-training + fine-tuning</w:t>
      </w:r>
      <w:r w:rsidR="00BD7543">
        <w:t>”</w:t>
      </w:r>
      <w:r w:rsidRPr="00D22B50">
        <w:t xml:space="preserve"> paradigm where a model learns universal electricity consumption rhythms from a large pool of established users.</w:t>
      </w:r>
    </w:p>
    <w:p w14:paraId="253E9527" w14:textId="77777777" w:rsidR="005E508E" w:rsidRPr="00D22B50" w:rsidRDefault="005E508E" w:rsidP="00F61464">
      <w:pPr>
        <w:pStyle w:val="3"/>
        <w:rPr>
          <w:rFonts w:hint="eastAsia"/>
        </w:rPr>
      </w:pPr>
      <w:bookmarkStart w:id="30" w:name="_Toc228913833"/>
      <w:r w:rsidRPr="00D22B50">
        <w:t>3.4.1 The Mechanism of Knowledge Migration</w:t>
      </w:r>
      <w:bookmarkEnd w:id="30"/>
    </w:p>
    <w:p w14:paraId="6CECB7F5" w14:textId="57C81FDA" w:rsidR="005E508E" w:rsidRPr="00D22B50" w:rsidRDefault="005E508E" w:rsidP="00FA00E5">
      <w:pPr>
        <w:pStyle w:val="af5"/>
        <w:spacing w:before="156" w:after="156"/>
      </w:pPr>
      <w:r w:rsidRPr="00D22B50">
        <w:t xml:space="preserve">The fundamental premise of TL in energy systems is that while every household is unique, they all share common </w:t>
      </w:r>
      <w:r w:rsidR="00BD7543">
        <w:t>“</w:t>
      </w:r>
      <w:r w:rsidRPr="00D22B50">
        <w:t>macro-features</w:t>
      </w:r>
      <w:r w:rsidR="00BD7543">
        <w:t>”</w:t>
      </w:r>
      <w:r w:rsidRPr="00D22B50">
        <w:t xml:space="preserve"> such as daily cycles, seasonal trends, and responses to external temperature changes. By training a deep LSTM network on a vast source domain, the hidden layers develop weights that function as generalized temporal filters. A comprehensive survey by </w:t>
      </w:r>
      <w:r w:rsidR="00E0746C" w:rsidRPr="00D22B50">
        <w:t>Fawaz</w:t>
      </w:r>
      <w:r w:rsidRPr="00D22B50">
        <w:t xml:space="preserve"> et al. indicates that TL can effectively reduce the data requirement for a new task by providing a high-quality initial weight distribution </w:t>
      </w:r>
      <w:r w:rsidR="00E0746C" w:rsidRPr="00D22B50">
        <w:fldChar w:fldCharType="begin"/>
      </w:r>
      <w:r w:rsidR="00E0746C" w:rsidRPr="00D22B50">
        <w:instrText xml:space="preserve"> ADDIN ZOTERO_ITEM CSL_CITATION {"citationID":"o9UF4efC","properties":{"formattedCitation":"[15]","plainCitation":"[15]","noteIndex":0},"citationItems":[{"id":587,"uris":["http://zotero.org/users/local/p3tV44H5/items/JV45ZU2Z"],"itemData":{"id":587,"type":"paper-conference","abstract":"Transfer learning for deep neural networks is the process of first training a base network on a source dataset, and then transferring the learned features (the network’s weights) to a second network to be trained on a target dataset. This idea has been shown to improve deep neural network’s generalization capabilities in many computer vision tasks such as image recognition and object localization. Apart from these applications, deep Convolutional Neural Networks (CNNs) have also recently gained popularity in the Time Series Classification (TSC) community. However, unlike for image recognition problems, transfer learning techniques have not yet been investigated thoroughly for the TSC task. This is surprising as the accuracy of deep learning models for TSC could potentially be improved if the model is fine-tuned from a pre-trained neural network instead of training it from scratch. In this paper, we fill this gap by investigating how to transfer deep CNNs for the TSC task. To evaluate the potential of transfer learning, we performed extensive experiments using the UCR archive which is the largest publicly available TSC benchmark containing 85 datasets. For each dataset in the archive, we pre-trained a model and then fine-tuned it on the other datasets resulting in 7140 different deep neural networks. These experiments revealed that transfer learning can improve or degrade the models predictions depending on the dataset used for transfer. Therefore, in an effort to predict the best source dataset for a given target dataset, we propose a new method relying on Dynamic Time Warping to measure inter-datasets similarities. We describe how our method can guide the transfer to choose the best source dataset leading to an improvement in accuracy on 71 out of 85 datasets.","container-title":"2018 IEEE International Conference on Big Data (Big Data)","DOI":"10.1109/BigData.2018.8621990","event-title":"2018 IEEE International Conference on Big Data (Big Data)","page":"1367-1376","source":"IEEE Xplore","title":"Transfer learning for time series classification","URL":"https://ieeexplore.ieee.org/document/8621990","author":[{"family":"Ismail Fawaz","given":"Hassan"},{"family":"Forestier","given":"Germain"},{"family":"Weber","given":"Jonathan"},{"family":"Idoumghar","given":"Lhassane"},{"family":"Muller","given":"Pierre-Alain"}],"accessed":{"date-parts":[["2026",5,1]]},"issued":{"date-parts":[["2018",12]]}}}],"schema":"https://github.com/citation-style-language/schema/raw/master/csl-citation.json"} </w:instrText>
      </w:r>
      <w:r w:rsidR="00E0746C" w:rsidRPr="00D22B50">
        <w:fldChar w:fldCharType="separate"/>
      </w:r>
      <w:r w:rsidR="00E0746C" w:rsidRPr="00D22B50">
        <w:rPr>
          <w:rFonts w:cs="Times New Roman"/>
        </w:rPr>
        <w:t>[15]</w:t>
      </w:r>
      <w:r w:rsidR="00E0746C" w:rsidRPr="00D22B50">
        <w:fldChar w:fldCharType="end"/>
      </w:r>
      <w:r w:rsidRPr="00D22B50">
        <w:t>. Instead of starting the gradient descent process from a randomized state (which is prone to local minima in small-sample regimes), the model begins with a pre-conditioned representational foundation.</w:t>
      </w:r>
    </w:p>
    <w:p w14:paraId="505A1416" w14:textId="77777777" w:rsidR="005E508E" w:rsidRPr="00D22B50" w:rsidRDefault="005E508E" w:rsidP="00F61464">
      <w:pPr>
        <w:pStyle w:val="3"/>
        <w:rPr>
          <w:rFonts w:hint="eastAsia"/>
        </w:rPr>
      </w:pPr>
      <w:bookmarkStart w:id="31" w:name="_Toc228913834"/>
      <w:r w:rsidRPr="00D22B50">
        <w:t>3.4.2 The Paradox of Negative Transfer</w:t>
      </w:r>
      <w:bookmarkEnd w:id="31"/>
    </w:p>
    <w:p w14:paraId="2AC160FE" w14:textId="457920C5" w:rsidR="005E508E" w:rsidRPr="00D22B50" w:rsidRDefault="005E508E" w:rsidP="00FA00E5">
      <w:pPr>
        <w:pStyle w:val="af5"/>
        <w:spacing w:before="156" w:after="156"/>
      </w:pPr>
      <w:r w:rsidRPr="00D22B50">
        <w:t xml:space="preserve">However, knowledge transfer is not inherently beneficial. A significant and persistent challenge in this field is </w:t>
      </w:r>
      <w:r w:rsidR="00BD7543">
        <w:t>“</w:t>
      </w:r>
      <w:r w:rsidRPr="00D22B50">
        <w:t>negative transfer,</w:t>
      </w:r>
      <w:r w:rsidR="00BD7543">
        <w:t>”</w:t>
      </w:r>
      <w:r w:rsidRPr="00D22B50">
        <w:t xml:space="preserve"> which occurs when the source and target domains are sufficiently different that the transferred knowledge actually degrades the predictive performance on the target task </w:t>
      </w:r>
      <w:r w:rsidR="00E0746C" w:rsidRPr="00D22B50">
        <w:fldChar w:fldCharType="begin"/>
      </w:r>
      <w:r w:rsidR="00E0746C" w:rsidRPr="00D22B50">
        <w:instrText xml:space="preserve"> ADDIN ZOTERO_ITEM CSL_CITATION {"citationID":"EtpQosr9","properties":{"formattedCitation":"[13]","plainCitation":"[13]","noteIndex":0},"citationItems":[{"id":585,"uris":["http://zotero.org/users/local/p3tV44H5/items/SRPRYVXS"],"itemData":{"id":585,"type":"article-journal","abstract":"A major assumption in many machine learning and data mining algorithms is that the training and future data must be in the same feature space and have the same distribution. However, in many real-world applications, this assumption may not hold. For example, we sometimes have a classification task in one domain of interest, but we only have sufficient training data in another domain of interest, where the latter data may be in a different feature space or follow a different data distribution. In such cases, knowledge transfer, if done successfully, would greatly improve the performance of learning by avoiding much expensive data-labeling efforts. In recent years, transfer learning has emerged as a new learning framework to address this problem. This survey focuses on categorizing and reviewing the current progress on transfer learning for classification, regression, and clustering problems. In this survey, we discuss the relationship between transfer learning and other related machine learning techniques such as domain adaptation, multitask learning and sample selection bias, as well as covariate shift. We also explore some potential future issues in transfer learning research.","container-title":"IEEE Transactions on Knowledge and Data Engineering","DOI":"10.1109/TKDE.2009.191","ISSN":"1558-2191","issue":"10","page":"1345-1359","source":"IEEE Xplore","title":"A Survey on Transfer Learning","volume":"22","author":[{"family":"Pan","given":"Sinno Jialin"},{"family":"Yang","given":"Qiang"}],"issued":{"date-parts":[["2010",10]]}}}],"schema":"https://github.com/citation-style-language/schema/raw/master/csl-citation.json"} </w:instrText>
      </w:r>
      <w:r w:rsidR="00E0746C" w:rsidRPr="00D22B50">
        <w:fldChar w:fldCharType="separate"/>
      </w:r>
      <w:r w:rsidR="00E0746C" w:rsidRPr="00D22B50">
        <w:rPr>
          <w:rFonts w:cs="Times New Roman"/>
        </w:rPr>
        <w:t>[13]</w:t>
      </w:r>
      <w:r w:rsidR="00E0746C" w:rsidRPr="00D22B50">
        <w:fldChar w:fldCharType="end"/>
      </w:r>
      <w:r w:rsidRPr="00D22B50">
        <w:t>. In such cases, the source model may have over-fitted to the idiosyncratic noise of the source population,</w:t>
      </w:r>
      <w:r w:rsidR="009B36BC" w:rsidRPr="00D22B50">
        <w:rPr>
          <w:rFonts w:asciiTheme="minorHAnsi" w:eastAsiaTheme="minorEastAsia" w:hAnsiTheme="minorHAnsi"/>
          <w:sz w:val="21"/>
        </w:rPr>
        <w:t xml:space="preserve"> </w:t>
      </w:r>
      <w:r w:rsidR="009B36BC" w:rsidRPr="00D22B50">
        <w:t xml:space="preserve">This distribution mismatch, often characterized as concept drift, creates a representation gap that renders unadapted pre-trained weights counterproductive </w:t>
      </w:r>
      <w:r w:rsidR="00E0746C" w:rsidRPr="00D22B50">
        <w:fldChar w:fldCharType="begin"/>
      </w:r>
      <w:r w:rsidR="00E0746C" w:rsidRPr="00D22B50">
        <w:instrText xml:space="preserve"> ADDIN ZOTERO_ITEM CSL_CITATION {"citationID":"7nckUNwf","properties":{"formattedCitation":"[24]","plainCitation":"[24]","noteIndex":0},"citationItems":[{"id":679,"uris":["http://zotero.org/users/local/p3tV44H5/items/YW2CKEQ7"],"itemData":{"id":679,"type":"article-journal","abstract":"Concept drift describes unforeseeable changes in the underlying distribution of streaming data overtime. Concept drift research involves the development of methodologies and techniques for drift detection, understanding, and adaptation. Data analysis has revealed that machine learning in a concept drift environment will result in poor learning results if the drift is not addressed. To help researchers identify which research topics are significant and how to apply related techniques in data analysis tasks, it is necessary that a high quality, instructive review of current research developments and trends in the concept drift field is conducted. In addition, due to the rapid development of concept drift in recent years, the methodologies of learning under concept drift have become noticeably systematic, unveiling a framework which has not been mentioned in literature. This paper reviews over 130 high quality publications in concept drift related research areas, analyzes up-to-date developments in methodologies and techniques, and establishes a framework of learning under concept drift including three main components: concept drift detection, concept drift understanding, and concept drift adaptation. This paper lists and discusses 10 popular synthetic datasets and 14 publicly available benchmark datasets used for evaluating the performance of learning algorithms aiming at handling concept drift. Also, concept drift related research directions are covered and discussed. By providing state-of-the-art knowledge, this survey will directly support researchers in their understanding of research developments in the field of learning under concept drift.","container-title":"IEEE Transactions on Knowledge and Data Engineering","DOI":"10.1109/TKDE.2018.2876857","ISSN":"1558-2191","issue":"12","page":"2346-2363","source":"IEEE Xplore","title":"Learning under Concept Drift: A Review","title-short":"Learning under Concept Drift","volume":"31","author":[{"family":"Lu","given":"Jie"},{"family":"Liu","given":"Anjin"},{"family":"Dong","given":"Fan"},{"family":"Gu","given":"Feng"},{"family":"Gama","given":"João"},{"family":"Zhang","given":"Guangquan"}],"issued":{"date-parts":[["2019",12]]}}}],"schema":"https://github.com/citation-style-language/schema/raw/master/csl-citation.json"} </w:instrText>
      </w:r>
      <w:r w:rsidR="00E0746C" w:rsidRPr="00D22B50">
        <w:fldChar w:fldCharType="separate"/>
      </w:r>
      <w:r w:rsidR="00E0746C" w:rsidRPr="00D22B50">
        <w:rPr>
          <w:rFonts w:cs="Times New Roman"/>
        </w:rPr>
        <w:t>[24]</w:t>
      </w:r>
      <w:r w:rsidR="00E0746C" w:rsidRPr="00D22B50">
        <w:fldChar w:fldCharType="end"/>
      </w:r>
      <w:r w:rsidR="009B36BC" w:rsidRPr="00D22B50">
        <w:rPr>
          <w:rFonts w:eastAsiaTheme="minorEastAsia" w:hint="eastAsia"/>
        </w:rPr>
        <w:t xml:space="preserve">, </w:t>
      </w:r>
      <w:r w:rsidRPr="00D22B50">
        <w:t>or the source domain</w:t>
      </w:r>
      <w:r w:rsidR="00BD7543">
        <w:t>’</w:t>
      </w:r>
      <w:r w:rsidRPr="00D22B50">
        <w:t xml:space="preserve">s distribution </w:t>
      </w:r>
      <m:oMath>
        <m:r>
          <w:rPr>
            <w:rFonts w:ascii="Cambria Math" w:eastAsiaTheme="minorEastAsia" w:hAnsi="Cambria Math" w:hint="eastAsia"/>
          </w:rPr>
          <m:t>P</m:t>
        </m:r>
        <m:r>
          <w:rPr>
            <w:rFonts w:ascii="Cambria Math" w:eastAsia="宋体" w:hAnsi="Cambria Math" w:cs="宋体"/>
          </w:rPr>
          <m:t>(</m:t>
        </m:r>
        <m:sSub>
          <m:sSubPr>
            <m:ctrlPr>
              <w:rPr>
                <w:rFonts w:ascii="Cambria Math" w:hAnsi="Cambria Math"/>
                <w:i/>
              </w:rPr>
            </m:ctrlPr>
          </m:sSubPr>
          <m:e>
            <m:r>
              <w:rPr>
                <w:rFonts w:ascii="Cambria Math" w:hAnsi="Cambria Math"/>
              </w:rPr>
              <m:t>X</m:t>
            </m:r>
          </m:e>
          <m:sub>
            <m:r>
              <w:rPr>
                <w:rFonts w:ascii="Cambria Math" w:hAnsi="Cambria Math"/>
              </w:rPr>
              <m:t>s</m:t>
            </m:r>
          </m:sub>
        </m:sSub>
        <m:r>
          <w:rPr>
            <w:rFonts w:ascii="Cambria Math" w:hAnsi="Cambria Math"/>
          </w:rPr>
          <m:t>)</m:t>
        </m:r>
      </m:oMath>
      <w:r w:rsidRPr="00D22B50">
        <w:t xml:space="preserve"> may be too divergent from the target domain</w:t>
      </w:r>
      <w:r w:rsidR="00BD7543">
        <w:t>’</w:t>
      </w:r>
      <w:r w:rsidRPr="00D22B50">
        <w:t xml:space="preserve">s </w:t>
      </w:r>
      <m:oMath>
        <m:r>
          <w:rPr>
            <w:rFonts w:ascii="Cambria Math" w:eastAsiaTheme="minorEastAsia" w:hAnsi="Cambria Math" w:hint="eastAsia"/>
          </w:rPr>
          <m:t>P</m:t>
        </m:r>
        <m:r>
          <w:rPr>
            <w:rFonts w:ascii="Cambria Math" w:eastAsia="宋体" w:hAnsi="Cambria Math" w:cs="宋体"/>
          </w:rPr>
          <m:t>(</m:t>
        </m:r>
        <m:sSub>
          <m:sSubPr>
            <m:ctrlPr>
              <w:rPr>
                <w:rFonts w:ascii="Cambria Math" w:hAnsi="Cambria Math"/>
                <w:i/>
              </w:rPr>
            </m:ctrlPr>
          </m:sSubPr>
          <m:e>
            <m:r>
              <w:rPr>
                <w:rFonts w:ascii="Cambria Math" w:hAnsi="Cambria Math"/>
              </w:rPr>
              <m:t>X</m:t>
            </m:r>
          </m:e>
          <m:sub>
            <m:r>
              <w:rPr>
                <w:rFonts w:ascii="Cambria Math" w:hAnsi="Cambria Math"/>
              </w:rPr>
              <m:t>t</m:t>
            </m:r>
          </m:sub>
        </m:sSub>
        <m:r>
          <w:rPr>
            <w:rFonts w:ascii="Cambria Math" w:hAnsi="Cambria Math"/>
          </w:rPr>
          <m:t>)</m:t>
        </m:r>
      </m:oMath>
      <w:r w:rsidRPr="00D22B50">
        <w:t>. Zhang et al. demonstrated that poor alignment between the source population and the target household is a primary driver of this phenomenon. If the source domain consists mainly of industrial users but the target is a residential user, the transferred weights will be fundamentally mismatched, leading to errors that are higher than those of a model trained from scratch.</w:t>
      </w:r>
    </w:p>
    <w:p w14:paraId="57B2B14F" w14:textId="77777777" w:rsidR="005E508E" w:rsidRPr="00D22B50" w:rsidRDefault="005E508E" w:rsidP="00F61464">
      <w:pPr>
        <w:pStyle w:val="3"/>
        <w:rPr>
          <w:rFonts w:hint="eastAsia"/>
        </w:rPr>
      </w:pPr>
      <w:bookmarkStart w:id="32" w:name="_Toc228913835"/>
      <w:r w:rsidRPr="00D22B50">
        <w:t>3.4.3 Self-Adaptive Fine-Tuning and Layer Freezing</w:t>
      </w:r>
      <w:bookmarkEnd w:id="32"/>
    </w:p>
    <w:p w14:paraId="7D491703" w14:textId="31413C93" w:rsidR="005E508E" w:rsidRPr="00D22B50" w:rsidRDefault="005E508E" w:rsidP="00FA00E5">
      <w:pPr>
        <w:pStyle w:val="af5"/>
        <w:spacing w:before="156" w:after="156"/>
      </w:pPr>
      <w:r w:rsidRPr="00D22B50">
        <w:t xml:space="preserve">To prevent this degradation, recent research has focused on self-adaptive fine-tuning techniques that selectively update layers based on local feedback </w:t>
      </w:r>
      <w:r w:rsidR="00E0746C" w:rsidRPr="00D22B50">
        <w:fldChar w:fldCharType="begin"/>
      </w:r>
      <w:r w:rsidR="00E0746C" w:rsidRPr="00D22B50">
        <w:instrText xml:space="preserve"> ADDIN ZOTERO_ITEM CSL_CITATION {"citationID":"FGkadneD","properties":{"formattedCitation":"[25]","plainCitation":"[25]","noteIndex":0},"citationItems":[{"id":592,"uris":["http://zotero.org/users/local/p3tV44H5/items/T8SI9SBW"],"itemData":{"id":592,"type":"article-journal","abstract":"Load forecasting problems have traditionally been addressed using various statistical methods, among which autoregressive integrated moving average with exogenous inputs (ARIMAX) has gained the most attention as a classical time-series modeling method. Recently, the booming development of deep learning techniques make them promising alternatives to conventional data-driven approaches. While deep learning offers exceptional capability in handling complex non-linear relationships, model complexity and computation efficiency are of concern. A few papers have explored the possibility of applying deep neural networks to forecast time-series load data but only limited to system-level or single-step building-level forecasting. This study, however, aims at filling in the knowledge gap of deep learning-based techniques for day-ahead multi-step load forecasting in commercial buildings. Two classical deep neural network models, namely recurrent neural network (RNN) and convolutional neural network (CNN), have been proposed and formulated under both recursive and direct multi-step manners. Their performances are compared with the Seasonal ARIMAX model with regard to accuracy, computational efficiency, generalizability and robustness. Among all of the investigated deep learning techniques, the gated 24-h CNN model, performed in a direct multi-step manner, proves itself to have the best performance, improving the forecasting accuracy by 22.6% compared to that of the seasonal ARIMAX.","container-title":"Applied Energy","DOI":"10.1016/j.apenergy.2018.12.042","ISSN":"0306-2619","journalAbbreviation":"Applied Energy","page":"1078-1088","source":"ScienceDirect","title":"Day-ahead building-level load forecasts using deep learning vs. traditional time-series techniques","volume":"236","author":[{"family":"Cai","given":"Mengmeng"},{"family":"Pipattanasomporn","given":"Manisa"},{"family":"Rahman","given":"Saifur"}],"issued":{"date-parts":[["2019",2,15]]}}}],"schema":"https://github.com/citation-style-language/schema/raw/master/csl-citation.json"} </w:instrText>
      </w:r>
      <w:r w:rsidR="00E0746C" w:rsidRPr="00D22B50">
        <w:fldChar w:fldCharType="separate"/>
      </w:r>
      <w:r w:rsidR="00E0746C" w:rsidRPr="00D22B50">
        <w:rPr>
          <w:rFonts w:cs="Times New Roman"/>
        </w:rPr>
        <w:t>[25]</w:t>
      </w:r>
      <w:r w:rsidR="00E0746C" w:rsidRPr="00D22B50">
        <w:fldChar w:fldCharType="end"/>
      </w:r>
      <w:r w:rsidRPr="00D22B50">
        <w:t xml:space="preserve">. The core strategy </w:t>
      </w:r>
      <w:r w:rsidRPr="00D22B50">
        <w:lastRenderedPageBreak/>
        <w:t xml:space="preserve">involves </w:t>
      </w:r>
      <w:r w:rsidR="00BD7543">
        <w:t>“</w:t>
      </w:r>
      <w:r w:rsidRPr="00D22B50">
        <w:t>partial freezing,</w:t>
      </w:r>
      <w:r w:rsidR="00BD7543">
        <w:t>”</w:t>
      </w:r>
      <w:r w:rsidRPr="00D22B50">
        <w:t xml:space="preserve"> where the early layers of the LSTM (which capture general temporal features) are kept stationary, while the final dense layers (which capture user-specific behavioral nuances) are retrained using the limited target data. This hierarchical approach allows the model to retain universal knowledge while adapting its output logic to the specific </w:t>
      </w:r>
      <w:r w:rsidR="00BD7543">
        <w:t>“</w:t>
      </w:r>
      <w:r w:rsidRPr="00D22B50">
        <w:t>energy fingerprint</w:t>
      </w:r>
      <w:r w:rsidR="00BD7543">
        <w:t>”</w:t>
      </w:r>
      <w:r w:rsidRPr="00D22B50">
        <w:t xml:space="preserve"> of the new participant.</w:t>
      </w:r>
    </w:p>
    <w:p w14:paraId="7804BCD5" w14:textId="77777777" w:rsidR="005E508E" w:rsidRPr="00D22B50" w:rsidRDefault="005E508E" w:rsidP="00F61464">
      <w:pPr>
        <w:pStyle w:val="3"/>
        <w:rPr>
          <w:rFonts w:hint="eastAsia"/>
        </w:rPr>
      </w:pPr>
      <w:bookmarkStart w:id="33" w:name="_Toc228913836"/>
      <w:r w:rsidRPr="00D22B50">
        <w:t>3.4.4 Automated Optimization of Transferability</w:t>
      </w:r>
      <w:bookmarkEnd w:id="33"/>
    </w:p>
    <w:p w14:paraId="35843477" w14:textId="6EC6239D" w:rsidR="00AC7269" w:rsidRPr="00D22B50" w:rsidRDefault="005E508E" w:rsidP="00E0746C">
      <w:pPr>
        <w:pStyle w:val="af5"/>
        <w:spacing w:before="156" w:after="156"/>
        <w:rPr>
          <w:rFonts w:eastAsiaTheme="minorEastAsia"/>
        </w:rPr>
      </w:pPr>
      <w:r w:rsidRPr="00D22B50">
        <w:t xml:space="preserve">Furthermore, the robustness of the transfer process is highly dependent on the hyperparameter configuration of the source model. If the pre-trained model is too complex, it risks memorizing source-specific noise; if it is too simple, it fails to learn universal features. Systematic optimization frameworks like Optuna have been introduced to automate the search for optimal architectures, moving away from manual heuristics that often lead to sub-optimal transferability </w:t>
      </w:r>
      <w:r w:rsidR="00E0746C" w:rsidRPr="00D22B50">
        <w:fldChar w:fldCharType="begin"/>
      </w:r>
      <w:r w:rsidR="00E0746C" w:rsidRPr="00D22B50">
        <w:instrText xml:space="preserve"> ADDIN ZOTERO_ITEM CSL_CITATION {"citationID":"Uq9AllTO","properties":{"formattedCitation":"[16]","plainCitation":"[16]","noteIndex":0},"citationItems":[{"id":575,"uris":["http://zotero.org/users/local/p3tV44H5/items/KGFYWMJL"],"itemData":{"id":575,"type":"paper-conference","abstract":"The purpose of this study is to introduce new design-criteria for next-generation hyperparameter optimization software. The criteria we propose include (1) define-by-run API that allows users to construct the parameter search space dynamically, (2) efficient implementation of both searching and pruning strategies, and (3) easy-to-setup, versatile architecture that can be deployed for various purposes, ranging from scalable distributed computing to light-weight experiment conducted via interactive interface. In order to prove our point, we will introduce Optuna, an optimization software which is a culmination of our effort in the development of a next generation optimization software. As an optimization software designed with define-by-run principle, Optuna is particularly the first of its kind. We will present the design-techniques that became necessary in the development of the software that meets the above criteria, and demonstrate the power of our new design through experimental results and real world applications. Our software is available under the MIT license (https://github.com/pfnet/optuna/).","collection-title":"KDD '19","container-title":"Proceedings of the 25th ACM SIGKDD International Conference on Knowledge Discovery &amp; Data Mining","DOI":"10.1145/3292500.3330701","ISBN":"978-1-4503-6201-6","page":"2623–2631","publisher":"Association for Computing Machinery","publisher-place":"New York, NY, USA","source":"ACM Digital Library","title":"Optuna: A Next-generation Hyperparameter Optimization Framework","title-short":"Optuna","URL":"https://dl.acm.org/doi/10.1145/3292500.3330701","author":[{"family":"Akiba","given":"Takuya"},{"family":"Sano","given":"Shotaro"},{"family":"Yanase","given":"Toshihiko"},{"family":"Ohta","given":"Takeru"},{"family":"Koyama","given":"Masanori"}],"accessed":{"date-parts":[["2026",5,1]]},"issued":{"date-parts":[["2019",7,25]]}}}],"schema":"https://github.com/citation-style-language/schema/raw/master/csl-citation.json"} </w:instrText>
      </w:r>
      <w:r w:rsidR="00E0746C" w:rsidRPr="00D22B50">
        <w:fldChar w:fldCharType="separate"/>
      </w:r>
      <w:r w:rsidR="00E0746C" w:rsidRPr="00D22B50">
        <w:rPr>
          <w:rFonts w:cs="Times New Roman"/>
        </w:rPr>
        <w:t>[16]</w:t>
      </w:r>
      <w:r w:rsidR="00E0746C" w:rsidRPr="00D22B50">
        <w:fldChar w:fldCharType="end"/>
      </w:r>
      <w:r w:rsidRPr="00D22B50">
        <w:t xml:space="preserve">. Optuna utilizes Bayesian optimization algorithms to maximize a defined </w:t>
      </w:r>
      <w:r w:rsidR="00BD7543">
        <w:t>“</w:t>
      </w:r>
      <w:r w:rsidRPr="00D22B50">
        <w:t>transferability score,</w:t>
      </w:r>
      <w:r w:rsidR="00BD7543">
        <w:t>”</w:t>
      </w:r>
      <w:r w:rsidRPr="00D22B50">
        <w:t xml:space="preserve"> ensuring that the source model serves as a stable and informative prior for the target task. This automated alignment is critical for maintaining consistency in forecasting accuracy across a heterogeneous grid environment.</w:t>
      </w:r>
    </w:p>
    <w:p w14:paraId="4D40A622" w14:textId="77777777" w:rsidR="004C1E55" w:rsidRPr="00D22B50" w:rsidRDefault="004C1E55" w:rsidP="004C1E55">
      <w:pPr>
        <w:pStyle w:val="2"/>
        <w:rPr>
          <w:rFonts w:hint="eastAsia"/>
        </w:rPr>
      </w:pPr>
      <w:bookmarkStart w:id="34" w:name="_Toc228913837"/>
      <w:r w:rsidRPr="00D22B50">
        <w:t>3.5 Benchmarking against the London Smart Meter Dataset Studies</w:t>
      </w:r>
      <w:bookmarkEnd w:id="34"/>
    </w:p>
    <w:p w14:paraId="44324822" w14:textId="77777777" w:rsidR="004C1E55" w:rsidRPr="00D22B50" w:rsidRDefault="004C1E55" w:rsidP="00FA00E5">
      <w:pPr>
        <w:pStyle w:val="af5"/>
        <w:spacing w:before="156" w:after="156"/>
      </w:pPr>
      <w:r w:rsidRPr="00D22B50">
        <w:t>The London Smart Meter dataset (comprising over 5,500 households) has served as a foundational benchmark in modern STLF research due to its longitudinal depth and high-resolution half-hourly granularity. However, a critical review of existing literature utilizing this specific dataset reveals a persistent reliance on data-rich training regimes, highlighting a clear gap that this study aims to fill.</w:t>
      </w:r>
    </w:p>
    <w:p w14:paraId="46B3EE4F" w14:textId="77777777" w:rsidR="004C1E55" w:rsidRPr="00D22B50" w:rsidRDefault="004C1E55" w:rsidP="004C1E55">
      <w:pPr>
        <w:pStyle w:val="3"/>
        <w:rPr>
          <w:rFonts w:hint="eastAsia"/>
        </w:rPr>
      </w:pPr>
      <w:bookmarkStart w:id="35" w:name="_Toc228913838"/>
      <w:r w:rsidRPr="00D22B50">
        <w:t>3.5.1 The Baseline of Recurrent Architectures</w:t>
      </w:r>
      <w:bookmarkEnd w:id="35"/>
      <w:r w:rsidRPr="00D22B50">
        <w:t xml:space="preserve"> </w:t>
      </w:r>
    </w:p>
    <w:p w14:paraId="58061BC3" w14:textId="06A2AD42" w:rsidR="004C1E55" w:rsidRPr="00D22B50" w:rsidRDefault="004C1E55" w:rsidP="00FA00E5">
      <w:pPr>
        <w:pStyle w:val="af5"/>
        <w:spacing w:before="156" w:after="156"/>
      </w:pPr>
      <w:r w:rsidRPr="00D22B50">
        <w:t xml:space="preserve">Several foundational studies have successfully deployed standard RNNs and LSTMs on the London dataset. Previous research, such as the pioneering work by Kong et al., has demonstrated that LSTMs can achieve robust predictive capabilities when trained over several months of historical data </w:t>
      </w:r>
      <w:r w:rsidR="00E0746C" w:rsidRPr="00D22B50">
        <w:fldChar w:fldCharType="begin"/>
      </w:r>
      <w:r w:rsidR="00E0746C" w:rsidRPr="00D22B50">
        <w:instrText xml:space="preserve"> ADDIN ZOTERO_ITEM CSL_CITATION {"citationID":"lOUDbhfp","properties":{"formattedCitation":"[9]","plainCitation":"[9]","noteIndex":0},"citationItems":[{"id":557,"uris":["http://zotero.org/users/local/p3tV44H5/items/N4D6A4RG"],"itemData":{"id":557,"type":"article-journal","abstract":"As the power system is facing a transition toward a more intelligent, flexible, and interactive system with higher penetration of renewable energy generation, load forecasting, especially short-term load forecasting for individual electric customers plays an increasingly essential role in the future grid planning and operation. Other than aggregated residential load in a large scale, forecasting an electric load of a single energy user is fairly challenging due to the high volatility and uncertainty involved. In this paper, we propose a long short-term memory (LSTM) recurrent neural network-based framework, which is the latest and one of the most popular techniques of deep learning, to tackle this tricky issue. The proposed framework is tested on a publicly available set of real residential smart meter data, of which the performance is comprehensively compared to various benchmarks including the state-of-the-arts in the field of load forecasting. As a result, the proposed LSTM approach outperforms the other listed rival algorithms in the task of short-term load forecasting for individual residential households.","container-title":"IEEE Transactions on Smart Grid","DOI":"10.1109/TSG.2017.2753802","ISSN":"1949-3061","issue":"1","page":"841-851","source":"IEEE Xplore","title":"Short-Term Residential Load Forecasting Based on LSTM Recurrent Neural Network","volume":"10","author":[{"family":"Kong","given":"Weicong"},{"family":"Dong","given":"Zhao Yang"},{"family":"Jia","given":"Youwei"},{"family":"Hill","given":"David J."},{"family":"Xu","given":"Yan"},{"family":"Zhang","given":"Yuan"}],"issued":{"date-parts":[["2019",1]]}}}],"schema":"https://github.com/citation-style-language/schema/raw/master/csl-citation.json"} </w:instrText>
      </w:r>
      <w:r w:rsidR="00E0746C" w:rsidRPr="00D22B50">
        <w:fldChar w:fldCharType="separate"/>
      </w:r>
      <w:r w:rsidR="00E0746C" w:rsidRPr="00D22B50">
        <w:rPr>
          <w:rFonts w:cs="Times New Roman"/>
        </w:rPr>
        <w:t>[9]</w:t>
      </w:r>
      <w:r w:rsidR="00E0746C" w:rsidRPr="00D22B50">
        <w:fldChar w:fldCharType="end"/>
      </w:r>
      <w:r w:rsidRPr="00D22B50">
        <w:t xml:space="preserve">. Similarly, pooling strategies have been employed to mitigate individual noise across multiple London households </w:t>
      </w:r>
      <w:r w:rsidR="00E0746C" w:rsidRPr="00D22B50">
        <w:fldChar w:fldCharType="begin"/>
      </w:r>
      <w:r w:rsidR="00E0746C" w:rsidRPr="00D22B50">
        <w:instrText xml:space="preserve"> ADDIN ZOTERO_ITEM CSL_CITATION {"citationID":"BQJX4p4n","properties":{"formattedCitation":"[22]","plainCitation":"[22]","noteIndex":0},"citationItems":[{"id":582,"uris":["http://zotero.org/users/local/p3tV44H5/items/ZEP5S279"],"itemData":{"id":582,"type":"article-journal","abstract":"The key challenge for household load forecasting lies in the high volatility and uncertainty of load profiles. Traditional methods tend to avoid such uncertainty by load aggregation (to offset uncertainties), customer classification (to cluster uncertainties) and spectral analysis (to filter out uncertainties). This paper, for the first time, aims to directly learn the uncertainty by applying a new breed of machine learning algorithms – deep learning.","container-title":"IEEE Transactions on Smart Grid","DOI":"10.1109/TSG.2017.2686012","ISSN":"1949-3053, 1949-3061","issue":"5","journalAbbreviation":"IEEE Trans. Smart Grid","language":"en","license":"https://ieeexplore.ieee.org/Xplorehelp/downloads/license-information/IEEE.html","page":"5271-5280","source":"DOI.org (Crossref)","title":"Deep Learning for Household Load Forecasting—A Novel Pooling Deep RNN","volume":"9","author":[{"family":"Shi","given":"Heng"},{"family":"Xu","given":"Minghao"},{"family":"Li","given":"Ran"}],"issued":{"date-parts":[["2018",9]]}}}],"schema":"https://github.com/citation-style-language/schema/raw/master/csl-citation.json"} </w:instrText>
      </w:r>
      <w:r w:rsidR="00E0746C" w:rsidRPr="00D22B50">
        <w:fldChar w:fldCharType="separate"/>
      </w:r>
      <w:r w:rsidR="00E0746C" w:rsidRPr="00D22B50">
        <w:rPr>
          <w:rFonts w:cs="Times New Roman"/>
        </w:rPr>
        <w:t>[22]</w:t>
      </w:r>
      <w:r w:rsidR="00E0746C" w:rsidRPr="00D22B50">
        <w:fldChar w:fldCharType="end"/>
      </w:r>
      <w:r w:rsidRPr="00D22B50">
        <w:t xml:space="preserve">. However, these traditional methodologies consistently bypass the operational reality of the </w:t>
      </w:r>
      <w:r w:rsidR="00BD7543">
        <w:t>“</w:t>
      </w:r>
      <w:r w:rsidRPr="00D22B50">
        <w:t>cold-start</w:t>
      </w:r>
      <w:r w:rsidR="00BD7543">
        <w:t>”</w:t>
      </w:r>
      <w:r w:rsidRPr="00D22B50">
        <w:t xml:space="preserve"> bottleneck </w:t>
      </w:r>
      <w:r w:rsidR="00E0746C" w:rsidRPr="00D22B50">
        <w:fldChar w:fldCharType="begin"/>
      </w:r>
      <w:r w:rsidR="00E0746C" w:rsidRPr="00D22B50">
        <w:instrText xml:space="preserve"> ADDIN ZOTERO_ITEM CSL_CITATION {"citationID":"fDG4xs8x","properties":{"formattedCitation":"[11]","plainCitation":"[11]","noteIndex":0},"citationItems":[{"id":595,"uris":["http://zotero.org/users/local/p3tV44H5/items/RYGGA6L8"],"itemData":{"id":595,"type":"article-journal","abstract":"While the general belief is that the best way to predict electric load is through individualized models, the existing studies have focused on one-for-all models because the individual models are difficult to train and require a significantly larger data accumulation time per individual. In recent years, applying deep learning for forecasting electric load has become an important research topic but still one-for-all has been the main approach. In this work, we adopt transfer learning and meta learning that can be smoothly integrated into deep neural networks, and show how a high-performance individualized model can be formed using the individual's data collected over just several days. This is made possible by extracting the common patterns of many individuals using a sufficiently large dataset, and then customizing each individual model using the specific individual's small dataset. The proposed methods are evaluated over residential and non-residential datasets. When compared to the conventional methods, the meta learning model shows 7.84% and 15.07% RMSE improvements over the residential and non-residential datasets, respectively. Our results suggest that the individualized models can be used as effective tools for many short-term load forecasting tasks.","container-title":"IEEE Access","DOI":"10.1109/ACCESS.2021.3053317","ISSN":"2169-3536","page":"15413-15425","source":"IEEE Xplore","title":"Individualized Short-Term Electric Load Forecasting With Deep Neural Network Based Transfer Learning and Meta Learning","volume":"9","author":[{"family":"Lee","given":"Eunjung"},{"family":"Rhee","given":"Wonjong"}],"issued":{"date-parts":[["2021"]]}}}],"schema":"https://github.com/citation-style-language/schema/raw/master/csl-citation.json"} </w:instrText>
      </w:r>
      <w:r w:rsidR="00E0746C" w:rsidRPr="00D22B50">
        <w:fldChar w:fldCharType="separate"/>
      </w:r>
      <w:r w:rsidR="00E0746C" w:rsidRPr="00D22B50">
        <w:rPr>
          <w:rFonts w:cs="Times New Roman"/>
        </w:rPr>
        <w:t>[11]</w:t>
      </w:r>
      <w:r w:rsidR="00E0746C" w:rsidRPr="00D22B50">
        <w:fldChar w:fldCharType="end"/>
      </w:r>
      <w:r w:rsidRPr="00D22B50">
        <w:t xml:space="preserve">. They implicitly assume a lengthy </w:t>
      </w:r>
      <w:r w:rsidR="00BD7543">
        <w:t>“</w:t>
      </w:r>
      <w:r w:rsidRPr="00D22B50">
        <w:t>burn-in</w:t>
      </w:r>
      <w:r w:rsidR="00BD7543">
        <w:t>”</w:t>
      </w:r>
      <w:r w:rsidRPr="00D22B50">
        <w:t xml:space="preserve"> period of data accumulation, which limits their immediate applicability for newly commissioned smart meters. </w:t>
      </w:r>
    </w:p>
    <w:p w14:paraId="0ABF1C17" w14:textId="77777777" w:rsidR="004C1E55" w:rsidRPr="00D22B50" w:rsidRDefault="004C1E55" w:rsidP="004C1E55">
      <w:pPr>
        <w:pStyle w:val="3"/>
        <w:rPr>
          <w:rFonts w:hint="eastAsia"/>
        </w:rPr>
      </w:pPr>
      <w:bookmarkStart w:id="36" w:name="_Toc228913839"/>
      <w:r w:rsidRPr="00D22B50">
        <w:t>3.5.2 The Application of Transformers in STLF</w:t>
      </w:r>
      <w:bookmarkEnd w:id="36"/>
      <w:r w:rsidRPr="00D22B50">
        <w:t xml:space="preserve"> </w:t>
      </w:r>
    </w:p>
    <w:p w14:paraId="7D63F8C1" w14:textId="2FB4BEAD" w:rsidR="004C1E55" w:rsidRPr="00D22B50" w:rsidRDefault="004C1E55" w:rsidP="00FA00E5">
      <w:pPr>
        <w:pStyle w:val="af5"/>
        <w:spacing w:before="156" w:after="156"/>
      </w:pPr>
      <w:r w:rsidRPr="00D22B50">
        <w:t xml:space="preserve">More recently, the shift towards Attention-based architectures has been reflected in </w:t>
      </w:r>
      <w:r w:rsidRPr="00D22B50">
        <w:lastRenderedPageBreak/>
        <w:t xml:space="preserve">state-of-the-art studies utilizing advanced deep learning for smart grids </w:t>
      </w:r>
      <w:r w:rsidR="00E0746C" w:rsidRPr="00D22B50">
        <w:fldChar w:fldCharType="begin"/>
      </w:r>
      <w:r w:rsidR="00E0746C" w:rsidRPr="00D22B50">
        <w:instrText xml:space="preserve"> ADDIN ZOTERO_ITEM CSL_CITATION {"citationID":"QCrU1tIw","properties":{"formattedCitation":"[4]","plainCitation":"[4]","noteIndex":0},"citationItems":[{"id":567,"uris":["http://zotero.org/users/local/p3tV44H5/items/J38MU6UU"],"itemData":{"id":567,"type":"article-journal","abstract":"The current electric power system witnesses a significant transition into Smart Grids (SG) as a promising landscape for high grid reliability and efficient energy management. This ongoing transition undergoes rapid changes, requiring a plethora of advanced methodologies to process the big data generated by various units. In this context, SG stands tied very closely to Deep Learning (DL) as an emerging technology for creating a more decentralized and intelligent energy paradigm while integrating high intelligence in supervisory and operational decision-making. Motivated by the outstanding success of DL-based prediction methods, this article attempts to provide a thorough review from a broad perspective on the state-of-the-art advances of DL in SG systems. Firstly, a bibliometric analysis has been conducted to categorize this review's methodology. Further, we taxonomically delve into the mechanism behind some of the trending DL algorithms. We then showcase the DL enabling technologies in SG, such as federated learning, edge intelligence, and distributed computing. Finally, challenges and research frontiers are provided to serve as guidelines for future work in the futuristic power grid domain. This study's core objective is to foster the synergy between these two fields for decision-makers and researchers to accelerate DL's practical deployment for SG systems.","container-title":"IEEE Access","DOI":"10.1109/ACCESS.2021.3071269","ISSN":"2169-3536","page":"54558-54578","source":"IEEE Xplore","title":"Deep Learning in Smart Grid Technology: A Review of Recent Advancements and Future Prospects","title-short":"Deep Learning in Smart Grid Technology","volume":"9","author":[{"family":"Massaoudi","given":"Mohamed"},{"family":"Abu-Rub","given":"Haitham"},{"family":"Refaat","given":"Shady S."},{"family":"Chihi","given":"Ines"},{"family":"Oueslati","given":"Fakhreddine S."}],"issued":{"date-parts":[["2021"]]}}}],"schema":"https://github.com/citation-style-language/schema/raw/master/csl-citation.json"} </w:instrText>
      </w:r>
      <w:r w:rsidR="00E0746C" w:rsidRPr="00D22B50">
        <w:fldChar w:fldCharType="separate"/>
      </w:r>
      <w:r w:rsidR="00E0746C" w:rsidRPr="00D22B50">
        <w:rPr>
          <w:rFonts w:cs="Times New Roman"/>
        </w:rPr>
        <w:t>[4]</w:t>
      </w:r>
      <w:r w:rsidR="00E0746C" w:rsidRPr="00D22B50">
        <w:fldChar w:fldCharType="end"/>
      </w:r>
      <w:r w:rsidRPr="00D22B50">
        <w:t xml:space="preserve">. Recent literature indicates that high-capacity models can achieve superior accuracy and faster inference speeds compared to traditional recurrent networks when provided with sufficient historical sequences. Yet, the current literature predominantly evaluates these architectures in data-abundant environments. There remains a significant void in understanding how these high-capacity, Self-Attention mechanisms perform when data is forcibly restricted to an extreme small-sample regime. </w:t>
      </w:r>
    </w:p>
    <w:p w14:paraId="42D397F2" w14:textId="7689A55E" w:rsidR="004C1E55" w:rsidRPr="00D22B50" w:rsidRDefault="004C1E55" w:rsidP="004C1E55">
      <w:pPr>
        <w:pStyle w:val="3"/>
        <w:rPr>
          <w:rFonts w:hint="eastAsia"/>
        </w:rPr>
      </w:pPr>
      <w:bookmarkStart w:id="37" w:name="_Toc228913840"/>
      <w:r w:rsidRPr="00D22B50">
        <w:t xml:space="preserve">3.5.3 Knowledge Migration and </w:t>
      </w:r>
      <w:r w:rsidR="007230E5">
        <w:rPr>
          <w:rFonts w:hint="eastAsia"/>
        </w:rPr>
        <w:t>My</w:t>
      </w:r>
      <w:r w:rsidRPr="00D22B50">
        <w:t xml:space="preserve"> Distinct Contribution</w:t>
      </w:r>
      <w:bookmarkEnd w:id="37"/>
      <w:r w:rsidRPr="00D22B50">
        <w:t xml:space="preserve"> </w:t>
      </w:r>
    </w:p>
    <w:p w14:paraId="7F4AFA0C" w14:textId="4B612CD2" w:rsidR="004C1E55" w:rsidRPr="00D22B50" w:rsidRDefault="004C1E55" w:rsidP="00FA00E5">
      <w:pPr>
        <w:pStyle w:val="af5"/>
        <w:spacing w:before="156" w:after="156"/>
      </w:pPr>
      <w:r w:rsidRPr="00D22B50">
        <w:t xml:space="preserve">While some studies have explored time-series clustering and alternative data-driven approaches to group households (like those in the London dataset) for demand response coordination </w:t>
      </w:r>
      <w:r w:rsidR="00E0746C" w:rsidRPr="00D22B50">
        <w:fldChar w:fldCharType="begin"/>
      </w:r>
      <w:r w:rsidR="00E0746C" w:rsidRPr="00D22B50">
        <w:instrText xml:space="preserve"> ADDIN ZOTERO_ITEM CSL_CITATION {"citationID":"lfCDeFxL","properties":{"formattedCitation":"[1]","plainCitation":"[1]","noteIndex":0},"citationItems":[{"id":539,"uris":["http://zotero.org/users/local/p3tV44H5/items/HWZLV4UQ"],"itemData":{"id":539,"type":"article-journal","abstract":"Accurate forecasting of electricity demand is vital to the resilient management of energy systems. Recent efforts in harnessing smart-meter data to improve forecasting accuracy have primarily centered around cluster-based approaches (CBAs), where smart-meter data are grouped into a small number of clusters and separate prediction models are developed for each cluster. The cluster-based predictions are then aggregated to compute the total demand. CBAs have provided promising results compared to conventional approaches that are generally not conducive to integrating smart-meter data. However, CBAs are computationally costly and suffer from the curse of dimensionality, especially under scenarios involving smart-meter data from millions of customers. In this work, we propose an efficient reduced model approach (RMA) that leverages a novel hierarchical dimension reduction algorithm to enable the integration of fine-resolution high-dimensional smart-meter data for millions of customers in load prediction. We demonstrate the applicability of our proposed approach by using data from a utility company, based in Illinois, United States, with more than 3.7 million customers and present model performance in-terms of forecast accuracy. The proposed hierarchical dimension reduction approach enables utilizing the high-resolution data from smart-meters in a scalable manner that is not exploitable otherwise. The results shows significant improvements in forecast accuracy compared to the available approaches that either do not harness fine-resolution data or are not scalable to large-scale smart-meter big data.","container-title":"IEEE Access","DOI":"10.1109/ACCESS.2022.3142680","ISSN":"2169-3536","page":"8377-8387","source":"IEEE Xplore","title":"Smart-Meter Big Data for Load Forecasting: An Alternative Approach to Clustering","title-short":"Smart-Meter Big Data for Load Forecasting","volume":"10","author":[{"family":"Alemazkoor","given":"Negin"},{"family":"Tootkaboni","given":"Mazdak"},{"family":"Nateghi","given":"Roshanak"},{"family":"Louhghalam","given":"Arghavan"}],"issued":{"date-parts":[["2022"]]}}}],"schema":"https://github.com/citation-style-language/schema/raw/master/csl-citation.json"} </w:instrText>
      </w:r>
      <w:r w:rsidR="00E0746C" w:rsidRPr="00D22B50">
        <w:fldChar w:fldCharType="separate"/>
      </w:r>
      <w:r w:rsidR="00E0746C" w:rsidRPr="00D22B50">
        <w:rPr>
          <w:rFonts w:cs="Times New Roman"/>
        </w:rPr>
        <w:t>[1]</w:t>
      </w:r>
      <w:r w:rsidR="00E0746C" w:rsidRPr="00D22B50">
        <w:fldChar w:fldCharType="end"/>
      </w:r>
      <w:r w:rsidRPr="00D22B50">
        <w:t xml:space="preserve">, individual-level transfer learning for cold-start mitigation remains critically under-researched </w:t>
      </w:r>
      <w:r w:rsidR="00E0746C" w:rsidRPr="00D22B50">
        <w:fldChar w:fldCharType="begin"/>
      </w:r>
      <w:r w:rsidR="00E0746C" w:rsidRPr="00D22B50">
        <w:instrText xml:space="preserve"> ADDIN ZOTERO_ITEM CSL_CITATION {"citationID":"rOlvJWIn","properties":{"formattedCitation":"[11]","plainCitation":"[11]","noteIndex":0},"citationItems":[{"id":595,"uris":["http://zotero.org/users/local/p3tV44H5/items/RYGGA6L8"],"itemData":{"id":595,"type":"article-journal","abstract":"While the general belief is that the best way to predict electric load is through individualized models, the existing studies have focused on one-for-all models because the individual models are difficult to train and require a significantly larger data accumulation time per individual. In recent years, applying deep learning for forecasting electric load has become an important research topic but still one-for-all has been the main approach. In this work, we adopt transfer learning and meta learning that can be smoothly integrated into deep neural networks, and show how a high-performance individualized model can be formed using the individual's data collected over just several days. This is made possible by extracting the common patterns of many individuals using a sufficiently large dataset, and then customizing each individual model using the specific individual's small dataset. The proposed methods are evaluated over residential and non-residential datasets. When compared to the conventional methods, the meta learning model shows 7.84% and 15.07% RMSE improvements over the residential and non-residential datasets, respectively. Our results suggest that the individualized models can be used as effective tools for many short-term load forecasting tasks.","container-title":"IEEE Access","DOI":"10.1109/ACCESS.2021.3053317","ISSN":"2169-3536","page":"15413-15425","source":"IEEE Xplore","title":"Individualized Short-Term Electric Load Forecasting With Deep Neural Network Based Transfer Learning and Meta Learning","volume":"9","author":[{"family":"Lee","given":"Eunjung"},{"family":"Rhee","given":"Wonjong"}],"issued":{"date-parts":[["2021"]]}}}],"schema":"https://github.com/citation-style-language/schema/raw/master/csl-citation.json"} </w:instrText>
      </w:r>
      <w:r w:rsidR="00E0746C" w:rsidRPr="00D22B50">
        <w:fldChar w:fldCharType="separate"/>
      </w:r>
      <w:r w:rsidR="00E0746C" w:rsidRPr="00D22B50">
        <w:rPr>
          <w:rFonts w:cs="Times New Roman"/>
        </w:rPr>
        <w:t>[11]</w:t>
      </w:r>
      <w:r w:rsidR="00E0746C" w:rsidRPr="00D22B50">
        <w:fldChar w:fldCharType="end"/>
      </w:r>
      <w:r w:rsidRPr="00D22B50">
        <w:t xml:space="preserve">. </w:t>
      </w:r>
    </w:p>
    <w:p w14:paraId="7A679AF6" w14:textId="77777777" w:rsidR="004C1E55" w:rsidRPr="00D22B50" w:rsidRDefault="004C1E55" w:rsidP="00FA00E5">
      <w:pPr>
        <w:pStyle w:val="af5"/>
        <w:spacing w:before="156" w:after="156"/>
      </w:pPr>
      <w:r w:rsidRPr="00D22B50">
        <w:t>This study explicitly distinguishes itself from existing London Smart Meter benchmarks in three key ways:</w:t>
      </w:r>
    </w:p>
    <w:p w14:paraId="73B0D244" w14:textId="25D5EEE4" w:rsidR="004C1E55" w:rsidRPr="00D22B50" w:rsidRDefault="004C1E55" w:rsidP="00FA00E5">
      <w:pPr>
        <w:pStyle w:val="af5"/>
        <w:spacing w:before="156" w:after="156"/>
      </w:pPr>
      <w:r w:rsidRPr="00D22B50">
        <w:t>It shifts the focus from long-term data mining to the extreme small-sample regime (10-day cold start)</w:t>
      </w:r>
      <w:r w:rsidR="00E0746C" w:rsidRPr="00D22B50">
        <w:rPr>
          <w:rFonts w:eastAsiaTheme="minorEastAsia" w:hint="eastAsia"/>
        </w:rPr>
        <w:t xml:space="preserve"> </w:t>
      </w:r>
      <w:r w:rsidR="00E0746C" w:rsidRPr="00D22B50">
        <w:fldChar w:fldCharType="begin"/>
      </w:r>
      <w:r w:rsidR="00E0746C" w:rsidRPr="00D22B50">
        <w:instrText xml:space="preserve"> ADDIN ZOTERO_ITEM CSL_CITATION {"citationID":"Avbov04S","properties":{"formattedCitation":"[8], [9]","plainCitation":"[8], [9]","noteIndex":0},"citationItems":[{"id":512,"uris":["http://zotero.org/users/local/p3tV44H5/items/HCMHHT5F"],"itemData":{"id":512,"type":"article-journal","abstract":"Learning to store information over extended time intervals by recurrent backpropagation takes a very long time, mostly because of insufficient, decaying error backflow. We briefly review Hochreiter's (1991) analysis of this problem, then address it by introducing a novel, efficient, gradient based method called long short-term memory (LSTM). Truncating the gradient where this does not do harm, LSTM can learn to bridge minimal time lags in excess of 1000 discrete-time steps by enforcing constant error flow through constant error carousels within special units. Multiplicative gate units learn to open and close access to the constant error flow. LSTM is local in space and time; its computational complexity per time step and weight is O. 1. Our experiments with artificial data involve local, distributed, real-valued, and noisy pattern representations. In comparisons with real-time recurrent learning, back propagation through time, recurrent cascade correlation, Elman nets, and neural sequence chunking, LSTM leads to many more successful runs, and learns much faster. LSTM also solves complex, artificial long-time-lag tasks that have never been solved by previous recurrent network algorithms.","container-title":"Neural Computation","DOI":"10.1162/neco.1997.9.8.1735","ISSN":"0899-7667","issue":"8","page":"1735-1780","source":"IEEE Xplore","title":"Long Short-Term Memory","volume":"9","author":[{"family":"Hochreiter","given":"Sepp"},{"family":"Schmidhuber","given":"Jürgen"}],"issued":{"date-parts":[["1997",11]]}}},{"id":557,"uris":["http://zotero.org/users/local/p3tV44H5/items/N4D6A4RG"],"itemData":{"id":557,"type":"article-journal","abstract":"As the power system is facing a transition toward a more intelligent, flexible, and interactive system with higher penetration of renewable energy generation, load forecasting, especially short-term load forecasting for individual electric customers plays an increasingly essential role in the future grid planning and operation. Other than aggregated residential load in a large scale, forecasting an electric load of a single energy user is fairly challenging due to the high volatility and uncertainty involved. In this paper, we propose a long short-term memory (LSTM) recurrent neural network-based framework, which is the latest and one of the most popular techniques of deep learning, to tackle this tricky issue. The proposed framework is tested on a publicly available set of real residential smart meter data, of which the performance is comprehensively compared to various benchmarks including the state-of-the-arts in the field of load forecasting. As a result, the proposed LSTM approach outperforms the other listed rival algorithms in the task of short-term load forecasting for individual residential households.","container-title":"IEEE Transactions on Smart Grid","DOI":"10.1109/TSG.2017.2753802","ISSN":"1949-3061","issue":"1","page":"841-851","source":"IEEE Xplore","title":"Short-Term Residential Load Forecasting Based on LSTM Recurrent Neural Network","volume":"10","author":[{"family":"Kong","given":"Weicong"},{"family":"Dong","given":"Zhao Yang"},{"family":"Jia","given":"Youwei"},{"family":"Hill","given":"David J."},{"family":"Xu","given":"Yan"},{"family":"Zhang","given":"Yuan"}],"issued":{"date-parts":[["2019",1]]}}}],"schema":"https://github.com/citation-style-language/schema/raw/master/csl-citation.json"} </w:instrText>
      </w:r>
      <w:r w:rsidR="00E0746C" w:rsidRPr="00D22B50">
        <w:fldChar w:fldCharType="separate"/>
      </w:r>
      <w:r w:rsidR="00E0746C" w:rsidRPr="00D22B50">
        <w:rPr>
          <w:rFonts w:cs="Times New Roman"/>
        </w:rPr>
        <w:t>[8], [9]</w:t>
      </w:r>
      <w:r w:rsidR="00E0746C" w:rsidRPr="00D22B50">
        <w:fldChar w:fldCharType="end"/>
      </w:r>
      <w:r w:rsidRPr="00D22B50">
        <w:t xml:space="preserve">. </w:t>
      </w:r>
    </w:p>
    <w:p w14:paraId="617F6121" w14:textId="77777777" w:rsidR="004C1E55" w:rsidRPr="00D22B50" w:rsidRDefault="004C1E55" w:rsidP="00FA00E5">
      <w:pPr>
        <w:pStyle w:val="af5"/>
        <w:spacing w:before="156" w:after="156"/>
      </w:pPr>
      <w:r w:rsidRPr="00D22B50">
        <w:t>It executes a strict, head-to-head empirical comparison between LSTM and Transformer architectures under identical constraints, challenging the assumption that attention mechanisms are universally superior.</w:t>
      </w:r>
    </w:p>
    <w:p w14:paraId="6EBE1483" w14:textId="2A9DCD42" w:rsidR="004C1E55" w:rsidRPr="00D22B50" w:rsidRDefault="004C1E55" w:rsidP="00FA00E5">
      <w:pPr>
        <w:pStyle w:val="af5"/>
        <w:spacing w:before="156" w:after="156"/>
      </w:pPr>
      <w:r w:rsidRPr="00D22B50">
        <w:t xml:space="preserve">By leveraging Bayesian hyperparameter optimization via the Optuna framework </w:t>
      </w:r>
      <w:r w:rsidR="00E0746C" w:rsidRPr="00D22B50">
        <w:fldChar w:fldCharType="begin"/>
      </w:r>
      <w:r w:rsidR="00E0746C" w:rsidRPr="00D22B50">
        <w:instrText xml:space="preserve"> ADDIN ZOTERO_ITEM CSL_CITATION {"citationID":"5iyyiQpJ","properties":{"formattedCitation":"[16]","plainCitation":"[16]","noteIndex":0},"citationItems":[{"id":575,"uris":["http://zotero.org/users/local/p3tV44H5/items/KGFYWMJL"],"itemData":{"id":575,"type":"paper-conference","abstract":"The purpose of this study is to introduce new design-criteria for next-generation hyperparameter optimization software. The criteria we propose include (1) define-by-run API that allows users to construct the parameter search space dynamically, (2) efficient implementation of both searching and pruning strategies, and (3) easy-to-setup, versatile architecture that can be deployed for various purposes, ranging from scalable distributed computing to light-weight experiment conducted via interactive interface. In order to prove our point, we will introduce Optuna, an optimization software which is a culmination of our effort in the development of a next generation optimization software. As an optimization software designed with define-by-run principle, Optuna is particularly the first of its kind. We will present the design-techniques that became necessary in the development of the software that meets the above criteria, and demonstrate the power of our new design through experimental results and real world applications. Our software is available under the MIT license (https://github.com/pfnet/optuna/).","collection-title":"KDD '19","container-title":"Proceedings of the 25th ACM SIGKDD International Conference on Knowledge Discovery &amp; Data Mining","DOI":"10.1145/3292500.3330701","ISBN":"978-1-4503-6201-6","page":"2623–2631","publisher":"Association for Computing Machinery","publisher-place":"New York, NY, USA","source":"ACM Digital Library","title":"Optuna: A Next-generation Hyperparameter Optimization Framework","title-short":"Optuna","URL":"https://dl.acm.org/doi/10.1145/3292500.3330701","author":[{"family":"Akiba","given":"Takuya"},{"family":"Sano","given":"Shotaro"},{"family":"Yanase","given":"Toshihiko"},{"family":"Ohta","given":"Takeru"},{"family":"Koyama","given":"Masanori"}],"accessed":{"date-parts":[["2026",5,1]]},"issued":{"date-parts":[["2019",7,25]]}}}],"schema":"https://github.com/citation-style-language/schema/raw/master/csl-citation.json"} </w:instrText>
      </w:r>
      <w:r w:rsidR="00E0746C" w:rsidRPr="00D22B50">
        <w:fldChar w:fldCharType="separate"/>
      </w:r>
      <w:r w:rsidR="00E0746C" w:rsidRPr="00D22B50">
        <w:rPr>
          <w:rFonts w:cs="Times New Roman"/>
        </w:rPr>
        <w:t>[16]</w:t>
      </w:r>
      <w:r w:rsidR="00E0746C" w:rsidRPr="00D22B50">
        <w:fldChar w:fldCharType="end"/>
      </w:r>
      <w:r w:rsidRPr="00D22B50">
        <w:t xml:space="preserve"> prior to knowledge migration, this methodology proactively mitigates the negative transfer phenomenon </w:t>
      </w:r>
      <w:r w:rsidR="00E0746C" w:rsidRPr="00D22B50">
        <w:fldChar w:fldCharType="begin"/>
      </w:r>
      <w:r w:rsidR="00E0746C" w:rsidRPr="00D22B50">
        <w:instrText xml:space="preserve"> ADDIN ZOTERO_ITEM CSL_CITATION {"citationID":"jE9S8ee8","properties":{"formattedCitation":"[13]","plainCitation":"[13]","noteIndex":0},"citationItems":[{"id":585,"uris":["http://zotero.org/users/local/p3tV44H5/items/SRPRYVXS"],"itemData":{"id":585,"type":"article-journal","abstract":"A major assumption in many machine learning and data mining algorithms is that the training and future data must be in the same feature space and have the same distribution. However, in many real-world applications, this assumption may not hold. For example, we sometimes have a classification task in one domain of interest, but we only have sufficient training data in another domain of interest, where the latter data may be in a different feature space or follow a different data distribution. In such cases, knowledge transfer, if done successfully, would greatly improve the performance of learning by avoiding much expensive data-labeling efforts. In recent years, transfer learning has emerged as a new learning framework to address this problem. This survey focuses on categorizing and reviewing the current progress on transfer learning for classification, regression, and clustering problems. In this survey, we discuss the relationship between transfer learning and other related machine learning techniques such as domain adaptation, multitask learning and sample selection bias, as well as covariate shift. We also explore some potential future issues in transfer learning research.","container-title":"IEEE Transactions on Knowledge and Data Engineering","DOI":"10.1109/TKDE.2009.191","ISSN":"1558-2191","issue":"10","page":"1345-1359","source":"IEEE Xplore","title":"A Survey on Transfer Learning","volume":"22","author":[{"family":"Pan","given":"Sinno Jialin"},{"family":"Yang","given":"Qiang"}],"issued":{"date-parts":[["2010",10]]}}}],"schema":"https://github.com/citation-style-language/schema/raw/master/csl-citation.json"} </w:instrText>
      </w:r>
      <w:r w:rsidR="00E0746C" w:rsidRPr="00D22B50">
        <w:fldChar w:fldCharType="separate"/>
      </w:r>
      <w:r w:rsidR="00E0746C" w:rsidRPr="00D22B50">
        <w:rPr>
          <w:rFonts w:cs="Times New Roman"/>
        </w:rPr>
        <w:t>[13]</w:t>
      </w:r>
      <w:r w:rsidR="00E0746C" w:rsidRPr="00D22B50">
        <w:fldChar w:fldCharType="end"/>
      </w:r>
      <w:r w:rsidRPr="00D22B50">
        <w:t xml:space="preserve"> —an issue frequently ignored in existing transfer learning literature. This ensures the robustness of the transferred features </w:t>
      </w:r>
      <w:r w:rsidR="00E0746C" w:rsidRPr="00D22B50">
        <w:fldChar w:fldCharType="begin"/>
      </w:r>
      <w:r w:rsidR="00E0746C" w:rsidRPr="00D22B50">
        <w:instrText xml:space="preserve"> ADDIN ZOTERO_ITEM CSL_CITATION {"citationID":"xFEdTm3n","properties":{"formattedCitation":"[16]","plainCitation":"[16]","noteIndex":0},"citationItems":[{"id":575,"uris":["http://zotero.org/users/local/p3tV44H5/items/KGFYWMJL"],"itemData":{"id":575,"type":"paper-conference","abstract":"The purpose of this study is to introduce new design-criteria for next-generation hyperparameter optimization software. The criteria we propose include (1) define-by-run API that allows users to construct the parameter search space dynamically, (2) efficient implementation of both searching and pruning strategies, and (3) easy-to-setup, versatile architecture that can be deployed for various purposes, ranging from scalable distributed computing to light-weight experiment conducted via interactive interface. In order to prove our point, we will introduce Optuna, an optimization software which is a culmination of our effort in the development of a next generation optimization software. As an optimization software designed with define-by-run principle, Optuna is particularly the first of its kind. We will present the design-techniques that became necessary in the development of the software that meets the above criteria, and demonstrate the power of our new design through experimental results and real world applications. Our software is available under the MIT license (https://github.com/pfnet/optuna/).","collection-title":"KDD '19","container-title":"Proceedings of the 25th ACM SIGKDD International Conference on Knowledge Discovery &amp; Data Mining","DOI":"10.1145/3292500.3330701","ISBN":"978-1-4503-6201-6","page":"2623–2631","publisher":"Association for Computing Machinery","publisher-place":"New York, NY, USA","source":"ACM Digital Library","title":"Optuna: A Next-generation Hyperparameter Optimization Framework","title-short":"Optuna","URL":"https://dl.acm.org/doi/10.1145/3292500.3330701","author":[{"family":"Akiba","given":"Takuya"},{"family":"Sano","given":"Shotaro"},{"family":"Yanase","given":"Toshihiko"},{"family":"Ohta","given":"Takeru"},{"family":"Koyama","given":"Masanori"}],"accessed":{"date-parts":[["2026",5,1]]},"issued":{"date-parts":[["2019",7,25]]}}}],"schema":"https://github.com/citation-style-language/schema/raw/master/csl-citation.json"} </w:instrText>
      </w:r>
      <w:r w:rsidR="00E0746C" w:rsidRPr="00D22B50">
        <w:fldChar w:fldCharType="separate"/>
      </w:r>
      <w:r w:rsidR="00E0746C" w:rsidRPr="00D22B50">
        <w:rPr>
          <w:rFonts w:cs="Times New Roman"/>
        </w:rPr>
        <w:t>[16]</w:t>
      </w:r>
      <w:r w:rsidR="00E0746C" w:rsidRPr="00D22B50">
        <w:fldChar w:fldCharType="end"/>
      </w:r>
      <w:r w:rsidRPr="00D22B50">
        <w:t xml:space="preserve">. </w:t>
      </w:r>
    </w:p>
    <w:p w14:paraId="3152F79E" w14:textId="01427F9D" w:rsidR="002C44EF" w:rsidRDefault="004C1E55" w:rsidP="00FA00E5">
      <w:pPr>
        <w:pStyle w:val="af5"/>
        <w:spacing w:before="156" w:after="156"/>
        <w:rPr>
          <w:rFonts w:eastAsiaTheme="minorEastAsia"/>
        </w:rPr>
      </w:pPr>
      <w:r w:rsidRPr="00D22B50">
        <w:t>Ultimately, this comparative framework proves that the sequence-oriented inductive bias of LSTMs provides superior stability over Transformers in severely data-scarce environments.</w:t>
      </w:r>
    </w:p>
    <w:p w14:paraId="31B68D92" w14:textId="2D252C7F" w:rsidR="00A04735" w:rsidRPr="00A04735" w:rsidRDefault="00A04735" w:rsidP="00A04735">
      <w:pPr>
        <w:pStyle w:val="2"/>
        <w:rPr>
          <w:rFonts w:hint="eastAsia"/>
        </w:rPr>
      </w:pPr>
      <w:bookmarkStart w:id="38" w:name="_Toc228913841"/>
      <w:r w:rsidRPr="00A04735">
        <w:rPr>
          <w:rFonts w:hint="eastAsia"/>
        </w:rPr>
        <w:t xml:space="preserve">3.6 </w:t>
      </w:r>
      <w:r w:rsidRPr="00A04735">
        <w:t>Literature Comparison Matrix</w:t>
      </w:r>
      <w:bookmarkEnd w:id="38"/>
    </w:p>
    <w:p w14:paraId="42BF4E68" w14:textId="2AB309DB" w:rsidR="00A04735" w:rsidRDefault="00A04735" w:rsidP="00A04735">
      <w:pPr>
        <w:pStyle w:val="af5"/>
        <w:spacing w:before="156" w:after="156"/>
      </w:pPr>
      <w:r w:rsidRPr="00A04735">
        <w:t xml:space="preserve">Based on the comprehensive review of existing methodologies, several critical gaps in the current STLF literature have been identified, particularly concerning the cold-start problem and small-sample learning. Table </w:t>
      </w:r>
      <w:r>
        <w:rPr>
          <w:rFonts w:eastAsiaTheme="minorEastAsia" w:hint="eastAsia"/>
        </w:rPr>
        <w:t>1</w:t>
      </w:r>
      <w:r w:rsidRPr="00A04735">
        <w:t xml:space="preserve"> summarizes these research gaps and outlines the distinct contributions of this study.</w:t>
      </w:r>
    </w:p>
    <w:p w14:paraId="318DEC6D" w14:textId="77777777" w:rsidR="00A04735" w:rsidRDefault="00A04735">
      <w:pPr>
        <w:widowControl/>
        <w:jc w:val="left"/>
        <w:rPr>
          <w:rFonts w:ascii="Times New Roman" w:eastAsia="Times New Roman" w:hAnsi="Times New Roman"/>
          <w:sz w:val="24"/>
        </w:rPr>
      </w:pPr>
      <w:r>
        <w:br w:type="page"/>
      </w:r>
    </w:p>
    <w:p w14:paraId="22301C1B" w14:textId="77777777" w:rsidR="00A04735" w:rsidRDefault="00A04735" w:rsidP="00A04735">
      <w:pPr>
        <w:pStyle w:val="af5"/>
        <w:spacing w:before="156" w:after="156"/>
        <w:rPr>
          <w:rFonts w:eastAsiaTheme="minorEastAsia"/>
        </w:rPr>
      </w:pPr>
    </w:p>
    <w:p w14:paraId="47D26A85" w14:textId="2FE09A29" w:rsidR="00A04735" w:rsidRDefault="00A04735" w:rsidP="00A04735">
      <w:pPr>
        <w:pStyle w:val="af5"/>
        <w:spacing w:before="156" w:after="156"/>
        <w:jc w:val="center"/>
        <w:rPr>
          <w:rFonts w:eastAsiaTheme="minorEastAsia"/>
          <w:sz w:val="21"/>
          <w:szCs w:val="20"/>
        </w:rPr>
      </w:pPr>
      <w:r w:rsidRPr="00A04735">
        <w:rPr>
          <w:rFonts w:eastAsiaTheme="minorEastAsia"/>
          <w:sz w:val="21"/>
          <w:szCs w:val="20"/>
        </w:rPr>
        <w:t>T</w:t>
      </w:r>
      <w:r w:rsidRPr="00A04735">
        <w:rPr>
          <w:rFonts w:eastAsiaTheme="minorEastAsia" w:hint="eastAsia"/>
          <w:sz w:val="21"/>
          <w:szCs w:val="20"/>
        </w:rPr>
        <w:t xml:space="preserve">able 1. </w:t>
      </w:r>
      <w:r w:rsidRPr="00A04735">
        <w:rPr>
          <w:rFonts w:eastAsiaTheme="minorEastAsia"/>
          <w:sz w:val="21"/>
          <w:szCs w:val="20"/>
        </w:rPr>
        <w:t>Literature Comparison Matrix</w:t>
      </w:r>
    </w:p>
    <w:tbl>
      <w:tblPr>
        <w:tblStyle w:val="af2"/>
        <w:tblW w:w="0" w:type="auto"/>
        <w:tblLook w:val="04A0" w:firstRow="1" w:lastRow="0" w:firstColumn="1" w:lastColumn="0" w:noHBand="0" w:noVBand="1"/>
      </w:tblPr>
      <w:tblGrid>
        <w:gridCol w:w="1501"/>
        <w:gridCol w:w="1256"/>
        <w:gridCol w:w="1230"/>
        <w:gridCol w:w="1269"/>
        <w:gridCol w:w="1283"/>
        <w:gridCol w:w="1323"/>
      </w:tblGrid>
      <w:tr w:rsidR="00A04735" w14:paraId="722A1FC9" w14:textId="77777777" w:rsidTr="00733588">
        <w:tc>
          <w:tcPr>
            <w:tcW w:w="1501" w:type="dxa"/>
            <w:vAlign w:val="center"/>
          </w:tcPr>
          <w:p w14:paraId="00D8AE99" w14:textId="3F70244B" w:rsidR="00A04735" w:rsidRPr="00A04735" w:rsidRDefault="00A04735" w:rsidP="00A04735">
            <w:pPr>
              <w:pStyle w:val="af5"/>
              <w:spacing w:before="156" w:after="156"/>
              <w:jc w:val="center"/>
              <w:rPr>
                <w:rFonts w:eastAsiaTheme="minorEastAsia" w:cs="Times New Roman"/>
                <w:b/>
                <w:bCs/>
                <w:sz w:val="21"/>
                <w:szCs w:val="20"/>
              </w:rPr>
            </w:pPr>
            <w:r w:rsidRPr="00A04735">
              <w:rPr>
                <w:rStyle w:val="af4"/>
                <w:rFonts w:eastAsiaTheme="majorEastAsia" w:cs="Times New Roman"/>
                <w:b w:val="0"/>
                <w:bCs w:val="0"/>
                <w:color w:val="1F1F1F"/>
                <w:bdr w:val="none" w:sz="0" w:space="0" w:color="auto" w:frame="1"/>
              </w:rPr>
              <w:t>Reference / Study</w:t>
            </w:r>
          </w:p>
        </w:tc>
        <w:tc>
          <w:tcPr>
            <w:tcW w:w="1256" w:type="dxa"/>
            <w:vAlign w:val="center"/>
          </w:tcPr>
          <w:p w14:paraId="13AEC6F4" w14:textId="4C2D1BB9" w:rsidR="00A04735" w:rsidRPr="00A04735" w:rsidRDefault="00A04735" w:rsidP="00A04735">
            <w:pPr>
              <w:pStyle w:val="af5"/>
              <w:spacing w:before="156" w:after="156"/>
              <w:jc w:val="center"/>
              <w:rPr>
                <w:rFonts w:eastAsiaTheme="minorEastAsia" w:cs="Times New Roman"/>
                <w:b/>
                <w:bCs/>
                <w:sz w:val="21"/>
                <w:szCs w:val="20"/>
              </w:rPr>
            </w:pPr>
            <w:r w:rsidRPr="00A04735">
              <w:rPr>
                <w:rStyle w:val="af4"/>
                <w:rFonts w:eastAsiaTheme="majorEastAsia" w:cs="Times New Roman"/>
                <w:b w:val="0"/>
                <w:bCs w:val="0"/>
                <w:color w:val="1F1F1F"/>
                <w:bdr w:val="none" w:sz="0" w:space="0" w:color="auto" w:frame="1"/>
              </w:rPr>
              <w:t>Individual Household Level</w:t>
            </w:r>
          </w:p>
        </w:tc>
        <w:tc>
          <w:tcPr>
            <w:tcW w:w="1230" w:type="dxa"/>
            <w:vAlign w:val="center"/>
          </w:tcPr>
          <w:p w14:paraId="331327EE" w14:textId="798D772C" w:rsidR="00A04735" w:rsidRPr="00A04735" w:rsidRDefault="00A04735" w:rsidP="00A04735">
            <w:pPr>
              <w:pStyle w:val="af5"/>
              <w:spacing w:before="156" w:after="156"/>
              <w:jc w:val="center"/>
              <w:rPr>
                <w:rFonts w:eastAsiaTheme="minorEastAsia" w:cs="Times New Roman"/>
                <w:b/>
                <w:bCs/>
                <w:sz w:val="21"/>
                <w:szCs w:val="20"/>
              </w:rPr>
            </w:pPr>
            <w:r w:rsidRPr="00A04735">
              <w:rPr>
                <w:rStyle w:val="af4"/>
                <w:rFonts w:eastAsiaTheme="majorEastAsia" w:cs="Times New Roman"/>
                <w:b w:val="0"/>
                <w:bCs w:val="0"/>
                <w:color w:val="1F1F1F"/>
                <w:bdr w:val="none" w:sz="0" w:space="0" w:color="auto" w:frame="1"/>
              </w:rPr>
              <w:t>Cold-Start Mitigation (&lt; 14 days)</w:t>
            </w:r>
          </w:p>
        </w:tc>
        <w:tc>
          <w:tcPr>
            <w:tcW w:w="1269" w:type="dxa"/>
            <w:vAlign w:val="center"/>
          </w:tcPr>
          <w:p w14:paraId="00EF97AA" w14:textId="4321D390" w:rsidR="00A04735" w:rsidRPr="00A04735" w:rsidRDefault="00A04735" w:rsidP="00A04735">
            <w:pPr>
              <w:pStyle w:val="af5"/>
              <w:spacing w:before="156" w:after="156"/>
              <w:jc w:val="center"/>
              <w:rPr>
                <w:rFonts w:eastAsiaTheme="minorEastAsia" w:cs="Times New Roman"/>
                <w:b/>
                <w:bCs/>
                <w:sz w:val="21"/>
                <w:szCs w:val="20"/>
              </w:rPr>
            </w:pPr>
            <w:r w:rsidRPr="00A04735">
              <w:rPr>
                <w:rStyle w:val="af4"/>
                <w:rFonts w:eastAsiaTheme="majorEastAsia" w:cs="Times New Roman"/>
                <w:b w:val="0"/>
                <w:bCs w:val="0"/>
                <w:color w:val="1F1F1F"/>
                <w:bdr w:val="none" w:sz="0" w:space="0" w:color="auto" w:frame="1"/>
              </w:rPr>
              <w:t>Transfer Learning Integration</w:t>
            </w:r>
          </w:p>
        </w:tc>
        <w:tc>
          <w:tcPr>
            <w:tcW w:w="1283" w:type="dxa"/>
            <w:vAlign w:val="center"/>
          </w:tcPr>
          <w:p w14:paraId="029A0773" w14:textId="03BE0977" w:rsidR="00A04735" w:rsidRPr="00A04735" w:rsidRDefault="00A04735" w:rsidP="00A04735">
            <w:pPr>
              <w:pStyle w:val="af5"/>
              <w:spacing w:before="156" w:after="156"/>
              <w:jc w:val="center"/>
              <w:rPr>
                <w:rFonts w:eastAsiaTheme="minorEastAsia" w:cs="Times New Roman"/>
                <w:b/>
                <w:bCs/>
                <w:sz w:val="21"/>
                <w:szCs w:val="20"/>
              </w:rPr>
            </w:pPr>
            <w:r w:rsidRPr="00A04735">
              <w:rPr>
                <w:rStyle w:val="af4"/>
                <w:rFonts w:eastAsiaTheme="majorEastAsia" w:cs="Times New Roman"/>
                <w:b w:val="0"/>
                <w:bCs w:val="0"/>
                <w:color w:val="1F1F1F"/>
                <w:bdr w:val="none" w:sz="0" w:space="0" w:color="auto" w:frame="1"/>
              </w:rPr>
              <w:t>Automated Negative Transfer Avoidance</w:t>
            </w:r>
          </w:p>
        </w:tc>
        <w:tc>
          <w:tcPr>
            <w:tcW w:w="1323" w:type="dxa"/>
            <w:vAlign w:val="center"/>
          </w:tcPr>
          <w:p w14:paraId="6A1C88D3" w14:textId="2C7DDF04" w:rsidR="00A04735" w:rsidRPr="00A04735" w:rsidRDefault="00A04735" w:rsidP="00A04735">
            <w:pPr>
              <w:pStyle w:val="af5"/>
              <w:spacing w:before="156" w:after="156"/>
              <w:jc w:val="center"/>
              <w:rPr>
                <w:rFonts w:eastAsiaTheme="minorEastAsia" w:cs="Times New Roman"/>
                <w:b/>
                <w:bCs/>
                <w:sz w:val="21"/>
                <w:szCs w:val="20"/>
              </w:rPr>
            </w:pPr>
            <w:r w:rsidRPr="00A04735">
              <w:rPr>
                <w:rStyle w:val="af4"/>
                <w:rFonts w:eastAsiaTheme="majorEastAsia" w:cs="Times New Roman"/>
                <w:b w:val="0"/>
                <w:bCs w:val="0"/>
                <w:color w:val="1F1F1F"/>
                <w:bdr w:val="none" w:sz="0" w:space="0" w:color="auto" w:frame="1"/>
              </w:rPr>
              <w:t>Attention vs. Recurrence Benchmark</w:t>
            </w:r>
          </w:p>
        </w:tc>
      </w:tr>
      <w:tr w:rsidR="00A04735" w14:paraId="44708963" w14:textId="77777777" w:rsidTr="00733588">
        <w:tc>
          <w:tcPr>
            <w:tcW w:w="1501" w:type="dxa"/>
            <w:vAlign w:val="center"/>
          </w:tcPr>
          <w:p w14:paraId="55125C3A" w14:textId="3DE228E0" w:rsidR="00A04735" w:rsidRPr="00733588" w:rsidRDefault="00A04735" w:rsidP="00A04735">
            <w:pPr>
              <w:pStyle w:val="af5"/>
              <w:spacing w:before="156" w:after="156"/>
              <w:jc w:val="center"/>
              <w:rPr>
                <w:rFonts w:eastAsiaTheme="minorEastAsia" w:cs="Times New Roman"/>
                <w:sz w:val="21"/>
                <w:szCs w:val="20"/>
              </w:rPr>
            </w:pPr>
            <w:r w:rsidRPr="00A04735">
              <w:rPr>
                <w:rFonts w:cs="Times New Roman"/>
                <w:color w:val="1F1F1F"/>
                <w:bdr w:val="none" w:sz="0" w:space="0" w:color="auto" w:frame="1"/>
              </w:rPr>
              <w:t xml:space="preserve">ARIMA &amp; Smoothing </w:t>
            </w:r>
            <w:r w:rsidR="00733588">
              <w:rPr>
                <w:rFonts w:cs="Times New Roman"/>
                <w:color w:val="1F1F1F"/>
                <w:bdr w:val="none" w:sz="0" w:space="0" w:color="auto" w:frame="1"/>
              </w:rPr>
              <w:fldChar w:fldCharType="begin"/>
            </w:r>
            <w:r w:rsidR="00733588">
              <w:rPr>
                <w:rFonts w:cs="Times New Roman"/>
                <w:color w:val="1F1F1F"/>
                <w:bdr w:val="none" w:sz="0" w:space="0" w:color="auto" w:frame="1"/>
              </w:rPr>
              <w:instrText xml:space="preserve"> ADDIN ZOTERO_ITEM CSL_CITATION {"citationID":"ARJtsevF","properties":{"formattedCitation":"[6], [7]","plainCitation":"[6], [7]","noteIndex":0},"citationItems":[{"id":651,"uris":["http://zotero.org/users/local/p3tV44H5/items/L57MP6R5"],"itemData":{"id":651,"type":"article-journal","abstract":"This paper considers univariate online electricity demand forecasting for lead times from a half-hour-ahead to a day-ahead. A time series of demand recorded at half-hourly intervals contains more than one seasonal pattern. A within-day seasonal cycle is apparent from the similarity of the demand profile from one day to the next, and a within-week seasonal cycle is evident when one compares the demand on the corresponding day of adjacent weeks. There is strong appeal in using a forecasting method that is able to capture both seasonalities. The multiplicative seasonal ARIMA model has been adapted for this purpose. In this paper, we adapt the Holt-Winters exponential smoothing formulation so that it can accommodate two seasonalities. We correct for residual autocorrelation using a simple autoregressive model. The forecasts produced by the new double seasonal Holt-Winters method outperform those from traditional Holt-Winters and from a well-specified multiplicative double seasonal ARIMA model.","container-title":"Journal of the Operational Research Society","DOI":"10.1057/palgrave.jors.2601589","ISSN":"0160-5682, 1476-9360","issue":"8","journalAbbreviation":"Journal of the Operational Research Society","language":"en","license":"http://www.springer.com/tdm","page":"799-805","source":"DOI.org (Crossref)","title":"Short-term electricity demand forecasting using double seasonal exponential smoothing","volume":"54","author":[{"family":"Taylor","given":"J W"}],"issued":{"date-parts":[["2003",8]]}}},{"id":638,"uris":["http://zotero.org/users/local/p3tV44H5/items/B2DIZMPA"],"itemData":{"id":638,"type":"book","abstract":"Introduction -- Basic descriptive techniques -- Some linear time series models -- Fitting time series models in the time domain -- Forecasting -- Stationary processes in the frequency domain -- Spectral analysis -- Bivariate processes -- Linear systems -- State-space models and the Kalman filter -- Non-linear models -- Volatility models -- Multivariate time series modelling -- Some more advanced topics -- Appendices","collection-title":"Chapman &amp; Hall/CRC texts in statistical science series","edition":"Seventh edition","ISBN":"978-1-4987-9563-0","language":"eng","number-of-pages":"1","publisher":"CRC Press","publisher-place":"Boca Raton, Florida","source":"K10plus ISBN","title":"The analysis of time series: an introduction","title-short":"The analysis of time series","author":[{"family":"Chatfield","given":"Christopher"},{"family":"Xing","given":"Haipeng"}],"issued":{"date-parts":[["2019"]]}}}],"schema":"https://github.com/citation-style-language/schema/raw/master/csl-citation.json"} </w:instrText>
            </w:r>
            <w:r w:rsidR="00733588">
              <w:rPr>
                <w:rFonts w:cs="Times New Roman"/>
                <w:color w:val="1F1F1F"/>
                <w:bdr w:val="none" w:sz="0" w:space="0" w:color="auto" w:frame="1"/>
              </w:rPr>
              <w:fldChar w:fldCharType="separate"/>
            </w:r>
            <w:r w:rsidR="00733588" w:rsidRPr="00733588">
              <w:rPr>
                <w:rFonts w:cs="Times New Roman"/>
              </w:rPr>
              <w:t>[6], [7]</w:t>
            </w:r>
            <w:r w:rsidR="00733588">
              <w:rPr>
                <w:rFonts w:cs="Times New Roman"/>
                <w:color w:val="1F1F1F"/>
                <w:bdr w:val="none" w:sz="0" w:space="0" w:color="auto" w:frame="1"/>
              </w:rPr>
              <w:fldChar w:fldCharType="end"/>
            </w:r>
          </w:p>
        </w:tc>
        <w:tc>
          <w:tcPr>
            <w:tcW w:w="1256" w:type="dxa"/>
            <w:vAlign w:val="center"/>
          </w:tcPr>
          <w:p w14:paraId="3C6900CD" w14:textId="2A0E3DBB" w:rsidR="00A04735" w:rsidRPr="00A04735" w:rsidRDefault="00A04735" w:rsidP="00A04735">
            <w:pPr>
              <w:pStyle w:val="af5"/>
              <w:spacing w:before="156" w:after="156"/>
              <w:jc w:val="center"/>
              <w:rPr>
                <w:rFonts w:eastAsiaTheme="minorEastAsia" w:cs="Times New Roman"/>
                <w:sz w:val="21"/>
                <w:szCs w:val="20"/>
              </w:rPr>
            </w:pPr>
            <w:r w:rsidRPr="00A04735">
              <w:rPr>
                <w:rFonts w:ascii="Segoe UI Symbol" w:hAnsi="Segoe UI Symbol" w:cs="Segoe UI Symbol"/>
                <w:color w:val="1F1F1F"/>
                <w:bdr w:val="none" w:sz="0" w:space="0" w:color="auto" w:frame="1"/>
              </w:rPr>
              <w:t>✘</w:t>
            </w:r>
          </w:p>
        </w:tc>
        <w:tc>
          <w:tcPr>
            <w:tcW w:w="1230" w:type="dxa"/>
            <w:vAlign w:val="center"/>
          </w:tcPr>
          <w:p w14:paraId="2350893F" w14:textId="7F6306F9" w:rsidR="00A04735" w:rsidRPr="00A04735" w:rsidRDefault="00A04735" w:rsidP="00A04735">
            <w:pPr>
              <w:pStyle w:val="af5"/>
              <w:spacing w:before="156" w:after="156"/>
              <w:jc w:val="center"/>
              <w:rPr>
                <w:rFonts w:eastAsiaTheme="minorEastAsia" w:cs="Times New Roman"/>
                <w:sz w:val="21"/>
                <w:szCs w:val="20"/>
              </w:rPr>
            </w:pPr>
            <w:r w:rsidRPr="00A04735">
              <w:rPr>
                <w:rFonts w:ascii="Segoe UI Symbol" w:hAnsi="Segoe UI Symbol" w:cs="Segoe UI Symbol"/>
                <w:color w:val="1F1F1F"/>
                <w:bdr w:val="none" w:sz="0" w:space="0" w:color="auto" w:frame="1"/>
              </w:rPr>
              <w:t>✘</w:t>
            </w:r>
          </w:p>
        </w:tc>
        <w:tc>
          <w:tcPr>
            <w:tcW w:w="1269" w:type="dxa"/>
            <w:vAlign w:val="center"/>
          </w:tcPr>
          <w:p w14:paraId="63AE0862" w14:textId="150F68B5" w:rsidR="00A04735" w:rsidRPr="00A04735" w:rsidRDefault="00A04735" w:rsidP="00A04735">
            <w:pPr>
              <w:pStyle w:val="af5"/>
              <w:spacing w:before="156" w:after="156"/>
              <w:jc w:val="center"/>
              <w:rPr>
                <w:rFonts w:eastAsiaTheme="minorEastAsia" w:cs="Times New Roman"/>
                <w:sz w:val="21"/>
                <w:szCs w:val="20"/>
              </w:rPr>
            </w:pPr>
            <w:r w:rsidRPr="00A04735">
              <w:rPr>
                <w:rFonts w:ascii="Segoe UI Symbol" w:hAnsi="Segoe UI Symbol" w:cs="Segoe UI Symbol"/>
                <w:color w:val="1F1F1F"/>
                <w:bdr w:val="none" w:sz="0" w:space="0" w:color="auto" w:frame="1"/>
              </w:rPr>
              <w:t>✘</w:t>
            </w:r>
          </w:p>
        </w:tc>
        <w:tc>
          <w:tcPr>
            <w:tcW w:w="1283" w:type="dxa"/>
            <w:vAlign w:val="center"/>
          </w:tcPr>
          <w:p w14:paraId="268470EB" w14:textId="0B30B11D" w:rsidR="00A04735" w:rsidRPr="00A04735" w:rsidRDefault="00A04735" w:rsidP="00A04735">
            <w:pPr>
              <w:pStyle w:val="af5"/>
              <w:spacing w:before="156" w:after="156"/>
              <w:jc w:val="center"/>
              <w:rPr>
                <w:rFonts w:eastAsiaTheme="minorEastAsia" w:cs="Times New Roman"/>
                <w:sz w:val="21"/>
                <w:szCs w:val="20"/>
              </w:rPr>
            </w:pPr>
            <w:r w:rsidRPr="00A04735">
              <w:rPr>
                <w:rFonts w:ascii="Segoe UI Symbol" w:hAnsi="Segoe UI Symbol" w:cs="Segoe UI Symbol"/>
                <w:color w:val="1F1F1F"/>
                <w:bdr w:val="none" w:sz="0" w:space="0" w:color="auto" w:frame="1"/>
              </w:rPr>
              <w:t>✘</w:t>
            </w:r>
          </w:p>
        </w:tc>
        <w:tc>
          <w:tcPr>
            <w:tcW w:w="1323" w:type="dxa"/>
            <w:vAlign w:val="center"/>
          </w:tcPr>
          <w:p w14:paraId="41ECAEA1" w14:textId="66075257" w:rsidR="00A04735" w:rsidRPr="00A04735" w:rsidRDefault="00A04735" w:rsidP="00A04735">
            <w:pPr>
              <w:pStyle w:val="af5"/>
              <w:spacing w:before="156" w:after="156"/>
              <w:jc w:val="center"/>
              <w:rPr>
                <w:rFonts w:eastAsiaTheme="minorEastAsia" w:cs="Times New Roman"/>
                <w:sz w:val="21"/>
                <w:szCs w:val="20"/>
              </w:rPr>
            </w:pPr>
            <w:r w:rsidRPr="00A04735">
              <w:rPr>
                <w:rFonts w:ascii="Segoe UI Symbol" w:hAnsi="Segoe UI Symbol" w:cs="Segoe UI Symbol"/>
                <w:color w:val="1F1F1F"/>
                <w:bdr w:val="none" w:sz="0" w:space="0" w:color="auto" w:frame="1"/>
              </w:rPr>
              <w:t>✘</w:t>
            </w:r>
          </w:p>
        </w:tc>
      </w:tr>
      <w:tr w:rsidR="00A04735" w14:paraId="7A769275" w14:textId="77777777" w:rsidTr="00733588">
        <w:tc>
          <w:tcPr>
            <w:tcW w:w="1501" w:type="dxa"/>
            <w:vAlign w:val="center"/>
          </w:tcPr>
          <w:p w14:paraId="2C537F5F" w14:textId="3F1B657F" w:rsidR="00A04735" w:rsidRPr="00733588" w:rsidRDefault="00A04735" w:rsidP="00A04735">
            <w:pPr>
              <w:pStyle w:val="af5"/>
              <w:spacing w:before="156" w:after="156"/>
              <w:jc w:val="center"/>
              <w:rPr>
                <w:rFonts w:eastAsiaTheme="minorEastAsia" w:cs="Times New Roman"/>
                <w:sz w:val="21"/>
                <w:szCs w:val="20"/>
              </w:rPr>
            </w:pPr>
            <w:r w:rsidRPr="00A04735">
              <w:rPr>
                <w:rFonts w:cs="Times New Roman"/>
                <w:color w:val="1F1F1F"/>
                <w:bdr w:val="none" w:sz="0" w:space="0" w:color="auto" w:frame="1"/>
              </w:rPr>
              <w:t xml:space="preserve">Standard LSTM (Kong et al.) </w:t>
            </w:r>
            <w:r w:rsidR="00733588">
              <w:rPr>
                <w:rFonts w:cs="Times New Roman"/>
                <w:color w:val="1F1F1F"/>
                <w:bdr w:val="none" w:sz="0" w:space="0" w:color="auto" w:frame="1"/>
              </w:rPr>
              <w:fldChar w:fldCharType="begin"/>
            </w:r>
            <w:r w:rsidR="00733588">
              <w:rPr>
                <w:rFonts w:cs="Times New Roman"/>
                <w:color w:val="1F1F1F"/>
                <w:bdr w:val="none" w:sz="0" w:space="0" w:color="auto" w:frame="1"/>
              </w:rPr>
              <w:instrText xml:space="preserve"> ADDIN ZOTERO_ITEM CSL_CITATION {"citationID":"BtkzOQrW","properties":{"formattedCitation":"[9]","plainCitation":"[9]","noteIndex":0},"citationItems":[{"id":557,"uris":["http://zotero.org/users/local/p3tV44H5/items/N4D6A4RG"],"itemData":{"id":557,"type":"article-journal","abstract":"As the power system is facing a transition toward a more intelligent, flexible, and interactive system with higher penetration of renewable energy generation, load forecasting, especially short-term load forecasting for individual electric customers plays an increasingly essential role in the future grid planning and operation. Other than aggregated residential load in a large scale, forecasting an electric load of a single energy user is fairly challenging due to the high volatility and uncertainty involved. In this paper, we propose a long short-term memory (LSTM) recurrent neural network-based framework, which is the latest and one of the most popular techniques of deep learning, to tackle this tricky issue. The proposed framework is tested on a publicly available set of real residential smart meter data, of which the performance is comprehensively compared to various benchmarks including the state-of-the-arts in the field of load forecasting. As a result, the proposed LSTM approach outperforms the other listed rival algorithms in the task of short-term load forecasting for individual residential households.","container-title":"IEEE Transactions on Smart Grid","DOI":"10.1109/TSG.2017.2753802","ISSN":"1949-3061","issue":"1","page":"841-851","source":"IEEE Xplore","title":"Short-Term Residential Load Forecasting Based on LSTM Recurrent Neural Network","volume":"10","author":[{"family":"Kong","given":"Weicong"},{"family":"Dong","given":"Zhao Yang"},{"family":"Jia","given":"Youwei"},{"family":"Hill","given":"David J."},{"family":"Xu","given":"Yan"},{"family":"Zhang","given":"Yuan"}],"issued":{"date-parts":[["2019",1]]}}}],"schema":"https://github.com/citation-style-language/schema/raw/master/csl-citation.json"} </w:instrText>
            </w:r>
            <w:r w:rsidR="00733588">
              <w:rPr>
                <w:rFonts w:cs="Times New Roman"/>
                <w:color w:val="1F1F1F"/>
                <w:bdr w:val="none" w:sz="0" w:space="0" w:color="auto" w:frame="1"/>
              </w:rPr>
              <w:fldChar w:fldCharType="separate"/>
            </w:r>
            <w:r w:rsidR="00733588" w:rsidRPr="00733588">
              <w:rPr>
                <w:rFonts w:cs="Times New Roman"/>
              </w:rPr>
              <w:t>[9]</w:t>
            </w:r>
            <w:r w:rsidR="00733588">
              <w:rPr>
                <w:rFonts w:cs="Times New Roman"/>
                <w:color w:val="1F1F1F"/>
                <w:bdr w:val="none" w:sz="0" w:space="0" w:color="auto" w:frame="1"/>
              </w:rPr>
              <w:fldChar w:fldCharType="end"/>
            </w:r>
          </w:p>
        </w:tc>
        <w:tc>
          <w:tcPr>
            <w:tcW w:w="1256" w:type="dxa"/>
            <w:vAlign w:val="center"/>
          </w:tcPr>
          <w:p w14:paraId="1A4A2247" w14:textId="0012D6F7" w:rsidR="00A04735" w:rsidRPr="00A04735" w:rsidRDefault="00A04735" w:rsidP="00A04735">
            <w:pPr>
              <w:pStyle w:val="af5"/>
              <w:spacing w:before="156" w:after="156"/>
              <w:jc w:val="center"/>
              <w:rPr>
                <w:rFonts w:eastAsiaTheme="minorEastAsia" w:cs="Times New Roman"/>
                <w:sz w:val="21"/>
                <w:szCs w:val="20"/>
              </w:rPr>
            </w:pPr>
            <w:r w:rsidRPr="00A04735">
              <w:rPr>
                <w:rFonts w:ascii="Segoe UI Symbol" w:hAnsi="Segoe UI Symbol" w:cs="Segoe UI Symbol"/>
                <w:color w:val="1F1F1F"/>
                <w:bdr w:val="none" w:sz="0" w:space="0" w:color="auto" w:frame="1"/>
              </w:rPr>
              <w:t>✔</w:t>
            </w:r>
          </w:p>
        </w:tc>
        <w:tc>
          <w:tcPr>
            <w:tcW w:w="1230" w:type="dxa"/>
            <w:vAlign w:val="center"/>
          </w:tcPr>
          <w:p w14:paraId="2911AB34" w14:textId="6DCD6E9C" w:rsidR="00A04735" w:rsidRPr="00A04735" w:rsidRDefault="00A04735" w:rsidP="00A04735">
            <w:pPr>
              <w:pStyle w:val="af5"/>
              <w:spacing w:before="156" w:after="156"/>
              <w:jc w:val="center"/>
              <w:rPr>
                <w:rFonts w:eastAsiaTheme="minorEastAsia" w:cs="Times New Roman"/>
                <w:sz w:val="21"/>
                <w:szCs w:val="20"/>
              </w:rPr>
            </w:pPr>
            <w:r w:rsidRPr="00A04735">
              <w:rPr>
                <w:rFonts w:ascii="Segoe UI Symbol" w:hAnsi="Segoe UI Symbol" w:cs="Segoe UI Symbol"/>
                <w:color w:val="1F1F1F"/>
                <w:bdr w:val="none" w:sz="0" w:space="0" w:color="auto" w:frame="1"/>
              </w:rPr>
              <w:t>✘</w:t>
            </w:r>
          </w:p>
        </w:tc>
        <w:tc>
          <w:tcPr>
            <w:tcW w:w="1269" w:type="dxa"/>
            <w:vAlign w:val="center"/>
          </w:tcPr>
          <w:p w14:paraId="25E1A037" w14:textId="7D194F4E" w:rsidR="00A04735" w:rsidRPr="00A04735" w:rsidRDefault="00A04735" w:rsidP="00A04735">
            <w:pPr>
              <w:pStyle w:val="af5"/>
              <w:spacing w:before="156" w:after="156"/>
              <w:jc w:val="center"/>
              <w:rPr>
                <w:rFonts w:eastAsiaTheme="minorEastAsia" w:cs="Times New Roman"/>
                <w:sz w:val="21"/>
                <w:szCs w:val="20"/>
              </w:rPr>
            </w:pPr>
            <w:r w:rsidRPr="00A04735">
              <w:rPr>
                <w:rFonts w:ascii="Segoe UI Symbol" w:hAnsi="Segoe UI Symbol" w:cs="Segoe UI Symbol"/>
                <w:color w:val="1F1F1F"/>
                <w:bdr w:val="none" w:sz="0" w:space="0" w:color="auto" w:frame="1"/>
              </w:rPr>
              <w:t>✘</w:t>
            </w:r>
          </w:p>
        </w:tc>
        <w:tc>
          <w:tcPr>
            <w:tcW w:w="1283" w:type="dxa"/>
            <w:vAlign w:val="center"/>
          </w:tcPr>
          <w:p w14:paraId="5BCC2BE8" w14:textId="4F045BE5" w:rsidR="00A04735" w:rsidRPr="00A04735" w:rsidRDefault="00A04735" w:rsidP="00A04735">
            <w:pPr>
              <w:pStyle w:val="af5"/>
              <w:spacing w:before="156" w:after="156"/>
              <w:jc w:val="center"/>
              <w:rPr>
                <w:rFonts w:eastAsiaTheme="minorEastAsia" w:cs="Times New Roman"/>
                <w:sz w:val="21"/>
                <w:szCs w:val="20"/>
              </w:rPr>
            </w:pPr>
            <w:r w:rsidRPr="00A04735">
              <w:rPr>
                <w:rFonts w:ascii="Segoe UI Symbol" w:hAnsi="Segoe UI Symbol" w:cs="Segoe UI Symbol"/>
                <w:color w:val="1F1F1F"/>
                <w:bdr w:val="none" w:sz="0" w:space="0" w:color="auto" w:frame="1"/>
              </w:rPr>
              <w:t>✘</w:t>
            </w:r>
          </w:p>
        </w:tc>
        <w:tc>
          <w:tcPr>
            <w:tcW w:w="1323" w:type="dxa"/>
            <w:vAlign w:val="center"/>
          </w:tcPr>
          <w:p w14:paraId="42BD3986" w14:textId="75464411" w:rsidR="00A04735" w:rsidRPr="00A04735" w:rsidRDefault="00A04735" w:rsidP="00A04735">
            <w:pPr>
              <w:pStyle w:val="af5"/>
              <w:spacing w:before="156" w:after="156"/>
              <w:jc w:val="center"/>
              <w:rPr>
                <w:rFonts w:eastAsiaTheme="minorEastAsia" w:cs="Times New Roman"/>
                <w:sz w:val="21"/>
                <w:szCs w:val="20"/>
              </w:rPr>
            </w:pPr>
            <w:r w:rsidRPr="00A04735">
              <w:rPr>
                <w:rFonts w:ascii="Segoe UI Symbol" w:hAnsi="Segoe UI Symbol" w:cs="Segoe UI Symbol"/>
                <w:color w:val="1F1F1F"/>
                <w:bdr w:val="none" w:sz="0" w:space="0" w:color="auto" w:frame="1"/>
              </w:rPr>
              <w:t>✘</w:t>
            </w:r>
          </w:p>
        </w:tc>
      </w:tr>
      <w:tr w:rsidR="00A04735" w14:paraId="3D318656" w14:textId="77777777" w:rsidTr="00733588">
        <w:tc>
          <w:tcPr>
            <w:tcW w:w="1501" w:type="dxa"/>
            <w:vAlign w:val="center"/>
          </w:tcPr>
          <w:p w14:paraId="31DD9B8D" w14:textId="5F8EBC1A" w:rsidR="00A04735" w:rsidRPr="00733588" w:rsidRDefault="00A04735" w:rsidP="00A04735">
            <w:pPr>
              <w:pStyle w:val="af5"/>
              <w:spacing w:before="156" w:after="156"/>
              <w:jc w:val="center"/>
              <w:rPr>
                <w:rFonts w:eastAsiaTheme="minorEastAsia" w:cs="Times New Roman"/>
                <w:sz w:val="21"/>
                <w:szCs w:val="20"/>
              </w:rPr>
            </w:pPr>
            <w:r w:rsidRPr="00A04735">
              <w:rPr>
                <w:rFonts w:cs="Times New Roman"/>
                <w:color w:val="1F1F1F"/>
                <w:bdr w:val="none" w:sz="0" w:space="0" w:color="auto" w:frame="1"/>
              </w:rPr>
              <w:t xml:space="preserve">Pooling RNN (Shi et al.) </w:t>
            </w:r>
            <w:r w:rsidR="00733588">
              <w:rPr>
                <w:rFonts w:cs="Times New Roman"/>
                <w:color w:val="1F1F1F"/>
                <w:bdr w:val="none" w:sz="0" w:space="0" w:color="auto" w:frame="1"/>
              </w:rPr>
              <w:fldChar w:fldCharType="begin"/>
            </w:r>
            <w:r w:rsidR="00733588">
              <w:rPr>
                <w:rFonts w:cs="Times New Roman"/>
                <w:color w:val="1F1F1F"/>
                <w:bdr w:val="none" w:sz="0" w:space="0" w:color="auto" w:frame="1"/>
              </w:rPr>
              <w:instrText xml:space="preserve"> ADDIN ZOTERO_ITEM CSL_CITATION {"citationID":"uW0Oszxj","properties":{"formattedCitation":"[22]","plainCitation":"[22]","noteIndex":0},"citationItems":[{"id":582,"uris":["http://zotero.org/users/local/p3tV44H5/items/ZEP5S279"],"itemData":{"id":582,"type":"article-journal","abstract":"The key challenge for household load forecasting lies in the high volatility and uncertainty of load profiles. Traditional methods tend to avoid such uncertainty by load aggregation (to offset uncertainties), customer classification (to cluster uncertainties) and spectral analysis (to filter out uncertainties). This paper, for the first time, aims to directly learn the uncertainty by applying a new breed of machine learning algorithms – deep learning.","container-title":"IEEE Transactions on Smart Grid","DOI":"10.1109/TSG.2017.2686012","ISSN":"1949-3053, 1949-3061","issue":"5","journalAbbreviation":"IEEE Trans. Smart Grid","language":"en","license":"https://ieeexplore.ieee.org/Xplorehelp/downloads/license-information/IEEE.html","page":"5271-5280","source":"DOI.org (Crossref)","title":"Deep Learning for Household Load Forecasting—A Novel Pooling Deep RNN","volume":"9","author":[{"family":"Shi","given":"Heng"},{"family":"Xu","given":"Minghao"},{"family":"Li","given":"Ran"}],"issued":{"date-parts":[["2018",9]]}}}],"schema":"https://github.com/citation-style-language/schema/raw/master/csl-citation.json"} </w:instrText>
            </w:r>
            <w:r w:rsidR="00733588">
              <w:rPr>
                <w:rFonts w:cs="Times New Roman"/>
                <w:color w:val="1F1F1F"/>
                <w:bdr w:val="none" w:sz="0" w:space="0" w:color="auto" w:frame="1"/>
              </w:rPr>
              <w:fldChar w:fldCharType="separate"/>
            </w:r>
            <w:r w:rsidR="00733588" w:rsidRPr="00733588">
              <w:rPr>
                <w:rFonts w:cs="Times New Roman"/>
              </w:rPr>
              <w:t>[22]</w:t>
            </w:r>
            <w:r w:rsidR="00733588">
              <w:rPr>
                <w:rFonts w:cs="Times New Roman"/>
                <w:color w:val="1F1F1F"/>
                <w:bdr w:val="none" w:sz="0" w:space="0" w:color="auto" w:frame="1"/>
              </w:rPr>
              <w:fldChar w:fldCharType="end"/>
            </w:r>
          </w:p>
        </w:tc>
        <w:tc>
          <w:tcPr>
            <w:tcW w:w="1256" w:type="dxa"/>
            <w:vAlign w:val="center"/>
          </w:tcPr>
          <w:p w14:paraId="1DA52C3E" w14:textId="6FA37280" w:rsidR="00A04735" w:rsidRPr="00A04735" w:rsidRDefault="00A04735" w:rsidP="00A04735">
            <w:pPr>
              <w:pStyle w:val="af5"/>
              <w:spacing w:before="156" w:after="156"/>
              <w:jc w:val="center"/>
              <w:rPr>
                <w:rFonts w:eastAsiaTheme="minorEastAsia" w:cs="Times New Roman"/>
                <w:sz w:val="21"/>
                <w:szCs w:val="20"/>
              </w:rPr>
            </w:pPr>
            <w:r w:rsidRPr="00A04735">
              <w:rPr>
                <w:rFonts w:ascii="Segoe UI Symbol" w:hAnsi="Segoe UI Symbol" w:cs="Segoe UI Symbol"/>
                <w:color w:val="1F1F1F"/>
                <w:bdr w:val="none" w:sz="0" w:space="0" w:color="auto" w:frame="1"/>
              </w:rPr>
              <w:t>✔</w:t>
            </w:r>
          </w:p>
        </w:tc>
        <w:tc>
          <w:tcPr>
            <w:tcW w:w="1230" w:type="dxa"/>
            <w:vAlign w:val="center"/>
          </w:tcPr>
          <w:p w14:paraId="649F0CF4" w14:textId="6C6C98ED" w:rsidR="00A04735" w:rsidRPr="00A04735" w:rsidRDefault="00A04735" w:rsidP="00A04735">
            <w:pPr>
              <w:pStyle w:val="af5"/>
              <w:spacing w:before="156" w:after="156"/>
              <w:jc w:val="center"/>
              <w:rPr>
                <w:rFonts w:eastAsiaTheme="minorEastAsia" w:cs="Times New Roman"/>
                <w:sz w:val="21"/>
                <w:szCs w:val="20"/>
              </w:rPr>
            </w:pPr>
            <w:r w:rsidRPr="00A04735">
              <w:rPr>
                <w:rFonts w:ascii="Segoe UI Symbol" w:hAnsi="Segoe UI Symbol" w:cs="Segoe UI Symbol"/>
                <w:color w:val="1F1F1F"/>
                <w:bdr w:val="none" w:sz="0" w:space="0" w:color="auto" w:frame="1"/>
              </w:rPr>
              <w:t>✘</w:t>
            </w:r>
          </w:p>
        </w:tc>
        <w:tc>
          <w:tcPr>
            <w:tcW w:w="1269" w:type="dxa"/>
            <w:vAlign w:val="center"/>
          </w:tcPr>
          <w:p w14:paraId="44C0E2F4" w14:textId="1D33A2D4" w:rsidR="00A04735" w:rsidRPr="00A04735" w:rsidRDefault="00A04735" w:rsidP="00A04735">
            <w:pPr>
              <w:pStyle w:val="af5"/>
              <w:spacing w:before="156" w:after="156"/>
              <w:jc w:val="center"/>
              <w:rPr>
                <w:rFonts w:eastAsiaTheme="minorEastAsia" w:cs="Times New Roman"/>
                <w:sz w:val="21"/>
                <w:szCs w:val="20"/>
              </w:rPr>
            </w:pPr>
            <w:r w:rsidRPr="00A04735">
              <w:rPr>
                <w:rFonts w:ascii="Segoe UI Symbol" w:hAnsi="Segoe UI Symbol" w:cs="Segoe UI Symbol"/>
                <w:color w:val="1F1F1F"/>
                <w:bdr w:val="none" w:sz="0" w:space="0" w:color="auto" w:frame="1"/>
              </w:rPr>
              <w:t>✘</w:t>
            </w:r>
          </w:p>
        </w:tc>
        <w:tc>
          <w:tcPr>
            <w:tcW w:w="1283" w:type="dxa"/>
            <w:vAlign w:val="center"/>
          </w:tcPr>
          <w:p w14:paraId="36CF7D36" w14:textId="60FA53B0" w:rsidR="00A04735" w:rsidRPr="00A04735" w:rsidRDefault="00A04735" w:rsidP="00A04735">
            <w:pPr>
              <w:pStyle w:val="af5"/>
              <w:spacing w:before="156" w:after="156"/>
              <w:jc w:val="center"/>
              <w:rPr>
                <w:rFonts w:eastAsiaTheme="minorEastAsia" w:cs="Times New Roman"/>
                <w:sz w:val="21"/>
                <w:szCs w:val="20"/>
              </w:rPr>
            </w:pPr>
            <w:r w:rsidRPr="00A04735">
              <w:rPr>
                <w:rFonts w:ascii="Segoe UI Symbol" w:hAnsi="Segoe UI Symbol" w:cs="Segoe UI Symbol"/>
                <w:color w:val="1F1F1F"/>
                <w:bdr w:val="none" w:sz="0" w:space="0" w:color="auto" w:frame="1"/>
              </w:rPr>
              <w:t>✘</w:t>
            </w:r>
          </w:p>
        </w:tc>
        <w:tc>
          <w:tcPr>
            <w:tcW w:w="1323" w:type="dxa"/>
            <w:vAlign w:val="center"/>
          </w:tcPr>
          <w:p w14:paraId="510360E6" w14:textId="7E697B5F" w:rsidR="00A04735" w:rsidRPr="00A04735" w:rsidRDefault="00A04735" w:rsidP="00A04735">
            <w:pPr>
              <w:pStyle w:val="af5"/>
              <w:spacing w:before="156" w:after="156"/>
              <w:jc w:val="center"/>
              <w:rPr>
                <w:rFonts w:eastAsiaTheme="minorEastAsia" w:cs="Times New Roman"/>
                <w:sz w:val="21"/>
                <w:szCs w:val="20"/>
              </w:rPr>
            </w:pPr>
            <w:r w:rsidRPr="00A04735">
              <w:rPr>
                <w:rFonts w:ascii="Segoe UI Symbol" w:hAnsi="Segoe UI Symbol" w:cs="Segoe UI Symbol"/>
                <w:color w:val="1F1F1F"/>
                <w:bdr w:val="none" w:sz="0" w:space="0" w:color="auto" w:frame="1"/>
              </w:rPr>
              <w:t>✘</w:t>
            </w:r>
          </w:p>
        </w:tc>
      </w:tr>
      <w:tr w:rsidR="00A04735" w14:paraId="49985A5B" w14:textId="77777777" w:rsidTr="00733588">
        <w:tc>
          <w:tcPr>
            <w:tcW w:w="1501" w:type="dxa"/>
            <w:vAlign w:val="center"/>
          </w:tcPr>
          <w:p w14:paraId="2FFB5953" w14:textId="72C240D5" w:rsidR="00A04735" w:rsidRPr="00733588" w:rsidRDefault="00A04735" w:rsidP="00A04735">
            <w:pPr>
              <w:pStyle w:val="af5"/>
              <w:spacing w:before="156" w:after="156"/>
              <w:jc w:val="center"/>
              <w:rPr>
                <w:rFonts w:eastAsiaTheme="minorEastAsia" w:cs="Times New Roman"/>
                <w:sz w:val="21"/>
                <w:szCs w:val="20"/>
              </w:rPr>
            </w:pPr>
            <w:r w:rsidRPr="00A04735">
              <w:rPr>
                <w:rFonts w:cs="Times New Roman"/>
                <w:color w:val="1F1F1F"/>
                <w:bdr w:val="none" w:sz="0" w:space="0" w:color="auto" w:frame="1"/>
              </w:rPr>
              <w:t xml:space="preserve">Deep Learning &amp; Transformers (Massaoudi et al.) </w:t>
            </w:r>
            <w:r w:rsidR="00733588">
              <w:rPr>
                <w:rFonts w:cs="Times New Roman"/>
                <w:color w:val="1F1F1F"/>
                <w:bdr w:val="none" w:sz="0" w:space="0" w:color="auto" w:frame="1"/>
              </w:rPr>
              <w:fldChar w:fldCharType="begin"/>
            </w:r>
            <w:r w:rsidR="00733588">
              <w:rPr>
                <w:rFonts w:cs="Times New Roman"/>
                <w:color w:val="1F1F1F"/>
                <w:bdr w:val="none" w:sz="0" w:space="0" w:color="auto" w:frame="1"/>
              </w:rPr>
              <w:instrText xml:space="preserve"> ADDIN ZOTERO_ITEM CSL_CITATION {"citationID":"530ePJDx","properties":{"formattedCitation":"[4]","plainCitation":"[4]","noteIndex":0},"citationItems":[{"id":567,"uris":["http://zotero.org/users/local/p3tV44H5/items/J38MU6UU"],"itemData":{"id":567,"type":"article-journal","abstract":"The current electric power system witnesses a significant transition into Smart Grids (SG) as a promising landscape for high grid reliability and efficient energy management. This ongoing transition undergoes rapid changes, requiring a plethora of advanced methodologies to process the big data generated by various units. In this context, SG stands tied very closely to Deep Learning (DL) as an emerging technology for creating a more decentralized and intelligent energy paradigm while integrating high intelligence in supervisory and operational decision-making. Motivated by the outstanding success of DL-based prediction methods, this article attempts to provide a thorough review from a broad perspective on the state-of-the-art advances of DL in SG systems. Firstly, a bibliometric analysis has been conducted to categorize this review's methodology. Further, we taxonomically delve into the mechanism behind some of the trending DL algorithms. We then showcase the DL enabling technologies in SG, such as federated learning, edge intelligence, and distributed computing. Finally, challenges and research frontiers are provided to serve as guidelines for future work in the futuristic power grid domain. This study's core objective is to foster the synergy between these two fields for decision-makers and researchers to accelerate DL's practical deployment for SG systems.","container-title":"IEEE Access","DOI":"10.1109/ACCESS.2021.3071269","ISSN":"2169-3536","page":"54558-54578","source":"IEEE Xplore","title":"Deep Learning in Smart Grid Technology: A Review of Recent Advancements and Future Prospects","title-short":"Deep Learning in Smart Grid Technology","volume":"9","author":[{"family":"Massaoudi","given":"Mohamed"},{"family":"Abu-Rub","given":"Haitham"},{"family":"Refaat","given":"Shady S."},{"family":"Chihi","given":"Ines"},{"family":"Oueslati","given":"Fakhreddine S."}],"issued":{"date-parts":[["2021"]]}}}],"schema":"https://github.com/citation-style-language/schema/raw/master/csl-citation.json"} </w:instrText>
            </w:r>
            <w:r w:rsidR="00733588">
              <w:rPr>
                <w:rFonts w:cs="Times New Roman"/>
                <w:color w:val="1F1F1F"/>
                <w:bdr w:val="none" w:sz="0" w:space="0" w:color="auto" w:frame="1"/>
              </w:rPr>
              <w:fldChar w:fldCharType="separate"/>
            </w:r>
            <w:r w:rsidR="00733588" w:rsidRPr="00733588">
              <w:rPr>
                <w:rFonts w:cs="Times New Roman"/>
              </w:rPr>
              <w:t>[4]</w:t>
            </w:r>
            <w:r w:rsidR="00733588">
              <w:rPr>
                <w:rFonts w:cs="Times New Roman"/>
                <w:color w:val="1F1F1F"/>
                <w:bdr w:val="none" w:sz="0" w:space="0" w:color="auto" w:frame="1"/>
              </w:rPr>
              <w:fldChar w:fldCharType="end"/>
            </w:r>
          </w:p>
        </w:tc>
        <w:tc>
          <w:tcPr>
            <w:tcW w:w="1256" w:type="dxa"/>
            <w:vAlign w:val="center"/>
          </w:tcPr>
          <w:p w14:paraId="589E94F3" w14:textId="66224B61" w:rsidR="00A04735" w:rsidRPr="00A04735" w:rsidRDefault="00A04735" w:rsidP="00A04735">
            <w:pPr>
              <w:pStyle w:val="af5"/>
              <w:spacing w:before="156" w:after="156"/>
              <w:jc w:val="center"/>
              <w:rPr>
                <w:rFonts w:eastAsiaTheme="minorEastAsia" w:cs="Times New Roman"/>
                <w:sz w:val="21"/>
                <w:szCs w:val="20"/>
              </w:rPr>
            </w:pPr>
            <w:r w:rsidRPr="00A04735">
              <w:rPr>
                <w:rFonts w:ascii="Segoe UI Symbol" w:hAnsi="Segoe UI Symbol" w:cs="Segoe UI Symbol"/>
                <w:color w:val="1F1F1F"/>
                <w:bdr w:val="none" w:sz="0" w:space="0" w:color="auto" w:frame="1"/>
              </w:rPr>
              <w:t>✔</w:t>
            </w:r>
          </w:p>
        </w:tc>
        <w:tc>
          <w:tcPr>
            <w:tcW w:w="1230" w:type="dxa"/>
            <w:vAlign w:val="center"/>
          </w:tcPr>
          <w:p w14:paraId="56C51946" w14:textId="4CB2AF57" w:rsidR="00A04735" w:rsidRPr="00A04735" w:rsidRDefault="00A04735" w:rsidP="00A04735">
            <w:pPr>
              <w:pStyle w:val="af5"/>
              <w:spacing w:before="156" w:after="156"/>
              <w:jc w:val="center"/>
              <w:rPr>
                <w:rFonts w:eastAsiaTheme="minorEastAsia" w:cs="Times New Roman"/>
                <w:sz w:val="21"/>
                <w:szCs w:val="20"/>
              </w:rPr>
            </w:pPr>
            <w:r w:rsidRPr="00A04735">
              <w:rPr>
                <w:rFonts w:ascii="Segoe UI Symbol" w:hAnsi="Segoe UI Symbol" w:cs="Segoe UI Symbol"/>
                <w:color w:val="1F1F1F"/>
                <w:bdr w:val="none" w:sz="0" w:space="0" w:color="auto" w:frame="1"/>
              </w:rPr>
              <w:t>✘</w:t>
            </w:r>
          </w:p>
        </w:tc>
        <w:tc>
          <w:tcPr>
            <w:tcW w:w="1269" w:type="dxa"/>
            <w:vAlign w:val="center"/>
          </w:tcPr>
          <w:p w14:paraId="62677AF4" w14:textId="7DFD740B" w:rsidR="00A04735" w:rsidRPr="00A04735" w:rsidRDefault="00A04735" w:rsidP="00A04735">
            <w:pPr>
              <w:pStyle w:val="af5"/>
              <w:spacing w:before="156" w:after="156"/>
              <w:jc w:val="center"/>
              <w:rPr>
                <w:rFonts w:eastAsiaTheme="minorEastAsia" w:cs="Times New Roman"/>
                <w:sz w:val="21"/>
                <w:szCs w:val="20"/>
              </w:rPr>
            </w:pPr>
            <w:r w:rsidRPr="00A04735">
              <w:rPr>
                <w:rFonts w:ascii="Segoe UI Symbol" w:hAnsi="Segoe UI Symbol" w:cs="Segoe UI Symbol"/>
                <w:color w:val="1F1F1F"/>
                <w:bdr w:val="none" w:sz="0" w:space="0" w:color="auto" w:frame="1"/>
              </w:rPr>
              <w:t>✘</w:t>
            </w:r>
          </w:p>
        </w:tc>
        <w:tc>
          <w:tcPr>
            <w:tcW w:w="1283" w:type="dxa"/>
            <w:vAlign w:val="center"/>
          </w:tcPr>
          <w:p w14:paraId="36E4CB64" w14:textId="7F59C939" w:rsidR="00A04735" w:rsidRPr="00A04735" w:rsidRDefault="00A04735" w:rsidP="00A04735">
            <w:pPr>
              <w:pStyle w:val="af5"/>
              <w:spacing w:before="156" w:after="156"/>
              <w:jc w:val="center"/>
              <w:rPr>
                <w:rFonts w:eastAsiaTheme="minorEastAsia" w:cs="Times New Roman"/>
                <w:sz w:val="21"/>
                <w:szCs w:val="20"/>
              </w:rPr>
            </w:pPr>
            <w:r w:rsidRPr="00A04735">
              <w:rPr>
                <w:rFonts w:ascii="Segoe UI Symbol" w:hAnsi="Segoe UI Symbol" w:cs="Segoe UI Symbol"/>
                <w:color w:val="1F1F1F"/>
                <w:bdr w:val="none" w:sz="0" w:space="0" w:color="auto" w:frame="1"/>
              </w:rPr>
              <w:t>✘</w:t>
            </w:r>
          </w:p>
        </w:tc>
        <w:tc>
          <w:tcPr>
            <w:tcW w:w="1323" w:type="dxa"/>
            <w:vAlign w:val="center"/>
          </w:tcPr>
          <w:p w14:paraId="025B92A0" w14:textId="32897A08" w:rsidR="00A04735" w:rsidRPr="00A04735" w:rsidRDefault="00A04735" w:rsidP="00A04735">
            <w:pPr>
              <w:pStyle w:val="af5"/>
              <w:spacing w:before="156" w:after="156"/>
              <w:jc w:val="center"/>
              <w:rPr>
                <w:rFonts w:eastAsiaTheme="minorEastAsia" w:cs="Times New Roman"/>
                <w:sz w:val="21"/>
                <w:szCs w:val="20"/>
              </w:rPr>
            </w:pPr>
            <w:r w:rsidRPr="00A04735">
              <w:rPr>
                <w:rFonts w:ascii="Segoe UI Symbol" w:hAnsi="Segoe UI Symbol" w:cs="Segoe UI Symbol"/>
                <w:color w:val="1F1F1F"/>
                <w:bdr w:val="none" w:sz="0" w:space="0" w:color="auto" w:frame="1"/>
              </w:rPr>
              <w:t>✘</w:t>
            </w:r>
          </w:p>
        </w:tc>
      </w:tr>
      <w:tr w:rsidR="00A04735" w14:paraId="604DD7A8" w14:textId="77777777" w:rsidTr="00733588">
        <w:tc>
          <w:tcPr>
            <w:tcW w:w="1501" w:type="dxa"/>
            <w:vAlign w:val="center"/>
          </w:tcPr>
          <w:p w14:paraId="74CF2D8C" w14:textId="7890EA3E" w:rsidR="00A04735" w:rsidRPr="00733588" w:rsidRDefault="00A04735" w:rsidP="00A04735">
            <w:pPr>
              <w:pStyle w:val="af5"/>
              <w:spacing w:before="156" w:after="156"/>
              <w:jc w:val="center"/>
              <w:rPr>
                <w:rFonts w:eastAsiaTheme="minorEastAsia" w:cs="Times New Roman"/>
                <w:sz w:val="21"/>
                <w:szCs w:val="20"/>
              </w:rPr>
            </w:pPr>
            <w:r w:rsidRPr="00A04735">
              <w:rPr>
                <w:rFonts w:cs="Times New Roman"/>
                <w:color w:val="1F1F1F"/>
                <w:bdr w:val="none" w:sz="0" w:space="0" w:color="auto" w:frame="1"/>
              </w:rPr>
              <w:t xml:space="preserve">DNN Transfer Learning (Lee &amp; Rhee) </w:t>
            </w:r>
            <w:r w:rsidR="00733588">
              <w:rPr>
                <w:rFonts w:cs="Times New Roman"/>
                <w:color w:val="1F1F1F"/>
                <w:bdr w:val="none" w:sz="0" w:space="0" w:color="auto" w:frame="1"/>
              </w:rPr>
              <w:fldChar w:fldCharType="begin"/>
            </w:r>
            <w:r w:rsidR="00733588">
              <w:rPr>
                <w:rFonts w:cs="Times New Roman"/>
                <w:color w:val="1F1F1F"/>
                <w:bdr w:val="none" w:sz="0" w:space="0" w:color="auto" w:frame="1"/>
              </w:rPr>
              <w:instrText xml:space="preserve"> ADDIN ZOTERO_ITEM CSL_CITATION {"citationID":"GW3JczBH","properties":{"formattedCitation":"[11]","plainCitation":"[11]","noteIndex":0},"citationItems":[{"id":595,"uris":["http://zotero.org/users/local/p3tV44H5/items/RYGGA6L8"],"itemData":{"id":595,"type":"article-journal","abstract":"While the general belief is that the best way to predict electric load is through individualized models, the existing studies have focused on one-for-all models because the individual models are difficult to train and require a significantly larger data accumulation time per individual. In recent years, applying deep learning for forecasting electric load has become an important research topic but still one-for-all has been the main approach. In this work, we adopt transfer learning and meta learning that can be smoothly integrated into deep neural networks, and show how a high-performance individualized model can be formed using the individual's data collected over just several days. This is made possible by extracting the common patterns of many individuals using a sufficiently large dataset, and then customizing each individual model using the specific individual's small dataset. The proposed methods are evaluated over residential and non-residential datasets. When compared to the conventional methods, the meta learning model shows 7.84% and 15.07% RMSE improvements over the residential and non-residential datasets, respectively. Our results suggest that the individualized models can be used as effective tools for many short-term load forecasting tasks.","container-title":"IEEE Access","DOI":"10.1109/ACCESS.2021.3053317","ISSN":"2169-3536","page":"15413-15425","source":"IEEE Xplore","title":"Individualized Short-Term Electric Load Forecasting With Deep Neural Network Based Transfer Learning and Meta Learning","volume":"9","author":[{"family":"Lee","given":"Eunjung"},{"family":"Rhee","given":"Wonjong"}],"issued":{"date-parts":[["2021"]]}}}],"schema":"https://github.com/citation-style-language/schema/raw/master/csl-citation.json"} </w:instrText>
            </w:r>
            <w:r w:rsidR="00733588">
              <w:rPr>
                <w:rFonts w:cs="Times New Roman"/>
                <w:color w:val="1F1F1F"/>
                <w:bdr w:val="none" w:sz="0" w:space="0" w:color="auto" w:frame="1"/>
              </w:rPr>
              <w:fldChar w:fldCharType="separate"/>
            </w:r>
            <w:r w:rsidR="00733588" w:rsidRPr="00733588">
              <w:rPr>
                <w:rFonts w:cs="Times New Roman"/>
              </w:rPr>
              <w:t>[11]</w:t>
            </w:r>
            <w:r w:rsidR="00733588">
              <w:rPr>
                <w:rFonts w:cs="Times New Roman"/>
                <w:color w:val="1F1F1F"/>
                <w:bdr w:val="none" w:sz="0" w:space="0" w:color="auto" w:frame="1"/>
              </w:rPr>
              <w:fldChar w:fldCharType="end"/>
            </w:r>
          </w:p>
        </w:tc>
        <w:tc>
          <w:tcPr>
            <w:tcW w:w="1256" w:type="dxa"/>
            <w:vAlign w:val="center"/>
          </w:tcPr>
          <w:p w14:paraId="4B13418E" w14:textId="369EA79D" w:rsidR="00A04735" w:rsidRPr="00A04735" w:rsidRDefault="00A04735" w:rsidP="00A04735">
            <w:pPr>
              <w:pStyle w:val="af5"/>
              <w:spacing w:before="156" w:after="156"/>
              <w:jc w:val="center"/>
              <w:rPr>
                <w:rFonts w:eastAsiaTheme="minorEastAsia" w:cs="Times New Roman"/>
                <w:sz w:val="21"/>
                <w:szCs w:val="20"/>
              </w:rPr>
            </w:pPr>
            <w:r w:rsidRPr="00A04735">
              <w:rPr>
                <w:rFonts w:ascii="Segoe UI Symbol" w:hAnsi="Segoe UI Symbol" w:cs="Segoe UI Symbol"/>
                <w:color w:val="1F1F1F"/>
                <w:bdr w:val="none" w:sz="0" w:space="0" w:color="auto" w:frame="1"/>
              </w:rPr>
              <w:t>✔</w:t>
            </w:r>
          </w:p>
        </w:tc>
        <w:tc>
          <w:tcPr>
            <w:tcW w:w="1230" w:type="dxa"/>
            <w:vAlign w:val="center"/>
          </w:tcPr>
          <w:p w14:paraId="3CC6BB6E" w14:textId="7F9101D5" w:rsidR="00A04735" w:rsidRPr="00A04735" w:rsidRDefault="00A04735" w:rsidP="00A04735">
            <w:pPr>
              <w:pStyle w:val="af5"/>
              <w:spacing w:before="156" w:after="156"/>
              <w:jc w:val="center"/>
              <w:rPr>
                <w:rFonts w:eastAsiaTheme="minorEastAsia" w:cs="Times New Roman"/>
                <w:sz w:val="21"/>
                <w:szCs w:val="20"/>
              </w:rPr>
            </w:pPr>
            <w:r w:rsidRPr="00A04735">
              <w:rPr>
                <w:rFonts w:ascii="Segoe UI Symbol" w:hAnsi="Segoe UI Symbol" w:cs="Segoe UI Symbol"/>
                <w:color w:val="1F1F1F"/>
                <w:bdr w:val="none" w:sz="0" w:space="0" w:color="auto" w:frame="1"/>
              </w:rPr>
              <w:t>✔</w:t>
            </w:r>
          </w:p>
        </w:tc>
        <w:tc>
          <w:tcPr>
            <w:tcW w:w="1269" w:type="dxa"/>
            <w:vAlign w:val="center"/>
          </w:tcPr>
          <w:p w14:paraId="2F113272" w14:textId="79003360" w:rsidR="00A04735" w:rsidRPr="00A04735" w:rsidRDefault="00A04735" w:rsidP="00A04735">
            <w:pPr>
              <w:pStyle w:val="af5"/>
              <w:spacing w:before="156" w:after="156"/>
              <w:jc w:val="center"/>
              <w:rPr>
                <w:rFonts w:eastAsiaTheme="minorEastAsia" w:cs="Times New Roman"/>
                <w:sz w:val="21"/>
                <w:szCs w:val="20"/>
              </w:rPr>
            </w:pPr>
            <w:r w:rsidRPr="00A04735">
              <w:rPr>
                <w:rFonts w:ascii="Segoe UI Symbol" w:hAnsi="Segoe UI Symbol" w:cs="Segoe UI Symbol"/>
                <w:color w:val="1F1F1F"/>
                <w:bdr w:val="none" w:sz="0" w:space="0" w:color="auto" w:frame="1"/>
              </w:rPr>
              <w:t>✔</w:t>
            </w:r>
          </w:p>
        </w:tc>
        <w:tc>
          <w:tcPr>
            <w:tcW w:w="1283" w:type="dxa"/>
            <w:vAlign w:val="center"/>
          </w:tcPr>
          <w:p w14:paraId="41C8FDD4" w14:textId="17BFD267" w:rsidR="00A04735" w:rsidRPr="00A04735" w:rsidRDefault="00A04735" w:rsidP="00A04735">
            <w:pPr>
              <w:pStyle w:val="af5"/>
              <w:spacing w:before="156" w:after="156"/>
              <w:jc w:val="center"/>
              <w:rPr>
                <w:rFonts w:eastAsiaTheme="minorEastAsia" w:cs="Times New Roman"/>
                <w:sz w:val="21"/>
                <w:szCs w:val="20"/>
              </w:rPr>
            </w:pPr>
            <w:r w:rsidRPr="00A04735">
              <w:rPr>
                <w:rFonts w:ascii="Segoe UI Symbol" w:hAnsi="Segoe UI Symbol" w:cs="Segoe UI Symbol"/>
                <w:color w:val="1F1F1F"/>
                <w:bdr w:val="none" w:sz="0" w:space="0" w:color="auto" w:frame="1"/>
              </w:rPr>
              <w:t>✘</w:t>
            </w:r>
          </w:p>
        </w:tc>
        <w:tc>
          <w:tcPr>
            <w:tcW w:w="1323" w:type="dxa"/>
            <w:vAlign w:val="center"/>
          </w:tcPr>
          <w:p w14:paraId="56BE939E" w14:textId="34F77BE1" w:rsidR="00A04735" w:rsidRPr="00A04735" w:rsidRDefault="00A04735" w:rsidP="00A04735">
            <w:pPr>
              <w:pStyle w:val="af5"/>
              <w:spacing w:before="156" w:after="156"/>
              <w:jc w:val="center"/>
              <w:rPr>
                <w:rFonts w:eastAsiaTheme="minorEastAsia" w:cs="Times New Roman"/>
                <w:sz w:val="21"/>
                <w:szCs w:val="20"/>
              </w:rPr>
            </w:pPr>
            <w:r w:rsidRPr="00A04735">
              <w:rPr>
                <w:rFonts w:ascii="Segoe UI Symbol" w:hAnsi="Segoe UI Symbol" w:cs="Segoe UI Symbol"/>
                <w:color w:val="1F1F1F"/>
                <w:bdr w:val="none" w:sz="0" w:space="0" w:color="auto" w:frame="1"/>
              </w:rPr>
              <w:t>✘</w:t>
            </w:r>
          </w:p>
        </w:tc>
      </w:tr>
      <w:tr w:rsidR="00733588" w14:paraId="1E9776FE" w14:textId="77777777" w:rsidTr="00733588">
        <w:tc>
          <w:tcPr>
            <w:tcW w:w="1501" w:type="dxa"/>
            <w:vAlign w:val="center"/>
          </w:tcPr>
          <w:p w14:paraId="109C5609" w14:textId="68DED14E" w:rsidR="00733588" w:rsidRPr="00A04735" w:rsidRDefault="00733588" w:rsidP="00A04735">
            <w:pPr>
              <w:pStyle w:val="af5"/>
              <w:spacing w:before="156" w:after="156"/>
              <w:jc w:val="center"/>
              <w:rPr>
                <w:rFonts w:cs="Times New Roman"/>
                <w:color w:val="1F1F1F"/>
                <w:bdr w:val="none" w:sz="0" w:space="0" w:color="auto" w:frame="1"/>
              </w:rPr>
            </w:pPr>
            <w:r w:rsidRPr="00733588">
              <w:rPr>
                <w:rFonts w:cs="Times New Roman"/>
                <w:color w:val="1F1F1F"/>
                <w:bdr w:val="none" w:sz="0" w:space="0" w:color="auto" w:frame="1"/>
              </w:rPr>
              <w:t>Proposed Framework (This Study)</w:t>
            </w:r>
          </w:p>
        </w:tc>
        <w:tc>
          <w:tcPr>
            <w:tcW w:w="1256" w:type="dxa"/>
            <w:vAlign w:val="center"/>
          </w:tcPr>
          <w:p w14:paraId="589D583B" w14:textId="712BE799" w:rsidR="00733588" w:rsidRPr="00A04735" w:rsidRDefault="00733588" w:rsidP="00A04735">
            <w:pPr>
              <w:pStyle w:val="af5"/>
              <w:spacing w:before="156" w:after="156"/>
              <w:jc w:val="center"/>
              <w:rPr>
                <w:rFonts w:ascii="Segoe UI Symbol" w:hAnsi="Segoe UI Symbol" w:cs="Segoe UI Symbol"/>
                <w:color w:val="1F1F1F"/>
                <w:bdr w:val="none" w:sz="0" w:space="0" w:color="auto" w:frame="1"/>
              </w:rPr>
            </w:pPr>
            <w:r w:rsidRPr="00733588">
              <w:rPr>
                <w:rFonts w:ascii="Segoe UI Symbol" w:hAnsi="Segoe UI Symbol" w:cs="Segoe UI Symbol"/>
                <w:color w:val="1F1F1F"/>
                <w:bdr w:val="none" w:sz="0" w:space="0" w:color="auto" w:frame="1"/>
              </w:rPr>
              <w:t>✔</w:t>
            </w:r>
          </w:p>
        </w:tc>
        <w:tc>
          <w:tcPr>
            <w:tcW w:w="1230" w:type="dxa"/>
            <w:vAlign w:val="center"/>
          </w:tcPr>
          <w:p w14:paraId="274EBBC8" w14:textId="4929E4BB" w:rsidR="00733588" w:rsidRPr="00A04735" w:rsidRDefault="00733588" w:rsidP="00A04735">
            <w:pPr>
              <w:pStyle w:val="af5"/>
              <w:spacing w:before="156" w:after="156"/>
              <w:jc w:val="center"/>
              <w:rPr>
                <w:rFonts w:ascii="Segoe UI Symbol" w:hAnsi="Segoe UI Symbol" w:cs="Segoe UI Symbol"/>
                <w:color w:val="1F1F1F"/>
                <w:bdr w:val="none" w:sz="0" w:space="0" w:color="auto" w:frame="1"/>
              </w:rPr>
            </w:pPr>
            <w:r w:rsidRPr="00733588">
              <w:rPr>
                <w:rFonts w:ascii="Segoe UI Symbol" w:hAnsi="Segoe UI Symbol" w:cs="Segoe UI Symbol"/>
                <w:color w:val="1F1F1F"/>
                <w:bdr w:val="none" w:sz="0" w:space="0" w:color="auto" w:frame="1"/>
              </w:rPr>
              <w:t>✔</w:t>
            </w:r>
          </w:p>
        </w:tc>
        <w:tc>
          <w:tcPr>
            <w:tcW w:w="1269" w:type="dxa"/>
            <w:vAlign w:val="center"/>
          </w:tcPr>
          <w:p w14:paraId="1286B429" w14:textId="34E09CB3" w:rsidR="00733588" w:rsidRPr="00A04735" w:rsidRDefault="00733588" w:rsidP="00A04735">
            <w:pPr>
              <w:pStyle w:val="af5"/>
              <w:spacing w:before="156" w:after="156"/>
              <w:jc w:val="center"/>
              <w:rPr>
                <w:rFonts w:ascii="Segoe UI Symbol" w:hAnsi="Segoe UI Symbol" w:cs="Segoe UI Symbol"/>
                <w:color w:val="1F1F1F"/>
                <w:bdr w:val="none" w:sz="0" w:space="0" w:color="auto" w:frame="1"/>
              </w:rPr>
            </w:pPr>
            <w:r w:rsidRPr="00733588">
              <w:rPr>
                <w:rFonts w:ascii="Segoe UI Symbol" w:hAnsi="Segoe UI Symbol" w:cs="Segoe UI Symbol"/>
                <w:color w:val="1F1F1F"/>
                <w:bdr w:val="none" w:sz="0" w:space="0" w:color="auto" w:frame="1"/>
              </w:rPr>
              <w:t>✔</w:t>
            </w:r>
          </w:p>
        </w:tc>
        <w:tc>
          <w:tcPr>
            <w:tcW w:w="1283" w:type="dxa"/>
            <w:vAlign w:val="center"/>
          </w:tcPr>
          <w:p w14:paraId="54BA4DD4" w14:textId="30D00B42" w:rsidR="00733588" w:rsidRPr="00A04735" w:rsidRDefault="00733588" w:rsidP="00A04735">
            <w:pPr>
              <w:pStyle w:val="af5"/>
              <w:spacing w:before="156" w:after="156"/>
              <w:jc w:val="center"/>
              <w:rPr>
                <w:rFonts w:ascii="Segoe UI Symbol" w:hAnsi="Segoe UI Symbol" w:cs="Segoe UI Symbol"/>
                <w:color w:val="1F1F1F"/>
                <w:bdr w:val="none" w:sz="0" w:space="0" w:color="auto" w:frame="1"/>
              </w:rPr>
            </w:pPr>
            <w:r w:rsidRPr="00733588">
              <w:rPr>
                <w:rFonts w:ascii="Segoe UI Symbol" w:hAnsi="Segoe UI Symbol" w:cs="Segoe UI Symbol"/>
                <w:color w:val="1F1F1F"/>
                <w:bdr w:val="none" w:sz="0" w:space="0" w:color="auto" w:frame="1"/>
              </w:rPr>
              <w:t>✔</w:t>
            </w:r>
          </w:p>
        </w:tc>
        <w:tc>
          <w:tcPr>
            <w:tcW w:w="1323" w:type="dxa"/>
            <w:vAlign w:val="center"/>
          </w:tcPr>
          <w:p w14:paraId="0A489C0E" w14:textId="452794E6" w:rsidR="00733588" w:rsidRPr="00A04735" w:rsidRDefault="00733588" w:rsidP="00A04735">
            <w:pPr>
              <w:pStyle w:val="af5"/>
              <w:spacing w:before="156" w:after="156"/>
              <w:jc w:val="center"/>
              <w:rPr>
                <w:rFonts w:ascii="Segoe UI Symbol" w:hAnsi="Segoe UI Symbol" w:cs="Segoe UI Symbol"/>
                <w:color w:val="1F1F1F"/>
                <w:bdr w:val="none" w:sz="0" w:space="0" w:color="auto" w:frame="1"/>
              </w:rPr>
            </w:pPr>
            <w:r w:rsidRPr="00733588">
              <w:rPr>
                <w:rFonts w:ascii="Segoe UI Symbol" w:hAnsi="Segoe UI Symbol" w:cs="Segoe UI Symbol"/>
                <w:color w:val="1F1F1F"/>
                <w:bdr w:val="none" w:sz="0" w:space="0" w:color="auto" w:frame="1"/>
              </w:rPr>
              <w:t>✔</w:t>
            </w:r>
          </w:p>
        </w:tc>
      </w:tr>
    </w:tbl>
    <w:p w14:paraId="77BD0E36" w14:textId="77777777" w:rsidR="00A04735" w:rsidRPr="00A04735" w:rsidRDefault="00A04735" w:rsidP="00A04735">
      <w:pPr>
        <w:pStyle w:val="af5"/>
        <w:spacing w:before="156" w:after="156"/>
        <w:jc w:val="center"/>
        <w:rPr>
          <w:rFonts w:eastAsiaTheme="minorEastAsia"/>
          <w:sz w:val="21"/>
          <w:szCs w:val="20"/>
        </w:rPr>
      </w:pPr>
    </w:p>
    <w:p w14:paraId="455B21BA" w14:textId="084F03AA" w:rsidR="00AC7269" w:rsidRPr="00D22B50" w:rsidRDefault="00AC7269" w:rsidP="00F61464">
      <w:pPr>
        <w:pStyle w:val="1"/>
        <w:rPr>
          <w:rFonts w:hint="eastAsia"/>
        </w:rPr>
      </w:pPr>
      <w:bookmarkStart w:id="39" w:name="_Toc228913842"/>
      <w:bookmarkEnd w:id="12"/>
      <w:r w:rsidRPr="00D22B50">
        <w:lastRenderedPageBreak/>
        <w:t>4. Methodology</w:t>
      </w:r>
      <w:bookmarkEnd w:id="39"/>
    </w:p>
    <w:p w14:paraId="5429B0DD" w14:textId="77777777" w:rsidR="00AC7269" w:rsidRPr="00D22B50" w:rsidRDefault="00AC7269" w:rsidP="00F61464">
      <w:pPr>
        <w:pStyle w:val="2"/>
        <w:rPr>
          <w:rFonts w:hint="eastAsia"/>
        </w:rPr>
      </w:pPr>
      <w:bookmarkStart w:id="40" w:name="_Toc228913843"/>
      <w:r w:rsidRPr="00D22B50">
        <w:t>4.1 Data Engineering and Theoretical Preprocessing</w:t>
      </w:r>
      <w:bookmarkEnd w:id="40"/>
    </w:p>
    <w:p w14:paraId="1A45B7EB" w14:textId="2012EE30" w:rsidR="005E508E" w:rsidRPr="00D22B50" w:rsidRDefault="005E508E" w:rsidP="00FA00E5">
      <w:pPr>
        <w:pStyle w:val="af5"/>
        <w:spacing w:before="156" w:after="156"/>
      </w:pPr>
      <w:r w:rsidRPr="00D22B50">
        <w:t xml:space="preserve">The empirical foundation of this research is the London Smart Meter Dataset, which comprises high-resolution electricity consumption records collected from 2011 to 2014 </w:t>
      </w:r>
      <w:r w:rsidR="00112EEB" w:rsidRPr="00D22B50">
        <w:fldChar w:fldCharType="begin"/>
      </w:r>
      <w:r w:rsidR="00112EEB" w:rsidRPr="00D22B50">
        <w:instrText xml:space="preserve"> ADDIN ZOTERO_ITEM CSL_CITATION {"citationID":"avspZqDd","properties":{"formattedCitation":"[1]","plainCitation":"[1]","noteIndex":0},"citationItems":[{"id":539,"uris":["http://zotero.org/users/local/p3tV44H5/items/HWZLV4UQ"],"itemData":{"id":539,"type":"article-journal","abstract":"Accurate forecasting of electricity demand is vital to the resilient management of energy systems. Recent efforts in harnessing smart-meter data to improve forecasting accuracy have primarily centered around cluster-based approaches (CBAs), where smart-meter data are grouped into a small number of clusters and separate prediction models are developed for each cluster. The cluster-based predictions are then aggregated to compute the total demand. CBAs have provided promising results compared to conventional approaches that are generally not conducive to integrating smart-meter data. However, CBAs are computationally costly and suffer from the curse of dimensionality, especially under scenarios involving smart-meter data from millions of customers. In this work, we propose an efficient reduced model approach (RMA) that leverages a novel hierarchical dimension reduction algorithm to enable the integration of fine-resolution high-dimensional smart-meter data for millions of customers in load prediction. We demonstrate the applicability of our proposed approach by using data from a utility company, based in Illinois, United States, with more than 3.7 million customers and present model performance in-terms of forecast accuracy. The proposed hierarchical dimension reduction approach enables utilizing the high-resolution data from smart-meters in a scalable manner that is not exploitable otherwise. The results shows significant improvements in forecast accuracy compared to the available approaches that either do not harness fine-resolution data or are not scalable to large-scale smart-meter big data.","container-title":"IEEE Access","DOI":"10.1109/ACCESS.2022.3142680","ISSN":"2169-3536","page":"8377-8387","source":"IEEE Xplore","title":"Smart-Meter Big Data for Load Forecasting: An Alternative Approach to Clustering","title-short":"Smart-Meter Big Data for Load Forecasting","volume":"10","author":[{"family":"Alemazkoor","given":"Negin"},{"family":"Tootkaboni","given":"Mazdak"},{"family":"Nateghi","given":"Roshanak"},{"family":"Louhghalam","given":"Arghavan"}],"issued":{"date-parts":[["2022"]]}}}],"schema":"https://github.com/citation-style-language/schema/raw/master/csl-citation.json"} </w:instrText>
      </w:r>
      <w:r w:rsidR="00112EEB" w:rsidRPr="00D22B50">
        <w:fldChar w:fldCharType="separate"/>
      </w:r>
      <w:r w:rsidR="00112EEB" w:rsidRPr="00D22B50">
        <w:rPr>
          <w:rFonts w:cs="Times New Roman"/>
        </w:rPr>
        <w:t>[1]</w:t>
      </w:r>
      <w:r w:rsidR="00112EEB" w:rsidRPr="00D22B50">
        <w:fldChar w:fldCharType="end"/>
      </w:r>
      <w:r w:rsidRPr="00D22B50">
        <w:t xml:space="preserve">. This dataset, managed by UK Power Networks, contains half-hourly energy consumption readings (kWh per half-hour) from a diverse sample of approximately 5,567 London households. To transform raw sensor data into a format suitable for deep learning, </w:t>
      </w:r>
      <w:r w:rsidR="002657F3">
        <w:t xml:space="preserve">I </w:t>
      </w:r>
      <w:r w:rsidRPr="00D22B50">
        <w:t>implement a multi-stage data engineering pipeline that addresses sensor noise, data gaps, and numerical instability.</w:t>
      </w:r>
    </w:p>
    <w:p w14:paraId="7FAD70A2" w14:textId="77777777" w:rsidR="005E508E" w:rsidRPr="00D22B50" w:rsidRDefault="005E508E" w:rsidP="00F61464">
      <w:pPr>
        <w:pStyle w:val="3"/>
        <w:rPr>
          <w:rFonts w:hint="eastAsia"/>
        </w:rPr>
      </w:pPr>
      <w:bookmarkStart w:id="41" w:name="_Toc228913844"/>
      <w:r w:rsidRPr="00D22B50">
        <w:t>4.1.1 Data Source and Granularity</w:t>
      </w:r>
      <w:bookmarkEnd w:id="41"/>
    </w:p>
    <w:p w14:paraId="3BC6F4E2" w14:textId="77B2610D" w:rsidR="005E508E" w:rsidRPr="00213155" w:rsidRDefault="005E508E" w:rsidP="00FA00E5">
      <w:pPr>
        <w:pStyle w:val="af5"/>
        <w:spacing w:before="156" w:after="156"/>
        <w:rPr>
          <w:rFonts w:eastAsiaTheme="minorEastAsia" w:hint="eastAsia"/>
        </w:rPr>
      </w:pPr>
      <w:r w:rsidRPr="00D22B50">
        <w:t xml:space="preserve">The London Smart Meter Dataset is widely regarded as a benchmark in the energy research community due to its longitudinal depth and the diversity of its consumer profiles. Each record represents the average active power consumed over a 30-minute interval, providing 48 readings per day. For our specific research into the cold-start problem, </w:t>
      </w:r>
      <w:r w:rsidR="002657F3">
        <w:t xml:space="preserve">I </w:t>
      </w:r>
      <w:r w:rsidRPr="00D22B50">
        <w:t>selected households that exhibit varying degrees of consumption volatility. The raw data includes unique household identifiers, timestamps, and consumption values, which must be meticulously synchronized to ensure temporal consistency across the source and target domains.</w:t>
      </w:r>
      <w:r w:rsidR="00213155">
        <w:rPr>
          <w:rFonts w:eastAsiaTheme="minorEastAsia" w:hint="eastAsia"/>
        </w:rPr>
        <w:t xml:space="preserve"> The dataset I used can be found in </w:t>
      </w:r>
      <w:r w:rsidR="00213155" w:rsidRPr="00213155">
        <w:rPr>
          <w:rFonts w:eastAsiaTheme="minorEastAsia"/>
        </w:rPr>
        <w:t>Appendix A</w:t>
      </w:r>
      <w:r w:rsidR="00213155">
        <w:rPr>
          <w:rFonts w:eastAsiaTheme="minorEastAsia" w:hint="eastAsia"/>
        </w:rPr>
        <w:t>.</w:t>
      </w:r>
    </w:p>
    <w:p w14:paraId="5AAD49A8" w14:textId="77777777" w:rsidR="005E508E" w:rsidRPr="00D22B50" w:rsidRDefault="005E508E" w:rsidP="00F61464">
      <w:pPr>
        <w:pStyle w:val="3"/>
        <w:rPr>
          <w:rFonts w:hint="eastAsia"/>
        </w:rPr>
      </w:pPr>
      <w:bookmarkStart w:id="42" w:name="_Toc228913845"/>
      <w:r w:rsidRPr="00D22B50">
        <w:t>4.1.2 Handling Missing Data and Linear Interpolation</w:t>
      </w:r>
      <w:bookmarkEnd w:id="42"/>
    </w:p>
    <w:p w14:paraId="44EF9DC7" w14:textId="0159C05E" w:rsidR="005E508E" w:rsidRPr="00D22B50" w:rsidRDefault="005E508E" w:rsidP="00FA00E5">
      <w:pPr>
        <w:pStyle w:val="af5"/>
        <w:spacing w:before="156" w:after="156"/>
      </w:pPr>
      <w:r w:rsidRPr="00D22B50">
        <w:t xml:space="preserve">Raw AMI data often suffers from </w:t>
      </w:r>
      <w:r w:rsidR="00BD7543">
        <w:t>“</w:t>
      </w:r>
      <w:r w:rsidRPr="00D22B50">
        <w:t>data holes</w:t>
      </w:r>
      <w:r w:rsidR="00BD7543">
        <w:t>”</w:t>
      </w:r>
      <w:r w:rsidRPr="00D22B50">
        <w:t xml:space="preserve"> caused by network latency, packet loss during transmission, or localized sensor malfunctions. In a time-series context, missing values can break the temporal continuity required by LSTM networks. </w:t>
      </w:r>
      <w:r w:rsidR="002657F3">
        <w:t xml:space="preserve">I </w:t>
      </w:r>
      <w:r w:rsidRPr="00D22B50">
        <w:t>employ linear interpolation to impute these gaps, a method that is computationally efficient and preserves the local linear trend of electricity usage.</w:t>
      </w:r>
    </w:p>
    <w:p w14:paraId="3784BCC7" w14:textId="446DE170" w:rsidR="005E508E" w:rsidRPr="00D22B50" w:rsidRDefault="005E508E" w:rsidP="00FA00E5">
      <w:pPr>
        <w:pStyle w:val="af5"/>
        <w:spacing w:before="156" w:after="156"/>
      </w:pPr>
      <w:r w:rsidRPr="00D22B50">
        <w:t xml:space="preserve">Given a sequence where the values at time a and b are known, but the value at time t (where a &lt; t &lt; b) is missing, the estimate </w:t>
      </w:r>
      <m:oMath>
        <m:sSub>
          <m:sSubPr>
            <m:ctrlPr>
              <w:rPr>
                <w:rFonts w:ascii="Cambria Math" w:hAnsi="Cambria Math"/>
                <w:i/>
              </w:rPr>
            </m:ctrlPr>
          </m:sSubPr>
          <m:e>
            <m:r>
              <w:rPr>
                <w:rFonts w:ascii="Cambria Math" w:hAnsi="Cambria Math"/>
              </w:rPr>
              <m:t>x</m:t>
            </m:r>
          </m:e>
          <m:sub>
            <m:r>
              <w:rPr>
                <w:rFonts w:ascii="Cambria Math" w:hAnsi="Cambria Math"/>
              </w:rPr>
              <m:t>t</m:t>
            </m:r>
          </m:sub>
        </m:sSub>
      </m:oMath>
      <w:r w:rsidRPr="00D22B50">
        <w:t xml:space="preserve"> is calculated as:</w:t>
      </w:r>
    </w:p>
    <w:p w14:paraId="02A9DE03" w14:textId="36A8274D" w:rsidR="005E508E" w:rsidRPr="00D22B50" w:rsidRDefault="005E508E" w:rsidP="005E508E">
      <w:pPr>
        <w:rPr>
          <w:rFonts w:hint="eastAsia"/>
        </w:rPr>
      </w:pPr>
      <w:r w:rsidRPr="00D22B50">
        <w:rPr>
          <w:noProof/>
        </w:rPr>
        <w:drawing>
          <wp:inline distT="0" distB="0" distL="0" distR="0" wp14:anchorId="6BF88990" wp14:editId="70C2A01D">
            <wp:extent cx="5274310" cy="1040130"/>
            <wp:effectExtent l="0" t="0" r="2540" b="7620"/>
            <wp:docPr id="70695934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959346" name=""/>
                    <pic:cNvPicPr/>
                  </pic:nvPicPr>
                  <pic:blipFill>
                    <a:blip r:embed="rId12"/>
                    <a:stretch>
                      <a:fillRect/>
                    </a:stretch>
                  </pic:blipFill>
                  <pic:spPr>
                    <a:xfrm>
                      <a:off x="0" y="0"/>
                      <a:ext cx="5274310" cy="1040130"/>
                    </a:xfrm>
                    <a:prstGeom prst="rect">
                      <a:avLst/>
                    </a:prstGeom>
                  </pic:spPr>
                </pic:pic>
              </a:graphicData>
            </a:graphic>
          </wp:inline>
        </w:drawing>
      </w:r>
    </w:p>
    <w:p w14:paraId="252D0F6B" w14:textId="337F5A0B" w:rsidR="005E508E" w:rsidRPr="00D22B50" w:rsidRDefault="005E508E" w:rsidP="00FA00E5">
      <w:pPr>
        <w:pStyle w:val="af5"/>
        <w:spacing w:before="156" w:after="156"/>
      </w:pPr>
      <w:r w:rsidRPr="00D22B50">
        <w:t xml:space="preserve">This approach is particularly suitable for short-duration gaps. For gaps exceeding four </w:t>
      </w:r>
      <w:r w:rsidRPr="00D22B50">
        <w:lastRenderedPageBreak/>
        <w:t>hours, the affected household is excluded from the study to prevent the introduction of artificial bias into the training process.</w:t>
      </w:r>
    </w:p>
    <w:p w14:paraId="4CB54A05" w14:textId="77777777" w:rsidR="005E508E" w:rsidRPr="00D22B50" w:rsidRDefault="005E508E" w:rsidP="00F61464">
      <w:pPr>
        <w:pStyle w:val="3"/>
        <w:rPr>
          <w:rFonts w:hint="eastAsia"/>
        </w:rPr>
      </w:pPr>
      <w:bookmarkStart w:id="43" w:name="_Toc228913846"/>
      <w:r w:rsidRPr="00D22B50">
        <w:t>4.1.3 Theoretical Impact of Z-score Normalization</w:t>
      </w:r>
      <w:bookmarkEnd w:id="43"/>
    </w:p>
    <w:p w14:paraId="61E58CF6" w14:textId="011E4318" w:rsidR="005E508E" w:rsidRPr="00D22B50" w:rsidRDefault="005E508E" w:rsidP="00FA00E5">
      <w:pPr>
        <w:pStyle w:val="af5"/>
        <w:spacing w:before="156" w:after="156"/>
      </w:pPr>
      <w:r w:rsidRPr="00D22B50">
        <w:t xml:space="preserve">Electricity consumption data typically exhibits a heavy-tailed distribution with significant outliers during peak usage periods. Feeding raw values directly into an LSTM network can lead to gradient explosion or saturation of the activation functions. To ensure numerical stability during the Backpropagation Through Time (BPTT) process, </w:t>
      </w:r>
      <w:r w:rsidR="002657F3">
        <w:t xml:space="preserve">I </w:t>
      </w:r>
      <w:r w:rsidRPr="00D22B50">
        <w:t xml:space="preserve">apply Z-score normalization. This transformation maps the consumption values </w:t>
      </w:r>
      <m:oMath>
        <m:r>
          <w:rPr>
            <w:rFonts w:ascii="Cambria Math" w:hAnsi="Cambria Math"/>
          </w:rPr>
          <m:t>x</m:t>
        </m:r>
      </m:oMath>
      <w:r w:rsidRPr="00D22B50">
        <w:t xml:space="preserve"> into a standardized space </w:t>
      </w:r>
      <m:oMath>
        <m:r>
          <w:rPr>
            <w:rFonts w:ascii="Cambria Math" w:hAnsi="Cambria Math"/>
          </w:rPr>
          <m:t>z</m:t>
        </m:r>
      </m:oMath>
      <w:r w:rsidRPr="00D22B50">
        <w:t xml:space="preserve"> with a mean of zero and a standard deviation of one:</w:t>
      </w:r>
    </w:p>
    <w:p w14:paraId="1B1CCBEE" w14:textId="373E3AA2" w:rsidR="005E508E" w:rsidRPr="00D22B50" w:rsidRDefault="005E508E" w:rsidP="005E508E">
      <w:pPr>
        <w:rPr>
          <w:rFonts w:hint="eastAsia"/>
        </w:rPr>
      </w:pPr>
      <w:r w:rsidRPr="00D22B50">
        <w:rPr>
          <w:noProof/>
        </w:rPr>
        <w:drawing>
          <wp:inline distT="0" distB="0" distL="0" distR="0" wp14:anchorId="695C30E4" wp14:editId="10CC8514">
            <wp:extent cx="3134162" cy="1105054"/>
            <wp:effectExtent l="0" t="0" r="9525" b="0"/>
            <wp:docPr id="76763218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632182" name=""/>
                    <pic:cNvPicPr/>
                  </pic:nvPicPr>
                  <pic:blipFill>
                    <a:blip r:embed="rId13"/>
                    <a:stretch>
                      <a:fillRect/>
                    </a:stretch>
                  </pic:blipFill>
                  <pic:spPr>
                    <a:xfrm>
                      <a:off x="0" y="0"/>
                      <a:ext cx="3134162" cy="1105054"/>
                    </a:xfrm>
                    <a:prstGeom prst="rect">
                      <a:avLst/>
                    </a:prstGeom>
                  </pic:spPr>
                </pic:pic>
              </a:graphicData>
            </a:graphic>
          </wp:inline>
        </w:drawing>
      </w:r>
    </w:p>
    <w:p w14:paraId="2B2F3886" w14:textId="0FF1CD4E" w:rsidR="005E508E" w:rsidRPr="00D22B50" w:rsidRDefault="005E508E" w:rsidP="00FA00E5">
      <w:pPr>
        <w:pStyle w:val="af5"/>
        <w:spacing w:before="156" w:after="156"/>
      </w:pPr>
      <w:r w:rsidRPr="00D22B50">
        <w:t xml:space="preserve">Mathematically, this normalization is critical because LSTM cells utilize the tanh and sigmoid functions. The derivatives of these functions are highest near zero; if input values are too large, the gradients move into the </w:t>
      </w:r>
      <w:r w:rsidR="00BD7543">
        <w:t>“</w:t>
      </w:r>
      <w:r w:rsidRPr="00D22B50">
        <w:t>saturation regions,</w:t>
      </w:r>
      <w:r w:rsidR="00BD7543">
        <w:t>”</w:t>
      </w:r>
      <w:r w:rsidRPr="00D22B50">
        <w:t xml:space="preserve"> where they become infinitesimally small, thereby triggering the vanishing gradient problem. By centering the data at zero, </w:t>
      </w:r>
      <w:r w:rsidR="002657F3">
        <w:t xml:space="preserve">I </w:t>
      </w:r>
      <w:r w:rsidRPr="00D22B50">
        <w:t>ensure that the network remains in the high-gradient region, facilitating faster convergence and more robust weight updates</w:t>
      </w:r>
      <w:r w:rsidR="000F2983" w:rsidRPr="00D22B50">
        <w:rPr>
          <w:rFonts w:eastAsiaTheme="minorEastAsia" w:hint="eastAsia"/>
        </w:rPr>
        <w:t xml:space="preserve"> </w:t>
      </w:r>
      <w:r w:rsidR="00112EEB" w:rsidRPr="00D22B50">
        <w:rPr>
          <w:rFonts w:eastAsiaTheme="minorEastAsia"/>
        </w:rPr>
        <w:fldChar w:fldCharType="begin"/>
      </w:r>
      <w:r w:rsidR="00112EEB" w:rsidRPr="00D22B50">
        <w:rPr>
          <w:rFonts w:eastAsiaTheme="minorEastAsia"/>
        </w:rPr>
        <w:instrText xml:space="preserve"> ADDIN ZOTERO_ITEM CSL_CITATION {"citationID":"PWkXIrqP","properties":{"formattedCitation":"[26], [27]","plainCitation":"[26], [27]","noteIndex":0},"citationItems":[{"id":642,"uris":["http://zotero.org/users/local/p3tV44H5/items/RXXLVP7Z"],"itemData":{"id":642,"type":"article-journal","abstract":"Recent advances in artificial intelligence have allowed the application of such technologies in real industrial problems. We have studied the application of backpropagation neural networks to several problems of estimation and identification in nuclear power plants. These problems often have been reported to be very time-consuming in the training phase. Among the different approaches suggested to ease the backpropagation training process, input data pretreatment has been pointed out, although no specific procedure has been proposed. We have found that input data normalization with certain criteria, prior to a training process, is crucial to obtain good results as well as to fasten significantly the calculations. This paper shows how data normalization affects the performance error of parameter estimators trained to predict the value of several variables of a PWR nuclear power plant. The criteria needed to accomplish such data normalization are also described.","container-title":"IEEE Transactions on Nuclear Science","DOI":"10.1109/23.589532","ISSN":"1558-1578","issue":"3","page":"1464-1468","source":"IEEE Xplore","title":"Importance of input data normalization for the application of neural networks to complex industrial problems","volume":"44","author":[{"family":"Sola","given":"J."},{"family":"Sevilla","given":"J."}],"issued":{"date-parts":[["1997",6]]}}},{"id":683,"uris":["http://zotero.org/users/local/p3tV44H5/items/MVYR4ENH"],"itemData":{"id":683,"type":"book","call-number":"006.31","collection-title":"Adaptive computation and machine learning","ISBN":"978-0-262-03561-3","language":"eng","publisher":"The MIT press","publisher-place":"Cambridge, Mass","source":"BnF ISBN","title":"Deep learning","author":[{"family":"Goodfellow","given":"Ian"},{"family":"Bengio","given":"Yoshua"},{"family":"Courville","given":"Aaron"}],"issued":{"date-parts":[["2016"]]}}}],"schema":"https://github.com/citation-style-language/schema/raw/master/csl-citation.json"} </w:instrText>
      </w:r>
      <w:r w:rsidR="00112EEB" w:rsidRPr="00D22B50">
        <w:rPr>
          <w:rFonts w:eastAsiaTheme="minorEastAsia"/>
        </w:rPr>
        <w:fldChar w:fldCharType="separate"/>
      </w:r>
      <w:r w:rsidR="00112EEB" w:rsidRPr="00D22B50">
        <w:rPr>
          <w:rFonts w:eastAsiaTheme="minorEastAsia" w:cs="Times New Roman"/>
        </w:rPr>
        <w:t>[26], [27]</w:t>
      </w:r>
      <w:r w:rsidR="00112EEB" w:rsidRPr="00D22B50">
        <w:rPr>
          <w:rFonts w:eastAsiaTheme="minorEastAsia"/>
        </w:rPr>
        <w:fldChar w:fldCharType="end"/>
      </w:r>
      <w:r w:rsidR="009B36BC" w:rsidRPr="00D22B50">
        <w:rPr>
          <w:rFonts w:eastAsiaTheme="minorEastAsia"/>
        </w:rPr>
        <w:t>.</w:t>
      </w:r>
    </w:p>
    <w:p w14:paraId="4D9844B8" w14:textId="77777777" w:rsidR="005E508E" w:rsidRPr="00D22B50" w:rsidRDefault="005E508E" w:rsidP="00F61464">
      <w:pPr>
        <w:pStyle w:val="3"/>
        <w:rPr>
          <w:rFonts w:hint="eastAsia"/>
        </w:rPr>
      </w:pPr>
      <w:bookmarkStart w:id="44" w:name="_Toc228913847"/>
      <w:r w:rsidRPr="00D22B50">
        <w:t>4.1.4 Temporal Framing via Sliding Window</w:t>
      </w:r>
      <w:bookmarkEnd w:id="44"/>
    </w:p>
    <w:p w14:paraId="65913117" w14:textId="04042426" w:rsidR="005E508E" w:rsidRPr="00D22B50" w:rsidRDefault="005E508E" w:rsidP="00FA00E5">
      <w:pPr>
        <w:pStyle w:val="af5"/>
        <w:spacing w:before="156" w:after="156"/>
      </w:pPr>
      <w:r w:rsidRPr="00D22B50">
        <w:t xml:space="preserve">To convert the continuous time series into a supervised learning problem, </w:t>
      </w:r>
      <w:r w:rsidR="002657F3">
        <w:t xml:space="preserve">I </w:t>
      </w:r>
      <w:r w:rsidRPr="00D22B50">
        <w:t>implement a sliding window reconstruction technique. For a target forecasting task, the model must learn to map a historical sequence (the feature set) to a future value (the label).</w:t>
      </w:r>
    </w:p>
    <w:p w14:paraId="314FFC31" w14:textId="3B0C0E30" w:rsidR="005E508E" w:rsidRPr="00D22B50" w:rsidRDefault="002657F3" w:rsidP="00FA00E5">
      <w:pPr>
        <w:pStyle w:val="af5"/>
        <w:spacing w:before="156" w:after="156"/>
      </w:pPr>
      <w:r>
        <w:t xml:space="preserve">I </w:t>
      </w:r>
      <w:r w:rsidR="005E508E" w:rsidRPr="00D22B50">
        <w:t>define a look-back window of L=96 time steps, which corresponds to exactly 48 hours of historical context. This window size is strategically chosen to provide the LSTM with two full daily cycles, enabling the forget and input gates to identify daily periodicity. The dataset is restructured into pairs o</w:t>
      </w:r>
      <w:r w:rsidR="00FA00E5" w:rsidRPr="00D22B50">
        <w:rPr>
          <w:rFonts w:eastAsiaTheme="minorEastAsia" w:hint="eastAsia"/>
        </w:rPr>
        <w:t xml:space="preserve">f </w:t>
      </w:r>
      <m:oMath>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t</m:t>
            </m:r>
          </m:sub>
        </m:sSub>
      </m:oMath>
      <w:r w:rsidR="00FA00E5" w:rsidRPr="00D22B50">
        <w:rPr>
          <w:rFonts w:eastAsiaTheme="minorEastAsia" w:hint="eastAsia"/>
        </w:rPr>
        <w:t xml:space="preserve"> and </w:t>
      </w:r>
      <m:oMath>
        <m:sSub>
          <m:sSubPr>
            <m:ctrlPr>
              <w:rPr>
                <w:rFonts w:ascii="Cambria Math" w:eastAsiaTheme="minorEastAsia" w:hAnsi="Cambria Math"/>
                <w:i/>
              </w:rPr>
            </m:ctrlPr>
          </m:sSubPr>
          <m:e>
            <m:r>
              <w:rPr>
                <w:rFonts w:ascii="Cambria Math" w:eastAsiaTheme="minorEastAsia" w:hAnsi="Cambria Math"/>
              </w:rPr>
              <m:t>y</m:t>
            </m:r>
          </m:e>
          <m:sub>
            <m:r>
              <w:rPr>
                <w:rFonts w:ascii="Cambria Math" w:eastAsiaTheme="minorEastAsia" w:hAnsi="Cambria Math"/>
              </w:rPr>
              <m:t>t</m:t>
            </m:r>
          </m:sub>
        </m:sSub>
      </m:oMath>
      <w:r w:rsidR="005E508E" w:rsidRPr="00D22B50">
        <w:t>, where:</w:t>
      </w:r>
    </w:p>
    <w:p w14:paraId="5EFC6987" w14:textId="1C33BBFB" w:rsidR="00CD2527" w:rsidRPr="00D22B50" w:rsidRDefault="005E508E" w:rsidP="005E508E">
      <w:pPr>
        <w:rPr>
          <w:rStyle w:val="af6"/>
          <w:rFonts w:eastAsiaTheme="minorEastAsia"/>
        </w:rPr>
      </w:pPr>
      <w:r w:rsidRPr="00D22B50">
        <w:rPr>
          <w:noProof/>
        </w:rPr>
        <w:drawing>
          <wp:inline distT="0" distB="0" distL="0" distR="0" wp14:anchorId="476335D2" wp14:editId="1552CB94">
            <wp:extent cx="5274310" cy="944880"/>
            <wp:effectExtent l="0" t="0" r="2540" b="7620"/>
            <wp:docPr id="175876844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768448" name=""/>
                    <pic:cNvPicPr/>
                  </pic:nvPicPr>
                  <pic:blipFill>
                    <a:blip r:embed="rId14"/>
                    <a:stretch>
                      <a:fillRect/>
                    </a:stretch>
                  </pic:blipFill>
                  <pic:spPr>
                    <a:xfrm>
                      <a:off x="0" y="0"/>
                      <a:ext cx="5274310" cy="944880"/>
                    </a:xfrm>
                    <a:prstGeom prst="rect">
                      <a:avLst/>
                    </a:prstGeom>
                  </pic:spPr>
                </pic:pic>
              </a:graphicData>
            </a:graphic>
          </wp:inline>
        </w:drawing>
      </w:r>
      <w:r w:rsidRPr="00D22B50">
        <w:rPr>
          <w:rStyle w:val="af6"/>
          <w:rFonts w:eastAsiaTheme="minorEastAsia"/>
        </w:rPr>
        <w:t xml:space="preserve">By sliding this window across the entire historical record, </w:t>
      </w:r>
      <w:r w:rsidR="002657F3">
        <w:rPr>
          <w:rStyle w:val="af6"/>
          <w:rFonts w:eastAsiaTheme="minorEastAsia"/>
        </w:rPr>
        <w:t xml:space="preserve">I </w:t>
      </w:r>
      <w:r w:rsidRPr="00D22B50">
        <w:rPr>
          <w:rStyle w:val="af6"/>
          <w:rFonts w:eastAsiaTheme="minorEastAsia"/>
        </w:rPr>
        <w:t>generate a training matrix that captures the sequential dependencies of the energy demand, providing the necessary input structure for the transfer learning framework.</w:t>
      </w:r>
    </w:p>
    <w:p w14:paraId="157E2D53" w14:textId="77777777" w:rsidR="00CD2527" w:rsidRPr="00D22B50" w:rsidRDefault="00CD2527" w:rsidP="00CD2527">
      <w:pPr>
        <w:pStyle w:val="3"/>
        <w:rPr>
          <w:rFonts w:hint="eastAsia"/>
        </w:rPr>
      </w:pPr>
      <w:bookmarkStart w:id="45" w:name="_Toc228913848"/>
      <w:r w:rsidRPr="00D22B50">
        <w:lastRenderedPageBreak/>
        <w:t>4.1.5 Multivariate Expansion: Integration of Temporal Covariates</w:t>
      </w:r>
      <w:bookmarkEnd w:id="45"/>
    </w:p>
    <w:p w14:paraId="249D80FA" w14:textId="367C9933" w:rsidR="00CD2527" w:rsidRPr="00D22B50" w:rsidRDefault="00CD2527" w:rsidP="00FA00E5">
      <w:pPr>
        <w:pStyle w:val="af5"/>
        <w:spacing w:before="156" w:after="156"/>
      </w:pPr>
      <w:r w:rsidRPr="00D22B50">
        <w:t xml:space="preserve">In the preliminary stages of this research, the forecasting models relied solely on univariate historical consumption data. However, residential energy demand is inherently driven by external temporal rhythms, such as circadian cycles, work schedules, and seasonal shifts. </w:t>
      </w:r>
      <w:r w:rsidR="00CE1344" w:rsidRPr="00D22B50">
        <w:t>To capture these deterministic behavioral drivers, the dataset was expanded into a non-linear multivariate feature space [36] by incorporating explicit temporal covariates such as Hour of the Day and Day of the Week.</w:t>
      </w:r>
    </w:p>
    <w:p w14:paraId="2C4B75A1" w14:textId="38BBE33C" w:rsidR="005E508E" w:rsidRPr="00D22B50" w:rsidRDefault="00CD2527" w:rsidP="00112EEB">
      <w:pPr>
        <w:pStyle w:val="af5"/>
        <w:spacing w:before="156" w:after="156"/>
        <w:rPr>
          <w:rFonts w:eastAsiaTheme="minorEastAsia"/>
        </w:rPr>
      </w:pPr>
      <w:r w:rsidRPr="00D22B50">
        <w:t>Specifically, two categorical time features were extracted from the timestamp of each reading: the Hour of the Day (</w:t>
      </w:r>
      <m:oMath>
        <m:r>
          <w:rPr>
            <w:rFonts w:ascii="Cambria Math" w:hAnsi="Cambria Math" w:cs="Cambria Math"/>
          </w:rPr>
          <m:t>h</m:t>
        </m:r>
        <m:r>
          <w:rPr>
            <w:rFonts w:ascii="Cambria Math" w:hAnsi="Cambria Math"/>
          </w:rPr>
          <m:t xml:space="preserve"> ∈[0,23]</m:t>
        </m:r>
      </m:oMath>
      <w:r w:rsidRPr="00D22B50">
        <w:t>) and the Day of the Week (</w:t>
      </w:r>
      <m:oMath>
        <m:r>
          <w:rPr>
            <w:rFonts w:ascii="Cambria Math" w:hAnsi="Cambria Math"/>
          </w:rPr>
          <m:t>d ∈[0,6]</m:t>
        </m:r>
      </m:oMath>
      <w:r w:rsidRPr="00D22B50">
        <w:t xml:space="preserve">). To prevent the neural network from misinterpreting these categorical indices as continuous numerical magnitudes (e.g., assuming Sunday is </w:t>
      </w:r>
      <w:r w:rsidR="00BD7543">
        <w:t>“</w:t>
      </w:r>
      <w:r w:rsidRPr="00D22B50">
        <w:t>greater</w:t>
      </w:r>
      <w:r w:rsidR="00BD7543">
        <w:t>”</w:t>
      </w:r>
      <w:r w:rsidRPr="00D22B50">
        <w:t xml:space="preserve"> than Monday), these features were encoded and concatenated with the normalized consumption values. This multivariate expansion ensures that the model matrices (both in the LSTM gates and Transformer attention heads) receive explicit contextual signals regarding when the consumption occurred, fundamentally elevating the predictive ceiling of the models during the transfer phase.</w:t>
      </w:r>
    </w:p>
    <w:p w14:paraId="0A2E943C" w14:textId="3D1A12AE" w:rsidR="00AC7269" w:rsidRPr="00D22B50" w:rsidRDefault="00AC7269" w:rsidP="00F61464">
      <w:pPr>
        <w:pStyle w:val="2"/>
        <w:rPr>
          <w:rFonts w:hint="eastAsia"/>
        </w:rPr>
      </w:pPr>
      <w:bookmarkStart w:id="46" w:name="_Toc228913849"/>
      <w:r w:rsidRPr="00D22B50">
        <w:t>4.2 The Mathematical Architecture of LSTM Networks</w:t>
      </w:r>
      <w:bookmarkEnd w:id="46"/>
    </w:p>
    <w:p w14:paraId="2D1D5651" w14:textId="1D47BDF2" w:rsidR="00926E42" w:rsidRPr="00D22B50" w:rsidRDefault="00926E42" w:rsidP="00FA00E5">
      <w:pPr>
        <w:pStyle w:val="af5"/>
        <w:spacing w:before="156" w:after="156"/>
      </w:pPr>
      <w:r w:rsidRPr="00D22B50">
        <w:t xml:space="preserve">The proposed framework utilizes Long Short-Term Memory (LSTM) networks due to their superior ability to mitigate the vanishing gradient problem in long sequences </w:t>
      </w:r>
      <w:r w:rsidR="00112EEB" w:rsidRPr="00D22B50">
        <w:fldChar w:fldCharType="begin"/>
      </w:r>
      <w:r w:rsidR="00112EEB" w:rsidRPr="00D22B50">
        <w:instrText xml:space="preserve"> ADDIN ZOTERO_ITEM CSL_CITATION {"citationID":"HnOxtWMF","properties":{"formattedCitation":"[8]","plainCitation":"[8]","noteIndex":0},"citationItems":[{"id":512,"uris":["http://zotero.org/users/local/p3tV44H5/items/HCMHHT5F"],"itemData":{"id":512,"type":"article-journal","abstract":"Learning to store information over extended time intervals by recurrent backpropagation takes a very long time, mostly because of insufficient, decaying error backflow. We briefly review Hochreiter's (1991) analysis of this problem, then address it by introducing a novel, efficient, gradient based method called long short-term memory (LSTM). Truncating the gradient where this does not do harm, LSTM can learn to bridge minimal time lags in excess of 1000 discrete-time steps by enforcing constant error flow through constant error carousels within special units. Multiplicative gate units learn to open and close access to the constant error flow. LSTM is local in space and time; its computational complexity per time step and weight is O. 1. Our experiments with artificial data involve local, distributed, real-valued, and noisy pattern representations. In comparisons with real-time recurrent learning, back propagation through time, recurrent cascade correlation, Elman nets, and neural sequence chunking, LSTM leads to many more successful runs, and learns much faster. LSTM also solves complex, artificial long-time-lag tasks that have never been solved by previous recurrent network algorithms.","container-title":"Neural Computation","DOI":"10.1162/neco.1997.9.8.1735","ISSN":"0899-7667","issue":"8","page":"1735-1780","source":"IEEE Xplore","title":"Long Short-Term Memory","volume":"9","author":[{"family":"Hochreiter","given":"Sepp"},{"family":"Schmidhuber","given":"Jürgen"}],"issued":{"date-parts":[["1997",11]]}}}],"schema":"https://github.com/citation-style-language/schema/raw/master/csl-citation.json"} </w:instrText>
      </w:r>
      <w:r w:rsidR="00112EEB" w:rsidRPr="00D22B50">
        <w:fldChar w:fldCharType="separate"/>
      </w:r>
      <w:r w:rsidR="00112EEB" w:rsidRPr="00D22B50">
        <w:rPr>
          <w:rFonts w:cs="Times New Roman"/>
        </w:rPr>
        <w:t>[8]</w:t>
      </w:r>
      <w:r w:rsidR="00112EEB" w:rsidRPr="00D22B50">
        <w:fldChar w:fldCharType="end"/>
      </w:r>
      <w:r w:rsidRPr="00D22B50">
        <w:t xml:space="preserve">. In traditional Recurrent Neural Networks (RNNs), the backpropagation process involves a repeated multiplication of weight matrices, which often causes the gradient to decay exponentially as it moves toward the beginning of the sequence. This prevents the model from learning long-term dependencies, such as the relationship between electricity consumption today and the same hour a week ago. The LSTM architecture, originally introduced by Hochreiter and Schmidhuber, overcomes this by introducing a </w:t>
      </w:r>
      <w:r w:rsidR="00BD7543">
        <w:t>“</w:t>
      </w:r>
      <w:r w:rsidRPr="00D22B50">
        <w:t>Constant Error Carousel</w:t>
      </w:r>
      <w:r w:rsidR="00BD7543">
        <w:t>”</w:t>
      </w:r>
      <w:r w:rsidRPr="00D22B50">
        <w:t xml:space="preserve"> (CEC) mechanism, which allows the gradient to flow through time without significant attenuation.</w:t>
      </w:r>
    </w:p>
    <w:p w14:paraId="5985344C" w14:textId="77777777" w:rsidR="00926E42" w:rsidRPr="00D22B50" w:rsidRDefault="00926E42" w:rsidP="00F61464">
      <w:pPr>
        <w:pStyle w:val="3"/>
        <w:rPr>
          <w:rFonts w:hint="eastAsia"/>
        </w:rPr>
      </w:pPr>
      <w:bookmarkStart w:id="47" w:name="_Toc228913850"/>
      <w:r w:rsidRPr="00D22B50">
        <w:t>4.2.1 The Core Mechanism: The Cell State</w:t>
      </w:r>
      <w:bookmarkEnd w:id="47"/>
    </w:p>
    <w:p w14:paraId="66341D66" w14:textId="2252E48B" w:rsidR="00926E42" w:rsidRPr="00D22B50" w:rsidRDefault="00926E42" w:rsidP="00FA00E5">
      <w:pPr>
        <w:pStyle w:val="af5"/>
        <w:spacing w:before="156" w:after="156"/>
      </w:pPr>
      <w:r w:rsidRPr="00D22B50">
        <w:t xml:space="preserve">The core of the LSTM is the cell state </w:t>
      </w:r>
      <m:oMath>
        <m:sSub>
          <m:sSubPr>
            <m:ctrlPr>
              <w:rPr>
                <w:rFonts w:ascii="Cambria Math" w:hAnsi="Cambria Math"/>
                <w:i/>
              </w:rPr>
            </m:ctrlPr>
          </m:sSubPr>
          <m:e>
            <m:r>
              <w:rPr>
                <w:rFonts w:ascii="Cambria Math" w:hAnsi="Cambria Math"/>
              </w:rPr>
              <m:t>C</m:t>
            </m:r>
          </m:e>
          <m:sub>
            <m:r>
              <w:rPr>
                <w:rFonts w:ascii="Cambria Math" w:hAnsi="Cambria Math"/>
              </w:rPr>
              <m:t>t</m:t>
            </m:r>
          </m:sub>
        </m:sSub>
      </m:oMath>
      <w:r w:rsidRPr="00D22B50">
        <w:t xml:space="preserve">, which acts as a </w:t>
      </w:r>
      <w:r w:rsidR="00BD7543">
        <w:t>“</w:t>
      </w:r>
      <w:r w:rsidRPr="00D22B50">
        <w:t>conveyor belt</w:t>
      </w:r>
      <w:r w:rsidR="00BD7543">
        <w:t>”</w:t>
      </w:r>
      <w:r w:rsidRPr="00D22B50">
        <w:t xml:space="preserve"> for information. It runs through the entire chain of sequences with only minor linear interactions, ensuring that information can be preserved over many time steps. The flow of information is regulated by three distinct gating mechanisms, </w:t>
      </w:r>
      <w:r w:rsidR="00CE1344" w:rsidRPr="00D22B50">
        <w:t xml:space="preserve">each composed of a sigmoid neural network layer and a pointwise multiplication operation </w:t>
      </w:r>
      <w:r w:rsidR="00112EEB" w:rsidRPr="00D22B50">
        <w:fldChar w:fldCharType="begin"/>
      </w:r>
      <w:r w:rsidR="00112EEB" w:rsidRPr="00D22B50">
        <w:instrText xml:space="preserve"> ADDIN ZOTERO_ITEM CSL_CITATION {"citationID":"ygYFdybZ","properties":{"formattedCitation":"[8], [28]","plainCitation":"[8], [28]","noteIndex":0},"citationItems":[{"id":512,"uris":["http://zotero.org/users/local/p3tV44H5/items/HCMHHT5F"],"itemData":{"id":512,"type":"article-journal","abstract":"Learning to store information over extended time intervals by recurrent backpropagation takes a very long time, mostly because of insufficient, decaying error backflow. We briefly review Hochreiter's (1991) analysis of this problem, then address it by introducing a novel, efficient, gradient based method called long short-term memory (LSTM). Truncating the gradient where this does not do harm, LSTM can learn to bridge minimal time lags in excess of 1000 discrete-time steps by enforcing constant error flow through constant error carousels within special units. Multiplicative gate units learn to open and close access to the constant error flow. LSTM is local in space and time; its computational complexity per time step and weight is O. 1. Our experiments with artificial data involve local, distributed, real-valued, and noisy pattern representations. In comparisons with real-time recurrent learning, back propagation through time, recurrent cascade correlation, Elman nets, and neural sequence chunking, LSTM leads to many more successful runs, and learns much faster. LSTM also solves complex, artificial long-time-lag tasks that have never been solved by previous recurrent network algorithms.","container-title":"Neural Computation","DOI":"10.1162/neco.1997.9.8.1735","ISSN":"0899-7667","issue":"8","page":"1735-1780","source":"IEEE Xplore","title":"Long Short-Term Memory","volume":"9","author":[{"family":"Hochreiter","given":"Sepp"},{"family":"Schmidhuber","given":"Jürgen"}],"issued":{"date-parts":[["1997",11]]}}},{"id":662,"uris":["http://zotero.org/users/local/p3tV44H5/items/D25IRZHS"],"itemData":{"id":662,"type":"article-journal","abstract":"Because of their effectiveness in broad practical applications, LSTM networks have received a wealth of coverage in scientific journals, technical blogs, and implementation guides. However, in most articles, the inference formulas for the LSTM network and its parent, RNN, are stated axiomatically, while the training formulas are omitted altogether. In addition, the technique of “unrolling” an RNN is routinely presented without justification throughout the literature. The goal of this tutorial is to explain the essential RNN and LSTM fundamentals in a single document. Drawing from concepts in Signal Processing, we formally derive the canonical RNN formulation from differential equations. We then propose and prove a precise statement, which yields the RNN unrolling technique. We also review the difficulties with training the standard RNN and address them by transforming the RNN into the “Vanilla LSTM”1 1The nickname “Vanilla LSTM” symbolizes this model’s flexibility and generality (Greff et al., 2015). network through a series of logical arguments. We provide all equations pertaining to the LSTM system together with detailed descriptions of its constituent entities. Albeit unconventional, our choice of notation and the method for presenting the LSTM system emphasizes ease of understanding. As part of the analysis, we identify new opportunities to enrich the LSTM system and incorporate these extensions into the Vanilla LSTM network, producing the most general LSTM variant to date. The target reader has already been exposed to RNNs and LSTM networks through numerous available resources and is open to an alternative pedagogical approach. A Machine Learning practitioner seeking guidance for implementing our new augmented LSTM model in software for experimentation and research will find the insights and derivations in this treatise valuable as well.","container-title":"Physica D: Nonlinear Phenomena","DOI":"10.1016/j.physd.2019.132306","ISSN":"0167-2789","journalAbbreviation":"Physica D: Nonlinear Phenomena","page":"132306","source":"ScienceDirect","title":"Fundamentals of Recurrent Neural Network (RNN) and Long Short-Term Memory (LSTM) network","volume":"404","author":[{"family":"Sherstinsky","given":"Alex"}],"issued":{"date-parts":[["2020",3,1]]}}}],"schema":"https://github.com/citation-style-language/schema/raw/master/csl-citation.json"} </w:instrText>
      </w:r>
      <w:r w:rsidR="00112EEB" w:rsidRPr="00D22B50">
        <w:fldChar w:fldCharType="separate"/>
      </w:r>
      <w:r w:rsidR="00112EEB" w:rsidRPr="00D22B50">
        <w:rPr>
          <w:rFonts w:cs="Times New Roman"/>
        </w:rPr>
        <w:t>[8], [28]</w:t>
      </w:r>
      <w:r w:rsidR="00112EEB" w:rsidRPr="00D22B50">
        <w:fldChar w:fldCharType="end"/>
      </w:r>
      <w:r w:rsidRPr="00D22B50">
        <w:t>.</w:t>
      </w:r>
    </w:p>
    <w:p w14:paraId="7858D16E" w14:textId="77777777" w:rsidR="00926E42" w:rsidRPr="00D22B50" w:rsidRDefault="00926E42" w:rsidP="00F61464">
      <w:pPr>
        <w:pStyle w:val="3"/>
        <w:rPr>
          <w:rFonts w:hint="eastAsia"/>
        </w:rPr>
      </w:pPr>
      <w:bookmarkStart w:id="48" w:name="_Toc228913851"/>
      <w:r w:rsidRPr="00D22B50">
        <w:lastRenderedPageBreak/>
        <w:t>4.2.2 The Forget Gate: Deciding What to Discard</w:t>
      </w:r>
      <w:bookmarkEnd w:id="48"/>
    </w:p>
    <w:p w14:paraId="02676113" w14:textId="678DB2E9" w:rsidR="00926E42" w:rsidRPr="00D22B50" w:rsidRDefault="00926E42" w:rsidP="00FA00E5">
      <w:pPr>
        <w:pStyle w:val="af5"/>
        <w:spacing w:before="156" w:after="156"/>
      </w:pPr>
      <w:r w:rsidRPr="00D22B50">
        <w:t>The first step in an LSTM cell is to decide which information from the previous state should be removed from the cell state. This decision is made by the forget gat</w:t>
      </w:r>
      <w:r w:rsidR="00FA00E5" w:rsidRPr="00D22B50">
        <w:rPr>
          <w:rFonts w:hint="eastAsia"/>
        </w:rPr>
        <w:t>e</w:t>
      </w:r>
      <m:oMath>
        <m:sSub>
          <m:sSubPr>
            <m:ctrlPr>
              <w:rPr>
                <w:rFonts w:ascii="Cambria Math" w:hAnsi="Cambria Math"/>
              </w:rPr>
            </m:ctrlPr>
          </m:sSubPr>
          <m:e>
            <m:r>
              <w:rPr>
                <w:rFonts w:ascii="Cambria Math" w:hAnsi="Cambria Math"/>
              </w:rPr>
              <m:t>f</m:t>
            </m:r>
          </m:e>
          <m:sub>
            <m:r>
              <w:rPr>
                <w:rFonts w:ascii="Cambria Math" w:hAnsi="Cambria Math"/>
              </w:rPr>
              <m:t>t</m:t>
            </m:r>
          </m:sub>
        </m:sSub>
      </m:oMath>
      <w:r w:rsidRPr="00D22B50">
        <w:t xml:space="preserve">. It looks at the previous hidden state </w:t>
      </w:r>
      <m:oMath>
        <m:sSub>
          <m:sSubPr>
            <m:ctrlPr>
              <w:rPr>
                <w:rFonts w:ascii="Cambria Math" w:hAnsi="Cambria Math"/>
              </w:rPr>
            </m:ctrlPr>
          </m:sSubPr>
          <m:e>
            <m:r>
              <w:rPr>
                <w:rFonts w:ascii="Cambria Math" w:hAnsi="Cambria Math"/>
              </w:rPr>
              <m:t>h</m:t>
            </m:r>
          </m:e>
          <m:sub>
            <m:r>
              <w:rPr>
                <w:rFonts w:ascii="Cambria Math" w:hAnsi="Cambria Math"/>
              </w:rPr>
              <m:t>t</m:t>
            </m:r>
            <m:r>
              <m:rPr>
                <m:sty m:val="p"/>
              </m:rPr>
              <w:rPr>
                <w:rFonts w:ascii="Cambria Math" w:hAnsi="Cambria Math"/>
              </w:rPr>
              <m:t>-1</m:t>
            </m:r>
          </m:sub>
        </m:sSub>
      </m:oMath>
      <w:r w:rsidRPr="00D22B50">
        <w:t xml:space="preserve"> and the current input </w:t>
      </w:r>
      <m:oMath>
        <m:sSub>
          <m:sSubPr>
            <m:ctrlPr>
              <w:rPr>
                <w:rFonts w:ascii="Cambria Math" w:hAnsi="Cambria Math"/>
              </w:rPr>
            </m:ctrlPr>
          </m:sSubPr>
          <m:e>
            <m:r>
              <w:rPr>
                <w:rFonts w:ascii="Cambria Math" w:hAnsi="Cambria Math"/>
              </w:rPr>
              <m:t>x</m:t>
            </m:r>
          </m:e>
          <m:sub>
            <m:r>
              <w:rPr>
                <w:rFonts w:ascii="Cambria Math" w:hAnsi="Cambria Math"/>
              </w:rPr>
              <m:t>t</m:t>
            </m:r>
          </m:sub>
        </m:sSub>
      </m:oMath>
      <w:r w:rsidRPr="00D22B50">
        <w:t xml:space="preserve">, and outputs a number between 0 and 1 for each number in the cell state </w:t>
      </w:r>
      <m:oMath>
        <m:sSub>
          <m:sSubPr>
            <m:ctrlPr>
              <w:rPr>
                <w:rFonts w:ascii="Cambria Math" w:hAnsi="Cambria Math"/>
              </w:rPr>
            </m:ctrlPr>
          </m:sSubPr>
          <m:e>
            <m:r>
              <w:rPr>
                <w:rFonts w:ascii="Cambria Math" w:hAnsi="Cambria Math"/>
              </w:rPr>
              <m:t>C</m:t>
            </m:r>
          </m:e>
          <m:sub>
            <m:r>
              <w:rPr>
                <w:rFonts w:ascii="Cambria Math" w:hAnsi="Cambria Math"/>
              </w:rPr>
              <m:t>t</m:t>
            </m:r>
            <m:r>
              <m:rPr>
                <m:sty m:val="p"/>
              </m:rPr>
              <w:rPr>
                <w:rFonts w:ascii="Cambria Math" w:hAnsi="Cambria Math"/>
              </w:rPr>
              <m:t>-1</m:t>
            </m:r>
          </m:sub>
        </m:sSub>
      </m:oMath>
      <w:r w:rsidRPr="00D22B50">
        <w:t xml:space="preserve">. A value of 1 represents </w:t>
      </w:r>
      <w:r w:rsidR="00BD7543">
        <w:t>“</w:t>
      </w:r>
      <w:r w:rsidRPr="00D22B50">
        <w:t>completely keep,</w:t>
      </w:r>
      <w:r w:rsidR="00BD7543">
        <w:t>”</w:t>
      </w:r>
      <w:r w:rsidRPr="00D22B50">
        <w:t xml:space="preserve"> while 0 represents </w:t>
      </w:r>
      <w:r w:rsidR="00BD7543">
        <w:t>“</w:t>
      </w:r>
      <w:r w:rsidRPr="00D22B50">
        <w:t>completely discard.</w:t>
      </w:r>
      <w:r w:rsidR="00BD7543">
        <w:t>”</w:t>
      </w:r>
      <w:r w:rsidRPr="00D22B50">
        <w:t xml:space="preserve"> Mathematically, it is defined as:</w:t>
      </w:r>
    </w:p>
    <w:p w14:paraId="4A96CDFB" w14:textId="6CC9A540" w:rsidR="00926E42" w:rsidRPr="00D22B50" w:rsidRDefault="00926E42" w:rsidP="00926E42">
      <w:pPr>
        <w:rPr>
          <w:rFonts w:hint="eastAsia"/>
        </w:rPr>
      </w:pPr>
      <w:r w:rsidRPr="00D22B50">
        <w:rPr>
          <w:noProof/>
        </w:rPr>
        <w:drawing>
          <wp:inline distT="0" distB="0" distL="0" distR="0" wp14:anchorId="0ED568C3" wp14:editId="2C20B285">
            <wp:extent cx="5039428" cy="924054"/>
            <wp:effectExtent l="0" t="0" r="0" b="9525"/>
            <wp:docPr id="129170784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707844" name=""/>
                    <pic:cNvPicPr/>
                  </pic:nvPicPr>
                  <pic:blipFill>
                    <a:blip r:embed="rId15"/>
                    <a:stretch>
                      <a:fillRect/>
                    </a:stretch>
                  </pic:blipFill>
                  <pic:spPr>
                    <a:xfrm>
                      <a:off x="0" y="0"/>
                      <a:ext cx="5039428" cy="924054"/>
                    </a:xfrm>
                    <a:prstGeom prst="rect">
                      <a:avLst/>
                    </a:prstGeom>
                  </pic:spPr>
                </pic:pic>
              </a:graphicData>
            </a:graphic>
          </wp:inline>
        </w:drawing>
      </w:r>
    </w:p>
    <w:p w14:paraId="544E5488" w14:textId="3F924344" w:rsidR="00926E42" w:rsidRPr="00D22B50" w:rsidRDefault="00926E42" w:rsidP="00FA00E5">
      <w:pPr>
        <w:pStyle w:val="af5"/>
        <w:spacing w:before="156" w:after="156"/>
      </w:pPr>
      <w:r w:rsidRPr="00D22B50">
        <w:t xml:space="preserve">where </w:t>
      </w:r>
      <m:oMath>
        <m:sSub>
          <m:sSubPr>
            <m:ctrlPr>
              <w:rPr>
                <w:rFonts w:ascii="Cambria Math" w:hAnsi="Cambria Math"/>
                <w:i/>
              </w:rPr>
            </m:ctrlPr>
          </m:sSubPr>
          <m:e>
            <m:r>
              <w:rPr>
                <w:rFonts w:ascii="Cambria Math" w:hAnsi="Cambria Math"/>
              </w:rPr>
              <m:t>W</m:t>
            </m:r>
          </m:e>
          <m:sub>
            <m:r>
              <w:rPr>
                <w:rFonts w:ascii="Cambria Math" w:hAnsi="Cambria Math"/>
              </w:rPr>
              <m:t>f</m:t>
            </m:r>
          </m:sub>
        </m:sSub>
      </m:oMath>
      <w:r w:rsidRPr="00D22B50">
        <w:t xml:space="preserve"> and </w:t>
      </w:r>
      <m:oMath>
        <m:sSub>
          <m:sSubPr>
            <m:ctrlPr>
              <w:rPr>
                <w:rFonts w:ascii="Cambria Math" w:hAnsi="Cambria Math"/>
                <w:i/>
              </w:rPr>
            </m:ctrlPr>
          </m:sSubPr>
          <m:e>
            <m:r>
              <w:rPr>
                <w:rFonts w:ascii="Cambria Math" w:hAnsi="Cambria Math"/>
              </w:rPr>
              <m:t>b</m:t>
            </m:r>
          </m:e>
          <m:sub>
            <m:r>
              <w:rPr>
                <w:rFonts w:ascii="Cambria Math" w:hAnsi="Cambria Math"/>
              </w:rPr>
              <m:t>f</m:t>
            </m:r>
          </m:sub>
        </m:sSub>
      </m:oMath>
      <w:r w:rsidRPr="00D22B50">
        <w:t xml:space="preserve"> are the weight matrix and bias vector of the forget gate, respectively, and </w:t>
      </w:r>
      <m:oMath>
        <m:r>
          <w:rPr>
            <w:rFonts w:ascii="Cambria Math" w:hAnsi="Cambria Math"/>
          </w:rPr>
          <m:t>σ</m:t>
        </m:r>
      </m:oMath>
      <w:r w:rsidRPr="00D22B50">
        <w:t xml:space="preserve"> is the sigmoid activation function. In the context of STLF, this gate might learn to </w:t>
      </w:r>
      <w:r w:rsidR="00BD7543">
        <w:t>“</w:t>
      </w:r>
      <w:r w:rsidRPr="00D22B50">
        <w:t>forget</w:t>
      </w:r>
      <w:r w:rsidR="00BD7543">
        <w:t>”</w:t>
      </w:r>
      <w:r w:rsidRPr="00D22B50">
        <w:t xml:space="preserve"> a non-routine consumption spike from the previous day while retaining the baseline trend.</w:t>
      </w:r>
    </w:p>
    <w:p w14:paraId="5C0DC46A" w14:textId="77777777" w:rsidR="00926E42" w:rsidRPr="00D22B50" w:rsidRDefault="00926E42" w:rsidP="00F61464">
      <w:pPr>
        <w:pStyle w:val="3"/>
        <w:rPr>
          <w:rFonts w:hint="eastAsia"/>
        </w:rPr>
      </w:pPr>
      <w:bookmarkStart w:id="49" w:name="_Toc228913852"/>
      <w:r w:rsidRPr="00D22B50">
        <w:t>4.2.3 The Input Gate: Knowledge Synthesis</w:t>
      </w:r>
      <w:bookmarkEnd w:id="49"/>
    </w:p>
    <w:p w14:paraId="1734FCA3" w14:textId="04B706AC" w:rsidR="00926E42" w:rsidRPr="00D22B50" w:rsidRDefault="00926E42" w:rsidP="00FA00E5">
      <w:pPr>
        <w:pStyle w:val="af5"/>
        <w:spacing w:before="156" w:after="156"/>
      </w:pPr>
      <w:r w:rsidRPr="00D22B50">
        <w:t xml:space="preserve">The next step is to decide what new information will be stored in the cell state. This involves two parts. First, the input gate </w:t>
      </w:r>
      <m:oMath>
        <m:sSub>
          <m:sSubPr>
            <m:ctrlPr>
              <w:rPr>
                <w:rFonts w:ascii="Cambria Math" w:hAnsi="Cambria Math"/>
                <w:i/>
              </w:rPr>
            </m:ctrlPr>
          </m:sSubPr>
          <m:e>
            <m:r>
              <w:rPr>
                <w:rFonts w:ascii="Cambria Math" w:hAnsi="Cambria Math"/>
              </w:rPr>
              <m:t>i</m:t>
            </m:r>
          </m:e>
          <m:sub>
            <m:r>
              <w:rPr>
                <w:rFonts w:ascii="Cambria Math" w:hAnsi="Cambria Math"/>
              </w:rPr>
              <m:t>t</m:t>
            </m:r>
          </m:sub>
        </m:sSub>
      </m:oMath>
      <w:r w:rsidRPr="00D22B50">
        <w:t xml:space="preserve"> decides which values will be updated. Second, a </w:t>
      </w:r>
      <m:oMath>
        <m:r>
          <w:rPr>
            <w:rFonts w:ascii="Cambria Math" w:hAnsi="Cambria Math"/>
          </w:rPr>
          <m:t>t</m:t>
        </m:r>
        <m:r>
          <w:rPr>
            <w:rFonts w:ascii="Cambria Math" w:eastAsiaTheme="minorEastAsia" w:hAnsi="Cambria Math"/>
          </w:rPr>
          <m:t>anh</m:t>
        </m:r>
      </m:oMath>
      <w:r w:rsidRPr="00D22B50">
        <w:t xml:space="preserve"> layer creates a vector of new candidate values, </w:t>
      </w:r>
      <m:oMath>
        <m:sSub>
          <m:sSubPr>
            <m:ctrlPr>
              <w:rPr>
                <w:rFonts w:ascii="Cambria Math" w:hAnsi="Cambria Math"/>
                <w:i/>
              </w:rPr>
            </m:ctrlPr>
          </m:sSubPr>
          <m:e>
            <m:acc>
              <m:accPr>
                <m:chr m:val="̃"/>
                <m:ctrlPr>
                  <w:rPr>
                    <w:rFonts w:ascii="Cambria Math" w:hAnsi="Cambria Math"/>
                    <w:i/>
                  </w:rPr>
                </m:ctrlPr>
              </m:accPr>
              <m:e>
                <m:r>
                  <w:rPr>
                    <w:rFonts w:ascii="Cambria Math" w:hAnsi="Cambria Math"/>
                  </w:rPr>
                  <m:t>C</m:t>
                </m:r>
              </m:e>
            </m:acc>
          </m:e>
          <m:sub>
            <m:r>
              <w:rPr>
                <w:rFonts w:ascii="Cambria Math" w:hAnsi="Cambria Math"/>
              </w:rPr>
              <m:t>t</m:t>
            </m:r>
          </m:sub>
        </m:sSub>
      </m:oMath>
      <w:r w:rsidRPr="00D22B50">
        <w:t>, that could be added to the state.</w:t>
      </w:r>
    </w:p>
    <w:p w14:paraId="67770018" w14:textId="0D3D4E2D" w:rsidR="00926E42" w:rsidRPr="00D22B50" w:rsidRDefault="00926E42" w:rsidP="00926E42">
      <w:pPr>
        <w:rPr>
          <w:rFonts w:hint="eastAsia"/>
        </w:rPr>
      </w:pPr>
      <w:r w:rsidRPr="00D22B50">
        <w:rPr>
          <w:noProof/>
        </w:rPr>
        <w:drawing>
          <wp:inline distT="0" distB="0" distL="0" distR="0" wp14:anchorId="03ECBD43" wp14:editId="66670D89">
            <wp:extent cx="5274310" cy="1711960"/>
            <wp:effectExtent l="0" t="0" r="2540" b="2540"/>
            <wp:docPr id="198756464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564647" name=""/>
                    <pic:cNvPicPr/>
                  </pic:nvPicPr>
                  <pic:blipFill>
                    <a:blip r:embed="rId16"/>
                    <a:stretch>
                      <a:fillRect/>
                    </a:stretch>
                  </pic:blipFill>
                  <pic:spPr>
                    <a:xfrm>
                      <a:off x="0" y="0"/>
                      <a:ext cx="5274310" cy="1711960"/>
                    </a:xfrm>
                    <a:prstGeom prst="rect">
                      <a:avLst/>
                    </a:prstGeom>
                  </pic:spPr>
                </pic:pic>
              </a:graphicData>
            </a:graphic>
          </wp:inline>
        </w:drawing>
      </w:r>
    </w:p>
    <w:p w14:paraId="0839D699" w14:textId="7D6D5C33" w:rsidR="00926E42" w:rsidRPr="00D22B50" w:rsidRDefault="00926E42" w:rsidP="00FA00E5">
      <w:pPr>
        <w:pStyle w:val="af5"/>
        <w:spacing w:before="156" w:after="156"/>
      </w:pPr>
      <w:r w:rsidRPr="00D22B50">
        <w:t>The cell state is then updated by combining the results of the forget gate and the input gate:</w:t>
      </w:r>
    </w:p>
    <w:p w14:paraId="1AE4708F" w14:textId="5A0C2796" w:rsidR="00926E42" w:rsidRPr="00D22B50" w:rsidRDefault="00926E42" w:rsidP="00926E42">
      <w:pPr>
        <w:rPr>
          <w:rFonts w:hint="eastAsia"/>
        </w:rPr>
      </w:pPr>
      <w:r w:rsidRPr="00D22B50">
        <w:rPr>
          <w:noProof/>
        </w:rPr>
        <w:drawing>
          <wp:inline distT="0" distB="0" distL="0" distR="0" wp14:anchorId="1F577AC3" wp14:editId="7A0D5970">
            <wp:extent cx="4258269" cy="647790"/>
            <wp:effectExtent l="0" t="0" r="9525" b="0"/>
            <wp:docPr id="187509507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095072" name=""/>
                    <pic:cNvPicPr/>
                  </pic:nvPicPr>
                  <pic:blipFill>
                    <a:blip r:embed="rId17"/>
                    <a:stretch>
                      <a:fillRect/>
                    </a:stretch>
                  </pic:blipFill>
                  <pic:spPr>
                    <a:xfrm>
                      <a:off x="0" y="0"/>
                      <a:ext cx="4258269" cy="647790"/>
                    </a:xfrm>
                    <a:prstGeom prst="rect">
                      <a:avLst/>
                    </a:prstGeom>
                  </pic:spPr>
                </pic:pic>
              </a:graphicData>
            </a:graphic>
          </wp:inline>
        </w:drawing>
      </w:r>
    </w:p>
    <w:p w14:paraId="10E0B00F" w14:textId="60A1E5BA" w:rsidR="00926E42" w:rsidRPr="00D22B50" w:rsidRDefault="00926E42" w:rsidP="00FA00E5">
      <w:pPr>
        <w:pStyle w:val="af5"/>
        <w:spacing w:before="156" w:after="156"/>
      </w:pPr>
      <w:r w:rsidRPr="00D22B50">
        <w:t xml:space="preserve">where </w:t>
      </w:r>
      <m:oMath>
        <m:r>
          <w:rPr>
            <w:rFonts w:ascii="Cambria Math" w:hAnsi="Cambria Math"/>
          </w:rPr>
          <m:t>a</m:t>
        </m:r>
        <m:r>
          <w:rPr>
            <w:rFonts w:ascii="Cambria Math" w:eastAsiaTheme="minorEastAsia" w:hAnsi="Cambria Math"/>
          </w:rPr>
          <m:t>st</m:t>
        </m:r>
      </m:oMath>
      <w:r w:rsidRPr="00D22B50">
        <w:t xml:space="preserve"> denotes element-wise multiplication. This operation allows the model to blend historical context with fresh observations, which is critical for adapting to the </w:t>
      </w:r>
      <w:r w:rsidRPr="00D22B50">
        <w:lastRenderedPageBreak/>
        <w:t>volatility of residential energy data.</w:t>
      </w:r>
    </w:p>
    <w:p w14:paraId="16CEEA45" w14:textId="77777777" w:rsidR="00926E42" w:rsidRPr="00D22B50" w:rsidRDefault="00926E42" w:rsidP="00CD2527">
      <w:pPr>
        <w:pStyle w:val="3"/>
        <w:rPr>
          <w:rFonts w:hint="eastAsia"/>
        </w:rPr>
      </w:pPr>
      <w:bookmarkStart w:id="50" w:name="_Toc228913853"/>
      <w:r w:rsidRPr="00D22B50">
        <w:t>4.2.4 The Output Gate: Hidden State Generation</w:t>
      </w:r>
      <w:bookmarkEnd w:id="50"/>
    </w:p>
    <w:p w14:paraId="1AFE2319" w14:textId="1D57BED1" w:rsidR="00926E42" w:rsidRPr="00D22B50" w:rsidRDefault="00926E42" w:rsidP="00FD5995">
      <w:pPr>
        <w:pStyle w:val="af5"/>
        <w:spacing w:before="156" w:after="156"/>
      </w:pPr>
      <w:r w:rsidRPr="00D22B50">
        <w:t xml:space="preserve">Finally, the model must decide what the output (hidden state) will be. The output gate </w:t>
      </w:r>
      <m:oMath>
        <m:sSub>
          <m:sSubPr>
            <m:ctrlPr>
              <w:rPr>
                <w:rFonts w:ascii="Cambria Math" w:hAnsi="Cambria Math"/>
              </w:rPr>
            </m:ctrlPr>
          </m:sSubPr>
          <m:e>
            <m:r>
              <w:rPr>
                <w:rFonts w:ascii="Cambria Math" w:hAnsi="Cambria Math"/>
              </w:rPr>
              <m:t>o</m:t>
            </m:r>
          </m:e>
          <m:sub>
            <m:r>
              <w:rPr>
                <w:rFonts w:ascii="Cambria Math" w:hAnsi="Cambria Math"/>
              </w:rPr>
              <m:t>t</m:t>
            </m:r>
          </m:sub>
        </m:sSub>
      </m:oMath>
      <w:r w:rsidRPr="00D22B50">
        <w:t xml:space="preserve"> filters the updated cell state to produce the hidden state </w:t>
      </w:r>
      <m:oMath>
        <m:sSub>
          <m:sSubPr>
            <m:ctrlPr>
              <w:rPr>
                <w:rFonts w:ascii="Cambria Math" w:hAnsi="Cambria Math"/>
              </w:rPr>
            </m:ctrlPr>
          </m:sSubPr>
          <m:e>
            <m:r>
              <w:rPr>
                <w:rFonts w:ascii="Cambria Math" w:hAnsi="Cambria Math"/>
              </w:rPr>
              <m:t>h</m:t>
            </m:r>
          </m:e>
          <m:sub>
            <m:r>
              <w:rPr>
                <w:rFonts w:ascii="Cambria Math" w:hAnsi="Cambria Math"/>
              </w:rPr>
              <m:t>t</m:t>
            </m:r>
          </m:sub>
        </m:sSub>
      </m:oMath>
      <w:r w:rsidRPr="00D22B50">
        <w:t>, which serves as the model</w:t>
      </w:r>
      <w:r w:rsidR="00BD7543">
        <w:t>’</w:t>
      </w:r>
      <w:r w:rsidRPr="00D22B50">
        <w:t>s prediction for the current step and the input for the next step.</w:t>
      </w:r>
    </w:p>
    <w:p w14:paraId="63CB24A8" w14:textId="3E585A4C" w:rsidR="00926E42" w:rsidRPr="00D22B50" w:rsidRDefault="00926E42" w:rsidP="00926E42">
      <w:pPr>
        <w:rPr>
          <w:rFonts w:hint="eastAsia"/>
        </w:rPr>
      </w:pPr>
      <w:r w:rsidRPr="00D22B50">
        <w:rPr>
          <w:noProof/>
        </w:rPr>
        <w:drawing>
          <wp:inline distT="0" distB="0" distL="0" distR="0" wp14:anchorId="5E8CE99A" wp14:editId="49B57382">
            <wp:extent cx="5274310" cy="2247900"/>
            <wp:effectExtent l="0" t="0" r="2540" b="0"/>
            <wp:docPr id="5790974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09746" name=""/>
                    <pic:cNvPicPr/>
                  </pic:nvPicPr>
                  <pic:blipFill>
                    <a:blip r:embed="rId18"/>
                    <a:stretch>
                      <a:fillRect/>
                    </a:stretch>
                  </pic:blipFill>
                  <pic:spPr>
                    <a:xfrm>
                      <a:off x="0" y="0"/>
                      <a:ext cx="5274310" cy="2247900"/>
                    </a:xfrm>
                    <a:prstGeom prst="rect">
                      <a:avLst/>
                    </a:prstGeom>
                  </pic:spPr>
                </pic:pic>
              </a:graphicData>
            </a:graphic>
          </wp:inline>
        </w:drawing>
      </w:r>
    </w:p>
    <w:p w14:paraId="2787C876" w14:textId="51AEC8E6" w:rsidR="002C44EF" w:rsidRPr="00BD23C6" w:rsidRDefault="00926E42" w:rsidP="00BD23C6">
      <w:pPr>
        <w:pStyle w:val="af5"/>
        <w:spacing w:before="156" w:after="156"/>
        <w:rPr>
          <w:rFonts w:eastAsiaTheme="minorEastAsia"/>
        </w:rPr>
      </w:pPr>
      <w:r w:rsidRPr="00D22B50">
        <w:t xml:space="preserve">Through this complex interplay of gates, the LSTM can maintain a sophisticated representation of energy demand. By normalizing inputs as discussed in Section 4.1, </w:t>
      </w:r>
      <w:r w:rsidR="002657F3">
        <w:t xml:space="preserve">I </w:t>
      </w:r>
      <w:r w:rsidRPr="00D22B50">
        <w:t xml:space="preserve">ensure that the inputs to these sigmoid and </w:t>
      </w:r>
      <w:r w:rsidR="00112EEB" w:rsidRPr="00D22B50">
        <w:rPr>
          <w:rFonts w:eastAsiaTheme="minorEastAsia" w:hint="eastAsia"/>
        </w:rPr>
        <w:t>tanh</w:t>
      </w:r>
      <w:r w:rsidRPr="00D22B50">
        <w:t xml:space="preserve"> layers stay within the non-saturated regions, preventing the gradients from vanishing and enabling the robust training required for transfer learning.</w:t>
      </w:r>
    </w:p>
    <w:p w14:paraId="262F9D01" w14:textId="77777777" w:rsidR="00CD2527" w:rsidRPr="00D22B50" w:rsidRDefault="00CD2527" w:rsidP="00CD2527">
      <w:pPr>
        <w:pStyle w:val="2"/>
        <w:rPr>
          <w:rFonts w:hint="eastAsia"/>
        </w:rPr>
      </w:pPr>
      <w:bookmarkStart w:id="51" w:name="_Toc228913854"/>
      <w:r w:rsidRPr="00D22B50">
        <w:t>4.3 The Transformer Architecture for Sequence Modeling</w:t>
      </w:r>
      <w:bookmarkEnd w:id="51"/>
      <w:r w:rsidRPr="00D22B50">
        <w:t xml:space="preserve"> </w:t>
      </w:r>
    </w:p>
    <w:p w14:paraId="49494943" w14:textId="78B8E863" w:rsidR="00CD2527" w:rsidRPr="00D22B50" w:rsidRDefault="00236858" w:rsidP="00FD5995">
      <w:pPr>
        <w:pStyle w:val="af5"/>
        <w:spacing w:before="156" w:after="156"/>
      </w:pPr>
      <w:r w:rsidRPr="00D22B50">
        <w:t xml:space="preserve">To provide a benchmark against widely-used gradient boosting frameworks </w:t>
      </w:r>
      <w:r w:rsidR="00112EEB" w:rsidRPr="00D22B50">
        <w:fldChar w:fldCharType="begin"/>
      </w:r>
      <w:r w:rsidR="00112EEB" w:rsidRPr="00D22B50">
        <w:instrText xml:space="preserve"> ADDIN ZOTERO_ITEM CSL_CITATION {"citationID":"LNra5796","properties":{"formattedCitation":"[29]","plainCitation":"[29]","noteIndex":0},"citationItems":[{"id":609,"uris":["http://zotero.org/users/local/p3tV44H5/items/ELEMIBKD"],"itemData":{"id":609,"type":"paper-conference","container-title":"Advances in Neural Information Processing Systems","publisher":"Curran Associates, Inc.","source":"Neural Information Processing Systems","title":"LightGBM: A Highly Efficient Gradient Boosting Decision Tree","title-short":"LightGBM","URL":"https://proceedings.neurips.cc/paper/2017/hash/6449f44a102fde848669bdd9eb6b76fa-Abstract.html","volume":"30","author":[{"family":"Ke","given":"Guolin"},{"family":"Meng","given":"Qi"},{"family":"Finley","given":"Thomas"},{"family":"Wang","given":"Taifeng"},{"family":"Chen","given":"Wei"},{"family":"Ma","given":"Weidong"},{"family":"Ye","given":"Qiwei"},{"family":"Liu","given":"Tie-Yan"}],"accessed":{"date-parts":[["2026",5,1]]},"issued":{"date-parts":[["2017"]]}}}],"schema":"https://github.com/citation-style-language/schema/raw/master/csl-citation.json"} </w:instrText>
      </w:r>
      <w:r w:rsidR="00112EEB" w:rsidRPr="00D22B50">
        <w:fldChar w:fldCharType="separate"/>
      </w:r>
      <w:r w:rsidR="00112EEB" w:rsidRPr="00D22B50">
        <w:rPr>
          <w:rFonts w:cs="Times New Roman"/>
        </w:rPr>
        <w:t>[29]</w:t>
      </w:r>
      <w:r w:rsidR="00112EEB" w:rsidRPr="00D22B50">
        <w:fldChar w:fldCharType="end"/>
      </w:r>
      <w:r w:rsidRPr="00D22B50">
        <w:t xml:space="preserve"> and the recurrent mechanisms of LSTM, this study incorporates a Transformer-based forecasting framework built upon the self-attention mechanism </w:t>
      </w:r>
      <w:r w:rsidR="00112EEB" w:rsidRPr="00D22B50">
        <w:fldChar w:fldCharType="begin"/>
      </w:r>
      <w:r w:rsidR="00112EEB" w:rsidRPr="00D22B50">
        <w:instrText xml:space="preserve"> ADDIN ZOTERO_ITEM CSL_CITATION {"citationID":"4k882Yho","properties":{"formattedCitation":"[30]","plainCitation":"[30]","noteIndex":0},"citationItems":[{"id":607,"uris":["http://zotero.org/users/local/p3tV44H5/items/INQ4M3TB"],"itemData":{"id":607,"type":"paper-conference","container-title":"Advances in Neural Information Processing Systems","publisher":"Curran Associates, Inc.","source":"Neural Information Processing Systems","title":"Attention is All you Need","URL":"https://proceedings.neurips.cc/paper/2017/hash/3f5ee243547dee91fbd053c1c4a845aa-Abstract.html","volume":"30","author":[{"family":"Vaswani","given":"Ashish"},{"family":"Shazeer","given":"Noam"},{"family":"Parmar","given":"Niki"},{"family":"Uszkoreit","given":"Jakob"},{"family":"Jones","given":"Llion"},{"family":"Gomez","given":"Aidan N"},{"family":"Kaiser","given":"Ł","dropping-particle":"ukasz"},{"family":"Polosukhin","given":"Illia"}],"accessed":{"date-parts":[["2026",5,1]]},"issued":{"date-parts":[["2017"]]}}}],"schema":"https://github.com/citation-style-language/schema/raw/master/csl-citation.json"} </w:instrText>
      </w:r>
      <w:r w:rsidR="00112EEB" w:rsidRPr="00D22B50">
        <w:fldChar w:fldCharType="separate"/>
      </w:r>
      <w:r w:rsidR="00112EEB" w:rsidRPr="00D22B50">
        <w:rPr>
          <w:rFonts w:cs="Times New Roman"/>
        </w:rPr>
        <w:t>[30]</w:t>
      </w:r>
      <w:r w:rsidR="00112EEB" w:rsidRPr="00D22B50">
        <w:fldChar w:fldCharType="end"/>
      </w:r>
      <w:r w:rsidRPr="00D22B50">
        <w:t>.</w:t>
      </w:r>
    </w:p>
    <w:p w14:paraId="1B8C60A4" w14:textId="33CF7354" w:rsidR="00CD2527" w:rsidRPr="00D22B50" w:rsidRDefault="00CD2527" w:rsidP="00FD5995">
      <w:pPr>
        <w:pStyle w:val="af5"/>
        <w:spacing w:before="156" w:after="156"/>
      </w:pPr>
      <w:r w:rsidRPr="00D22B50">
        <w:t xml:space="preserve">The </w:t>
      </w:r>
      <w:r w:rsidR="00CE1344" w:rsidRPr="00D22B50">
        <w:t xml:space="preserve">core of the attention mechanism is the Scaled Dot-Product Attention </w:t>
      </w:r>
      <w:r w:rsidR="00112EEB" w:rsidRPr="00D22B50">
        <w:fldChar w:fldCharType="begin"/>
      </w:r>
      <w:r w:rsidR="00112EEB" w:rsidRPr="00D22B50">
        <w:instrText xml:space="preserve"> ADDIN ZOTERO_ITEM CSL_CITATION {"citationID":"qgi1Lr4w","properties":{"formattedCitation":"[30], [31]","plainCitation":"[30], [31]","noteIndex":0},"citationItems":[{"id":607,"uris":["http://zotero.org/users/local/p3tV44H5/items/INQ4M3TB"],"itemData":{"id":607,"type":"paper-conference","container-title":"Advances in Neural Information Processing Systems","publisher":"Curran Associates, Inc.","source":"Neural Information Processing Systems","title":"Attention is All you Need","URL":"https://proceedings.neurips.cc/paper/2017/hash/3f5ee243547dee91fbd053c1c4a845aa-Abstract.html","volume":"30","author":[{"family":"Vaswani","given":"Ashish"},{"family":"Shazeer","given":"Noam"},{"family":"Parmar","given":"Niki"},{"family":"Uszkoreit","given":"Jakob"},{"family":"Jones","given":"Llion"},{"family":"Gomez","given":"Aidan N"},{"family":"Kaiser","given":"Ł","dropping-particle":"ukasz"},{"family":"Polosukhin","given":"Illia"}],"accessed":{"date-parts":[["2026",5,1]]},"issued":{"date-parts":[["2017"]]}}},{"id":655,"uris":["http://zotero.org/users/local/p3tV44H5/items/GFY7XDE7"],"itemData":{"id":655,"type":"article-journal","abstract":"Attention has arguably become one of the most important concepts in the deep learning ﬁeld. It is inspired by the biological systems of humans that tend to focus on the distinctive parts when processing large amounts of information. With the development of deep neural networks, attention mechanism has been widely used in diverse application domains. This paper aims to give an overview of the state-of-theart attention models proposed in recent years. Toward a better general understanding of attention mechanisms, we deﬁne a uniﬁed model that is suitable for most attention structures. Each step of the attention mechanism implemented in the model is described in detail. Furthermore, we classify existing attention models according to four criteria: the softness of attention, forms of input feature, input representation, and output representation. Besides, we summarize network architectures used in conjunction with the attention mechanism and describe some typical applications of attention mechanism. Finally, we discuss the interpretability that attention brings to deep learning and present its potential future trends.","container-title":"Neurocomputing","DOI":"10.1016/j.neucom.2021.03.091","ISSN":"09252312","journalAbbreviation":"Neurocomputing","language":"en","page":"48-62","source":"DOI.org (Crossref)","title":"A review on the attention mechanism of deep learning","volume":"452","author":[{"family":"Niu","given":"Zhaoyang"},{"family":"Zhong","given":"Guoqiang"},{"family":"Yu","given":"Hui"}],"issued":{"date-parts":[["2021",9]]}}}],"schema":"https://github.com/citation-style-language/schema/raw/master/csl-citation.json"} </w:instrText>
      </w:r>
      <w:r w:rsidR="00112EEB" w:rsidRPr="00D22B50">
        <w:fldChar w:fldCharType="separate"/>
      </w:r>
      <w:r w:rsidR="00112EEB" w:rsidRPr="00D22B50">
        <w:rPr>
          <w:rFonts w:cs="Times New Roman"/>
        </w:rPr>
        <w:t>[30], [31]</w:t>
      </w:r>
      <w:r w:rsidR="00112EEB" w:rsidRPr="00D22B50">
        <w:fldChar w:fldCharType="end"/>
      </w:r>
      <w:r w:rsidRPr="00D22B50">
        <w:t>, defined as:</w:t>
      </w:r>
    </w:p>
    <w:p w14:paraId="3E1AE488" w14:textId="77C39B5A" w:rsidR="00167F1E" w:rsidRPr="00D22B50" w:rsidRDefault="00CD2527" w:rsidP="002C44EF">
      <w:pPr>
        <w:rPr>
          <w:rFonts w:hint="eastAsia"/>
        </w:rPr>
      </w:pPr>
      <w:r w:rsidRPr="00D22B50">
        <w:rPr>
          <w:noProof/>
        </w:rPr>
        <w:drawing>
          <wp:inline distT="0" distB="0" distL="0" distR="0" wp14:anchorId="262BBCFD" wp14:editId="6F077255">
            <wp:extent cx="5274310" cy="965835"/>
            <wp:effectExtent l="0" t="0" r="2540" b="5715"/>
            <wp:docPr id="174504936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049368" name=""/>
                    <pic:cNvPicPr/>
                  </pic:nvPicPr>
                  <pic:blipFill>
                    <a:blip r:embed="rId19"/>
                    <a:stretch>
                      <a:fillRect/>
                    </a:stretch>
                  </pic:blipFill>
                  <pic:spPr>
                    <a:xfrm>
                      <a:off x="0" y="0"/>
                      <a:ext cx="5274310" cy="965835"/>
                    </a:xfrm>
                    <a:prstGeom prst="rect">
                      <a:avLst/>
                    </a:prstGeom>
                  </pic:spPr>
                </pic:pic>
              </a:graphicData>
            </a:graphic>
          </wp:inline>
        </w:drawing>
      </w:r>
    </w:p>
    <w:p w14:paraId="7C86244F" w14:textId="17D9AAE2" w:rsidR="00CD2527" w:rsidRPr="00D22B50" w:rsidRDefault="00CD2527" w:rsidP="00FD5995">
      <w:pPr>
        <w:pStyle w:val="af5"/>
        <w:spacing w:before="156" w:after="156"/>
      </w:pPr>
      <w:r w:rsidRPr="00D22B50">
        <w:t>To preserve temporal order, a sinusoidal Positional Encoding layer is applied to the input embeddings. This architecture allows the model to prioritize specific historical peaks (e.g., the previous day</w:t>
      </w:r>
      <w:r w:rsidR="00BD7543">
        <w:t>’</w:t>
      </w:r>
      <w:r w:rsidRPr="00D22B50">
        <w:t xml:space="preserve">s evening surge) without the information bottleneck </w:t>
      </w:r>
      <w:r w:rsidRPr="00D22B50">
        <w:lastRenderedPageBreak/>
        <w:t>typical of long-range recurrent connections.</w:t>
      </w:r>
    </w:p>
    <w:p w14:paraId="3624F31D" w14:textId="77777777" w:rsidR="00CD2527" w:rsidRPr="00D22B50" w:rsidRDefault="00CD2527" w:rsidP="00CD2527">
      <w:pPr>
        <w:pStyle w:val="2"/>
        <w:rPr>
          <w:rFonts w:hint="eastAsia"/>
        </w:rPr>
      </w:pPr>
      <w:bookmarkStart w:id="52" w:name="_Toc228913855"/>
      <w:r w:rsidRPr="00D22B50">
        <w:t>4.4 Experimental Framework and Comparative Logic</w:t>
      </w:r>
      <w:bookmarkEnd w:id="52"/>
      <w:r w:rsidRPr="00D22B50">
        <w:t xml:space="preserve"> </w:t>
      </w:r>
    </w:p>
    <w:p w14:paraId="6C594D1E" w14:textId="081C0628" w:rsidR="00CD2527" w:rsidRPr="00D22B50" w:rsidRDefault="00CD2527" w:rsidP="00FD5995">
      <w:pPr>
        <w:pStyle w:val="af5"/>
        <w:spacing w:before="156" w:after="156"/>
      </w:pPr>
      <w:r w:rsidRPr="00D22B50">
        <w:t>To rigorously evaluate the efficacy of the proposed system, the methodology implements a two-dimensional comparison protocol:</w:t>
      </w:r>
    </w:p>
    <w:p w14:paraId="22A72025" w14:textId="4E0EE4A9" w:rsidR="00FD5995" w:rsidRPr="00D22B50" w:rsidRDefault="00CD2527" w:rsidP="00FD5995">
      <w:pPr>
        <w:pStyle w:val="af5"/>
        <w:numPr>
          <w:ilvl w:val="0"/>
          <w:numId w:val="16"/>
        </w:numPr>
        <w:spacing w:before="156" w:after="156"/>
      </w:pPr>
      <w:r w:rsidRPr="00D22B50">
        <w:t xml:space="preserve">Transfer Strategy Comparison: For the target users, three strategies are evaluated—Training from Scratch, Direct Transfer (Zero-shot), and Adaptive Fine-tuning. This dimension aims to prove that the </w:t>
      </w:r>
      <w:r w:rsidR="00BD7543">
        <w:t>“</w:t>
      </w:r>
      <w:r w:rsidRPr="00D22B50">
        <w:t>Pre-train + Fine-tune</w:t>
      </w:r>
      <w:r w:rsidR="00BD7543">
        <w:t>”</w:t>
      </w:r>
      <w:r w:rsidRPr="00D22B50">
        <w:t xml:space="preserve"> paradigm is the optimal path for mitigating the cold-start problem.</w:t>
      </w:r>
    </w:p>
    <w:p w14:paraId="77E9A10E" w14:textId="16D2738A" w:rsidR="00CD2527" w:rsidRPr="00D22B50" w:rsidRDefault="00CD2527" w:rsidP="00FD5995">
      <w:pPr>
        <w:pStyle w:val="af5"/>
        <w:numPr>
          <w:ilvl w:val="0"/>
          <w:numId w:val="16"/>
        </w:numPr>
        <w:spacing w:before="156" w:after="156"/>
      </w:pPr>
      <w:r w:rsidRPr="00D22B50">
        <w:t>Architectural Comparison (LSTM vs. Transformer): Both models, enhanced with time features and optimized via Optuna, are subjected to identical cold-start tests.</w:t>
      </w:r>
    </w:p>
    <w:p w14:paraId="24745545" w14:textId="795CE6AF" w:rsidR="00CD2527" w:rsidRPr="00D22B50" w:rsidRDefault="00CD2527" w:rsidP="00FD5995">
      <w:pPr>
        <w:pStyle w:val="af5"/>
        <w:spacing w:before="156" w:after="156"/>
        <w:rPr>
          <w:rFonts w:eastAsiaTheme="minorEastAsia"/>
        </w:rPr>
      </w:pPr>
      <w:r w:rsidRPr="00D22B50">
        <w:t>This dual-track evaluation ensures that the experimental results in Chapter 6 not only validate the migration of knowledge but also identify which mathematical architecture is more robust when faced with the extreme data scarcity (10-day window) of new smart meter installations.</w:t>
      </w:r>
    </w:p>
    <w:p w14:paraId="40C78F9C" w14:textId="675CEE91" w:rsidR="00167F1E" w:rsidRPr="00D22B50" w:rsidRDefault="00167F1E" w:rsidP="00F61464">
      <w:pPr>
        <w:pStyle w:val="1"/>
        <w:rPr>
          <w:rFonts w:hint="eastAsia"/>
        </w:rPr>
      </w:pPr>
      <w:bookmarkStart w:id="53" w:name="_Toc228913856"/>
      <w:r w:rsidRPr="00D22B50">
        <w:t>5</w:t>
      </w:r>
      <w:bookmarkStart w:id="54" w:name="OLE_LINK1"/>
      <w:r w:rsidR="007230E5">
        <w:rPr>
          <w:rFonts w:hint="eastAsia"/>
        </w:rPr>
        <w:t xml:space="preserve">. </w:t>
      </w:r>
      <w:r w:rsidRPr="00D22B50">
        <w:t>System Implementation and Computational Framework</w:t>
      </w:r>
      <w:bookmarkEnd w:id="53"/>
    </w:p>
    <w:bookmarkEnd w:id="54"/>
    <w:p w14:paraId="42DD1A8E" w14:textId="77777777" w:rsidR="00167F1E" w:rsidRPr="00D22B50" w:rsidRDefault="00167F1E" w:rsidP="00FD5995">
      <w:pPr>
        <w:pStyle w:val="af5"/>
        <w:spacing w:before="156" w:after="156"/>
      </w:pPr>
      <w:r w:rsidRPr="00D22B50">
        <w:t>The transition from theoretical forecasting paradigms to a functional smart grid intelligence system requires a robust and scalable software architecture. This chapter provides a comprehensive documentation of the Python-based implementation, detailing the modular design of the data pipeline, the neural network construction, and the automated optimization engine.</w:t>
      </w:r>
    </w:p>
    <w:p w14:paraId="37508CFB" w14:textId="77777777" w:rsidR="00167F1E" w:rsidRPr="00D22B50" w:rsidRDefault="00167F1E" w:rsidP="00F61464">
      <w:pPr>
        <w:pStyle w:val="2"/>
        <w:rPr>
          <w:rFonts w:hint="eastAsia"/>
        </w:rPr>
      </w:pPr>
      <w:bookmarkStart w:id="55" w:name="_Toc228913857"/>
      <w:r w:rsidRPr="00D22B50">
        <w:t>5.1 Engineering Philosophy and Modular Architecture</w:t>
      </w:r>
      <w:bookmarkEnd w:id="55"/>
    </w:p>
    <w:p w14:paraId="283D5965" w14:textId="77777777" w:rsidR="00167F1E" w:rsidRPr="00D22B50" w:rsidRDefault="00167F1E" w:rsidP="00FD5995">
      <w:pPr>
        <w:pStyle w:val="af5"/>
        <w:spacing w:before="156" w:after="156"/>
      </w:pPr>
      <w:r w:rsidRPr="00D22B50">
        <w:t>The implementation follows a Decoupled Architecture designed for high-performance time-series analytics. By separating the core logic into a dedicated src/ directory while maintaining executable scripts in the root, the system ensures that the model definitions (model.py) and data encapsulation methods (dataset.py) remain consistent across pre-training, tuning, and evaluation phases. This modularity is essential for academic reproducibility and industrial scalability.</w:t>
      </w:r>
    </w:p>
    <w:p w14:paraId="549B33DC" w14:textId="77777777" w:rsidR="00167F1E" w:rsidRPr="00D22B50" w:rsidRDefault="00167F1E" w:rsidP="00F61464">
      <w:pPr>
        <w:pStyle w:val="3"/>
        <w:rPr>
          <w:rFonts w:hint="eastAsia"/>
        </w:rPr>
      </w:pPr>
      <w:bookmarkStart w:id="56" w:name="_Toc228913858"/>
      <w:r w:rsidRPr="00D22B50">
        <w:lastRenderedPageBreak/>
        <w:t>5.1.1 Technological Stack and Rationale</w:t>
      </w:r>
      <w:bookmarkEnd w:id="56"/>
    </w:p>
    <w:p w14:paraId="56852BF4" w14:textId="19D43064" w:rsidR="00167F1E" w:rsidRPr="00D22B50" w:rsidRDefault="00167F1E" w:rsidP="00FD5995">
      <w:pPr>
        <w:pStyle w:val="af5"/>
        <w:spacing w:before="156" w:after="156"/>
        <w:rPr>
          <w:rFonts w:eastAsiaTheme="minorEastAsia"/>
        </w:rPr>
      </w:pPr>
      <w:r w:rsidRPr="00D22B50">
        <w:t>The framework is built using Python 3.10 and PyTorch 2.x. PyTorch was selected as the deep learning engine primarily for its support of dynamic computational graphs, which facilitated the precise manipulation of individual layer gradients during the transfer learning phase. For data management, Pandas and NumPy were utilized to perform high-speed vectorized operations on the London Smart Meter dataset. Optuna was integrated as the primary optimization suite, leveraging its SQLite-backed storage to ensure that extensive hyperparameter searches could be paused, resumed, and audited.</w:t>
      </w:r>
    </w:p>
    <w:p w14:paraId="4DF402F6" w14:textId="77777777" w:rsidR="00167F1E" w:rsidRPr="00D22B50" w:rsidRDefault="00167F1E" w:rsidP="00F61464">
      <w:pPr>
        <w:pStyle w:val="2"/>
        <w:rPr>
          <w:rFonts w:hint="eastAsia"/>
        </w:rPr>
      </w:pPr>
      <w:bookmarkStart w:id="57" w:name="_Toc228913859"/>
      <w:r w:rsidRPr="00D22B50">
        <w:t>5.2 Implementation of the Data Engineering Pipeline</w:t>
      </w:r>
      <w:bookmarkEnd w:id="57"/>
    </w:p>
    <w:p w14:paraId="2522709C" w14:textId="291E4DDE" w:rsidR="00167F1E" w:rsidRPr="00D22B50" w:rsidRDefault="00167F1E" w:rsidP="00FD5995">
      <w:pPr>
        <w:pStyle w:val="af5"/>
        <w:spacing w:before="156" w:after="156"/>
      </w:pPr>
      <w:r w:rsidRPr="00D22B50">
        <w:t>The data pipeline, primarily residing in preprocessing.py and src/dataset.py, is the foundation of the system</w:t>
      </w:r>
      <w:r w:rsidR="00BD7543">
        <w:t>’</w:t>
      </w:r>
      <w:r w:rsidRPr="00D22B50">
        <w:t>s predictive accuracy.</w:t>
      </w:r>
    </w:p>
    <w:p w14:paraId="3546D0F6" w14:textId="77777777" w:rsidR="00167F1E" w:rsidRPr="00D22B50" w:rsidRDefault="00167F1E" w:rsidP="00F61464">
      <w:pPr>
        <w:pStyle w:val="3"/>
        <w:rPr>
          <w:rFonts w:hint="eastAsia"/>
        </w:rPr>
      </w:pPr>
      <w:bookmarkStart w:id="58" w:name="_Toc228913860"/>
      <w:r w:rsidRPr="00D22B50">
        <w:t>5.2.1 Instance Normalization and Preprocessing Logic</w:t>
      </w:r>
      <w:bookmarkEnd w:id="58"/>
    </w:p>
    <w:p w14:paraId="78CB415C" w14:textId="03C11474" w:rsidR="00167F1E" w:rsidRPr="0068507F" w:rsidRDefault="00167F1E" w:rsidP="0068507F">
      <w:pPr>
        <w:pStyle w:val="af5"/>
        <w:spacing w:before="156" w:after="156"/>
      </w:pPr>
      <w:r w:rsidRPr="0068507F">
        <w:t xml:space="preserve">As implemented in preprocessing.py, </w:t>
      </w:r>
      <w:r w:rsidR="0068507F" w:rsidRPr="0068507F">
        <w:t xml:space="preserve">the system performs individual Z-score normalization (Standardization) using the </w:t>
      </w:r>
      <w:r w:rsidR="0068507F" w:rsidRPr="0068507F">
        <w:rPr>
          <w:rFonts w:eastAsiaTheme="majorEastAsia"/>
        </w:rPr>
        <w:t>StandardScaler</w:t>
      </w:r>
      <w:r w:rsidR="0068507F" w:rsidRPr="0068507F">
        <w:t xml:space="preserve"> from the Scikit-Learn library. Unlike global scaling methods, each household’s energy series is independently transformed to a zero-mean and unit-variance state.</w:t>
      </w:r>
      <w:r w:rsidRPr="0068507F">
        <w:t xml:space="preserve"> This programmatic choice is critical for residential STLF, as it removes the magnitude bias caused by different household sizes (e.g., apartments vs. large detached homes), allowing the LSTM to focus exclusively on temporal periodicity.</w:t>
      </w:r>
    </w:p>
    <w:p w14:paraId="28975804" w14:textId="77777777" w:rsidR="00167F1E" w:rsidRPr="00D22B50" w:rsidRDefault="00167F1E" w:rsidP="00FD5995">
      <w:pPr>
        <w:pStyle w:val="af5"/>
        <w:spacing w:before="156" w:after="156"/>
      </w:pPr>
      <w:r w:rsidRPr="00D22B50">
        <w:t>The script implements a rigorous cleaning protocol:</w:t>
      </w:r>
    </w:p>
    <w:p w14:paraId="70FC59FF" w14:textId="56EB75D3" w:rsidR="00FD5995" w:rsidRPr="00D22B50" w:rsidRDefault="00167F1E" w:rsidP="00FD5995">
      <w:pPr>
        <w:pStyle w:val="af5"/>
        <w:numPr>
          <w:ilvl w:val="0"/>
          <w:numId w:val="17"/>
        </w:numPr>
        <w:spacing w:before="156" w:after="156"/>
      </w:pPr>
      <w:r w:rsidRPr="00D22B50">
        <w:t>Type Conversion: Converting timestamps to pd.to_datetime and energy readings to numeric formats, with errors=</w:t>
      </w:r>
      <w:r w:rsidR="00BD7543">
        <w:t>‘</w:t>
      </w:r>
      <w:r w:rsidRPr="00D22B50">
        <w:t>coerce</w:t>
      </w:r>
      <w:r w:rsidR="00BD7543">
        <w:t>’</w:t>
      </w:r>
      <w:r w:rsidRPr="00D22B50">
        <w:t xml:space="preserve"> to handle sensor corruption.</w:t>
      </w:r>
    </w:p>
    <w:p w14:paraId="1228181D" w14:textId="77777777" w:rsidR="00FD5995" w:rsidRPr="00D22B50" w:rsidRDefault="00167F1E" w:rsidP="00FD5995">
      <w:pPr>
        <w:pStyle w:val="af5"/>
        <w:numPr>
          <w:ilvl w:val="0"/>
          <w:numId w:val="17"/>
        </w:numPr>
        <w:spacing w:before="156" w:after="156"/>
      </w:pPr>
      <w:r w:rsidRPr="00D22B50">
        <w:t>Redundancy Removal: Using drop_duplicates to ensure that no single time step is over-represented, which would otherwise introduce artificial bias into the sequence learning process.</w:t>
      </w:r>
    </w:p>
    <w:p w14:paraId="7C0E252F" w14:textId="76DCDD70" w:rsidR="00167F1E" w:rsidRPr="00D22B50" w:rsidRDefault="00167F1E" w:rsidP="00FD5995">
      <w:pPr>
        <w:pStyle w:val="af5"/>
        <w:numPr>
          <w:ilvl w:val="0"/>
          <w:numId w:val="17"/>
        </w:numPr>
        <w:spacing w:before="156" w:after="156"/>
      </w:pPr>
      <w:r w:rsidRPr="00D22B50">
        <w:t>Scalability: By processing data in blocks (block_0.csv to block_2.csv), the script maintains a manageable memory footprint during the concatenation phase.</w:t>
      </w:r>
    </w:p>
    <w:p w14:paraId="45B56A5E" w14:textId="77777777" w:rsidR="00167F1E" w:rsidRPr="00D22B50" w:rsidRDefault="00167F1E" w:rsidP="00F61464">
      <w:pPr>
        <w:pStyle w:val="3"/>
        <w:rPr>
          <w:rFonts w:hint="eastAsia"/>
        </w:rPr>
      </w:pPr>
      <w:bookmarkStart w:id="59" w:name="_Toc228913861"/>
      <w:r w:rsidRPr="00D22B50">
        <w:t>5.2.2 The SmartMeterDataset Class and Sliding Window Mechanism</w:t>
      </w:r>
      <w:bookmarkEnd w:id="59"/>
    </w:p>
    <w:p w14:paraId="5BBE805F" w14:textId="07FC35B6" w:rsidR="00167F1E" w:rsidRPr="00D22B50" w:rsidRDefault="00167F1E" w:rsidP="00FD5995">
      <w:pPr>
        <w:pStyle w:val="af5"/>
        <w:spacing w:before="156" w:after="156"/>
      </w:pPr>
      <w:r w:rsidRPr="00D22B50">
        <w:t xml:space="preserve">The class SmartMeterDataset in src/dataset.py serves as the bridge between raw arrays and PyTorch tensors. The implementation utilizes a Flattened Indexing Strategy to handle multiple households within a single dataset object. By calculating num_samples </w:t>
      </w:r>
      <w:r w:rsidRPr="00D22B50">
        <w:lastRenderedPageBreak/>
        <w:t xml:space="preserve">= len(series) - seq_len - pred_len + 1, the constructor pre-builds a sample map. This allows for </w:t>
      </w:r>
      <m:oMath>
        <m:r>
          <w:rPr>
            <w:rFonts w:ascii="Cambria Math" w:hAnsi="Cambria Math"/>
          </w:rPr>
          <m:t>O</m:t>
        </m:r>
        <m:r>
          <w:rPr>
            <w:rFonts w:ascii="Cambria Math" w:eastAsiaTheme="minorEastAsia" w:hAnsi="Cambria Math"/>
          </w:rPr>
          <m:t>(1)</m:t>
        </m:r>
      </m:oMath>
      <w:r w:rsidRPr="00D22B50">
        <w:t xml:space="preserve"> access time during the training loop, significantly accelerating the pre-training phase on the 100-user source domain.</w:t>
      </w:r>
    </w:p>
    <w:p w14:paraId="364FAFC1" w14:textId="29D91D40" w:rsidR="00167F1E" w:rsidRPr="00D22B50" w:rsidRDefault="00167F1E" w:rsidP="00FD5995">
      <w:pPr>
        <w:pStyle w:val="af5"/>
        <w:spacing w:before="156" w:after="156"/>
      </w:pPr>
      <w:r w:rsidRPr="00D22B50">
        <w:t>The __getitem__ method ensures that each window is unsqueezed to fit the</w:t>
      </w:r>
      <w:r w:rsidR="00FD5995" w:rsidRPr="00D22B50">
        <w:rPr>
          <w:rFonts w:eastAsiaTheme="minorEastAsia" w:hint="eastAsia"/>
        </w:rPr>
        <w:t xml:space="preserve"> </w:t>
      </w:r>
      <m:oMath>
        <m:r>
          <w:rPr>
            <w:rFonts w:ascii="Cambria Math" w:eastAsiaTheme="minorEastAsia" w:hAnsi="Cambria Math"/>
          </w:rPr>
          <m:t>(Batch, Se</m:t>
        </m:r>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len</m:t>
            </m:r>
          </m:sub>
        </m:sSub>
        <m:r>
          <w:rPr>
            <w:rFonts w:ascii="Cambria Math" w:eastAsiaTheme="minorEastAsia" w:hAnsi="Cambria Math"/>
          </w:rPr>
          <m:t>,1)</m:t>
        </m:r>
      </m:oMath>
      <w:r w:rsidRPr="00D22B50">
        <w:t xml:space="preserve"> shape required by the LSTM layers, effectively preparing the feature space for the gating mechanisms discussed in Chapter 4.</w:t>
      </w:r>
    </w:p>
    <w:p w14:paraId="4B3E4ED5" w14:textId="77777777" w:rsidR="00CD2527" w:rsidRPr="00D22B50" w:rsidRDefault="00CD2527" w:rsidP="00CD2527">
      <w:pPr>
        <w:pStyle w:val="3"/>
        <w:rPr>
          <w:rFonts w:hint="eastAsia"/>
        </w:rPr>
      </w:pPr>
      <w:bookmarkStart w:id="60" w:name="_Toc228913862"/>
      <w:r w:rsidRPr="00D22B50">
        <w:t>5.2.3 Implementation of Temporal Feature Fusion</w:t>
      </w:r>
      <w:bookmarkEnd w:id="60"/>
    </w:p>
    <w:p w14:paraId="2A164087" w14:textId="38881A95" w:rsidR="00167F1E" w:rsidRPr="00D22B50" w:rsidRDefault="00CD2527" w:rsidP="00112EEB">
      <w:pPr>
        <w:pStyle w:val="af5"/>
        <w:spacing w:before="156" w:after="156"/>
        <w:rPr>
          <w:rFonts w:eastAsiaTheme="minorEastAsia"/>
        </w:rPr>
      </w:pPr>
      <w:r w:rsidRPr="00D22B50">
        <w:t>As implemented in preprocessing.py and the Smart</w:t>
      </w:r>
      <w:r w:rsidRPr="00D22B50">
        <w:rPr>
          <w:rFonts w:hint="eastAsia"/>
        </w:rPr>
        <w:t xml:space="preserve"> </w:t>
      </w:r>
      <w:r w:rsidRPr="00D22B50">
        <w:t>Meter</w:t>
      </w:r>
      <w:r w:rsidRPr="00D22B50">
        <w:rPr>
          <w:rFonts w:hint="eastAsia"/>
        </w:rPr>
        <w:t xml:space="preserve"> </w:t>
      </w:r>
      <w:r w:rsidRPr="00D22B50">
        <w:t xml:space="preserve">Dataset class within src/dataset.py, the system extends the raw univariate energy series into a multivariate input space. The timestamp index is decomposed into Hour of Day (0-23) and Day of Week (0-6). These temporal covariates are normalized and concatenated with the standardized power consumption data. Programmatically, this transforms the input tensor shape from (Batch, Seq, 1) to (Batch, Seq, 3), ensuring that the model gates and attention heads receive explicit signals regarding the cyclic nature of residential behavior. </w:t>
      </w:r>
    </w:p>
    <w:p w14:paraId="32B64479" w14:textId="77777777" w:rsidR="00167F1E" w:rsidRPr="00D22B50" w:rsidRDefault="00167F1E" w:rsidP="00F61464">
      <w:pPr>
        <w:pStyle w:val="2"/>
        <w:rPr>
          <w:rFonts w:hint="eastAsia"/>
        </w:rPr>
      </w:pPr>
      <w:bookmarkStart w:id="61" w:name="_Toc228913863"/>
      <w:r w:rsidRPr="00D22B50">
        <w:t>5.3 Automated Optimization and Search Space Design</w:t>
      </w:r>
      <w:bookmarkEnd w:id="61"/>
    </w:p>
    <w:p w14:paraId="156DB019" w14:textId="77777777" w:rsidR="00167F1E" w:rsidRPr="00D22B50" w:rsidRDefault="00167F1E" w:rsidP="00FD5995">
      <w:pPr>
        <w:pStyle w:val="af5"/>
        <w:spacing w:before="156" w:after="156"/>
      </w:pPr>
      <w:r w:rsidRPr="00D22B50">
        <w:t>A significant technical contribution of this work is the implementation of a two-stage Bayesian optimization workflow using the tune_pretrain_v2.py script.</w:t>
      </w:r>
    </w:p>
    <w:p w14:paraId="2C097644" w14:textId="77777777" w:rsidR="00167F1E" w:rsidRPr="00D22B50" w:rsidRDefault="00167F1E" w:rsidP="00F61464">
      <w:pPr>
        <w:pStyle w:val="3"/>
        <w:rPr>
          <w:rFonts w:hint="eastAsia"/>
        </w:rPr>
      </w:pPr>
      <w:bookmarkStart w:id="62" w:name="_Toc228913864"/>
      <w:r w:rsidRPr="00D22B50">
        <w:t>5.3.1 Optuna TPE and SQLite Integration</w:t>
      </w:r>
      <w:bookmarkEnd w:id="62"/>
    </w:p>
    <w:p w14:paraId="020AD79D" w14:textId="557ED062" w:rsidR="00167F1E" w:rsidRPr="00D22B50" w:rsidRDefault="00167F1E" w:rsidP="00FD5995">
      <w:pPr>
        <w:pStyle w:val="af5"/>
        <w:spacing w:before="156" w:after="156"/>
      </w:pPr>
      <w:r w:rsidRPr="00D22B50">
        <w:t xml:space="preserve">The system uses the Tree-structured Parzen Estimator (TPE) algorithm to explore the hyperparameter space. A distinct engineering feature is the use of an SQLite-backed study (pretrain_study.db). This programmatic choice allows the optimization process to be persistent and distributed. </w:t>
      </w:r>
      <w:r w:rsidR="000F2983" w:rsidRPr="00D22B50">
        <w:t xml:space="preserve">In </w:t>
      </w:r>
      <w:r w:rsidR="00392308">
        <w:rPr>
          <w:rFonts w:eastAsiaTheme="minorEastAsia" w:hint="eastAsia"/>
        </w:rPr>
        <w:t>my</w:t>
      </w:r>
      <w:r w:rsidR="000F2983" w:rsidRPr="00D22B50">
        <w:t xml:space="preserve"> implementation, the objective(trial) function maps configurations—including stochastic gradient parameters </w:t>
      </w:r>
      <w:r w:rsidR="00112EEB" w:rsidRPr="00D22B50">
        <w:fldChar w:fldCharType="begin"/>
      </w:r>
      <w:r w:rsidR="00112EEB" w:rsidRPr="00D22B50">
        <w:instrText xml:space="preserve"> ADDIN ZOTERO_ITEM CSL_CITATION {"citationID":"KvtYr4ca","properties":{"formattedCitation":"[32]","plainCitation":"[32]","noteIndex":0},"citationItems":[{"id":630,"uris":["http://zotero.org/users/local/p3tV44H5/items/79B9KBFD"],"itemData":{"id":630,"type":"article","abstract":"We introduce Adam, an algorithm for first-order gradient-based optimization of stochastic objective functions, based on adaptive estimates of lower-order moments. The method is straightforward to implement, is computationally efficient, has little memory requirements, is invariant to diagonal rescaling of the gradients, and is well suited for problems that are large in terms of data and/or parameters. The method is also appropriate for non-stationary objectives and problems with very noisy and/or sparse gradients. The hyper-parameters have intuitive interpretations and typically require little tuning. Some connections to related algorithms, on which Adam was inspired, are discussed. We also analyze the theoretical convergence properties of the algorithm and provide a regret bound on the convergence rate that is comparable to the best known results under the online convex optimization framework. Empirical results demonstrate that Adam works well in practice and compares favorably to other stochastic optimization methods. Finally, we discuss AdaMax, a variant of Adam based on the infinity norm.","DOI":"10.48550/arXiv.1412.6980","note":"arXiv:1412.6980 [cs]","number":"arXiv:1412.6980","publisher":"arXiv","source":"arXiv.org","title":"Adam: A Method for Stochastic Optimization","title-short":"Adam","URL":"http://arxiv.org/abs/1412.6980","author":[{"family":"Kingma","given":"Diederik P."},{"family":"Ba","given":"Jimmy"}],"accessed":{"date-parts":[["2026",5,1]]},"issued":{"date-parts":[["2017",1,30]]}}}],"schema":"https://github.com/citation-style-language/schema/raw/master/csl-citation.json"} </w:instrText>
      </w:r>
      <w:r w:rsidR="00112EEB" w:rsidRPr="00D22B50">
        <w:fldChar w:fldCharType="separate"/>
      </w:r>
      <w:r w:rsidR="00112EEB" w:rsidRPr="00D22B50">
        <w:rPr>
          <w:rFonts w:cs="Times New Roman"/>
        </w:rPr>
        <w:t>[32]</w:t>
      </w:r>
      <w:r w:rsidR="00112EEB" w:rsidRPr="00D22B50">
        <w:fldChar w:fldCharType="end"/>
      </w:r>
      <w:r w:rsidR="009B36BC" w:rsidRPr="00D22B50">
        <w:rPr>
          <w:rFonts w:eastAsiaTheme="minorEastAsia" w:hint="eastAsia"/>
        </w:rPr>
        <w:t xml:space="preserve">, </w:t>
      </w:r>
      <w:r w:rsidR="009B36BC" w:rsidRPr="00D22B50">
        <w:rPr>
          <w:rFonts w:eastAsiaTheme="minorEastAsia"/>
        </w:rPr>
        <w:t>decoupled weight decay coefficients</w:t>
      </w:r>
      <w:r w:rsidR="009B36BC" w:rsidRPr="00D22B50">
        <w:rPr>
          <w:rFonts w:eastAsiaTheme="minorEastAsia" w:cs="Times New Roman"/>
          <w:sz w:val="21"/>
        </w:rPr>
        <w:t xml:space="preserve"> </w:t>
      </w:r>
      <w:r w:rsidR="00112EEB" w:rsidRPr="00D22B50">
        <w:rPr>
          <w:rFonts w:eastAsiaTheme="minorEastAsia" w:cs="Times New Roman"/>
          <w:sz w:val="21"/>
        </w:rPr>
        <w:fldChar w:fldCharType="begin"/>
      </w:r>
      <w:r w:rsidR="00112EEB" w:rsidRPr="00D22B50">
        <w:rPr>
          <w:rFonts w:eastAsiaTheme="minorEastAsia" w:cs="Times New Roman"/>
          <w:sz w:val="21"/>
        </w:rPr>
        <w:instrText xml:space="preserve"> ADDIN ZOTERO_ITEM CSL_CITATION {"citationID":"Ri4C6GdF","properties":{"formattedCitation":"[33]","plainCitation":"[33]","noteIndex":0},"citationItems":[{"id":689,"uris":["http://zotero.org/users/local/p3tV44H5/items/U8YNJRZR"],"itemData":{"id":689,"type":"article","abstract":"L$_2$ regularization and weight decay regularization are equivalent for standard stochastic gradient descent (when rescaled by the learning rate), but as we demonstrate this is \\emph{not} the case for adaptive gradient algorithms, such as Adam. While common implementations of these algorithms employ L$_2$ regularization (often calling it \"weight decay\" in what may be misleading due to the inequivalence we expose), we propose a simple modification to recover the original formulation of weight decay regularization by \\emph{decoupling} the weight decay from the optimization steps taken w.r.t. the loss function. We provide empirical evidence that our proposed modification (i) decouples the optimal choice of weight decay factor from the setting of the learning rate for both standard SGD and Adam and (ii) substantially improves Adam's generalization performance, allowing it to compete with SGD with momentum on image classification datasets (on which it was previously typically outperformed by the latter). Our proposed decoupled weight decay has already been adopted by many researchers, and the community has implemented it in TensorFlow and PyTorch; the complete source code for our experiments is available at https://github.com/loshchil/AdamW-and-SGDW","DOI":"10.48550/arXiv.1711.05101","note":"arXiv:1711.05101 [cs]","number":"arXiv:1711.05101","publisher":"arXiv","source":"arXiv.org","title":"Decoupled Weight Decay Regularization","URL":"http://arxiv.org/abs/1711.05101","author":[{"family":"Loshchilov","given":"Ilya"},{"family":"Hutter","given":"Frank"}],"accessed":{"date-parts":[["2026",5,1]]},"issued":{"date-parts":[["2019",1,4]]}}}],"schema":"https://github.com/citation-style-language/schema/raw/master/csl-citation.json"} </w:instrText>
      </w:r>
      <w:r w:rsidR="00112EEB" w:rsidRPr="00D22B50">
        <w:rPr>
          <w:rFonts w:eastAsiaTheme="minorEastAsia" w:cs="Times New Roman"/>
          <w:sz w:val="21"/>
        </w:rPr>
        <w:fldChar w:fldCharType="separate"/>
      </w:r>
      <w:r w:rsidR="00112EEB" w:rsidRPr="00D22B50">
        <w:rPr>
          <w:rFonts w:eastAsia="等线" w:cs="Times New Roman"/>
          <w:sz w:val="21"/>
        </w:rPr>
        <w:t>[33]</w:t>
      </w:r>
      <w:r w:rsidR="00112EEB" w:rsidRPr="00D22B50">
        <w:rPr>
          <w:rFonts w:eastAsiaTheme="minorEastAsia" w:cs="Times New Roman"/>
          <w:sz w:val="21"/>
        </w:rPr>
        <w:fldChar w:fldCharType="end"/>
      </w:r>
      <w:r w:rsidR="000F2983" w:rsidRPr="00D22B50">
        <w:rPr>
          <w:rFonts w:cs="Times New Roman"/>
        </w:rPr>
        <w:t xml:space="preserve"> </w:t>
      </w:r>
      <w:r w:rsidR="000F2983" w:rsidRPr="00D22B50">
        <w:t>and structural hyperparameters</w:t>
      </w:r>
      <w:r w:rsidR="00112EEB" w:rsidRPr="00D22B50">
        <w:fldChar w:fldCharType="begin"/>
      </w:r>
      <w:r w:rsidR="00112EEB" w:rsidRPr="00D22B50">
        <w:instrText xml:space="preserve"> ADDIN ZOTERO_ITEM CSL_CITATION {"citationID":"xTgTREog","properties":{"formattedCitation":"[34], [35]","plainCitation":"[34], [35]","noteIndex":0},"citationItems":[{"id":618,"uris":["http://zotero.org/users/local/p3tV44H5/items/3LRLPFH5"],"itemData":{"id":618,"type":"article-journal","abstract":"Grid search and manual search are the most widely used strategies for hyper-parameter optimization. This paper shows empirically and theoretically that randomly chosen trials are more efﬁcient for hyper-parameter optimization than trials on a grid. Empirical evidence comes from a comparison with a large previous study that used grid search and manual search to conﬁgure neural networks and deep belief networks. Compared with neural networks conﬁgured by a pure grid search, we ﬁnd that random search over the same domain is able to ﬁnd models that are as good or better within a small fraction of the computation time. Granting random search the same computational budget, random search ﬁnds better models by effectively searching a larger, less promising conﬁguration space. Compared with deep belief networks conﬁgured by a thoughtful combination of manual search and grid search, purely random search over the same 32-dimensional conﬁguration space found statistically equal performance on four of seven data sets, and superior performance on one of seven. A Gaussian process analysis of the function from hyper-parameters to validation set performance reveals that for most data sets only a few of the hyper-parameters really matter, but that different hyper-parameters are important on different data sets. This phenomenon makes grid search a poor choice for conﬁguring algorithms for new data sets. Our analysis casts some light on why recent “High Throughput” methods achieve surprising success—they appear to search through a large number of hyper-parameters because most hyper-parameters do not matter much. We anticipate that growing interest in large hierarchical models will place an increasing burden on techniques for hyper-parameter optimization; this work shows that random search is a natural baseline against which to judge progress in the development of adaptive (sequential) hyper-parameter optimization algorithms.","language":"en","source":"Zotero","title":"Random Search for Hyper-Parameter Optimization","author":[{"family":"Bergstra","given":"James"},{"family":"Bergstra","given":"James"},{"family":"Bengio","given":"Yoshua"},{"family":"Bengio","given":"Yoshua"}]}},{"id":621,"uris":["http://zotero.org/users/local/p3tV44H5/items/TWIT6HEK"],"itemData":{"id":621,"type":"chapter","abstract":"Recent interest in complex and computationally expensive machine learning models with many hyperparameters, such as automated machine learning (AutoML) frameworks and deep neural networks, has resulted in a resurgence of research on hyperparameter optimization (HPO). In this chapter, we give an overview of the most prominent approaches for HPO. We first discuss blackbox function optimization methods based on model-free methods and Bayesian optimization. Since the high computational demand of many modern machine learning applications renders pure blackbox optimization extremely costly, we next focus on modern multi-fidelity methods that use (much) cheaper variants of the blackbox function to approximately assess the quality of hyperparameter settings. Lastly, we point to open problems and future research directions.","container-title":"Automated Machine Learning: Methods, Systems, Challenges","DOI":"10.1007/978-3-030-05318-5_1","ISBN":"978-3-030-05318-5","language":"en","page":"3-33","publisher":"Springer International Publishing","publisher-place":"Cham","source":"Springer Link","title":"Hyperparameter Optimization","URL":"https://doi.org/10.1007/978-3-030-05318-5_1","author":[{"family":"Feurer","given":"Matthias"},{"family":"Hutter","given":"Frank"}],"editor":[{"family":"Hutter","given":"Frank"},{"family":"Kotthoff","given":"Lars"},{"family":"Vanschoren","given":"Joaquin"}],"accessed":{"date-parts":[["2026",5,1]]},"issued":{"date-parts":[["2019"]]}}}],"schema":"https://github.com/citation-style-language/schema/raw/master/csl-citation.json"} </w:instrText>
      </w:r>
      <w:r w:rsidR="00112EEB" w:rsidRPr="00D22B50">
        <w:fldChar w:fldCharType="separate"/>
      </w:r>
      <w:r w:rsidR="00112EEB" w:rsidRPr="00D22B50">
        <w:rPr>
          <w:rFonts w:cs="Times New Roman"/>
        </w:rPr>
        <w:t>[34], [35]</w:t>
      </w:r>
      <w:r w:rsidR="00112EEB" w:rsidRPr="00D22B50">
        <w:fldChar w:fldCharType="end"/>
      </w:r>
      <w:r w:rsidR="000F2983" w:rsidRPr="00D22B50">
        <w:t xml:space="preserve">—to the validation MSE of the source domain using principles from sequential computer experiments </w:t>
      </w:r>
      <w:r w:rsidR="00D12D22" w:rsidRPr="00D22B50">
        <w:fldChar w:fldCharType="begin"/>
      </w:r>
      <w:r w:rsidR="00D12D22" w:rsidRPr="00D22B50">
        <w:instrText xml:space="preserve"> ADDIN ZOTERO_ITEM CSL_CITATION {"citationID":"vjVyKVTZ","properties":{"formattedCitation":"[36]","plainCitation":"[36]","noteIndex":0},"citationItems":[{"id":626,"uris":["http://zotero.org/users/local/p3tV44H5/items/8H7FIPC2"],"itemData":{"id":626,"type":"article-journal","language":"en","source":"Zotero","title":"The Design and Analysis of Computer Experiments","author":[{"family":"Santner","given":"Thomas J"},{"family":"Williams","given":"Brian J"},{"family":"Notz","given":"William I"}]}}],"schema":"https://github.com/citation-style-language/schema/raw/master/csl-citation.json"} </w:instrText>
      </w:r>
      <w:r w:rsidR="00D12D22" w:rsidRPr="00D22B50">
        <w:fldChar w:fldCharType="separate"/>
      </w:r>
      <w:r w:rsidR="00D12D22" w:rsidRPr="00D22B50">
        <w:rPr>
          <w:rFonts w:cs="Times New Roman"/>
        </w:rPr>
        <w:t>[36]</w:t>
      </w:r>
      <w:r w:rsidR="00D12D22" w:rsidRPr="00D22B50">
        <w:fldChar w:fldCharType="end"/>
      </w:r>
      <w:r w:rsidR="000F2983" w:rsidRPr="00D22B50">
        <w:t>.</w:t>
      </w:r>
    </w:p>
    <w:p w14:paraId="74FE4B65" w14:textId="77777777" w:rsidR="00167F1E" w:rsidRPr="00D22B50" w:rsidRDefault="00167F1E" w:rsidP="00F61464">
      <w:pPr>
        <w:pStyle w:val="3"/>
        <w:rPr>
          <w:rFonts w:hint="eastAsia"/>
        </w:rPr>
      </w:pPr>
      <w:bookmarkStart w:id="63" w:name="_Toc228913865"/>
      <w:r w:rsidRPr="00D22B50">
        <w:t>5.3.2 Search Space and Convergence Strategy</w:t>
      </w:r>
      <w:bookmarkEnd w:id="63"/>
    </w:p>
    <w:p w14:paraId="6668A6E6" w14:textId="77777777" w:rsidR="00FD5995" w:rsidRPr="00D22B50" w:rsidRDefault="00167F1E" w:rsidP="00FD5995">
      <w:pPr>
        <w:pStyle w:val="af5"/>
        <w:spacing w:before="156" w:after="156"/>
        <w:rPr>
          <w:rFonts w:eastAsiaTheme="minorEastAsia"/>
        </w:rPr>
      </w:pPr>
      <w:r w:rsidRPr="00D22B50">
        <w:t>The search space was programmatically defined to prevent model saturation:</w:t>
      </w:r>
    </w:p>
    <w:p w14:paraId="2A7C9CD8" w14:textId="77777777" w:rsidR="00FD5995" w:rsidRPr="00D22B50" w:rsidRDefault="00167F1E" w:rsidP="00FD5995">
      <w:pPr>
        <w:pStyle w:val="af5"/>
        <w:numPr>
          <w:ilvl w:val="0"/>
          <w:numId w:val="18"/>
        </w:numPr>
        <w:spacing w:before="156" w:after="156"/>
      </w:pPr>
      <w:r w:rsidRPr="00D22B50">
        <w:t>Learning Rate: Explored on a log-scale from 1e^-5 to 1e^-2.</w:t>
      </w:r>
    </w:p>
    <w:p w14:paraId="4D6F99F2" w14:textId="77777777" w:rsidR="00FD5995" w:rsidRPr="00D22B50" w:rsidRDefault="00167F1E" w:rsidP="00FD5995">
      <w:pPr>
        <w:pStyle w:val="af5"/>
        <w:numPr>
          <w:ilvl w:val="0"/>
          <w:numId w:val="18"/>
        </w:numPr>
        <w:spacing w:before="156" w:after="156"/>
      </w:pPr>
      <w:r w:rsidRPr="00D22B50">
        <w:t>Hidden Size: Categorically tested at [64, 128, 256].</w:t>
      </w:r>
    </w:p>
    <w:p w14:paraId="71DF3D43" w14:textId="0CC08233" w:rsidR="00167F1E" w:rsidRPr="00D22B50" w:rsidRDefault="00167F1E" w:rsidP="00FD5995">
      <w:pPr>
        <w:pStyle w:val="af5"/>
        <w:numPr>
          <w:ilvl w:val="0"/>
          <w:numId w:val="18"/>
        </w:numPr>
        <w:spacing w:before="156" w:after="156"/>
      </w:pPr>
      <w:r w:rsidRPr="00D22B50">
        <w:t xml:space="preserve">Weight Decay: Integrated to prevent the pre-trained weights from becoming too </w:t>
      </w:r>
      <w:r w:rsidR="00BD7543">
        <w:t>“</w:t>
      </w:r>
      <w:r w:rsidRPr="00D22B50">
        <w:t>brittle,</w:t>
      </w:r>
      <w:r w:rsidR="00BD7543">
        <w:t>”</w:t>
      </w:r>
      <w:r w:rsidRPr="00D22B50">
        <w:t xml:space="preserve"> ensuring they retain the generality needed for future transfer tasks </w:t>
      </w:r>
      <w:r w:rsidR="00D12D22" w:rsidRPr="00D22B50">
        <w:fldChar w:fldCharType="begin"/>
      </w:r>
      <w:r w:rsidR="00D12D22" w:rsidRPr="00D22B50">
        <w:instrText xml:space="preserve"> ADDIN ZOTERO_ITEM CSL_CITATION {"citationID":"pOeivxJJ","properties":{"formattedCitation":"[16]","plainCitation":"[16]","noteIndex":0},"citationItems":[{"id":575,"uris":["http://zotero.org/users/local/p3tV44H5/items/KGFYWMJL"],"itemData":{"id":575,"type":"paper-conference","abstract":"The purpose of this study is to introduce new design-criteria for next-generation hyperparameter optimization software. The criteria we propose include (1) define-by-run API that allows users to construct the parameter search space dynamically, (2) efficient implementation of both searching and pruning strategies, and (3) easy-to-setup, versatile architecture that can be deployed for various purposes, ranging from scalable distributed computing to light-weight experiment conducted via interactive interface. In order to prove our point, we will introduce Optuna, an optimization software which is a culmination of our effort in the development of a next generation optimization software. As an optimization software designed with define-by-run principle, Optuna is particularly the first of its kind. We will present the design-techniques that became necessary in the development of the software that meets the above criteria, and demonstrate the power of our new design through experimental results and real world applications. Our software is available under the MIT license (https://github.com/pfnet/optuna/).","collection-title":"KDD '19","container-title":"Proceedings of the 25th ACM SIGKDD International Conference on Knowledge Discovery &amp; Data Mining","DOI":"10.1145/3292500.3330701","ISBN":"978-1-4503-6201-6","page":"2623–2631","publisher":"Association for Computing Machinery","publisher-place":"New York, NY, USA","source":"ACM Digital Library","title":"Optuna: A Next-generation Hyperparameter Optimization Framework","title-short":"Optuna","URL":"https://dl.acm.org/doi/10.1145/3292500.3330701","author":[{"family":"Akiba","given":"Takuya"},{"family":"Sano","given":"Shotaro"},{"family":"Yanase","given":"Toshihiko"},{"family":"Ohta","given":"Takeru"},{"family":"Koyama","given":"Masanori"}],"accessed":{"date-parts":[["2026",5,1]]},"issued":{"date-parts":[["2019",7,25]]}}}],"schema":"https://github.com/citation-style-language/schema/raw/master/csl-citation.json"} </w:instrText>
      </w:r>
      <w:r w:rsidR="00D12D22" w:rsidRPr="00D22B50">
        <w:fldChar w:fldCharType="separate"/>
      </w:r>
      <w:r w:rsidR="00D12D22" w:rsidRPr="00D22B50">
        <w:rPr>
          <w:rFonts w:cs="Times New Roman"/>
        </w:rPr>
        <w:t>[16]</w:t>
      </w:r>
      <w:r w:rsidR="00D12D22" w:rsidRPr="00D22B50">
        <w:fldChar w:fldCharType="end"/>
      </w:r>
      <w:r w:rsidRPr="00D22B50">
        <w:t>.</w:t>
      </w:r>
    </w:p>
    <w:p w14:paraId="1C3E392A" w14:textId="4D71C1AA" w:rsidR="00167F1E" w:rsidRPr="00D22B50" w:rsidRDefault="00167F1E" w:rsidP="00FD5995">
      <w:pPr>
        <w:pStyle w:val="af5"/>
        <w:spacing w:before="156" w:after="156"/>
      </w:pPr>
      <w:r w:rsidRPr="00D22B50">
        <w:lastRenderedPageBreak/>
        <w:t>By executing study.</w:t>
      </w:r>
      <w:r w:rsidR="00FD5995" w:rsidRPr="00D22B50">
        <w:rPr>
          <w:rFonts w:eastAsiaTheme="minorEastAsia" w:hint="eastAsia"/>
        </w:rPr>
        <w:t xml:space="preserve"> </w:t>
      </w:r>
      <w:r w:rsidRPr="00D22B50">
        <w:t>optimize(n_trials=20), the system identifies a global optimum that minimizes the source-domain MSE, which is then serialized into best_base_model.pth for the transfer phase.</w:t>
      </w:r>
    </w:p>
    <w:p w14:paraId="72B7F228" w14:textId="77777777" w:rsidR="00CD2527" w:rsidRPr="00D22B50" w:rsidRDefault="00CD2527" w:rsidP="00CD2527">
      <w:pPr>
        <w:pStyle w:val="3"/>
        <w:rPr>
          <w:rFonts w:hint="eastAsia"/>
        </w:rPr>
      </w:pPr>
      <w:bookmarkStart w:id="64" w:name="_Toc228913866"/>
      <w:r w:rsidRPr="00D22B50">
        <w:t>5.3.3 Multi-Architecture Search Space Design</w:t>
      </w:r>
      <w:bookmarkEnd w:id="64"/>
    </w:p>
    <w:p w14:paraId="15D1E345" w14:textId="77777777" w:rsidR="00CD2527" w:rsidRPr="00D22B50" w:rsidRDefault="00CD2527" w:rsidP="00FD5995">
      <w:pPr>
        <w:pStyle w:val="af5"/>
        <w:spacing w:before="156" w:after="156"/>
      </w:pPr>
      <w:r w:rsidRPr="00D22B50">
        <w:t>To ensure a fair comparison, the optimization engine was expanded via tune_pretrain_Transformer_v2.py. For the Transformer architecture, the search space included architectural-specific parameters:</w:t>
      </w:r>
    </w:p>
    <w:p w14:paraId="6F37DD69" w14:textId="7BCBA092" w:rsidR="00FD5995" w:rsidRPr="00D22B50" w:rsidRDefault="00CD2527" w:rsidP="00FD5995">
      <w:pPr>
        <w:pStyle w:val="af5"/>
        <w:numPr>
          <w:ilvl w:val="0"/>
          <w:numId w:val="19"/>
        </w:numPr>
        <w:spacing w:before="156" w:after="156"/>
      </w:pPr>
      <w:r w:rsidRPr="00D22B50">
        <w:t>Attention Heads (</w:t>
      </w:r>
      <m:oMath>
        <m:sSub>
          <m:sSubPr>
            <m:ctrlPr>
              <w:rPr>
                <w:rFonts w:ascii="Cambria Math" w:hAnsi="Cambria Math"/>
                <w:i/>
              </w:rPr>
            </m:ctrlPr>
          </m:sSubPr>
          <m:e>
            <m:r>
              <w:rPr>
                <w:rFonts w:ascii="Cambria Math" w:hAnsi="Cambria Math"/>
              </w:rPr>
              <m:t>n</m:t>
            </m:r>
          </m:e>
          <m:sub>
            <m:r>
              <w:rPr>
                <w:rFonts w:ascii="Cambria Math" w:hAnsi="Cambria Math"/>
              </w:rPr>
              <m:t>head</m:t>
            </m:r>
          </m:sub>
        </m:sSub>
      </m:oMath>
      <w:r w:rsidRPr="00D22B50">
        <w:t>): Explored in [2, 4, 8]</w:t>
      </w:r>
      <w:r w:rsidRPr="00D22B50">
        <w:rPr>
          <w:rFonts w:hint="eastAsia"/>
        </w:rPr>
        <w:t xml:space="preserve"> </w:t>
      </w:r>
      <w:r w:rsidRPr="00D22B50">
        <w:t>to balance global context capturing with computational overhead.</w:t>
      </w:r>
    </w:p>
    <w:p w14:paraId="514E01C8" w14:textId="0CCC51D4" w:rsidR="00FD5995" w:rsidRPr="00D22B50" w:rsidRDefault="00CD2527" w:rsidP="00FD5995">
      <w:pPr>
        <w:pStyle w:val="af5"/>
        <w:numPr>
          <w:ilvl w:val="0"/>
          <w:numId w:val="19"/>
        </w:numPr>
        <w:spacing w:before="156" w:after="156"/>
      </w:pPr>
      <w:r w:rsidRPr="00D22B50">
        <w:t>Encoder Layers (</w:t>
      </w:r>
      <m:oMath>
        <m:r>
          <w:rPr>
            <w:rFonts w:ascii="Cambria Math" w:hAnsi="Cambria Math"/>
          </w:rPr>
          <m:t>N</m:t>
        </m:r>
      </m:oMath>
      <w:r w:rsidRPr="00D22B50">
        <w:t xml:space="preserve">): Tested between 1 and 3 layers to prevent over-parameterization in small-sample regimes. </w:t>
      </w:r>
    </w:p>
    <w:p w14:paraId="1A23C39F" w14:textId="5CB522FE" w:rsidR="00167F1E" w:rsidRPr="00D22B50" w:rsidRDefault="00CD2527" w:rsidP="00167F1E">
      <w:pPr>
        <w:pStyle w:val="af5"/>
        <w:numPr>
          <w:ilvl w:val="0"/>
          <w:numId w:val="19"/>
        </w:numPr>
        <w:spacing w:before="156" w:after="156"/>
      </w:pPr>
      <w:r w:rsidRPr="00D22B50">
        <w:t>Embedding Dimension (</w:t>
      </w:r>
      <m:oMath>
        <m:sSub>
          <m:sSubPr>
            <m:ctrlPr>
              <w:rPr>
                <w:rFonts w:ascii="Cambria Math" w:hAnsi="Cambria Math"/>
                <w:i/>
              </w:rPr>
            </m:ctrlPr>
          </m:sSubPr>
          <m:e>
            <m:r>
              <w:rPr>
                <w:rFonts w:ascii="Cambria Math" w:hAnsi="Cambria Math"/>
              </w:rPr>
              <m:t>d</m:t>
            </m:r>
          </m:e>
          <m:sub>
            <m:r>
              <w:rPr>
                <w:rFonts w:ascii="Cambria Math" w:hAnsi="Cambria Math"/>
              </w:rPr>
              <m:t>model</m:t>
            </m:r>
          </m:sub>
        </m:sSub>
      </m:oMath>
      <w:r w:rsidRPr="00D22B50">
        <w:t xml:space="preserve">): Fixed at 64 or 128 to maintain consistency with the LSTM hidden sizes. </w:t>
      </w:r>
    </w:p>
    <w:p w14:paraId="6914698D" w14:textId="77777777" w:rsidR="00167F1E" w:rsidRPr="00D22B50" w:rsidRDefault="00167F1E" w:rsidP="00F61464">
      <w:pPr>
        <w:pStyle w:val="2"/>
        <w:rPr>
          <w:rFonts w:hint="eastAsia"/>
        </w:rPr>
      </w:pPr>
      <w:bookmarkStart w:id="65" w:name="_Toc228913867"/>
      <w:r w:rsidRPr="00D22B50">
        <w:t>5.4 Implementation of the Transfer Learning Framework</w:t>
      </w:r>
      <w:bookmarkEnd w:id="65"/>
    </w:p>
    <w:p w14:paraId="4F22284E" w14:textId="77777777" w:rsidR="00167F1E" w:rsidRPr="00D22B50" w:rsidRDefault="00167F1E" w:rsidP="00FD5995">
      <w:pPr>
        <w:pStyle w:val="af5"/>
        <w:spacing w:before="156" w:after="156"/>
      </w:pPr>
      <w:r w:rsidRPr="00D22B50">
        <w:t>The logic for knowledge migration is encapsulated in finetune.py and validated at scale in batch_test.py.</w:t>
      </w:r>
    </w:p>
    <w:p w14:paraId="6C710942" w14:textId="77777777" w:rsidR="00167F1E" w:rsidRPr="00D22B50" w:rsidRDefault="00167F1E" w:rsidP="00F61464">
      <w:pPr>
        <w:pStyle w:val="3"/>
        <w:rPr>
          <w:rFonts w:hint="eastAsia"/>
        </w:rPr>
      </w:pPr>
      <w:bookmarkStart w:id="66" w:name="_Toc228913868"/>
      <w:r w:rsidRPr="00D22B50">
        <w:t>5.4.1 Programmatic Gradient Masking</w:t>
      </w:r>
      <w:bookmarkEnd w:id="66"/>
    </w:p>
    <w:p w14:paraId="1DC04BD6" w14:textId="77777777" w:rsidR="00330796" w:rsidRPr="00D22B50" w:rsidRDefault="00330796" w:rsidP="00FD5995">
      <w:pPr>
        <w:pStyle w:val="af5"/>
        <w:spacing w:before="156" w:after="156"/>
      </w:pPr>
      <w:r w:rsidRPr="00D22B50">
        <w:t>A core feature of the transfer learning framework is its ability to perform Selective Gradient Masking across different backbones.</w:t>
      </w:r>
    </w:p>
    <w:p w14:paraId="3C67763A" w14:textId="77777777" w:rsidR="00FD5995" w:rsidRPr="00D22B50" w:rsidRDefault="00330796" w:rsidP="00FD5995">
      <w:pPr>
        <w:pStyle w:val="af5"/>
        <w:numPr>
          <w:ilvl w:val="0"/>
          <w:numId w:val="20"/>
        </w:numPr>
        <w:spacing w:before="156" w:after="156"/>
      </w:pPr>
      <w:r w:rsidRPr="00D22B50">
        <w:t>LSTM Path: The recurrent weights are locked using param.requires_grad = False, preserving the long-term temporal dependencies learned from the 100-user source domain.</w:t>
      </w:r>
    </w:p>
    <w:p w14:paraId="257A5735" w14:textId="7E05B7C2" w:rsidR="0012673C" w:rsidRPr="00D22B50" w:rsidRDefault="00330796" w:rsidP="00FD5995">
      <w:pPr>
        <w:pStyle w:val="af5"/>
        <w:numPr>
          <w:ilvl w:val="0"/>
          <w:numId w:val="20"/>
        </w:numPr>
        <w:spacing w:before="156" w:after="156"/>
      </w:pPr>
      <w:r w:rsidRPr="00D22B50">
        <w:t>Transformer Path: The transformer_encoder modules are similarly frozen. This forces the optimization process to occur exclusively in the final linear projection layers, effectively repurposing the pre-trained self-attention representations for the specific energy fingerprint of the new target user</w:t>
      </w:r>
      <w:r w:rsidR="0012673C" w:rsidRPr="00D22B50">
        <w:t>.</w:t>
      </w:r>
    </w:p>
    <w:p w14:paraId="617064D1" w14:textId="77777777" w:rsidR="0012673C" w:rsidRPr="00D22B50" w:rsidRDefault="0012673C" w:rsidP="00F61464">
      <w:pPr>
        <w:pStyle w:val="3"/>
        <w:rPr>
          <w:rFonts w:hint="eastAsia"/>
        </w:rPr>
      </w:pPr>
      <w:bookmarkStart w:id="67" w:name="_Toc228913869"/>
      <w:r w:rsidRPr="00D22B50">
        <w:t>5.4.2 Comparative Evaluation and Multi-Strategy Testing</w:t>
      </w:r>
      <w:bookmarkEnd w:id="67"/>
    </w:p>
    <w:p w14:paraId="2FD89A97" w14:textId="65DAF322" w:rsidR="0012673C" w:rsidRPr="00D22B50" w:rsidRDefault="0012673C" w:rsidP="00FD5995">
      <w:pPr>
        <w:pStyle w:val="af5"/>
        <w:spacing w:before="156" w:after="156"/>
      </w:pPr>
      <w:r w:rsidRPr="00D22B50">
        <w:t xml:space="preserve">To ensure scientific rigour, batch_test.py implements a Parallel Triple-Strategy Evaluation. For each of the </w:t>
      </w:r>
      <w:r w:rsidR="00723FDC" w:rsidRPr="00D22B50">
        <w:t>30</w:t>
      </w:r>
      <w:r w:rsidRPr="00D22B50">
        <w:t xml:space="preserve"> test households, the system simultaneously executes:</w:t>
      </w:r>
    </w:p>
    <w:p w14:paraId="493AA06C" w14:textId="77777777" w:rsidR="00FD5995" w:rsidRPr="00D22B50" w:rsidRDefault="0012673C" w:rsidP="00FD5995">
      <w:pPr>
        <w:pStyle w:val="af5"/>
        <w:numPr>
          <w:ilvl w:val="0"/>
          <w:numId w:val="21"/>
        </w:numPr>
        <w:spacing w:before="156" w:after="156"/>
      </w:pPr>
      <w:r w:rsidRPr="00D22B50">
        <w:t>Direct Transfer: Loading weights and predicting immediately (Zero-shot).</w:t>
      </w:r>
    </w:p>
    <w:p w14:paraId="7B970493" w14:textId="77777777" w:rsidR="00FD5995" w:rsidRPr="00D22B50" w:rsidRDefault="0012673C" w:rsidP="00FD5995">
      <w:pPr>
        <w:pStyle w:val="af5"/>
        <w:numPr>
          <w:ilvl w:val="0"/>
          <w:numId w:val="21"/>
        </w:numPr>
        <w:spacing w:before="156" w:after="156"/>
      </w:pPr>
      <w:r w:rsidRPr="00D22B50">
        <w:t xml:space="preserve">Adaptive Fine-tuning: Loading weights, freezing LSTM layers, and training for 15 </w:t>
      </w:r>
      <w:r w:rsidRPr="00D22B50">
        <w:lastRenderedPageBreak/>
        <w:t>epochs.</w:t>
      </w:r>
    </w:p>
    <w:p w14:paraId="047D0306" w14:textId="0978D52E" w:rsidR="0012673C" w:rsidRPr="00D22B50" w:rsidRDefault="0012673C" w:rsidP="00FD5995">
      <w:pPr>
        <w:pStyle w:val="af5"/>
        <w:numPr>
          <w:ilvl w:val="0"/>
          <w:numId w:val="21"/>
        </w:numPr>
        <w:spacing w:before="156" w:after="156"/>
      </w:pPr>
      <w:r w:rsidRPr="00D22B50">
        <w:t>Scratch Training: Initializing a new model and training for 30 epochs without any prior knowledge.</w:t>
      </w:r>
    </w:p>
    <w:p w14:paraId="00D7BDF8" w14:textId="41BA8219" w:rsidR="0012673C" w:rsidRPr="00D22B50" w:rsidRDefault="0012673C" w:rsidP="00FD5995">
      <w:pPr>
        <w:pStyle w:val="af5"/>
        <w:spacing w:before="156" w:after="156"/>
        <w:rPr>
          <w:rFonts w:eastAsiaTheme="minorEastAsia"/>
        </w:rPr>
      </w:pPr>
      <w:r w:rsidRPr="00D22B50">
        <w:t xml:space="preserve">This implementation allows for the direct calculation of the Transfer Gain, providing the empirical data for the </w:t>
      </w:r>
      <w:r w:rsidR="00BD7543">
        <w:t>“</w:t>
      </w:r>
      <w:r w:rsidRPr="00D22B50">
        <w:t>Performance Ladder</w:t>
      </w:r>
      <w:r w:rsidR="00BD7543">
        <w:t>”</w:t>
      </w:r>
      <w:r w:rsidRPr="00D22B50">
        <w:t xml:space="preserve"> discussed in Chapter 6.</w:t>
      </w:r>
    </w:p>
    <w:p w14:paraId="6F9F79AE" w14:textId="77777777" w:rsidR="0012673C" w:rsidRPr="00D22B50" w:rsidRDefault="0012673C" w:rsidP="00F61464">
      <w:pPr>
        <w:pStyle w:val="2"/>
        <w:rPr>
          <w:rFonts w:hint="eastAsia"/>
        </w:rPr>
      </w:pPr>
      <w:bookmarkStart w:id="68" w:name="_Toc228913870"/>
      <w:r w:rsidRPr="00D22B50">
        <w:t>5.5 Computational Performance and Metrics Implementation</w:t>
      </w:r>
      <w:bookmarkEnd w:id="68"/>
    </w:p>
    <w:p w14:paraId="540BF6F5" w14:textId="77777777" w:rsidR="0012673C" w:rsidRPr="00D22B50" w:rsidRDefault="0012673C" w:rsidP="00FD5995">
      <w:pPr>
        <w:pStyle w:val="af5"/>
        <w:spacing w:before="156" w:after="156"/>
      </w:pPr>
      <w:r w:rsidRPr="00D22B50">
        <w:t>The final component of the engineering framework is the automated metrics engine.</w:t>
      </w:r>
    </w:p>
    <w:p w14:paraId="6A0DE5D9" w14:textId="77777777" w:rsidR="0012673C" w:rsidRPr="00D22B50" w:rsidRDefault="0012673C" w:rsidP="00F61464">
      <w:pPr>
        <w:pStyle w:val="3"/>
        <w:rPr>
          <w:rFonts w:hint="eastAsia"/>
        </w:rPr>
      </w:pPr>
      <w:bookmarkStart w:id="69" w:name="_Toc228913871"/>
      <w:r w:rsidRPr="00D22B50">
        <w:t>5.5.1 Robust Metric Calculation</w:t>
      </w:r>
      <w:bookmarkEnd w:id="69"/>
    </w:p>
    <w:p w14:paraId="3237B5A9" w14:textId="77777777" w:rsidR="0012673C" w:rsidRPr="00D22B50" w:rsidRDefault="0012673C" w:rsidP="00FD5995">
      <w:pPr>
        <w:pStyle w:val="af5"/>
        <w:spacing w:before="156" w:after="156"/>
      </w:pPr>
      <w:r w:rsidRPr="00D22B50">
        <w:t>The get_metrics function in batch_test.py provides a standardized implementation of MSE, RMSE, and MAPE. A key engineering detail is the inclusion of epsilon = 1e-5 in the MAPE calculation:</w:t>
      </w:r>
    </w:p>
    <w:p w14:paraId="3642337A" w14:textId="77777777" w:rsidR="0012673C" w:rsidRPr="00D22B50" w:rsidRDefault="0012673C" w:rsidP="0012673C">
      <w:pPr>
        <w:rPr>
          <w:rFonts w:ascii="Consolas" w:hAnsi="Consolas"/>
        </w:rPr>
      </w:pPr>
      <w:r w:rsidRPr="00D22B50">
        <w:rPr>
          <w:rFonts w:ascii="Consolas" w:hAnsi="Consolas"/>
        </w:rPr>
        <w:t>mape = np.mean(np.abs((actuals - preds) / (np.abs(actuals) + epsilon))) * 100</w:t>
      </w:r>
    </w:p>
    <w:p w14:paraId="29F485D5" w14:textId="4534AFB9" w:rsidR="0012673C" w:rsidRPr="00D22B50" w:rsidRDefault="0012673C" w:rsidP="00FD5995">
      <w:pPr>
        <w:pStyle w:val="af5"/>
        <w:spacing w:before="156" w:after="156"/>
      </w:pPr>
      <w:r w:rsidRPr="00D22B50">
        <w:t xml:space="preserve">This addition prevents the script from crashing due to Zero-Division Errors, which are common in Z-score normalized datasets where the energy reading often nears the population mean. This implementation detail directly supports the theoretical discussion on the </w:t>
      </w:r>
      <w:r w:rsidR="00BD7543">
        <w:t>“</w:t>
      </w:r>
      <w:r w:rsidRPr="00D22B50">
        <w:t>MAPE Anomaly</w:t>
      </w:r>
      <w:r w:rsidR="00BD7543">
        <w:t>”</w:t>
      </w:r>
      <w:r w:rsidRPr="00D22B50">
        <w:t xml:space="preserve"> in Chapter 6.4 </w:t>
      </w:r>
      <w:r w:rsidR="00D12D22" w:rsidRPr="00D22B50">
        <w:fldChar w:fldCharType="begin"/>
      </w:r>
      <w:r w:rsidR="00D12D22" w:rsidRPr="00D22B50">
        <w:instrText xml:space="preserve"> ADDIN ZOTERO_ITEM CSL_CITATION {"citationID":"nmX02yHu","properties":{"formattedCitation":"[37]","plainCitation":"[37]","noteIndex":0},"citationItems":[{"id":570,"uris":["http://zotero.org/users/local/p3tV44H5/items/2VCBRUTA"],"itemData":{"id":570,"type":"article-journal","abstract":"Load forecasting has been a fundamental business problem since the inception of the electric power industry. Over the past 100 plus years, both research efforts and industry practices in this area have focused primarily on point load forecasting. In the most recent decade, though, the increased market competition, aging infrastructure and renewable integration requirements mean that probabilistic load forecasting has become more and more important to energy systems planning and operations. This paper offers a tutorial review of probabilistic electric load forecasting, including notable techniques, methodologies and evaluation methods, and common misunderstandings. We also underline the need to invest in additional research, such as reproducible case studies, probabilistic load forecast evaluation and valuation, and a consideration of emerging technologies and energy policies in the probabilistic load forecasting process.","container-title":"International Journal of Forecasting","DOI":"10.1016/j.ijforecast.2015.11.011","ISSN":"01692070","issue":"3","journalAbbreviation":"International Journal of Forecasting","language":"en","page":"914-938","source":"DOI.org (Crossref)","title":"Probabilistic electric load forecasting: A tutorial review","title-short":"Probabilistic electric load forecasting","volume":"32","author":[{"family":"Hong","given":"Tao"},{"family":"Fan","given":"Shu"}],"issued":{"date-parts":[["2016",7]]}}}],"schema":"https://github.com/citation-style-language/schema/raw/master/csl-citation.json"} </w:instrText>
      </w:r>
      <w:r w:rsidR="00D12D22" w:rsidRPr="00D22B50">
        <w:fldChar w:fldCharType="separate"/>
      </w:r>
      <w:r w:rsidR="00D12D22" w:rsidRPr="00D22B50">
        <w:rPr>
          <w:rFonts w:cs="Times New Roman"/>
        </w:rPr>
        <w:t>[37]</w:t>
      </w:r>
      <w:r w:rsidR="00D12D22" w:rsidRPr="00D22B50">
        <w:fldChar w:fldCharType="end"/>
      </w:r>
      <w:r w:rsidRPr="00D22B50">
        <w:t>.</w:t>
      </w:r>
    </w:p>
    <w:p w14:paraId="24BF0BBB" w14:textId="77777777" w:rsidR="0012673C" w:rsidRPr="00D22B50" w:rsidRDefault="0012673C" w:rsidP="00F61464">
      <w:pPr>
        <w:pStyle w:val="3"/>
        <w:rPr>
          <w:rFonts w:hint="eastAsia"/>
        </w:rPr>
      </w:pPr>
      <w:bookmarkStart w:id="70" w:name="_Toc228913872"/>
      <w:r w:rsidRPr="00D22B50">
        <w:t>5.5.2 Visualization and Result Persistance</w:t>
      </w:r>
      <w:bookmarkEnd w:id="70"/>
    </w:p>
    <w:p w14:paraId="5031C61F" w14:textId="77777777" w:rsidR="0012673C" w:rsidRPr="00D22B50" w:rsidRDefault="0012673C" w:rsidP="00FD5995">
      <w:pPr>
        <w:rPr>
          <w:rFonts w:hint="eastAsia"/>
        </w:rPr>
      </w:pPr>
      <w:r w:rsidRPr="00D22B50">
        <w:t>The system is programmed to automatically generate visual diagnostics. Upon completion of a batch test, the script produces:</w:t>
      </w:r>
    </w:p>
    <w:p w14:paraId="06364DF8" w14:textId="770E9DA3" w:rsidR="00FD5995" w:rsidRPr="00D22B50" w:rsidRDefault="0012673C" w:rsidP="00FD5995">
      <w:pPr>
        <w:pStyle w:val="a9"/>
        <w:numPr>
          <w:ilvl w:val="0"/>
          <w:numId w:val="22"/>
        </w:numPr>
        <w:rPr>
          <w:rFonts w:hint="eastAsia"/>
        </w:rPr>
      </w:pPr>
      <w:r w:rsidRPr="00D22B50">
        <w:t>batch_evaluation_full_metrics.csv: A row-by-row breakdown of every household</w:t>
      </w:r>
      <w:r w:rsidR="00BD7543">
        <w:t>’</w:t>
      </w:r>
      <w:r w:rsidRPr="00D22B50">
        <w:t>s performance across all three strategies.</w:t>
      </w:r>
    </w:p>
    <w:p w14:paraId="79B08E4E" w14:textId="55C874D1" w:rsidR="0012673C" w:rsidRPr="00D22B50" w:rsidRDefault="0012673C" w:rsidP="00FD5995">
      <w:pPr>
        <w:pStyle w:val="a9"/>
        <w:numPr>
          <w:ilvl w:val="0"/>
          <w:numId w:val="22"/>
        </w:numPr>
        <w:rPr>
          <w:rFonts w:hint="eastAsia"/>
        </w:rPr>
      </w:pPr>
      <w:r w:rsidRPr="00D22B50">
        <w:t>batch_mse_comparison.png: A box-and-whisker plot that visualizes the error distribution and confirms the variance reduction provided by the transfer learning framework.</w:t>
      </w:r>
    </w:p>
    <w:p w14:paraId="07CE067A" w14:textId="77777777" w:rsidR="00330796" w:rsidRPr="00D22B50" w:rsidRDefault="00330796" w:rsidP="00330796">
      <w:pPr>
        <w:pStyle w:val="3"/>
        <w:rPr>
          <w:rFonts w:hint="eastAsia"/>
        </w:rPr>
      </w:pPr>
      <w:bookmarkStart w:id="71" w:name="_Toc228913873"/>
      <w:r w:rsidRPr="00D22B50">
        <w:rPr>
          <w:rFonts w:hint="eastAsia"/>
        </w:rPr>
        <w:t>5.5.3 Automated Comparative Reporting</w:t>
      </w:r>
      <w:bookmarkEnd w:id="71"/>
    </w:p>
    <w:p w14:paraId="2C546ACA" w14:textId="52645BF7" w:rsidR="002C44EF" w:rsidRPr="00D22B50" w:rsidRDefault="00330796" w:rsidP="00FD5995">
      <w:pPr>
        <w:pStyle w:val="af5"/>
        <w:spacing w:before="156" w:after="156"/>
      </w:pPr>
      <w:r w:rsidRPr="00D22B50">
        <w:rPr>
          <w:rFonts w:hint="eastAsia"/>
        </w:rPr>
        <w:t xml:space="preserve">The final implementation utilizes batch_test_lstm_vs_transformer.py to automate the benchmarking process. For each of the 30 target households, the script executes six concurrent experimental threads (3*strategies * 2*architectures). The system persists the fine-grained metrics into batch_evaluation_full_metrics.csv and final_comparison_results.csv, enabling the generation of the </w:t>
      </w:r>
      <w:r w:rsidR="00BD7543">
        <w:t>“</w:t>
      </w:r>
      <w:r w:rsidRPr="00D22B50">
        <w:rPr>
          <w:rFonts w:hint="eastAsia"/>
        </w:rPr>
        <w:t>Performance Ladder</w:t>
      </w:r>
      <w:r w:rsidR="00BD7543">
        <w:t>”</w:t>
      </w:r>
      <w:r w:rsidRPr="00D22B50">
        <w:rPr>
          <w:rFonts w:hint="eastAsia"/>
        </w:rPr>
        <w:t xml:space="preserve"> visualizations used for empirical validation in</w:t>
      </w:r>
      <w:r w:rsidRPr="00D22B50">
        <w:rPr>
          <w:rFonts w:hint="eastAsia"/>
          <w:color w:val="EE0000"/>
        </w:rPr>
        <w:t xml:space="preserve"> </w:t>
      </w:r>
      <w:r w:rsidRPr="00BD7543">
        <w:rPr>
          <w:rFonts w:hint="eastAsia"/>
          <w:color w:val="000000" w:themeColor="text1"/>
        </w:rPr>
        <w:t>Chapter 6.</w:t>
      </w:r>
    </w:p>
    <w:p w14:paraId="61376638" w14:textId="2B9404F4" w:rsidR="00CE06BF" w:rsidRPr="00D22B50" w:rsidRDefault="00CE06BF" w:rsidP="00CE06BF">
      <w:pPr>
        <w:pStyle w:val="1"/>
        <w:rPr>
          <w:rFonts w:hint="eastAsia"/>
        </w:rPr>
      </w:pPr>
      <w:bookmarkStart w:id="72" w:name="_Toc228913874"/>
      <w:r w:rsidRPr="00D22B50">
        <w:lastRenderedPageBreak/>
        <w:t>6. Results</w:t>
      </w:r>
      <w:bookmarkEnd w:id="72"/>
    </w:p>
    <w:p w14:paraId="2559643D" w14:textId="77777777" w:rsidR="00CE06BF" w:rsidRPr="00D22B50" w:rsidRDefault="00CE06BF" w:rsidP="00CE06BF">
      <w:pPr>
        <w:pStyle w:val="2"/>
        <w:rPr>
          <w:rFonts w:hint="eastAsia"/>
        </w:rPr>
      </w:pPr>
      <w:bookmarkStart w:id="73" w:name="_Toc228913875"/>
      <w:r w:rsidRPr="00D22B50">
        <w:t>6.1 Comprehensive Quantitative Analysis</w:t>
      </w:r>
      <w:bookmarkEnd w:id="73"/>
      <w:r w:rsidRPr="00D22B50">
        <w:t xml:space="preserve"> </w:t>
      </w:r>
    </w:p>
    <w:p w14:paraId="71672F3B" w14:textId="4E5610B2" w:rsidR="00CE06BF" w:rsidRPr="00D22B50" w:rsidRDefault="00CE06BF" w:rsidP="00FD5995">
      <w:pPr>
        <w:pStyle w:val="af5"/>
        <w:spacing w:before="156" w:after="156"/>
      </w:pPr>
      <w:r w:rsidRPr="00D22B50">
        <w:t xml:space="preserve">The experimental phase of this research involved a rigorous comparative evaluation of the proposed transfer learning framework across 30 distinct residential households from the London Smart Meter dataset. The primary objective was to measure the effectiveness of knowledge migration in mitigating performance degradation during the </w:t>
      </w:r>
      <w:r w:rsidR="00BD7543">
        <w:t>“</w:t>
      </w:r>
      <w:r w:rsidRPr="00D22B50">
        <w:t>cold start</w:t>
      </w:r>
      <w:r w:rsidR="00BD7543">
        <w:t>”</w:t>
      </w:r>
      <w:r w:rsidRPr="00D22B50">
        <w:t xml:space="preserve"> period. Unlike previous studies that often focus on a single architecture, this assessment executes a </w:t>
      </w:r>
      <w:r w:rsidR="00BD7543">
        <w:t>“</w:t>
      </w:r>
      <w:r w:rsidRPr="00D22B50">
        <w:t>head-to-head</w:t>
      </w:r>
      <w:r w:rsidR="00BD7543">
        <w:t>”</w:t>
      </w:r>
      <w:r w:rsidRPr="00D22B50">
        <w:t xml:space="preserve"> benchmark between two foundational deep learning backbones: the</w:t>
      </w:r>
      <w:r w:rsidR="00BD07A4">
        <w:rPr>
          <w:rFonts w:eastAsiaTheme="minorEastAsia" w:hint="eastAsia"/>
        </w:rPr>
        <w:t xml:space="preserve"> </w:t>
      </w:r>
      <w:r w:rsidRPr="00D22B50">
        <w:t xml:space="preserve">LSTM network and the Transformer architecture. To ensure scientific validity, these 30 households were selected to represent a diverse spectrum of consumption behaviors, ranging from stable base-load patterns to highly erratic, non-periodic usage. </w:t>
      </w:r>
    </w:p>
    <w:p w14:paraId="1E8BD7AE" w14:textId="77777777" w:rsidR="00CE06BF" w:rsidRPr="00D22B50" w:rsidRDefault="00CE06BF" w:rsidP="00CE06BF">
      <w:pPr>
        <w:pStyle w:val="3"/>
        <w:rPr>
          <w:rFonts w:hint="eastAsia"/>
        </w:rPr>
      </w:pPr>
      <w:bookmarkStart w:id="74" w:name="_Toc228913876"/>
      <w:r w:rsidRPr="00D22B50">
        <w:t>6.1.1 Experimental Configuration and the 10-Day Window</w:t>
      </w:r>
      <w:bookmarkEnd w:id="74"/>
      <w:r w:rsidRPr="00D22B50">
        <w:t xml:space="preserve"> </w:t>
      </w:r>
    </w:p>
    <w:p w14:paraId="75DE01C1" w14:textId="643C9D88" w:rsidR="00CE06BF" w:rsidRDefault="00CE06BF" w:rsidP="00FD5995">
      <w:pPr>
        <w:pStyle w:val="af5"/>
        <w:spacing w:before="156" w:after="156"/>
        <w:rPr>
          <w:rFonts w:eastAsiaTheme="minorEastAsia"/>
        </w:rPr>
      </w:pPr>
      <w:r w:rsidRPr="00D22B50">
        <w:t xml:space="preserve">To establish a robust baseline for the cold-start problem, each experimental trial was conducted under a strictly constrained 10-day historical window (N=480 observations). In the field of residential energy analytics, this window represents the </w:t>
      </w:r>
      <w:r w:rsidR="00BD7543">
        <w:t>“</w:t>
      </w:r>
      <w:r w:rsidRPr="00D22B50">
        <w:t>critical zone</w:t>
      </w:r>
      <w:r w:rsidR="00BD7543">
        <w:t>”</w:t>
      </w:r>
      <w:r w:rsidRPr="00D22B50">
        <w:t xml:space="preserve"> where parameter-heavy models typically fail to converge. With only 480 discrete data points, the high-dimensional weight matrices of both LSTM and Transformer architectures are prone to severe over-parameterization and catastrophic overfitting. By isolating this specific window, the experiment directly evaluates the capacity of the transfer learning framework to substitute missing local history with generalized temporal priors extracted from the source domain. </w:t>
      </w:r>
    </w:p>
    <w:p w14:paraId="18A25203" w14:textId="3451B2BE" w:rsidR="004A210D" w:rsidRPr="004A210D" w:rsidRDefault="004A210D" w:rsidP="00FD5995">
      <w:pPr>
        <w:pStyle w:val="af5"/>
        <w:spacing w:before="156" w:after="156"/>
        <w:rPr>
          <w:rFonts w:eastAsiaTheme="minorEastAsia"/>
        </w:rPr>
      </w:pPr>
      <w:r w:rsidRPr="004A210D">
        <w:rPr>
          <w:rFonts w:eastAsiaTheme="minorEastAsia"/>
        </w:rPr>
        <w:t>In this study, the forecasting horizon is set to a single time step ahead (i.e., 30 minutes). Specifically, the models utilize a historical look-back window of 96 time steps (48 hours) to predict the electrical load of the immediately following half-hour interval. This single-step setup is highly relevant for real-time grid balancing and ultra-short-term demand-side management.</w:t>
      </w:r>
    </w:p>
    <w:p w14:paraId="60F63742" w14:textId="77777777" w:rsidR="00CE06BF" w:rsidRPr="00D22B50" w:rsidRDefault="00CE06BF" w:rsidP="00CE06BF">
      <w:pPr>
        <w:pStyle w:val="3"/>
        <w:rPr>
          <w:rFonts w:hint="eastAsia"/>
        </w:rPr>
      </w:pPr>
      <w:bookmarkStart w:id="75" w:name="_Toc228913877"/>
      <w:r w:rsidRPr="00D22B50">
        <w:t>6.1.2 Definition of Forecasting Strategies and Architectures</w:t>
      </w:r>
      <w:bookmarkEnd w:id="75"/>
      <w:r w:rsidRPr="00D22B50">
        <w:t xml:space="preserve"> </w:t>
      </w:r>
    </w:p>
    <w:p w14:paraId="60B2B96A" w14:textId="592F324B" w:rsidR="00CE06BF" w:rsidRPr="00D22B50" w:rsidRDefault="00CE06BF" w:rsidP="00FD5995">
      <w:pPr>
        <w:pStyle w:val="af5"/>
        <w:spacing w:before="156" w:after="156"/>
      </w:pPr>
      <w:r w:rsidRPr="00D22B50">
        <w:t xml:space="preserve">This study evaluates three primary forecasting strategies across two distinct neural architectures to provide a multi-dimensional performance ladder: </w:t>
      </w:r>
    </w:p>
    <w:p w14:paraId="10587990" w14:textId="37768792" w:rsidR="00FD5995" w:rsidRPr="00D22B50" w:rsidRDefault="00CE06BF" w:rsidP="00FD5995">
      <w:pPr>
        <w:pStyle w:val="af5"/>
        <w:numPr>
          <w:ilvl w:val="0"/>
          <w:numId w:val="23"/>
        </w:numPr>
        <w:spacing w:before="156" w:after="156"/>
      </w:pPr>
      <w:r w:rsidRPr="00D22B50">
        <w:t xml:space="preserve">Training from Scratch: </w:t>
      </w:r>
      <w:r w:rsidR="000F2983" w:rsidRPr="00D22B50">
        <w:t>The model is initialized with a randomized Xavier distribution to ensure stable gradient variance in the initial epochs [34],</w:t>
      </w:r>
      <w:r w:rsidRPr="00D22B50">
        <w:t xml:space="preserve"> and trained exclusively on the 10-day target data, serving as the </w:t>
      </w:r>
      <w:r w:rsidR="00BD7543">
        <w:t>“</w:t>
      </w:r>
      <w:r w:rsidRPr="00D22B50">
        <w:t>naive</w:t>
      </w:r>
      <w:r w:rsidR="00BD7543">
        <w:t>”</w:t>
      </w:r>
      <w:r w:rsidRPr="00D22B50">
        <w:t xml:space="preserve"> baseline. </w:t>
      </w:r>
    </w:p>
    <w:p w14:paraId="15CF343C" w14:textId="4B5E6833" w:rsidR="00FD5995" w:rsidRPr="00D22B50" w:rsidRDefault="00CE06BF" w:rsidP="00FD5995">
      <w:pPr>
        <w:pStyle w:val="af5"/>
        <w:numPr>
          <w:ilvl w:val="0"/>
          <w:numId w:val="23"/>
        </w:numPr>
        <w:spacing w:before="156" w:after="156"/>
      </w:pPr>
      <w:r w:rsidRPr="00D22B50">
        <w:t xml:space="preserve">Zero-shot Direct Transfer: The pre-trained source model is applied directly to the target household without any local weight updates, measuring the </w:t>
      </w:r>
      <w:r w:rsidR="00BD7543">
        <w:t>“</w:t>
      </w:r>
      <w:r w:rsidRPr="00D22B50">
        <w:t xml:space="preserve">Temporal </w:t>
      </w:r>
      <w:r w:rsidRPr="00D22B50">
        <w:lastRenderedPageBreak/>
        <w:t>Universality</w:t>
      </w:r>
      <w:r w:rsidR="00BD7543">
        <w:t>”</w:t>
      </w:r>
      <w:r w:rsidRPr="00D22B50">
        <w:t xml:space="preserve"> of the learned features. </w:t>
      </w:r>
    </w:p>
    <w:p w14:paraId="14B3A14F" w14:textId="38747F37" w:rsidR="00CE06BF" w:rsidRPr="00D22B50" w:rsidRDefault="00CE06BF" w:rsidP="00FD5995">
      <w:pPr>
        <w:pStyle w:val="af5"/>
        <w:numPr>
          <w:ilvl w:val="0"/>
          <w:numId w:val="23"/>
        </w:numPr>
        <w:spacing w:before="156" w:after="156"/>
      </w:pPr>
      <w:r w:rsidRPr="00D22B50">
        <w:t xml:space="preserve">Adaptive Fine-tuning: The methodology utilizes pre-trained weights as an informed starting point, followed by the selective retraining of final layers using the 10-day local history to achieve </w:t>
      </w:r>
      <w:r w:rsidR="00BD7543">
        <w:t>“</w:t>
      </w:r>
      <w:r w:rsidRPr="00D22B50">
        <w:t>knowledge localization</w:t>
      </w:r>
      <w:r w:rsidR="00BD7543">
        <w:t>”</w:t>
      </w:r>
      <w:r w:rsidRPr="00D22B50">
        <w:t xml:space="preserve">. </w:t>
      </w:r>
    </w:p>
    <w:p w14:paraId="4A400347" w14:textId="77777777" w:rsidR="00CE06BF" w:rsidRPr="00D22B50" w:rsidRDefault="00CE06BF" w:rsidP="00FD5995">
      <w:pPr>
        <w:pStyle w:val="af5"/>
        <w:spacing w:before="156" w:after="156"/>
      </w:pPr>
      <w:r w:rsidRPr="00D22B50">
        <w:t xml:space="preserve">Both the LSTM (representing recurrence-based modeling) and the Transformer (representing attention-based modeling) underwent identical Bayesian hyperparameter optimization via the Optuna framework before being subjected to these three strategies. </w:t>
      </w:r>
    </w:p>
    <w:p w14:paraId="14CAA1BF" w14:textId="77777777" w:rsidR="00CE06BF" w:rsidRPr="00D22B50" w:rsidRDefault="00CE06BF" w:rsidP="00CE06BF">
      <w:pPr>
        <w:pStyle w:val="3"/>
        <w:rPr>
          <w:rFonts w:hint="eastAsia"/>
        </w:rPr>
      </w:pPr>
      <w:bookmarkStart w:id="76" w:name="_Toc228913878"/>
      <w:r w:rsidRPr="00D22B50">
        <w:t>6.1.3 Evaluation Protocol and Metrics</w:t>
      </w:r>
      <w:bookmarkEnd w:id="76"/>
      <w:r w:rsidRPr="00D22B50">
        <w:t xml:space="preserve"> </w:t>
      </w:r>
    </w:p>
    <w:p w14:paraId="3CABE5E4" w14:textId="492BE32E" w:rsidR="00CE06BF" w:rsidRPr="00D22B50" w:rsidRDefault="00CE06BF" w:rsidP="00FD5995">
      <w:pPr>
        <w:pStyle w:val="af5"/>
        <w:spacing w:before="156" w:after="156"/>
      </w:pPr>
      <w:r w:rsidRPr="00D22B50">
        <w:t>To ensure a comprehensive assessment of predictive accuracy and robustness, performance was quantified using Mean Squared Error (MSE), Root Mean Square Error (RMSE), and Mean Absolute Percentage Error (MAPE). All experiments were implemented using the PyTorch framework. Given the zero-centered nature of the standardized dataset, relative improvements in these metrics are prioritized over absolute values to determine the framework</w:t>
      </w:r>
      <w:r w:rsidR="00BD7543">
        <w:t>’</w:t>
      </w:r>
      <w:r w:rsidRPr="00D22B50">
        <w:t xml:space="preserve">s </w:t>
      </w:r>
      <w:r w:rsidR="00BD7543">
        <w:t>“</w:t>
      </w:r>
      <w:r w:rsidRPr="00D22B50">
        <w:t>Day 1</w:t>
      </w:r>
      <w:r w:rsidR="00BD7543">
        <w:t>”</w:t>
      </w:r>
      <w:r w:rsidRPr="00D22B50">
        <w:t xml:space="preserve"> utility for smart grid operators. </w:t>
      </w:r>
    </w:p>
    <w:p w14:paraId="299F3CF0" w14:textId="77777777" w:rsidR="00CE06BF" w:rsidRPr="00D22B50" w:rsidRDefault="00CE06BF" w:rsidP="00CE06BF">
      <w:pPr>
        <w:rPr>
          <w:rFonts w:hint="eastAsia"/>
        </w:rPr>
      </w:pPr>
    </w:p>
    <w:p w14:paraId="5CF1863F" w14:textId="70D6BE85" w:rsidR="00CE06BF" w:rsidRPr="00D22B50" w:rsidRDefault="00CE06BF" w:rsidP="00CE06BF">
      <w:pPr>
        <w:pStyle w:val="2"/>
        <w:rPr>
          <w:rFonts w:hint="eastAsia"/>
        </w:rPr>
      </w:pPr>
      <w:bookmarkStart w:id="77" w:name="_Toc228913879"/>
      <w:r w:rsidRPr="00D22B50">
        <w:t xml:space="preserve">6.2 The Mechanism of the </w:t>
      </w:r>
      <w:r w:rsidR="00BD7543">
        <w:t>“</w:t>
      </w:r>
      <w:r w:rsidRPr="00D22B50">
        <w:t>Performance Ladder</w:t>
      </w:r>
      <w:r w:rsidR="00BD7543">
        <w:t>”</w:t>
      </w:r>
      <w:bookmarkEnd w:id="77"/>
      <w:r w:rsidRPr="00D22B50">
        <w:t xml:space="preserve"> </w:t>
      </w:r>
    </w:p>
    <w:p w14:paraId="38B80E88" w14:textId="65C802C4" w:rsidR="00CE06BF" w:rsidRDefault="00CE06BF" w:rsidP="00FD5995">
      <w:pPr>
        <w:pStyle w:val="af5"/>
        <w:spacing w:before="156" w:after="156"/>
        <w:rPr>
          <w:rFonts w:eastAsiaTheme="minorEastAsia"/>
        </w:rPr>
      </w:pPr>
      <w:r w:rsidRPr="00D22B50">
        <w:t xml:space="preserve">A detailed investigation into the individual results of the 30 test households reveals what </w:t>
      </w:r>
      <w:r w:rsidR="002657F3">
        <w:t xml:space="preserve">I </w:t>
      </w:r>
      <w:r w:rsidRPr="00D22B50">
        <w:t xml:space="preserve">define as the </w:t>
      </w:r>
      <w:r w:rsidR="00BD7543">
        <w:t>“</w:t>
      </w:r>
      <w:r w:rsidRPr="00D22B50">
        <w:t>performance ladder.</w:t>
      </w:r>
      <w:r w:rsidR="00BD7543">
        <w:t>”</w:t>
      </w:r>
      <w:r w:rsidRPr="00D22B50">
        <w:t xml:space="preserve"> This hierarchical progression demonstrates that the proposed framework consistently elevates forecasting accuracy as it transitions from isolated learning to integrated knowledge migration. In the majority of cases, the Fine-tuning model significantly outperformed the Scratch-training model, validating the stability of the transfer process.</w:t>
      </w:r>
      <w:r w:rsidR="00B37033">
        <w:rPr>
          <w:rFonts w:eastAsiaTheme="minorEastAsia" w:hint="eastAsia"/>
        </w:rPr>
        <w:t xml:space="preserve"> The results as Fig 1:</w:t>
      </w:r>
      <w:r w:rsidR="00B37033">
        <w:rPr>
          <w:rFonts w:eastAsiaTheme="minorEastAsia"/>
        </w:rPr>
        <w:br/>
      </w:r>
      <w:r w:rsidR="00B37033">
        <w:rPr>
          <w:noProof/>
        </w:rPr>
        <w:drawing>
          <wp:inline distT="0" distB="0" distL="0" distR="0" wp14:anchorId="3969656C" wp14:editId="3CF53327">
            <wp:extent cx="5274310" cy="2807652"/>
            <wp:effectExtent l="0" t="0" r="2540" b="0"/>
            <wp:docPr id="181816408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0">
                      <a:extLst>
                        <a:ext uri="{28A0092B-C50C-407E-A947-70E740481C1C}">
                          <a14:useLocalDpi xmlns:a14="http://schemas.microsoft.com/office/drawing/2010/main" val="0"/>
                        </a:ext>
                      </a:extLst>
                    </a:blip>
                    <a:srcRect t="11286"/>
                    <a:stretch>
                      <a:fillRect/>
                    </a:stretch>
                  </pic:blipFill>
                  <pic:spPr bwMode="auto">
                    <a:xfrm>
                      <a:off x="0" y="0"/>
                      <a:ext cx="5274310" cy="2807652"/>
                    </a:xfrm>
                    <a:prstGeom prst="rect">
                      <a:avLst/>
                    </a:prstGeom>
                    <a:noFill/>
                    <a:ln>
                      <a:noFill/>
                    </a:ln>
                    <a:extLst>
                      <a:ext uri="{53640926-AAD7-44D8-BBD7-CCE9431645EC}">
                        <a14:shadowObscured xmlns:a14="http://schemas.microsoft.com/office/drawing/2010/main"/>
                      </a:ext>
                    </a:extLst>
                  </pic:spPr>
                </pic:pic>
              </a:graphicData>
            </a:graphic>
          </wp:inline>
        </w:drawing>
      </w:r>
    </w:p>
    <w:p w14:paraId="533E8A59" w14:textId="709977C3" w:rsidR="00B37033" w:rsidRPr="00B37033" w:rsidRDefault="00B37033" w:rsidP="00B37033">
      <w:pPr>
        <w:pStyle w:val="af5"/>
        <w:spacing w:before="156" w:after="156"/>
        <w:jc w:val="center"/>
        <w:rPr>
          <w:rFonts w:eastAsiaTheme="minorEastAsia"/>
          <w:sz w:val="21"/>
          <w:szCs w:val="20"/>
        </w:rPr>
      </w:pPr>
      <w:r w:rsidRPr="00B37033">
        <w:rPr>
          <w:rFonts w:eastAsiaTheme="minorEastAsia" w:hint="eastAsia"/>
          <w:sz w:val="21"/>
          <w:szCs w:val="20"/>
        </w:rPr>
        <w:t xml:space="preserve">Fig 1. Prediction Error </w:t>
      </w:r>
      <w:r w:rsidRPr="00B37033">
        <w:rPr>
          <w:rFonts w:eastAsiaTheme="minorEastAsia"/>
          <w:sz w:val="21"/>
          <w:szCs w:val="20"/>
        </w:rPr>
        <w:t>Comparison</w:t>
      </w:r>
      <w:r w:rsidRPr="00B37033">
        <w:rPr>
          <w:rFonts w:eastAsiaTheme="minorEastAsia" w:hint="eastAsia"/>
          <w:sz w:val="21"/>
          <w:szCs w:val="20"/>
        </w:rPr>
        <w:t xml:space="preserve"> (MSE)</w:t>
      </w:r>
    </w:p>
    <w:p w14:paraId="0812439D" w14:textId="77777777" w:rsidR="00CE06BF" w:rsidRPr="00D22B50" w:rsidRDefault="00CE06BF" w:rsidP="00CE06BF">
      <w:pPr>
        <w:pStyle w:val="3"/>
        <w:rPr>
          <w:rFonts w:hint="eastAsia"/>
        </w:rPr>
      </w:pPr>
      <w:bookmarkStart w:id="78" w:name="_Toc228913880"/>
      <w:r w:rsidRPr="00D22B50">
        <w:lastRenderedPageBreak/>
        <w:t>6.2.1 Overcoming the Overfitting Threshold</w:t>
      </w:r>
      <w:bookmarkEnd w:id="78"/>
      <w:r w:rsidRPr="00D22B50">
        <w:t xml:space="preserve"> </w:t>
      </w:r>
    </w:p>
    <w:p w14:paraId="3FB88719" w14:textId="47535C93" w:rsidR="00CE06BF" w:rsidRPr="00D22B50" w:rsidRDefault="00CE06BF" w:rsidP="00FD5995">
      <w:pPr>
        <w:pStyle w:val="af5"/>
        <w:spacing w:before="156" w:after="156"/>
      </w:pPr>
      <w:r w:rsidRPr="00D22B50">
        <w:t xml:space="preserve">In cold-start scenarios where the model is constrained by only 10 days of historical data, the </w:t>
      </w:r>
      <w:r w:rsidR="00BD7543">
        <w:t>“</w:t>
      </w:r>
      <w:r w:rsidRPr="00D22B50">
        <w:t>Train from Scratch</w:t>
      </w:r>
      <w:r w:rsidR="00BD7543">
        <w:t>”</w:t>
      </w:r>
      <w:r w:rsidRPr="00D22B50">
        <w:t xml:space="preserve"> approach quickly suffers from catastrophic overfitting. As observed in the training logs, within the initial epochs, a distinct divergence occurs: the training loss drops toward zero while the validation error remains high or fluctuates erratically. This is a classic manifestation of high-variance learning in small-sample environments, where the number of trainable parameters in the neural architecture far exceeds the 480 available observations </w:t>
      </w:r>
      <w:r w:rsidR="001D18D6" w:rsidRPr="00D22B50">
        <w:fldChar w:fldCharType="begin"/>
      </w:r>
      <w:r w:rsidR="001D18D6" w:rsidRPr="00D22B50">
        <w:instrText xml:space="preserve"> ADDIN ZOTERO_ITEM CSL_CITATION {"citationID":"wtVjPM9n","properties":{"formattedCitation":"[8], [9]","plainCitation":"[8], [9]","noteIndex":0},"citationItems":[{"id":512,"uris":["http://zotero.org/users/local/p3tV44H5/items/HCMHHT5F"],"itemData":{"id":512,"type":"article-journal","abstract":"Learning to store information over extended time intervals by recurrent backpropagation takes a very long time, mostly because of insufficient, decaying error backflow. We briefly review Hochreiter's (1991) analysis of this problem, then address it by introducing a novel, efficient, gradient based method called long short-term memory (LSTM). Truncating the gradient where this does not do harm, LSTM can learn to bridge minimal time lags in excess of 1000 discrete-time steps by enforcing constant error flow through constant error carousels within special units. Multiplicative gate units learn to open and close access to the constant error flow. LSTM is local in space and time; its computational complexity per time step and weight is O. 1. Our experiments with artificial data involve local, distributed, real-valued, and noisy pattern representations. In comparisons with real-time recurrent learning, back propagation through time, recurrent cascade correlation, Elman nets, and neural sequence chunking, LSTM leads to many more successful runs, and learns much faster. LSTM also solves complex, artificial long-time-lag tasks that have never been solved by previous recurrent network algorithms.","container-title":"Neural Computation","DOI":"10.1162/neco.1997.9.8.1735","ISSN":"0899-7667","issue":"8","page":"1735-1780","source":"IEEE Xplore","title":"Long Short-Term Memory","volume":"9","author":[{"family":"Hochreiter","given":"Sepp"},{"family":"Schmidhuber","given":"Jürgen"}],"issued":{"date-parts":[["1997",11]]}}},{"id":557,"uris":["http://zotero.org/users/local/p3tV44H5/items/N4D6A4RG"],"itemData":{"id":557,"type":"article-journal","abstract":"As the power system is facing a transition toward a more intelligent, flexible, and interactive system with higher penetration of renewable energy generation, load forecasting, especially short-term load forecasting for individual electric customers plays an increasingly essential role in the future grid planning and operation. Other than aggregated residential load in a large scale, forecasting an electric load of a single energy user is fairly challenging due to the high volatility and uncertainty involved. In this paper, we propose a long short-term memory (LSTM) recurrent neural network-based framework, which is the latest and one of the most popular techniques of deep learning, to tackle this tricky issue. The proposed framework is tested on a publicly available set of real residential smart meter data, of which the performance is comprehensively compared to various benchmarks including the state-of-the-arts in the field of load forecasting. As a result, the proposed LSTM approach outperforms the other listed rival algorithms in the task of short-term load forecasting for individual residential households.","container-title":"IEEE Transactions on Smart Grid","DOI":"10.1109/TSG.2017.2753802","ISSN":"1949-3061","issue":"1","page":"841-851","source":"IEEE Xplore","title":"Short-Term Residential Load Forecasting Based on LSTM Recurrent Neural Network","volume":"10","author":[{"family":"Kong","given":"Weicong"},{"family":"Dong","given":"Zhao Yang"},{"family":"Jia","given":"Youwei"},{"family":"Hill","given":"David J."},{"family":"Xu","given":"Yan"},{"family":"Zhang","given":"Yuan"}],"issued":{"date-parts":[["2019",1]]}}}],"schema":"https://github.com/citation-style-language/schema/raw/master/csl-citation.json"} </w:instrText>
      </w:r>
      <w:r w:rsidR="001D18D6" w:rsidRPr="00D22B50">
        <w:fldChar w:fldCharType="separate"/>
      </w:r>
      <w:r w:rsidR="001D18D6" w:rsidRPr="00D22B50">
        <w:rPr>
          <w:rFonts w:cs="Times New Roman"/>
        </w:rPr>
        <w:t>[8], [9]</w:t>
      </w:r>
      <w:r w:rsidR="001D18D6" w:rsidRPr="00D22B50">
        <w:fldChar w:fldCharType="end"/>
      </w:r>
      <w:r w:rsidRPr="00D22B50">
        <w:t>.</w:t>
      </w:r>
    </w:p>
    <w:p w14:paraId="2523923D" w14:textId="2BB0D977" w:rsidR="00CE06BF" w:rsidRPr="00D22B50" w:rsidRDefault="00CE06BF" w:rsidP="00FD5995">
      <w:pPr>
        <w:pStyle w:val="af5"/>
        <w:spacing w:before="156" w:after="156"/>
      </w:pPr>
      <w:r w:rsidRPr="00D22B50">
        <w:t xml:space="preserve">Under these conditions, the network effectively </w:t>
      </w:r>
      <w:r w:rsidR="00BD7543">
        <w:t>“</w:t>
      </w:r>
      <w:r w:rsidRPr="00D22B50">
        <w:t>memorizes</w:t>
      </w:r>
      <w:r w:rsidR="00BD7543">
        <w:t>”</w:t>
      </w:r>
      <w:r w:rsidRPr="00D22B50">
        <w:t xml:space="preserve"> specific stochastic noise and temporal anomalies</w:t>
      </w:r>
      <w:r w:rsidR="00B37033">
        <w:rPr>
          <w:rFonts w:eastAsiaTheme="minorEastAsia" w:hint="eastAsia"/>
        </w:rPr>
        <w:t xml:space="preserve">, </w:t>
      </w:r>
      <w:r w:rsidRPr="00D22B50">
        <w:t>such as an unusual late-night appliance activation</w:t>
      </w:r>
      <w:r w:rsidR="00B37033">
        <w:rPr>
          <w:rFonts w:eastAsiaTheme="minorEastAsia" w:hint="eastAsia"/>
        </w:rPr>
        <w:t xml:space="preserve">, </w:t>
      </w:r>
      <w:r w:rsidRPr="00D22B50">
        <w:t xml:space="preserve">rather than identifying the true underlying consumption distribution. In contrast, the Transfer Learning models (both Direct and Fine-tuned) begin with a much lower error floor. By utilizing pre-trained weights, the model is anchored by generalized temporal representations learned from the 100-household source domain. In this capacity, the pre-trained layers act as a powerful structural regularizer, preventing the network from collapsing into the noise of the sparse local dataset </w:t>
      </w:r>
      <w:r w:rsidR="001D18D6" w:rsidRPr="00D22B50">
        <w:fldChar w:fldCharType="begin"/>
      </w:r>
      <w:r w:rsidR="001D18D6" w:rsidRPr="00D22B50">
        <w:instrText xml:space="preserve"> ADDIN ZOTERO_ITEM CSL_CITATION {"citationID":"hVbXwmSj","properties":{"formattedCitation":"[11]","plainCitation":"[11]","noteIndex":0},"citationItems":[{"id":595,"uris":["http://zotero.org/users/local/p3tV44H5/items/RYGGA6L8"],"itemData":{"id":595,"type":"article-journal","abstract":"While the general belief is that the best way to predict electric load is through individualized models, the existing studies have focused on one-for-all models because the individual models are difficult to train and require a significantly larger data accumulation time per individual. In recent years, applying deep learning for forecasting electric load has become an important research topic but still one-for-all has been the main approach. In this work, we adopt transfer learning and meta learning that can be smoothly integrated into deep neural networks, and show how a high-performance individualized model can be formed using the individual's data collected over just several days. This is made possible by extracting the common patterns of many individuals using a sufficiently large dataset, and then customizing each individual model using the specific individual's small dataset. The proposed methods are evaluated over residential and non-residential datasets. When compared to the conventional methods, the meta learning model shows 7.84% and 15.07% RMSE improvements over the residential and non-residential datasets, respectively. Our results suggest that the individualized models can be used as effective tools for many short-term load forecasting tasks.","container-title":"IEEE Access","DOI":"10.1109/ACCESS.2021.3053317","ISSN":"2169-3536","page":"15413-15425","source":"IEEE Xplore","title":"Individualized Short-Term Electric Load Forecasting With Deep Neural Network Based Transfer Learning and Meta Learning","volume":"9","author":[{"family":"Lee","given":"Eunjung"},{"family":"Rhee","given":"Wonjong"}],"issued":{"date-parts":[["2021"]]}}}],"schema":"https://github.com/citation-style-language/schema/raw/master/csl-citation.json"} </w:instrText>
      </w:r>
      <w:r w:rsidR="001D18D6" w:rsidRPr="00D22B50">
        <w:fldChar w:fldCharType="separate"/>
      </w:r>
      <w:r w:rsidR="001D18D6" w:rsidRPr="00D22B50">
        <w:rPr>
          <w:rFonts w:cs="Times New Roman"/>
        </w:rPr>
        <w:t>[11]</w:t>
      </w:r>
      <w:r w:rsidR="001D18D6" w:rsidRPr="00D22B50">
        <w:fldChar w:fldCharType="end"/>
      </w:r>
      <w:r w:rsidRPr="00D22B50">
        <w:t xml:space="preserve">. The resulting reduction in MSE from 0.7080 (Scratch) to the transfer-based levels proves that these </w:t>
      </w:r>
      <w:r w:rsidR="00BD7543">
        <w:t>“</w:t>
      </w:r>
      <w:r w:rsidRPr="00D22B50">
        <w:t>temporal anchors</w:t>
      </w:r>
      <w:r w:rsidR="00BD7543">
        <w:t>”</w:t>
      </w:r>
      <w:r w:rsidRPr="00D22B50">
        <w:t xml:space="preserve"> are essential for maintaining predictive grounding when local history is insufficient.</w:t>
      </w:r>
    </w:p>
    <w:p w14:paraId="60AE04ED" w14:textId="77777777" w:rsidR="00CE06BF" w:rsidRPr="00D22B50" w:rsidRDefault="00CE06BF" w:rsidP="00CE06BF">
      <w:pPr>
        <w:pStyle w:val="3"/>
        <w:rPr>
          <w:rFonts w:hint="eastAsia"/>
        </w:rPr>
      </w:pPr>
      <w:bookmarkStart w:id="79" w:name="_Toc228913881"/>
      <w:r w:rsidRPr="00D22B50">
        <w:t>6.2.2 The Efficacy of Localized Adaptation</w:t>
      </w:r>
      <w:bookmarkEnd w:id="79"/>
      <w:r w:rsidRPr="00D22B50">
        <w:t xml:space="preserve"> </w:t>
      </w:r>
    </w:p>
    <w:p w14:paraId="0EFFDEFA" w14:textId="2EBA7F1A" w:rsidR="00CE06BF" w:rsidRPr="00D22B50" w:rsidRDefault="00CE06BF" w:rsidP="00FD5995">
      <w:pPr>
        <w:pStyle w:val="af5"/>
        <w:spacing w:before="156" w:after="156"/>
      </w:pPr>
      <w:r w:rsidRPr="00D22B50">
        <w:t xml:space="preserve">The transition from Zero-shot Direct Transfer to Adaptive Fine-tuning represents the critical process of </w:t>
      </w:r>
      <w:r w:rsidR="00BD7543">
        <w:t>“</w:t>
      </w:r>
      <w:r w:rsidRPr="00D22B50">
        <w:t>knowledge localization.</w:t>
      </w:r>
      <w:r w:rsidR="00BD7543">
        <w:t>”</w:t>
      </w:r>
      <w:r w:rsidRPr="00D22B50">
        <w:t xml:space="preserve"> While the source model provides a robust </w:t>
      </w:r>
      <w:r w:rsidR="00BD7543">
        <w:t>“</w:t>
      </w:r>
      <w:r w:rsidRPr="00D22B50">
        <w:t>universal</w:t>
      </w:r>
      <w:r w:rsidR="00BD7543">
        <w:t>”</w:t>
      </w:r>
      <w:r w:rsidRPr="00D22B50">
        <w:t xml:space="preserve"> foundation, every household possesses a unique </w:t>
      </w:r>
      <w:r w:rsidR="00BD7543">
        <w:t>“</w:t>
      </w:r>
      <w:r w:rsidRPr="00D22B50">
        <w:t>behavioral fingerprint</w:t>
      </w:r>
      <w:r w:rsidR="00BD7543">
        <w:t>”</w:t>
      </w:r>
      <w:r w:rsidRPr="00D22B50">
        <w:t xml:space="preserve">—such as specific thermal inertia preferences or distinct circadian shifts in energy usage </w:t>
      </w:r>
      <w:r w:rsidR="001D18D6" w:rsidRPr="00D22B50">
        <w:fldChar w:fldCharType="begin"/>
      </w:r>
      <w:r w:rsidR="001D18D6" w:rsidRPr="00D22B50">
        <w:instrText xml:space="preserve"> ADDIN ZOTERO_ITEM CSL_CITATION {"citationID":"S5eFwxct","properties":{"formattedCitation":"[25]","plainCitation":"[25]","noteIndex":0},"citationItems":[{"id":592,"uris":["http://zotero.org/users/local/p3tV44H5/items/T8SI9SBW"],"itemData":{"id":592,"type":"article-journal","abstract":"Load forecasting problems have traditionally been addressed using various statistical methods, among which autoregressive integrated moving average with exogenous inputs (ARIMAX) has gained the most attention as a classical time-series modeling method. Recently, the booming development of deep learning techniques make them promising alternatives to conventional data-driven approaches. While deep learning offers exceptional capability in handling complex non-linear relationships, model complexity and computation efficiency are of concern. A few papers have explored the possibility of applying deep neural networks to forecast time-series load data but only limited to system-level or single-step building-level forecasting. This study, however, aims at filling in the knowledge gap of deep learning-based techniques for day-ahead multi-step load forecasting in commercial buildings. Two classical deep neural network models, namely recurrent neural network (RNN) and convolutional neural network (CNN), have been proposed and formulated under both recursive and direct multi-step manners. Their performances are compared with the Seasonal ARIMAX model with regard to accuracy, computational efficiency, generalizability and robustness. Among all of the investigated deep learning techniques, the gated 24-h CNN model, performed in a direct multi-step manner, proves itself to have the best performance, improving the forecasting accuracy by 22.6% compared to that of the seasonal ARIMAX.","container-title":"Applied Energy","DOI":"10.1016/j.apenergy.2018.12.042","ISSN":"0306-2619","journalAbbreviation":"Applied Energy","page":"1078-1088","source":"ScienceDirect","title":"Day-ahead building-level load forecasts using deep learning vs. traditional time-series techniques","volume":"236","author":[{"family":"Cai","given":"Mengmeng"},{"family":"Pipattanasomporn","given":"Manisa"},{"family":"Rahman","given":"Saifur"}],"issued":{"date-parts":[["2019",2,15]]}}}],"schema":"https://github.com/citation-style-language/schema/raw/master/csl-citation.json"} </w:instrText>
      </w:r>
      <w:r w:rsidR="001D18D6" w:rsidRPr="00D22B50">
        <w:fldChar w:fldCharType="separate"/>
      </w:r>
      <w:r w:rsidR="001D18D6" w:rsidRPr="00D22B50">
        <w:rPr>
          <w:rFonts w:cs="Times New Roman"/>
        </w:rPr>
        <w:t>[25]</w:t>
      </w:r>
      <w:r w:rsidR="001D18D6" w:rsidRPr="00D22B50">
        <w:fldChar w:fldCharType="end"/>
      </w:r>
      <w:r w:rsidRPr="00D22B50">
        <w:t>.</w:t>
      </w:r>
    </w:p>
    <w:p w14:paraId="409A8B49" w14:textId="2C0C54D3" w:rsidR="00CE06BF" w:rsidRDefault="00CE06BF" w:rsidP="00BD23C6">
      <w:pPr>
        <w:pStyle w:val="af5"/>
        <w:spacing w:before="156" w:after="156"/>
        <w:rPr>
          <w:rFonts w:eastAsiaTheme="minorEastAsia"/>
        </w:rPr>
      </w:pPr>
      <w:r w:rsidRPr="00D22B50">
        <w:t xml:space="preserve">In the Direct Transfer strategy, the model assumes the target household perfectly aligns with the source domain average. However, the Adaptive Fine-tuning strategy allows for a localized transformation of the features extracted by the backbone. By selectively retraining only the final linear projection layer (the </w:t>
      </w:r>
      <w:r w:rsidR="00BD7543">
        <w:t>“</w:t>
      </w:r>
      <w:r w:rsidRPr="00D22B50">
        <w:t>regression head</w:t>
      </w:r>
      <w:r w:rsidR="00BD7543">
        <w:t>”</w:t>
      </w:r>
      <w:r w:rsidRPr="00D22B50">
        <w:t xml:space="preserve">), the model adjusts its sensitivity to match the specific nuances of the new participant. This localized calibration effectively bridges the gap between universal energy physics and individual household stochasticity, resulting in a more stabilized error distribution across the diverse 30-household cohort </w:t>
      </w:r>
      <w:r w:rsidR="001D18D6" w:rsidRPr="00D22B50">
        <w:fldChar w:fldCharType="begin"/>
      </w:r>
      <w:r w:rsidR="001D18D6" w:rsidRPr="00D22B50">
        <w:instrText xml:space="preserve"> ADDIN ZOTERO_ITEM CSL_CITATION {"citationID":"9Tgbt826","properties":{"formattedCitation":"[25]","plainCitation":"[25]","noteIndex":0},"citationItems":[{"id":592,"uris":["http://zotero.org/users/local/p3tV44H5/items/T8SI9SBW"],"itemData":{"id":592,"type":"article-journal","abstract":"Load forecasting problems have traditionally been addressed using various statistical methods, among which autoregressive integrated moving average with exogenous inputs (ARIMAX) has gained the most attention as a classical time-series modeling method. Recently, the booming development of deep learning techniques make them promising alternatives to conventional data-driven approaches. While deep learning offers exceptional capability in handling complex non-linear relationships, model complexity and computation efficiency are of concern. A few papers have explored the possibility of applying deep neural networks to forecast time-series load data but only limited to system-level or single-step building-level forecasting. This study, however, aims at filling in the knowledge gap of deep learning-based techniques for day-ahead multi-step load forecasting in commercial buildings. Two classical deep neural network models, namely recurrent neural network (RNN) and convolutional neural network (CNN), have been proposed and formulated under both recursive and direct multi-step manners. Their performances are compared with the Seasonal ARIMAX model with regard to accuracy, computational efficiency, generalizability and robustness. Among all of the investigated deep learning techniques, the gated 24-h CNN model, performed in a direct multi-step manner, proves itself to have the best performance, improving the forecasting accuracy by 22.6% compared to that of the seasonal ARIMAX.","container-title":"Applied Energy","DOI":"10.1016/j.apenergy.2018.12.042","ISSN":"0306-2619","journalAbbreviation":"Applied Energy","page":"1078-1088","source":"ScienceDirect","title":"Day-ahead building-level load forecasts using deep learning vs. traditional time-series techniques","volume":"236","author":[{"family":"Cai","given":"Mengmeng"},{"family":"Pipattanasomporn","given":"Manisa"},{"family":"Rahman","given":"Saifur"}],"issued":{"date-parts":[["2019",2,15]]}}}],"schema":"https://github.com/citation-style-language/schema/raw/master/csl-citation.json"} </w:instrText>
      </w:r>
      <w:r w:rsidR="001D18D6" w:rsidRPr="00D22B50">
        <w:fldChar w:fldCharType="separate"/>
      </w:r>
      <w:r w:rsidR="001D18D6" w:rsidRPr="00D22B50">
        <w:rPr>
          <w:rFonts w:cs="Times New Roman"/>
        </w:rPr>
        <w:t>[25]</w:t>
      </w:r>
      <w:r w:rsidR="001D18D6" w:rsidRPr="00D22B50">
        <w:fldChar w:fldCharType="end"/>
      </w:r>
      <w:r w:rsidRPr="00D22B50">
        <w:t>. For grid operators, this ensures that the forecasting system is not only accurate on average but also resilient to the idiosyncratic deviations of specific residential nodes.</w:t>
      </w:r>
    </w:p>
    <w:p w14:paraId="56FFAB04" w14:textId="6F34ED30" w:rsidR="00675009" w:rsidRDefault="00675009" w:rsidP="00BD23C6">
      <w:pPr>
        <w:pStyle w:val="af5"/>
        <w:spacing w:before="156" w:after="156"/>
        <w:rPr>
          <w:rFonts w:eastAsiaTheme="minorEastAsia"/>
        </w:rPr>
      </w:pPr>
      <w:r w:rsidRPr="00675009">
        <w:rPr>
          <w:rFonts w:eastAsiaTheme="minorEastAsia" w:hint="eastAsia"/>
        </w:rPr>
        <w:t xml:space="preserve">The experimental results of </w:t>
      </w:r>
      <w:r w:rsidRPr="00D22B50">
        <w:t>Zero-shot</w:t>
      </w:r>
      <w:r w:rsidRPr="00675009">
        <w:rPr>
          <w:rFonts w:eastAsiaTheme="minorEastAsia" w:hint="eastAsia"/>
        </w:rPr>
        <w:t xml:space="preserve"> are shown in Figure 2</w:t>
      </w:r>
      <w:r>
        <w:rPr>
          <w:rFonts w:eastAsiaTheme="minorEastAsia" w:hint="eastAsia"/>
        </w:rPr>
        <w:t>:</w:t>
      </w:r>
    </w:p>
    <w:p w14:paraId="25E3D75D" w14:textId="70B46A2F" w:rsidR="00675009" w:rsidRDefault="00675009" w:rsidP="00BD23C6">
      <w:pPr>
        <w:pStyle w:val="af5"/>
        <w:spacing w:before="156" w:after="156"/>
        <w:rPr>
          <w:rFonts w:eastAsiaTheme="minorEastAsia"/>
        </w:rPr>
      </w:pPr>
      <w:r>
        <w:rPr>
          <w:noProof/>
        </w:rPr>
        <w:lastRenderedPageBreak/>
        <w:drawing>
          <wp:inline distT="0" distB="0" distL="0" distR="0" wp14:anchorId="17CDEDCE" wp14:editId="57D21F07">
            <wp:extent cx="5274310" cy="2637155"/>
            <wp:effectExtent l="0" t="0" r="2540" b="0"/>
            <wp:docPr id="270354088"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74310" cy="2637155"/>
                    </a:xfrm>
                    <a:prstGeom prst="rect">
                      <a:avLst/>
                    </a:prstGeom>
                    <a:noFill/>
                    <a:ln>
                      <a:noFill/>
                    </a:ln>
                  </pic:spPr>
                </pic:pic>
              </a:graphicData>
            </a:graphic>
          </wp:inline>
        </w:drawing>
      </w:r>
    </w:p>
    <w:p w14:paraId="1F8EA571" w14:textId="5304533B" w:rsidR="00675009" w:rsidRPr="00675009" w:rsidRDefault="00675009" w:rsidP="00675009">
      <w:pPr>
        <w:pStyle w:val="af5"/>
        <w:spacing w:before="156" w:after="156"/>
        <w:jc w:val="center"/>
        <w:rPr>
          <w:rFonts w:eastAsiaTheme="minorEastAsia"/>
          <w:sz w:val="21"/>
          <w:szCs w:val="20"/>
        </w:rPr>
      </w:pPr>
      <w:r w:rsidRPr="00675009">
        <w:rPr>
          <w:rFonts w:eastAsiaTheme="minorEastAsia" w:hint="eastAsia"/>
          <w:sz w:val="21"/>
          <w:szCs w:val="20"/>
        </w:rPr>
        <w:t xml:space="preserve">Fig 2: General knowledge, no </w:t>
      </w:r>
      <w:r w:rsidRPr="00675009">
        <w:rPr>
          <w:rFonts w:eastAsiaTheme="minorEastAsia"/>
          <w:sz w:val="21"/>
          <w:szCs w:val="20"/>
        </w:rPr>
        <w:t>adaptation</w:t>
      </w:r>
    </w:p>
    <w:p w14:paraId="77D67C7E" w14:textId="3022EE94" w:rsidR="00675009" w:rsidRDefault="00675009" w:rsidP="00675009">
      <w:pPr>
        <w:pStyle w:val="af5"/>
        <w:spacing w:before="156" w:after="156"/>
        <w:jc w:val="left"/>
        <w:rPr>
          <w:rFonts w:eastAsiaTheme="minorEastAsia"/>
        </w:rPr>
      </w:pPr>
      <w:r w:rsidRPr="00675009">
        <w:rPr>
          <w:rFonts w:eastAsiaTheme="minorEastAsia" w:hint="eastAsia"/>
        </w:rPr>
        <w:t xml:space="preserve">The experimental results of </w:t>
      </w:r>
      <w:r>
        <w:rPr>
          <w:rFonts w:eastAsiaTheme="minorEastAsia" w:hint="eastAsia"/>
        </w:rPr>
        <w:t>Fine-Tuning</w:t>
      </w:r>
      <w:r w:rsidRPr="00675009">
        <w:rPr>
          <w:rFonts w:eastAsiaTheme="minorEastAsia" w:hint="eastAsia"/>
        </w:rPr>
        <w:t xml:space="preserve"> are shown in Figure </w:t>
      </w:r>
      <w:r>
        <w:rPr>
          <w:rFonts w:eastAsiaTheme="minorEastAsia" w:hint="eastAsia"/>
        </w:rPr>
        <w:t>3:</w:t>
      </w:r>
    </w:p>
    <w:p w14:paraId="512CF36E" w14:textId="18AC9F54" w:rsidR="00675009" w:rsidRDefault="00675009" w:rsidP="00675009">
      <w:pPr>
        <w:pStyle w:val="af5"/>
        <w:spacing w:before="156" w:after="156"/>
        <w:jc w:val="left"/>
        <w:rPr>
          <w:rFonts w:eastAsiaTheme="minorEastAsia"/>
        </w:rPr>
      </w:pPr>
      <w:r>
        <w:rPr>
          <w:noProof/>
        </w:rPr>
        <w:drawing>
          <wp:inline distT="0" distB="0" distL="0" distR="0" wp14:anchorId="5C4E3460" wp14:editId="32EB9849">
            <wp:extent cx="5274310" cy="2637155"/>
            <wp:effectExtent l="0" t="0" r="2540" b="0"/>
            <wp:docPr id="126036257"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74310" cy="2637155"/>
                    </a:xfrm>
                    <a:prstGeom prst="rect">
                      <a:avLst/>
                    </a:prstGeom>
                    <a:noFill/>
                    <a:ln>
                      <a:noFill/>
                    </a:ln>
                  </pic:spPr>
                </pic:pic>
              </a:graphicData>
            </a:graphic>
          </wp:inline>
        </w:drawing>
      </w:r>
    </w:p>
    <w:p w14:paraId="4BD96182" w14:textId="08608073" w:rsidR="00675009" w:rsidRPr="00675009" w:rsidRDefault="00675009" w:rsidP="00675009">
      <w:pPr>
        <w:pStyle w:val="af5"/>
        <w:spacing w:before="156" w:after="156"/>
        <w:jc w:val="center"/>
        <w:rPr>
          <w:rFonts w:eastAsiaTheme="minorEastAsia"/>
          <w:sz w:val="21"/>
          <w:szCs w:val="20"/>
        </w:rPr>
      </w:pPr>
      <w:r w:rsidRPr="00675009">
        <w:rPr>
          <w:rFonts w:eastAsiaTheme="minorEastAsia" w:hint="eastAsia"/>
          <w:sz w:val="21"/>
          <w:szCs w:val="20"/>
        </w:rPr>
        <w:t>Fig 3. After Fine-Tuning</w:t>
      </w:r>
    </w:p>
    <w:p w14:paraId="03DE5893" w14:textId="77777777" w:rsidR="00CE06BF" w:rsidRPr="00D22B50" w:rsidRDefault="00CE06BF" w:rsidP="00CE06BF">
      <w:pPr>
        <w:pStyle w:val="2"/>
        <w:rPr>
          <w:rFonts w:hint="eastAsia"/>
        </w:rPr>
      </w:pPr>
      <w:bookmarkStart w:id="80" w:name="_Toc228913882"/>
      <w:r w:rsidRPr="00D22B50">
        <w:t>6.3 Empirical Evidence of Negative Transfer</w:t>
      </w:r>
      <w:bookmarkEnd w:id="80"/>
      <w:r w:rsidRPr="00D22B50">
        <w:t xml:space="preserve"> </w:t>
      </w:r>
    </w:p>
    <w:p w14:paraId="03F8A5D8" w14:textId="524CFCEA" w:rsidR="00CE06BF" w:rsidRPr="00D22B50" w:rsidRDefault="00CE06BF" w:rsidP="00FD5995">
      <w:pPr>
        <w:pStyle w:val="af5"/>
        <w:spacing w:before="156" w:after="156"/>
      </w:pPr>
      <w:r w:rsidRPr="00D22B50">
        <w:t xml:space="preserve">One of the most critical findings of this research pertains to the inherent risks associated with improper source domain initialization and the subsequent phenomenon of negative transfer. While the fundamental promise of transfer learning lies in the migration of helpful knowledge, the empirical reality reveals that the quality of the pre-trained weights is the primary determinant of success. </w:t>
      </w:r>
      <w:r w:rsidR="000F2983" w:rsidRPr="00D22B50">
        <w:rPr>
          <w:rFonts w:hint="eastAsia"/>
        </w:rPr>
        <w:t>As highlighted in recent transferability studies, negative transfer often occurs when the task-specific features of the source domain distort the target</w:t>
      </w:r>
      <w:r w:rsidR="00BD7543">
        <w:t>’</w:t>
      </w:r>
      <w:r w:rsidR="000F2983" w:rsidRPr="00D22B50">
        <w:rPr>
          <w:rFonts w:hint="eastAsia"/>
        </w:rPr>
        <w:t xml:space="preserve">s latent representation </w:t>
      </w:r>
      <w:r w:rsidR="001D18D6" w:rsidRPr="00D22B50">
        <w:fldChar w:fldCharType="begin"/>
      </w:r>
      <w:r w:rsidR="001D18D6" w:rsidRPr="00D22B50">
        <w:instrText xml:space="preserve"> ADDIN ZOTERO_ITEM CSL_CITATION {"citationID":"oHQzZhuE","properties":{"formattedCitation":"[38]","plainCitation":"[38]","noteIndex":0},"citationItems":[{"id":653,"uris":["http://zotero.org/users/local/p3tV44H5/items/3Z5DW5VX"],"itemData":{"id":653,"type":"article-journal","abstract":"Domain adversarial learning aligns the feature distributions across the source and target domains in a two-player minimax game. Existing domain adversarial networks generally assume identical label space across diﬀerent domains. In the presence of big data, there is strong motivation of transferring deep models from existing big domains to unknown small domains. This paper introduces partial domain adaptation as a new domain adaptation scenario, which relaxes the fully shared label space assumption to that the source label space subsumes the target label space. Previous methods typically match the whole source domain to the target domain, which are vulnerable to negative transfer for the partial domain adaptation problem due to the large mismatch between label spaces. We present Partial Adversarial Domain Adaptation (PADA), which simultaneously alleviates negative transfer by down-weighing the data of outlier source classes for training both source classiﬁer and domain adversary, and promotes positive transfer by matching the feature distributions in the shared label space. Experiments show that PADA exceeds state-ofthe-art results for partial domain adaptation tasks on several datasets.","language":"en","source":"Zotero","title":"Partial Adversarial Domain Adaptation","author":[{"family":"Cao","given":"Zhangjie"},{"family":"Ma","given":"Lijia"},{"family":"Long","given":"Mingsheng"},{"family":"Wang","given":"Jianmin"}]}}],"schema":"https://github.com/citation-style-language/schema/raw/master/csl-citation.json"} </w:instrText>
      </w:r>
      <w:r w:rsidR="001D18D6" w:rsidRPr="00D22B50">
        <w:fldChar w:fldCharType="separate"/>
      </w:r>
      <w:r w:rsidR="001D18D6" w:rsidRPr="00D22B50">
        <w:rPr>
          <w:rFonts w:cs="Times New Roman"/>
        </w:rPr>
        <w:t>[38]</w:t>
      </w:r>
      <w:r w:rsidR="001D18D6" w:rsidRPr="00D22B50">
        <w:fldChar w:fldCharType="end"/>
      </w:r>
      <w:r w:rsidR="000F2983" w:rsidRPr="00D22B50">
        <w:rPr>
          <w:rFonts w:hint="eastAsia"/>
        </w:rPr>
        <w:t>.</w:t>
      </w:r>
      <w:r w:rsidR="000F2983" w:rsidRPr="00D22B50">
        <w:rPr>
          <w:rFonts w:eastAsiaTheme="minorEastAsia" w:hint="eastAsia"/>
        </w:rPr>
        <w:t xml:space="preserve"> </w:t>
      </w:r>
      <w:r w:rsidRPr="00D22B50">
        <w:t xml:space="preserve">In the preliminary stages of this experiment, </w:t>
      </w:r>
      <w:r w:rsidR="002657F3">
        <w:t xml:space="preserve">I </w:t>
      </w:r>
      <w:r w:rsidRPr="00D22B50">
        <w:t xml:space="preserve">developed an initial model, designated as Model 1, using traditional </w:t>
      </w:r>
      <w:r w:rsidRPr="00D22B50">
        <w:lastRenderedPageBreak/>
        <w:t>manual hyperparameter heuristics commonly found in existing literature.</w:t>
      </w:r>
    </w:p>
    <w:p w14:paraId="74FF09E9" w14:textId="77777777" w:rsidR="00CE06BF" w:rsidRPr="00D22B50" w:rsidRDefault="00CE06BF" w:rsidP="00CE06BF">
      <w:pPr>
        <w:pStyle w:val="3"/>
        <w:rPr>
          <w:rFonts w:hint="eastAsia"/>
        </w:rPr>
      </w:pPr>
      <w:bookmarkStart w:id="81" w:name="_Toc228913883"/>
      <w:r w:rsidRPr="00D22B50">
        <w:t>6.3.1 The Failure of Model 1 and Informative Bias</w:t>
      </w:r>
      <w:bookmarkEnd w:id="81"/>
      <w:r w:rsidRPr="00D22B50">
        <w:t xml:space="preserve"> </w:t>
      </w:r>
    </w:p>
    <w:p w14:paraId="772C238E" w14:textId="27E535DD" w:rsidR="00CE06BF" w:rsidRPr="00D22B50" w:rsidRDefault="00CE06BF" w:rsidP="00FD5995">
      <w:pPr>
        <w:pStyle w:val="af5"/>
        <w:spacing w:before="156" w:after="156"/>
      </w:pPr>
      <w:r w:rsidRPr="00D22B50">
        <w:t>Contrary to initial expectations, Model 1 exhibited severe and measurable negative transfer across the 30 target households. In a transfer learning context, negative transfer occurs when source domain knowledge acts as a distractor rather than a facilitator for the target task. When the weights of Model 1 were migrated, the average MSE reached approximately 0.81, which was significantly worse than the 0.7080 MSE achieved by the scratch-training strategy. This represented a substantial performance penalty, indicating that the unoptimized pre-trained weights hindered the model</w:t>
      </w:r>
      <w:r w:rsidR="00BD7543">
        <w:t>’</w:t>
      </w:r>
      <w:r w:rsidRPr="00D22B50">
        <w:t>s ability to adapt to new users.</w:t>
      </w:r>
    </w:p>
    <w:p w14:paraId="735CFEC9" w14:textId="60791727" w:rsidR="00CE06BF" w:rsidRDefault="00CE06BF" w:rsidP="00FD5995">
      <w:pPr>
        <w:pStyle w:val="af5"/>
        <w:spacing w:before="156" w:after="156"/>
        <w:rPr>
          <w:rFonts w:eastAsiaTheme="minorEastAsia"/>
        </w:rPr>
      </w:pPr>
      <w:r w:rsidRPr="00D22B50">
        <w:t xml:space="preserve">A post-hoc analysis suggests that Model 1 suffered from </w:t>
      </w:r>
      <w:r w:rsidR="00BD7543">
        <w:t>“</w:t>
      </w:r>
      <w:r w:rsidRPr="00D22B50">
        <w:t>informative bias.</w:t>
      </w:r>
      <w:r w:rsidR="00BD7543">
        <w:t>”</w:t>
      </w:r>
      <w:r w:rsidRPr="00D22B50">
        <w:t xml:space="preserve"> Because the manual heuristics used to tune Model 1 were focused solely on minimizing source domain training loss, the network</w:t>
      </w:r>
      <w:r w:rsidR="00BD7543">
        <w:t>’</w:t>
      </w:r>
      <w:r w:rsidRPr="00D22B50">
        <w:t>s internal weights became over-specialized to the idiosyncratic noise of the 100 source households. Instead of learning universal temporal invariants, Model 1 memorized specific behavioral anomalies. When these biased weights were transferred to a new target household, they imposed an incorrect representational structure that the sparse 10-day local data could not overcome. This underscores a vital insight: without proper architectural alignment, knowledge migration can actively degrade forecasting reliability.</w:t>
      </w:r>
    </w:p>
    <w:p w14:paraId="373F3319" w14:textId="05B4BB6A" w:rsidR="00675009" w:rsidRDefault="00675009" w:rsidP="00FD5995">
      <w:pPr>
        <w:pStyle w:val="af5"/>
        <w:spacing w:before="156" w:after="156"/>
        <w:rPr>
          <w:rFonts w:eastAsiaTheme="minorEastAsia"/>
        </w:rPr>
      </w:pPr>
      <w:r w:rsidRPr="00675009">
        <w:rPr>
          <w:rFonts w:eastAsiaTheme="minorEastAsia" w:hint="eastAsia"/>
        </w:rPr>
        <w:t>The prediction curve of Model 1 is shown in Figure 4</w:t>
      </w:r>
      <w:r>
        <w:rPr>
          <w:rFonts w:eastAsiaTheme="minorEastAsia" w:hint="eastAsia"/>
        </w:rPr>
        <w:t>:</w:t>
      </w:r>
    </w:p>
    <w:p w14:paraId="1F1BDB11" w14:textId="092B4BC0" w:rsidR="00675009" w:rsidRDefault="00675009" w:rsidP="00FD5995">
      <w:pPr>
        <w:pStyle w:val="af5"/>
        <w:spacing w:before="156" w:after="156"/>
        <w:rPr>
          <w:rFonts w:eastAsiaTheme="minorEastAsia"/>
        </w:rPr>
      </w:pPr>
      <w:r>
        <w:rPr>
          <w:noProof/>
        </w:rPr>
        <w:drawing>
          <wp:inline distT="0" distB="0" distL="0" distR="0" wp14:anchorId="07EE8F6F" wp14:editId="1AAD0AE8">
            <wp:extent cx="5274310" cy="2637155"/>
            <wp:effectExtent l="0" t="0" r="2540" b="0"/>
            <wp:docPr id="2016318526"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74310" cy="2637155"/>
                    </a:xfrm>
                    <a:prstGeom prst="rect">
                      <a:avLst/>
                    </a:prstGeom>
                    <a:noFill/>
                    <a:ln>
                      <a:noFill/>
                    </a:ln>
                  </pic:spPr>
                </pic:pic>
              </a:graphicData>
            </a:graphic>
          </wp:inline>
        </w:drawing>
      </w:r>
    </w:p>
    <w:p w14:paraId="5530FEB4" w14:textId="53A816FB" w:rsidR="00675009" w:rsidRDefault="00675009" w:rsidP="00675009">
      <w:pPr>
        <w:pStyle w:val="af5"/>
        <w:spacing w:before="156" w:after="156"/>
        <w:jc w:val="center"/>
        <w:rPr>
          <w:rFonts w:eastAsiaTheme="minorEastAsia"/>
          <w:sz w:val="21"/>
          <w:szCs w:val="20"/>
        </w:rPr>
      </w:pPr>
      <w:r w:rsidRPr="00675009">
        <w:rPr>
          <w:rFonts w:eastAsiaTheme="minorEastAsia" w:hint="eastAsia"/>
          <w:sz w:val="21"/>
          <w:szCs w:val="20"/>
        </w:rPr>
        <w:t>Fig 4. Model 1 before Optimization</w:t>
      </w:r>
    </w:p>
    <w:p w14:paraId="2D35827B" w14:textId="2BCCE333" w:rsidR="00675009" w:rsidRDefault="00675009" w:rsidP="00675009">
      <w:pPr>
        <w:pStyle w:val="af5"/>
        <w:spacing w:before="156" w:after="156"/>
        <w:jc w:val="left"/>
        <w:rPr>
          <w:rFonts w:eastAsiaTheme="minorEastAsia"/>
        </w:rPr>
      </w:pPr>
      <w:r w:rsidRPr="00675009">
        <w:rPr>
          <w:rFonts w:eastAsiaTheme="minorEastAsia" w:hint="eastAsia"/>
        </w:rPr>
        <w:t>The prediction curve of</w:t>
      </w:r>
      <w:r>
        <w:rPr>
          <w:rFonts w:eastAsiaTheme="minorEastAsia" w:hint="eastAsia"/>
        </w:rPr>
        <w:t xml:space="preserve"> </w:t>
      </w:r>
      <w:r w:rsidRPr="00675009">
        <w:rPr>
          <w:rFonts w:eastAsiaTheme="minorEastAsia" w:hint="eastAsia"/>
        </w:rPr>
        <w:t>Direct training</w:t>
      </w:r>
      <w:r>
        <w:rPr>
          <w:rFonts w:eastAsiaTheme="minorEastAsia" w:hint="eastAsia"/>
        </w:rPr>
        <w:t xml:space="preserve"> </w:t>
      </w:r>
      <w:r w:rsidRPr="00675009">
        <w:rPr>
          <w:rFonts w:eastAsiaTheme="minorEastAsia" w:hint="eastAsia"/>
        </w:rPr>
        <w:t xml:space="preserve">is shown in Figure </w:t>
      </w:r>
      <w:r>
        <w:rPr>
          <w:rFonts w:eastAsiaTheme="minorEastAsia" w:hint="eastAsia"/>
        </w:rPr>
        <w:t>5:</w:t>
      </w:r>
    </w:p>
    <w:p w14:paraId="7E9F40DF" w14:textId="6C3BF3F1" w:rsidR="00675009" w:rsidRDefault="00675009" w:rsidP="00675009">
      <w:pPr>
        <w:pStyle w:val="af5"/>
        <w:spacing w:before="156" w:after="156"/>
        <w:jc w:val="left"/>
        <w:rPr>
          <w:rFonts w:eastAsiaTheme="minorEastAsia"/>
          <w:sz w:val="28"/>
          <w:szCs w:val="28"/>
        </w:rPr>
      </w:pPr>
      <w:r>
        <w:rPr>
          <w:noProof/>
        </w:rPr>
        <w:lastRenderedPageBreak/>
        <w:drawing>
          <wp:inline distT="0" distB="0" distL="0" distR="0" wp14:anchorId="4071F252" wp14:editId="2812B946">
            <wp:extent cx="5274310" cy="2637155"/>
            <wp:effectExtent l="0" t="0" r="2540" b="0"/>
            <wp:docPr id="1926426442"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74310" cy="2637155"/>
                    </a:xfrm>
                    <a:prstGeom prst="rect">
                      <a:avLst/>
                    </a:prstGeom>
                    <a:noFill/>
                    <a:ln>
                      <a:noFill/>
                    </a:ln>
                  </pic:spPr>
                </pic:pic>
              </a:graphicData>
            </a:graphic>
          </wp:inline>
        </w:drawing>
      </w:r>
    </w:p>
    <w:p w14:paraId="35D31222" w14:textId="330BC6E4" w:rsidR="00675009" w:rsidRPr="00675009" w:rsidRDefault="00675009" w:rsidP="00675009">
      <w:pPr>
        <w:pStyle w:val="af5"/>
        <w:spacing w:before="156" w:after="156"/>
        <w:jc w:val="center"/>
        <w:rPr>
          <w:rFonts w:eastAsiaTheme="minorEastAsia"/>
          <w:sz w:val="21"/>
          <w:szCs w:val="21"/>
        </w:rPr>
      </w:pPr>
      <w:r w:rsidRPr="00675009">
        <w:rPr>
          <w:rFonts w:eastAsiaTheme="minorEastAsia" w:hint="eastAsia"/>
          <w:sz w:val="21"/>
          <w:szCs w:val="21"/>
        </w:rPr>
        <w:t>Fig 5: Direct training result</w:t>
      </w:r>
    </w:p>
    <w:p w14:paraId="51A75D21" w14:textId="77777777" w:rsidR="00CE06BF" w:rsidRPr="00D22B50" w:rsidRDefault="00CE06BF" w:rsidP="00CE06BF">
      <w:pPr>
        <w:pStyle w:val="3"/>
        <w:rPr>
          <w:rFonts w:hint="eastAsia"/>
        </w:rPr>
      </w:pPr>
      <w:bookmarkStart w:id="82" w:name="_Toc228913884"/>
      <w:r w:rsidRPr="00D22B50">
        <w:t>6.3.2 Systematic Optimization via Optuna (v1 and v2)</w:t>
      </w:r>
      <w:bookmarkEnd w:id="82"/>
      <w:r w:rsidRPr="00D22B50">
        <w:t xml:space="preserve"> </w:t>
      </w:r>
    </w:p>
    <w:p w14:paraId="1CAC9B6C" w14:textId="108757BE" w:rsidR="00CE06BF" w:rsidRPr="00D22B50" w:rsidRDefault="00CE06BF" w:rsidP="00FD5995">
      <w:pPr>
        <w:pStyle w:val="af5"/>
        <w:spacing w:before="156" w:after="156"/>
      </w:pPr>
      <w:r w:rsidRPr="00D22B50">
        <w:t xml:space="preserve">To mitigate these risks and ensure the stability of the migration process, </w:t>
      </w:r>
      <w:r w:rsidR="002657F3">
        <w:t xml:space="preserve">I </w:t>
      </w:r>
      <w:r w:rsidRPr="00D22B50">
        <w:t>utilized the Optuna framework for a systematic two-stage Bayesian optimization. Unlike grid or random search, Optuna utilizes the Tree-structured Parzen Estimator (TPE) algorithm to model the probability of hyperparameter performance, allowing for an efficient exploration of the high-dimensional search space.</w:t>
      </w:r>
    </w:p>
    <w:p w14:paraId="39CCCFFB" w14:textId="623E20A3" w:rsidR="00457400" w:rsidRDefault="00CE06BF" w:rsidP="001D18D6">
      <w:pPr>
        <w:pStyle w:val="af5"/>
        <w:spacing w:before="156" w:after="156"/>
        <w:rPr>
          <w:rFonts w:eastAsiaTheme="minorEastAsia"/>
        </w:rPr>
      </w:pPr>
      <w:r w:rsidRPr="00D22B50">
        <w:t xml:space="preserve">The optimization history across two versions (v1 and v2) revealed that the optimal learning rate for a source model intended for transfer was significantly lower than initially estimated. A lower learning rate allows the LSTM gates to converge more broadly, preventing the </w:t>
      </w:r>
      <w:r w:rsidR="00BD7543">
        <w:t>“</w:t>
      </w:r>
      <w:r w:rsidRPr="00D22B50">
        <w:t>over-specialization</w:t>
      </w:r>
      <w:r w:rsidR="00BD7543">
        <w:t>”</w:t>
      </w:r>
      <w:r w:rsidRPr="00D22B50">
        <w:t xml:space="preserve"> seen in Model 1. By identifying the global optimum in the hyperparameter space (including hidden units, dropout rates, and batch sizes), </w:t>
      </w:r>
      <w:r w:rsidR="002657F3">
        <w:t xml:space="preserve">I </w:t>
      </w:r>
      <w:r w:rsidRPr="00D22B50">
        <w:t>developed Model 2. This optimized model successfully eliminated the negative transfer phenomenon, transforming the previous performance penalty into a significant forecasting gain. This dramatic swing proves that systematic hyperparameter optimization is not merely a refinement step but a fundamental prerequisite for robust knowledge migration in complex energy systems.</w:t>
      </w:r>
    </w:p>
    <w:p w14:paraId="6E6ABAC5" w14:textId="65C73348" w:rsidR="00457400" w:rsidRDefault="00457400" w:rsidP="001D18D6">
      <w:pPr>
        <w:pStyle w:val="af5"/>
        <w:spacing w:before="156" w:after="156"/>
        <w:rPr>
          <w:rFonts w:eastAsiaTheme="minorEastAsia"/>
        </w:rPr>
      </w:pPr>
      <w:r w:rsidRPr="00457400">
        <w:rPr>
          <w:rFonts w:eastAsiaTheme="minorEastAsia" w:hint="eastAsia"/>
        </w:rPr>
        <w:t xml:space="preserve">The quantitative results are summarized in Table </w:t>
      </w:r>
      <w:r w:rsidR="00AC5B88">
        <w:rPr>
          <w:rFonts w:eastAsiaTheme="minorEastAsia" w:hint="eastAsia"/>
        </w:rPr>
        <w:t>2</w:t>
      </w:r>
      <w:r w:rsidRPr="00457400">
        <w:rPr>
          <w:rFonts w:eastAsiaTheme="minorEastAsia" w:hint="eastAsia"/>
        </w:rPr>
        <w:t>, where the forecasting strategies are categorized into Direct Prediction (Dir), Fine-Tuning (FT), and Scratch Training (Scr). The performance is evaluated using Mean Squared Error (MSE) and Root Mean Squared Error (RMSE)</w:t>
      </w:r>
      <w:r>
        <w:rPr>
          <w:rFonts w:eastAsiaTheme="minorEastAsia" w:hint="eastAsia"/>
        </w:rPr>
        <w:t>:</w:t>
      </w:r>
    </w:p>
    <w:p w14:paraId="74F27BE8" w14:textId="7F7EA279" w:rsidR="00457400" w:rsidRDefault="00457400" w:rsidP="00457400">
      <w:pPr>
        <w:pStyle w:val="af5"/>
        <w:spacing w:before="156" w:after="156"/>
        <w:jc w:val="center"/>
        <w:rPr>
          <w:rFonts w:eastAsiaTheme="minorEastAsia"/>
          <w:sz w:val="21"/>
          <w:szCs w:val="20"/>
        </w:rPr>
      </w:pPr>
      <w:r w:rsidRPr="00457400">
        <w:rPr>
          <w:rFonts w:eastAsiaTheme="minorEastAsia" w:hint="eastAsia"/>
          <w:sz w:val="21"/>
          <w:szCs w:val="20"/>
        </w:rPr>
        <w:t xml:space="preserve">Table </w:t>
      </w:r>
      <w:r w:rsidR="00AC5B88">
        <w:rPr>
          <w:rFonts w:eastAsiaTheme="minorEastAsia" w:hint="eastAsia"/>
          <w:sz w:val="21"/>
          <w:szCs w:val="20"/>
        </w:rPr>
        <w:t>2</w:t>
      </w:r>
      <w:r w:rsidRPr="00457400">
        <w:rPr>
          <w:rFonts w:eastAsiaTheme="minorEastAsia" w:hint="eastAsia"/>
          <w:sz w:val="21"/>
          <w:szCs w:val="20"/>
        </w:rPr>
        <w:t>. The partial experimental evaluation values</w:t>
      </w:r>
    </w:p>
    <w:tbl>
      <w:tblPr>
        <w:tblStyle w:val="21"/>
        <w:tblW w:w="8143" w:type="dxa"/>
        <w:tblLook w:val="04A0" w:firstRow="1" w:lastRow="0" w:firstColumn="1" w:lastColumn="0" w:noHBand="0" w:noVBand="1"/>
      </w:tblPr>
      <w:tblGrid>
        <w:gridCol w:w="1437"/>
        <w:gridCol w:w="1076"/>
        <w:gridCol w:w="1178"/>
        <w:gridCol w:w="1076"/>
        <w:gridCol w:w="1114"/>
        <w:gridCol w:w="1076"/>
        <w:gridCol w:w="1186"/>
      </w:tblGrid>
      <w:tr w:rsidR="00457400" w:rsidRPr="00457400" w14:paraId="09983FB2" w14:textId="77777777" w:rsidTr="00457400">
        <w:trPr>
          <w:cnfStyle w:val="100000000000" w:firstRow="1" w:lastRow="0" w:firstColumn="0" w:lastColumn="0" w:oddVBand="0" w:evenVBand="0" w:oddHBand="0"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1437" w:type="dxa"/>
            <w:noWrap/>
            <w:hideMark/>
          </w:tcPr>
          <w:p w14:paraId="7934AA70" w14:textId="77777777" w:rsidR="00457400" w:rsidRPr="00457400" w:rsidRDefault="00457400" w:rsidP="00457400">
            <w:pPr>
              <w:widowControl/>
              <w:jc w:val="left"/>
              <w:rPr>
                <w:rFonts w:ascii="等线" w:eastAsia="等线" w:hAnsi="等线" w:cs="宋体" w:hint="eastAsia"/>
                <w:color w:val="000000"/>
                <w:kern w:val="0"/>
                <w:sz w:val="22"/>
              </w:rPr>
            </w:pPr>
            <w:r w:rsidRPr="00457400">
              <w:rPr>
                <w:rFonts w:ascii="等线" w:eastAsia="等线" w:hAnsi="等线" w:cs="宋体" w:hint="eastAsia"/>
                <w:color w:val="000000"/>
                <w:kern w:val="0"/>
                <w:sz w:val="22"/>
              </w:rPr>
              <w:t>HouseID</w:t>
            </w:r>
          </w:p>
        </w:tc>
        <w:tc>
          <w:tcPr>
            <w:tcW w:w="1076" w:type="dxa"/>
            <w:noWrap/>
            <w:hideMark/>
          </w:tcPr>
          <w:p w14:paraId="747B78D4" w14:textId="77777777" w:rsidR="00457400" w:rsidRPr="00457400" w:rsidRDefault="00457400" w:rsidP="00457400">
            <w:pPr>
              <w:widowControl/>
              <w:jc w:val="left"/>
              <w:cnfStyle w:val="100000000000" w:firstRow="1" w:lastRow="0" w:firstColumn="0" w:lastColumn="0" w:oddVBand="0" w:evenVBand="0" w:oddHBand="0"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Dir_MSE</w:t>
            </w:r>
          </w:p>
        </w:tc>
        <w:tc>
          <w:tcPr>
            <w:tcW w:w="1178" w:type="dxa"/>
            <w:noWrap/>
            <w:hideMark/>
          </w:tcPr>
          <w:p w14:paraId="3FD75DD1" w14:textId="77777777" w:rsidR="00457400" w:rsidRPr="00457400" w:rsidRDefault="00457400" w:rsidP="00457400">
            <w:pPr>
              <w:widowControl/>
              <w:jc w:val="left"/>
              <w:cnfStyle w:val="100000000000" w:firstRow="1" w:lastRow="0" w:firstColumn="0" w:lastColumn="0" w:oddVBand="0" w:evenVBand="0" w:oddHBand="0"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Dir_RMSE</w:t>
            </w:r>
          </w:p>
        </w:tc>
        <w:tc>
          <w:tcPr>
            <w:tcW w:w="1076" w:type="dxa"/>
            <w:noWrap/>
            <w:hideMark/>
          </w:tcPr>
          <w:p w14:paraId="0CBD44D8" w14:textId="77777777" w:rsidR="00457400" w:rsidRPr="00457400" w:rsidRDefault="00457400" w:rsidP="00457400">
            <w:pPr>
              <w:widowControl/>
              <w:jc w:val="left"/>
              <w:cnfStyle w:val="100000000000" w:firstRow="1" w:lastRow="0" w:firstColumn="0" w:lastColumn="0" w:oddVBand="0" w:evenVBand="0" w:oddHBand="0"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FT_MSE</w:t>
            </w:r>
          </w:p>
        </w:tc>
        <w:tc>
          <w:tcPr>
            <w:tcW w:w="1114" w:type="dxa"/>
            <w:noWrap/>
            <w:hideMark/>
          </w:tcPr>
          <w:p w14:paraId="5406B935" w14:textId="77777777" w:rsidR="00457400" w:rsidRPr="00457400" w:rsidRDefault="00457400" w:rsidP="00457400">
            <w:pPr>
              <w:widowControl/>
              <w:jc w:val="left"/>
              <w:cnfStyle w:val="100000000000" w:firstRow="1" w:lastRow="0" w:firstColumn="0" w:lastColumn="0" w:oddVBand="0" w:evenVBand="0" w:oddHBand="0"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FT_RMSE</w:t>
            </w:r>
          </w:p>
        </w:tc>
        <w:tc>
          <w:tcPr>
            <w:tcW w:w="1076" w:type="dxa"/>
            <w:noWrap/>
            <w:hideMark/>
          </w:tcPr>
          <w:p w14:paraId="7E155077" w14:textId="77777777" w:rsidR="00457400" w:rsidRPr="00457400" w:rsidRDefault="00457400" w:rsidP="00457400">
            <w:pPr>
              <w:widowControl/>
              <w:jc w:val="left"/>
              <w:cnfStyle w:val="100000000000" w:firstRow="1" w:lastRow="0" w:firstColumn="0" w:lastColumn="0" w:oddVBand="0" w:evenVBand="0" w:oddHBand="0"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Scr_MSE</w:t>
            </w:r>
          </w:p>
        </w:tc>
        <w:tc>
          <w:tcPr>
            <w:tcW w:w="1186" w:type="dxa"/>
            <w:noWrap/>
            <w:hideMark/>
          </w:tcPr>
          <w:p w14:paraId="12BCE6DC" w14:textId="77777777" w:rsidR="00457400" w:rsidRPr="00457400" w:rsidRDefault="00457400" w:rsidP="00457400">
            <w:pPr>
              <w:widowControl/>
              <w:jc w:val="left"/>
              <w:cnfStyle w:val="100000000000" w:firstRow="1" w:lastRow="0" w:firstColumn="0" w:lastColumn="0" w:oddVBand="0" w:evenVBand="0" w:oddHBand="0"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Scr_RMSE</w:t>
            </w:r>
          </w:p>
        </w:tc>
      </w:tr>
      <w:tr w:rsidR="00457400" w:rsidRPr="00457400" w14:paraId="71779791" w14:textId="77777777" w:rsidTr="00457400">
        <w:trPr>
          <w:cnfStyle w:val="000000100000" w:firstRow="0" w:lastRow="0" w:firstColumn="0" w:lastColumn="0" w:oddVBand="0" w:evenVBand="0" w:oddHBand="1"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1437" w:type="dxa"/>
            <w:noWrap/>
            <w:hideMark/>
          </w:tcPr>
          <w:p w14:paraId="30D0368E" w14:textId="77777777" w:rsidR="00457400" w:rsidRPr="00457400" w:rsidRDefault="00457400" w:rsidP="00457400">
            <w:pPr>
              <w:widowControl/>
              <w:jc w:val="left"/>
              <w:rPr>
                <w:rFonts w:ascii="等线" w:eastAsia="等线" w:hAnsi="等线" w:cs="宋体" w:hint="eastAsia"/>
                <w:color w:val="000000"/>
                <w:kern w:val="0"/>
                <w:sz w:val="22"/>
              </w:rPr>
            </w:pPr>
            <w:r w:rsidRPr="00457400">
              <w:rPr>
                <w:rFonts w:ascii="等线" w:eastAsia="等线" w:hAnsi="等线" w:cs="宋体" w:hint="eastAsia"/>
                <w:color w:val="000000"/>
                <w:kern w:val="0"/>
                <w:sz w:val="22"/>
              </w:rPr>
              <w:t>MAC000103</w:t>
            </w:r>
          </w:p>
        </w:tc>
        <w:tc>
          <w:tcPr>
            <w:tcW w:w="1076" w:type="dxa"/>
            <w:noWrap/>
            <w:hideMark/>
          </w:tcPr>
          <w:p w14:paraId="3EC9A37A" w14:textId="77777777" w:rsidR="00457400" w:rsidRPr="00457400" w:rsidRDefault="00457400" w:rsidP="00457400">
            <w:pPr>
              <w:widowControl/>
              <w:jc w:val="right"/>
              <w:cnfStyle w:val="000000100000" w:firstRow="0" w:lastRow="0" w:firstColumn="0" w:lastColumn="0" w:oddVBand="0" w:evenVBand="0" w:oddHBand="1"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0.408688</w:t>
            </w:r>
          </w:p>
        </w:tc>
        <w:tc>
          <w:tcPr>
            <w:tcW w:w="1178" w:type="dxa"/>
            <w:noWrap/>
            <w:hideMark/>
          </w:tcPr>
          <w:p w14:paraId="58915A82" w14:textId="77777777" w:rsidR="00457400" w:rsidRPr="00457400" w:rsidRDefault="00457400" w:rsidP="00457400">
            <w:pPr>
              <w:widowControl/>
              <w:jc w:val="right"/>
              <w:cnfStyle w:val="000000100000" w:firstRow="0" w:lastRow="0" w:firstColumn="0" w:lastColumn="0" w:oddVBand="0" w:evenVBand="0" w:oddHBand="1"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0.639287</w:t>
            </w:r>
          </w:p>
        </w:tc>
        <w:tc>
          <w:tcPr>
            <w:tcW w:w="1076" w:type="dxa"/>
            <w:noWrap/>
            <w:hideMark/>
          </w:tcPr>
          <w:p w14:paraId="42514519" w14:textId="77777777" w:rsidR="00457400" w:rsidRPr="00457400" w:rsidRDefault="00457400" w:rsidP="00457400">
            <w:pPr>
              <w:widowControl/>
              <w:jc w:val="right"/>
              <w:cnfStyle w:val="000000100000" w:firstRow="0" w:lastRow="0" w:firstColumn="0" w:lastColumn="0" w:oddVBand="0" w:evenVBand="0" w:oddHBand="1"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0.410122</w:t>
            </w:r>
          </w:p>
        </w:tc>
        <w:tc>
          <w:tcPr>
            <w:tcW w:w="1114" w:type="dxa"/>
            <w:noWrap/>
            <w:hideMark/>
          </w:tcPr>
          <w:p w14:paraId="42D4A50D" w14:textId="77777777" w:rsidR="00457400" w:rsidRPr="00457400" w:rsidRDefault="00457400" w:rsidP="00457400">
            <w:pPr>
              <w:widowControl/>
              <w:jc w:val="right"/>
              <w:cnfStyle w:val="000000100000" w:firstRow="0" w:lastRow="0" w:firstColumn="0" w:lastColumn="0" w:oddVBand="0" w:evenVBand="0" w:oddHBand="1"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0.640408</w:t>
            </w:r>
          </w:p>
        </w:tc>
        <w:tc>
          <w:tcPr>
            <w:tcW w:w="1076" w:type="dxa"/>
            <w:noWrap/>
            <w:hideMark/>
          </w:tcPr>
          <w:p w14:paraId="33745047" w14:textId="77777777" w:rsidR="00457400" w:rsidRPr="00457400" w:rsidRDefault="00457400" w:rsidP="00457400">
            <w:pPr>
              <w:widowControl/>
              <w:jc w:val="right"/>
              <w:cnfStyle w:val="000000100000" w:firstRow="0" w:lastRow="0" w:firstColumn="0" w:lastColumn="0" w:oddVBand="0" w:evenVBand="0" w:oddHBand="1"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0.569812</w:t>
            </w:r>
          </w:p>
        </w:tc>
        <w:tc>
          <w:tcPr>
            <w:tcW w:w="1186" w:type="dxa"/>
            <w:noWrap/>
            <w:hideMark/>
          </w:tcPr>
          <w:p w14:paraId="10389008" w14:textId="77777777" w:rsidR="00457400" w:rsidRPr="00457400" w:rsidRDefault="00457400" w:rsidP="00457400">
            <w:pPr>
              <w:widowControl/>
              <w:jc w:val="right"/>
              <w:cnfStyle w:val="000000100000" w:firstRow="0" w:lastRow="0" w:firstColumn="0" w:lastColumn="0" w:oddVBand="0" w:evenVBand="0" w:oddHBand="1"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0.754859</w:t>
            </w:r>
          </w:p>
        </w:tc>
      </w:tr>
      <w:tr w:rsidR="00457400" w:rsidRPr="00457400" w14:paraId="50EC1427" w14:textId="77777777" w:rsidTr="00457400">
        <w:trPr>
          <w:trHeight w:val="278"/>
        </w:trPr>
        <w:tc>
          <w:tcPr>
            <w:cnfStyle w:val="001000000000" w:firstRow="0" w:lastRow="0" w:firstColumn="1" w:lastColumn="0" w:oddVBand="0" w:evenVBand="0" w:oddHBand="0" w:evenHBand="0" w:firstRowFirstColumn="0" w:firstRowLastColumn="0" w:lastRowFirstColumn="0" w:lastRowLastColumn="0"/>
            <w:tcW w:w="1437" w:type="dxa"/>
            <w:noWrap/>
            <w:hideMark/>
          </w:tcPr>
          <w:p w14:paraId="13FE9641" w14:textId="77777777" w:rsidR="00457400" w:rsidRPr="00457400" w:rsidRDefault="00457400" w:rsidP="00457400">
            <w:pPr>
              <w:widowControl/>
              <w:jc w:val="left"/>
              <w:rPr>
                <w:rFonts w:ascii="等线" w:eastAsia="等线" w:hAnsi="等线" w:cs="宋体" w:hint="eastAsia"/>
                <w:color w:val="000000"/>
                <w:kern w:val="0"/>
                <w:sz w:val="22"/>
              </w:rPr>
            </w:pPr>
            <w:r w:rsidRPr="00457400">
              <w:rPr>
                <w:rFonts w:ascii="等线" w:eastAsia="等线" w:hAnsi="等线" w:cs="宋体" w:hint="eastAsia"/>
                <w:color w:val="000000"/>
                <w:kern w:val="0"/>
                <w:sz w:val="22"/>
              </w:rPr>
              <w:t>MAC003718</w:t>
            </w:r>
          </w:p>
        </w:tc>
        <w:tc>
          <w:tcPr>
            <w:tcW w:w="1076" w:type="dxa"/>
            <w:noWrap/>
            <w:hideMark/>
          </w:tcPr>
          <w:p w14:paraId="28D709C4" w14:textId="77777777" w:rsidR="00457400" w:rsidRPr="00457400" w:rsidRDefault="00457400" w:rsidP="00457400">
            <w:pPr>
              <w:widowControl/>
              <w:jc w:val="right"/>
              <w:cnfStyle w:val="000000000000" w:firstRow="0" w:lastRow="0" w:firstColumn="0" w:lastColumn="0" w:oddVBand="0" w:evenVBand="0" w:oddHBand="0"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0.68503</w:t>
            </w:r>
          </w:p>
        </w:tc>
        <w:tc>
          <w:tcPr>
            <w:tcW w:w="1178" w:type="dxa"/>
            <w:noWrap/>
            <w:hideMark/>
          </w:tcPr>
          <w:p w14:paraId="5C9E68FC" w14:textId="77777777" w:rsidR="00457400" w:rsidRPr="00457400" w:rsidRDefault="00457400" w:rsidP="00457400">
            <w:pPr>
              <w:widowControl/>
              <w:jc w:val="right"/>
              <w:cnfStyle w:val="000000000000" w:firstRow="0" w:lastRow="0" w:firstColumn="0" w:lastColumn="0" w:oddVBand="0" w:evenVBand="0" w:oddHBand="0"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0.827665</w:t>
            </w:r>
          </w:p>
        </w:tc>
        <w:tc>
          <w:tcPr>
            <w:tcW w:w="1076" w:type="dxa"/>
            <w:noWrap/>
            <w:hideMark/>
          </w:tcPr>
          <w:p w14:paraId="473E673C" w14:textId="77777777" w:rsidR="00457400" w:rsidRPr="00457400" w:rsidRDefault="00457400" w:rsidP="00457400">
            <w:pPr>
              <w:widowControl/>
              <w:jc w:val="right"/>
              <w:cnfStyle w:val="000000000000" w:firstRow="0" w:lastRow="0" w:firstColumn="0" w:lastColumn="0" w:oddVBand="0" w:evenVBand="0" w:oddHBand="0"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0.677742</w:t>
            </w:r>
          </w:p>
        </w:tc>
        <w:tc>
          <w:tcPr>
            <w:tcW w:w="1114" w:type="dxa"/>
            <w:noWrap/>
            <w:hideMark/>
          </w:tcPr>
          <w:p w14:paraId="400B40D7" w14:textId="77777777" w:rsidR="00457400" w:rsidRPr="00457400" w:rsidRDefault="00457400" w:rsidP="00457400">
            <w:pPr>
              <w:widowControl/>
              <w:jc w:val="right"/>
              <w:cnfStyle w:val="000000000000" w:firstRow="0" w:lastRow="0" w:firstColumn="0" w:lastColumn="0" w:oddVBand="0" w:evenVBand="0" w:oddHBand="0"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0.823251</w:t>
            </w:r>
          </w:p>
        </w:tc>
        <w:tc>
          <w:tcPr>
            <w:tcW w:w="1076" w:type="dxa"/>
            <w:noWrap/>
            <w:hideMark/>
          </w:tcPr>
          <w:p w14:paraId="7EE1487A" w14:textId="77777777" w:rsidR="00457400" w:rsidRPr="00457400" w:rsidRDefault="00457400" w:rsidP="00457400">
            <w:pPr>
              <w:widowControl/>
              <w:jc w:val="right"/>
              <w:cnfStyle w:val="000000000000" w:firstRow="0" w:lastRow="0" w:firstColumn="0" w:lastColumn="0" w:oddVBand="0" w:evenVBand="0" w:oddHBand="0"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0.886002</w:t>
            </w:r>
          </w:p>
        </w:tc>
        <w:tc>
          <w:tcPr>
            <w:tcW w:w="1186" w:type="dxa"/>
            <w:noWrap/>
            <w:hideMark/>
          </w:tcPr>
          <w:p w14:paraId="23A65BEB" w14:textId="77777777" w:rsidR="00457400" w:rsidRPr="00457400" w:rsidRDefault="00457400" w:rsidP="00457400">
            <w:pPr>
              <w:widowControl/>
              <w:jc w:val="right"/>
              <w:cnfStyle w:val="000000000000" w:firstRow="0" w:lastRow="0" w:firstColumn="0" w:lastColumn="0" w:oddVBand="0" w:evenVBand="0" w:oddHBand="0"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0.941277</w:t>
            </w:r>
          </w:p>
        </w:tc>
      </w:tr>
      <w:tr w:rsidR="00457400" w:rsidRPr="00457400" w14:paraId="585E2461" w14:textId="77777777" w:rsidTr="00457400">
        <w:trPr>
          <w:cnfStyle w:val="000000100000" w:firstRow="0" w:lastRow="0" w:firstColumn="0" w:lastColumn="0" w:oddVBand="0" w:evenVBand="0" w:oddHBand="1"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1437" w:type="dxa"/>
            <w:noWrap/>
            <w:hideMark/>
          </w:tcPr>
          <w:p w14:paraId="0BCDF676" w14:textId="77777777" w:rsidR="00457400" w:rsidRPr="00457400" w:rsidRDefault="00457400" w:rsidP="00457400">
            <w:pPr>
              <w:widowControl/>
              <w:jc w:val="left"/>
              <w:rPr>
                <w:rFonts w:ascii="等线" w:eastAsia="等线" w:hAnsi="等线" w:cs="宋体" w:hint="eastAsia"/>
                <w:color w:val="000000"/>
                <w:kern w:val="0"/>
                <w:sz w:val="22"/>
              </w:rPr>
            </w:pPr>
            <w:r w:rsidRPr="00457400">
              <w:rPr>
                <w:rFonts w:ascii="等线" w:eastAsia="等线" w:hAnsi="等线" w:cs="宋体" w:hint="eastAsia"/>
                <w:color w:val="000000"/>
                <w:kern w:val="0"/>
                <w:sz w:val="22"/>
              </w:rPr>
              <w:lastRenderedPageBreak/>
              <w:t>MAC001776</w:t>
            </w:r>
          </w:p>
        </w:tc>
        <w:tc>
          <w:tcPr>
            <w:tcW w:w="1076" w:type="dxa"/>
            <w:noWrap/>
            <w:hideMark/>
          </w:tcPr>
          <w:p w14:paraId="7774BB9F" w14:textId="77777777" w:rsidR="00457400" w:rsidRPr="00457400" w:rsidRDefault="00457400" w:rsidP="00457400">
            <w:pPr>
              <w:widowControl/>
              <w:jc w:val="right"/>
              <w:cnfStyle w:val="000000100000" w:firstRow="0" w:lastRow="0" w:firstColumn="0" w:lastColumn="0" w:oddVBand="0" w:evenVBand="0" w:oddHBand="1"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0.447359</w:t>
            </w:r>
          </w:p>
        </w:tc>
        <w:tc>
          <w:tcPr>
            <w:tcW w:w="1178" w:type="dxa"/>
            <w:noWrap/>
            <w:hideMark/>
          </w:tcPr>
          <w:p w14:paraId="544EA9CA" w14:textId="77777777" w:rsidR="00457400" w:rsidRPr="00457400" w:rsidRDefault="00457400" w:rsidP="00457400">
            <w:pPr>
              <w:widowControl/>
              <w:jc w:val="right"/>
              <w:cnfStyle w:val="000000100000" w:firstRow="0" w:lastRow="0" w:firstColumn="0" w:lastColumn="0" w:oddVBand="0" w:evenVBand="0" w:oddHBand="1"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0.668849</w:t>
            </w:r>
          </w:p>
        </w:tc>
        <w:tc>
          <w:tcPr>
            <w:tcW w:w="1076" w:type="dxa"/>
            <w:noWrap/>
            <w:hideMark/>
          </w:tcPr>
          <w:p w14:paraId="3A7CE06A" w14:textId="77777777" w:rsidR="00457400" w:rsidRPr="00457400" w:rsidRDefault="00457400" w:rsidP="00457400">
            <w:pPr>
              <w:widowControl/>
              <w:jc w:val="right"/>
              <w:cnfStyle w:val="000000100000" w:firstRow="0" w:lastRow="0" w:firstColumn="0" w:lastColumn="0" w:oddVBand="0" w:evenVBand="0" w:oddHBand="1"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0.447828</w:t>
            </w:r>
          </w:p>
        </w:tc>
        <w:tc>
          <w:tcPr>
            <w:tcW w:w="1114" w:type="dxa"/>
            <w:noWrap/>
            <w:hideMark/>
          </w:tcPr>
          <w:p w14:paraId="63BA282F" w14:textId="77777777" w:rsidR="00457400" w:rsidRPr="00457400" w:rsidRDefault="00457400" w:rsidP="00457400">
            <w:pPr>
              <w:widowControl/>
              <w:jc w:val="right"/>
              <w:cnfStyle w:val="000000100000" w:firstRow="0" w:lastRow="0" w:firstColumn="0" w:lastColumn="0" w:oddVBand="0" w:evenVBand="0" w:oddHBand="1"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0.669199</w:t>
            </w:r>
          </w:p>
        </w:tc>
        <w:tc>
          <w:tcPr>
            <w:tcW w:w="1076" w:type="dxa"/>
            <w:noWrap/>
            <w:hideMark/>
          </w:tcPr>
          <w:p w14:paraId="7CBEDE79" w14:textId="77777777" w:rsidR="00457400" w:rsidRPr="00457400" w:rsidRDefault="00457400" w:rsidP="00457400">
            <w:pPr>
              <w:widowControl/>
              <w:jc w:val="right"/>
              <w:cnfStyle w:val="000000100000" w:firstRow="0" w:lastRow="0" w:firstColumn="0" w:lastColumn="0" w:oddVBand="0" w:evenVBand="0" w:oddHBand="1"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0.664076</w:t>
            </w:r>
          </w:p>
        </w:tc>
        <w:tc>
          <w:tcPr>
            <w:tcW w:w="1186" w:type="dxa"/>
            <w:noWrap/>
            <w:hideMark/>
          </w:tcPr>
          <w:p w14:paraId="4169D173" w14:textId="77777777" w:rsidR="00457400" w:rsidRPr="00457400" w:rsidRDefault="00457400" w:rsidP="00457400">
            <w:pPr>
              <w:widowControl/>
              <w:jc w:val="right"/>
              <w:cnfStyle w:val="000000100000" w:firstRow="0" w:lastRow="0" w:firstColumn="0" w:lastColumn="0" w:oddVBand="0" w:evenVBand="0" w:oddHBand="1"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0.814909</w:t>
            </w:r>
          </w:p>
        </w:tc>
      </w:tr>
      <w:tr w:rsidR="00457400" w:rsidRPr="00457400" w14:paraId="66A8F79D" w14:textId="77777777" w:rsidTr="00457400">
        <w:trPr>
          <w:trHeight w:val="278"/>
        </w:trPr>
        <w:tc>
          <w:tcPr>
            <w:cnfStyle w:val="001000000000" w:firstRow="0" w:lastRow="0" w:firstColumn="1" w:lastColumn="0" w:oddVBand="0" w:evenVBand="0" w:oddHBand="0" w:evenHBand="0" w:firstRowFirstColumn="0" w:firstRowLastColumn="0" w:lastRowFirstColumn="0" w:lastRowLastColumn="0"/>
            <w:tcW w:w="1437" w:type="dxa"/>
            <w:noWrap/>
            <w:hideMark/>
          </w:tcPr>
          <w:p w14:paraId="2EA66F70" w14:textId="77777777" w:rsidR="00457400" w:rsidRPr="00457400" w:rsidRDefault="00457400" w:rsidP="00457400">
            <w:pPr>
              <w:widowControl/>
              <w:jc w:val="left"/>
              <w:rPr>
                <w:rFonts w:ascii="等线" w:eastAsia="等线" w:hAnsi="等线" w:cs="宋体" w:hint="eastAsia"/>
                <w:color w:val="000000"/>
                <w:kern w:val="0"/>
                <w:sz w:val="22"/>
              </w:rPr>
            </w:pPr>
            <w:r w:rsidRPr="00457400">
              <w:rPr>
                <w:rFonts w:ascii="等线" w:eastAsia="等线" w:hAnsi="等线" w:cs="宋体" w:hint="eastAsia"/>
                <w:color w:val="000000"/>
                <w:kern w:val="0"/>
                <w:sz w:val="22"/>
              </w:rPr>
              <w:t>MAC005468</w:t>
            </w:r>
          </w:p>
        </w:tc>
        <w:tc>
          <w:tcPr>
            <w:tcW w:w="1076" w:type="dxa"/>
            <w:noWrap/>
            <w:hideMark/>
          </w:tcPr>
          <w:p w14:paraId="420DD921" w14:textId="77777777" w:rsidR="00457400" w:rsidRPr="00457400" w:rsidRDefault="00457400" w:rsidP="00457400">
            <w:pPr>
              <w:widowControl/>
              <w:jc w:val="right"/>
              <w:cnfStyle w:val="000000000000" w:firstRow="0" w:lastRow="0" w:firstColumn="0" w:lastColumn="0" w:oddVBand="0" w:evenVBand="0" w:oddHBand="0"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0.57201</w:t>
            </w:r>
          </w:p>
        </w:tc>
        <w:tc>
          <w:tcPr>
            <w:tcW w:w="1178" w:type="dxa"/>
            <w:noWrap/>
            <w:hideMark/>
          </w:tcPr>
          <w:p w14:paraId="284F9EBB" w14:textId="77777777" w:rsidR="00457400" w:rsidRPr="00457400" w:rsidRDefault="00457400" w:rsidP="00457400">
            <w:pPr>
              <w:widowControl/>
              <w:jc w:val="right"/>
              <w:cnfStyle w:val="000000000000" w:firstRow="0" w:lastRow="0" w:firstColumn="0" w:lastColumn="0" w:oddVBand="0" w:evenVBand="0" w:oddHBand="0"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0.756313</w:t>
            </w:r>
          </w:p>
        </w:tc>
        <w:tc>
          <w:tcPr>
            <w:tcW w:w="1076" w:type="dxa"/>
            <w:noWrap/>
            <w:hideMark/>
          </w:tcPr>
          <w:p w14:paraId="588EC263" w14:textId="77777777" w:rsidR="00457400" w:rsidRPr="00457400" w:rsidRDefault="00457400" w:rsidP="00457400">
            <w:pPr>
              <w:widowControl/>
              <w:jc w:val="right"/>
              <w:cnfStyle w:val="000000000000" w:firstRow="0" w:lastRow="0" w:firstColumn="0" w:lastColumn="0" w:oddVBand="0" w:evenVBand="0" w:oddHBand="0"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0.568648</w:t>
            </w:r>
          </w:p>
        </w:tc>
        <w:tc>
          <w:tcPr>
            <w:tcW w:w="1114" w:type="dxa"/>
            <w:noWrap/>
            <w:hideMark/>
          </w:tcPr>
          <w:p w14:paraId="77C43A0F" w14:textId="77777777" w:rsidR="00457400" w:rsidRPr="00457400" w:rsidRDefault="00457400" w:rsidP="00457400">
            <w:pPr>
              <w:widowControl/>
              <w:jc w:val="right"/>
              <w:cnfStyle w:val="000000000000" w:firstRow="0" w:lastRow="0" w:firstColumn="0" w:lastColumn="0" w:oddVBand="0" w:evenVBand="0" w:oddHBand="0"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0.754087</w:t>
            </w:r>
          </w:p>
        </w:tc>
        <w:tc>
          <w:tcPr>
            <w:tcW w:w="1076" w:type="dxa"/>
            <w:noWrap/>
            <w:hideMark/>
          </w:tcPr>
          <w:p w14:paraId="621837F7" w14:textId="77777777" w:rsidR="00457400" w:rsidRPr="00457400" w:rsidRDefault="00457400" w:rsidP="00457400">
            <w:pPr>
              <w:widowControl/>
              <w:jc w:val="right"/>
              <w:cnfStyle w:val="000000000000" w:firstRow="0" w:lastRow="0" w:firstColumn="0" w:lastColumn="0" w:oddVBand="0" w:evenVBand="0" w:oddHBand="0"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0.711529</w:t>
            </w:r>
          </w:p>
        </w:tc>
        <w:tc>
          <w:tcPr>
            <w:tcW w:w="1186" w:type="dxa"/>
            <w:noWrap/>
            <w:hideMark/>
          </w:tcPr>
          <w:p w14:paraId="5627D87E" w14:textId="77777777" w:rsidR="00457400" w:rsidRPr="00457400" w:rsidRDefault="00457400" w:rsidP="00457400">
            <w:pPr>
              <w:widowControl/>
              <w:jc w:val="right"/>
              <w:cnfStyle w:val="000000000000" w:firstRow="0" w:lastRow="0" w:firstColumn="0" w:lastColumn="0" w:oddVBand="0" w:evenVBand="0" w:oddHBand="0"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0.843522</w:t>
            </w:r>
          </w:p>
        </w:tc>
      </w:tr>
      <w:tr w:rsidR="00457400" w:rsidRPr="00457400" w14:paraId="52288778" w14:textId="77777777" w:rsidTr="00457400">
        <w:trPr>
          <w:cnfStyle w:val="000000100000" w:firstRow="0" w:lastRow="0" w:firstColumn="0" w:lastColumn="0" w:oddVBand="0" w:evenVBand="0" w:oddHBand="1"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1437" w:type="dxa"/>
            <w:noWrap/>
            <w:hideMark/>
          </w:tcPr>
          <w:p w14:paraId="7B30363F" w14:textId="77777777" w:rsidR="00457400" w:rsidRPr="00457400" w:rsidRDefault="00457400" w:rsidP="00457400">
            <w:pPr>
              <w:widowControl/>
              <w:jc w:val="left"/>
              <w:rPr>
                <w:rFonts w:ascii="等线" w:eastAsia="等线" w:hAnsi="等线" w:cs="宋体" w:hint="eastAsia"/>
                <w:color w:val="000000"/>
                <w:kern w:val="0"/>
                <w:sz w:val="22"/>
              </w:rPr>
            </w:pPr>
            <w:r w:rsidRPr="00457400">
              <w:rPr>
                <w:rFonts w:ascii="等线" w:eastAsia="等线" w:hAnsi="等线" w:cs="宋体" w:hint="eastAsia"/>
                <w:color w:val="000000"/>
                <w:kern w:val="0"/>
                <w:sz w:val="22"/>
              </w:rPr>
              <w:t>MAC004529</w:t>
            </w:r>
          </w:p>
        </w:tc>
        <w:tc>
          <w:tcPr>
            <w:tcW w:w="1076" w:type="dxa"/>
            <w:noWrap/>
            <w:hideMark/>
          </w:tcPr>
          <w:p w14:paraId="039E0487" w14:textId="77777777" w:rsidR="00457400" w:rsidRPr="00457400" w:rsidRDefault="00457400" w:rsidP="00457400">
            <w:pPr>
              <w:widowControl/>
              <w:jc w:val="right"/>
              <w:cnfStyle w:val="000000100000" w:firstRow="0" w:lastRow="0" w:firstColumn="0" w:lastColumn="0" w:oddVBand="0" w:evenVBand="0" w:oddHBand="1"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0.539262</w:t>
            </w:r>
          </w:p>
        </w:tc>
        <w:tc>
          <w:tcPr>
            <w:tcW w:w="1178" w:type="dxa"/>
            <w:noWrap/>
            <w:hideMark/>
          </w:tcPr>
          <w:p w14:paraId="60206969" w14:textId="77777777" w:rsidR="00457400" w:rsidRPr="00457400" w:rsidRDefault="00457400" w:rsidP="00457400">
            <w:pPr>
              <w:widowControl/>
              <w:jc w:val="right"/>
              <w:cnfStyle w:val="000000100000" w:firstRow="0" w:lastRow="0" w:firstColumn="0" w:lastColumn="0" w:oddVBand="0" w:evenVBand="0" w:oddHBand="1"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0.734345</w:t>
            </w:r>
          </w:p>
        </w:tc>
        <w:tc>
          <w:tcPr>
            <w:tcW w:w="1076" w:type="dxa"/>
            <w:noWrap/>
            <w:hideMark/>
          </w:tcPr>
          <w:p w14:paraId="7387263D" w14:textId="77777777" w:rsidR="00457400" w:rsidRPr="00457400" w:rsidRDefault="00457400" w:rsidP="00457400">
            <w:pPr>
              <w:widowControl/>
              <w:jc w:val="right"/>
              <w:cnfStyle w:val="000000100000" w:firstRow="0" w:lastRow="0" w:firstColumn="0" w:lastColumn="0" w:oddVBand="0" w:evenVBand="0" w:oddHBand="1"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0.535501</w:t>
            </w:r>
          </w:p>
        </w:tc>
        <w:tc>
          <w:tcPr>
            <w:tcW w:w="1114" w:type="dxa"/>
            <w:noWrap/>
            <w:hideMark/>
          </w:tcPr>
          <w:p w14:paraId="22D2E2DB" w14:textId="77777777" w:rsidR="00457400" w:rsidRPr="00457400" w:rsidRDefault="00457400" w:rsidP="00457400">
            <w:pPr>
              <w:widowControl/>
              <w:jc w:val="right"/>
              <w:cnfStyle w:val="000000100000" w:firstRow="0" w:lastRow="0" w:firstColumn="0" w:lastColumn="0" w:oddVBand="0" w:evenVBand="0" w:oddHBand="1"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0.73178</w:t>
            </w:r>
          </w:p>
        </w:tc>
        <w:tc>
          <w:tcPr>
            <w:tcW w:w="1076" w:type="dxa"/>
            <w:noWrap/>
            <w:hideMark/>
          </w:tcPr>
          <w:p w14:paraId="63D6E186" w14:textId="77777777" w:rsidR="00457400" w:rsidRPr="00457400" w:rsidRDefault="00457400" w:rsidP="00457400">
            <w:pPr>
              <w:widowControl/>
              <w:jc w:val="right"/>
              <w:cnfStyle w:val="000000100000" w:firstRow="0" w:lastRow="0" w:firstColumn="0" w:lastColumn="0" w:oddVBand="0" w:evenVBand="0" w:oddHBand="1"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0.728103</w:t>
            </w:r>
          </w:p>
        </w:tc>
        <w:tc>
          <w:tcPr>
            <w:tcW w:w="1186" w:type="dxa"/>
            <w:noWrap/>
            <w:hideMark/>
          </w:tcPr>
          <w:p w14:paraId="4596C572" w14:textId="77777777" w:rsidR="00457400" w:rsidRPr="00457400" w:rsidRDefault="00457400" w:rsidP="00457400">
            <w:pPr>
              <w:widowControl/>
              <w:jc w:val="right"/>
              <w:cnfStyle w:val="000000100000" w:firstRow="0" w:lastRow="0" w:firstColumn="0" w:lastColumn="0" w:oddVBand="0" w:evenVBand="0" w:oddHBand="1"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0.85329</w:t>
            </w:r>
          </w:p>
        </w:tc>
      </w:tr>
      <w:tr w:rsidR="00457400" w:rsidRPr="00457400" w14:paraId="2CF7296B" w14:textId="77777777" w:rsidTr="00457400">
        <w:trPr>
          <w:trHeight w:val="278"/>
        </w:trPr>
        <w:tc>
          <w:tcPr>
            <w:cnfStyle w:val="001000000000" w:firstRow="0" w:lastRow="0" w:firstColumn="1" w:lastColumn="0" w:oddVBand="0" w:evenVBand="0" w:oddHBand="0" w:evenHBand="0" w:firstRowFirstColumn="0" w:firstRowLastColumn="0" w:lastRowFirstColumn="0" w:lastRowLastColumn="0"/>
            <w:tcW w:w="1437" w:type="dxa"/>
            <w:noWrap/>
            <w:hideMark/>
          </w:tcPr>
          <w:p w14:paraId="77E1E35A" w14:textId="77777777" w:rsidR="00457400" w:rsidRPr="00457400" w:rsidRDefault="00457400" w:rsidP="00457400">
            <w:pPr>
              <w:widowControl/>
              <w:jc w:val="left"/>
              <w:rPr>
                <w:rFonts w:ascii="等线" w:eastAsia="等线" w:hAnsi="等线" w:cs="宋体" w:hint="eastAsia"/>
                <w:color w:val="000000"/>
                <w:kern w:val="0"/>
                <w:sz w:val="22"/>
              </w:rPr>
            </w:pPr>
            <w:r w:rsidRPr="00457400">
              <w:rPr>
                <w:rFonts w:ascii="等线" w:eastAsia="等线" w:hAnsi="等线" w:cs="宋体" w:hint="eastAsia"/>
                <w:color w:val="000000"/>
                <w:kern w:val="0"/>
                <w:sz w:val="22"/>
              </w:rPr>
              <w:t>MAC000768</w:t>
            </w:r>
          </w:p>
        </w:tc>
        <w:tc>
          <w:tcPr>
            <w:tcW w:w="1076" w:type="dxa"/>
            <w:noWrap/>
            <w:hideMark/>
          </w:tcPr>
          <w:p w14:paraId="2FDBEEF4" w14:textId="77777777" w:rsidR="00457400" w:rsidRPr="00457400" w:rsidRDefault="00457400" w:rsidP="00457400">
            <w:pPr>
              <w:widowControl/>
              <w:jc w:val="right"/>
              <w:cnfStyle w:val="000000000000" w:firstRow="0" w:lastRow="0" w:firstColumn="0" w:lastColumn="0" w:oddVBand="0" w:evenVBand="0" w:oddHBand="0"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0.513274</w:t>
            </w:r>
          </w:p>
        </w:tc>
        <w:tc>
          <w:tcPr>
            <w:tcW w:w="1178" w:type="dxa"/>
            <w:noWrap/>
            <w:hideMark/>
          </w:tcPr>
          <w:p w14:paraId="236AD8D7" w14:textId="77777777" w:rsidR="00457400" w:rsidRPr="00457400" w:rsidRDefault="00457400" w:rsidP="00457400">
            <w:pPr>
              <w:widowControl/>
              <w:jc w:val="right"/>
              <w:cnfStyle w:val="000000000000" w:firstRow="0" w:lastRow="0" w:firstColumn="0" w:lastColumn="0" w:oddVBand="0" w:evenVBand="0" w:oddHBand="0"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0.716431</w:t>
            </w:r>
          </w:p>
        </w:tc>
        <w:tc>
          <w:tcPr>
            <w:tcW w:w="1076" w:type="dxa"/>
            <w:noWrap/>
            <w:hideMark/>
          </w:tcPr>
          <w:p w14:paraId="7F306B99" w14:textId="77777777" w:rsidR="00457400" w:rsidRPr="00457400" w:rsidRDefault="00457400" w:rsidP="00457400">
            <w:pPr>
              <w:widowControl/>
              <w:jc w:val="right"/>
              <w:cnfStyle w:val="000000000000" w:firstRow="0" w:lastRow="0" w:firstColumn="0" w:lastColumn="0" w:oddVBand="0" w:evenVBand="0" w:oddHBand="0"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0.510199</w:t>
            </w:r>
          </w:p>
        </w:tc>
        <w:tc>
          <w:tcPr>
            <w:tcW w:w="1114" w:type="dxa"/>
            <w:noWrap/>
            <w:hideMark/>
          </w:tcPr>
          <w:p w14:paraId="7F9CC151" w14:textId="77777777" w:rsidR="00457400" w:rsidRPr="00457400" w:rsidRDefault="00457400" w:rsidP="00457400">
            <w:pPr>
              <w:widowControl/>
              <w:jc w:val="right"/>
              <w:cnfStyle w:val="000000000000" w:firstRow="0" w:lastRow="0" w:firstColumn="0" w:lastColumn="0" w:oddVBand="0" w:evenVBand="0" w:oddHBand="0"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0.714282</w:t>
            </w:r>
          </w:p>
        </w:tc>
        <w:tc>
          <w:tcPr>
            <w:tcW w:w="1076" w:type="dxa"/>
            <w:noWrap/>
            <w:hideMark/>
          </w:tcPr>
          <w:p w14:paraId="1A09323D" w14:textId="77777777" w:rsidR="00457400" w:rsidRPr="00457400" w:rsidRDefault="00457400" w:rsidP="00457400">
            <w:pPr>
              <w:widowControl/>
              <w:jc w:val="right"/>
              <w:cnfStyle w:val="000000000000" w:firstRow="0" w:lastRow="0" w:firstColumn="0" w:lastColumn="0" w:oddVBand="0" w:evenVBand="0" w:oddHBand="0"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0.647864</w:t>
            </w:r>
          </w:p>
        </w:tc>
        <w:tc>
          <w:tcPr>
            <w:tcW w:w="1186" w:type="dxa"/>
            <w:noWrap/>
            <w:hideMark/>
          </w:tcPr>
          <w:p w14:paraId="6DD90827" w14:textId="77777777" w:rsidR="00457400" w:rsidRPr="00457400" w:rsidRDefault="00457400" w:rsidP="00457400">
            <w:pPr>
              <w:widowControl/>
              <w:jc w:val="right"/>
              <w:cnfStyle w:val="000000000000" w:firstRow="0" w:lastRow="0" w:firstColumn="0" w:lastColumn="0" w:oddVBand="0" w:evenVBand="0" w:oddHBand="0"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0.8049</w:t>
            </w:r>
          </w:p>
        </w:tc>
      </w:tr>
      <w:tr w:rsidR="00457400" w:rsidRPr="00457400" w14:paraId="3B11A2A2" w14:textId="77777777" w:rsidTr="00457400">
        <w:trPr>
          <w:cnfStyle w:val="000000100000" w:firstRow="0" w:lastRow="0" w:firstColumn="0" w:lastColumn="0" w:oddVBand="0" w:evenVBand="0" w:oddHBand="1"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1437" w:type="dxa"/>
            <w:noWrap/>
            <w:hideMark/>
          </w:tcPr>
          <w:p w14:paraId="20FCBD4C" w14:textId="77777777" w:rsidR="00457400" w:rsidRPr="00457400" w:rsidRDefault="00457400" w:rsidP="00457400">
            <w:pPr>
              <w:widowControl/>
              <w:jc w:val="left"/>
              <w:rPr>
                <w:rFonts w:ascii="等线" w:eastAsia="等线" w:hAnsi="等线" w:cs="宋体" w:hint="eastAsia"/>
                <w:color w:val="000000"/>
                <w:kern w:val="0"/>
                <w:sz w:val="22"/>
              </w:rPr>
            </w:pPr>
            <w:r w:rsidRPr="00457400">
              <w:rPr>
                <w:rFonts w:ascii="等线" w:eastAsia="等线" w:hAnsi="等线" w:cs="宋体" w:hint="eastAsia"/>
                <w:color w:val="000000"/>
                <w:kern w:val="0"/>
                <w:sz w:val="22"/>
              </w:rPr>
              <w:t>MAC000487</w:t>
            </w:r>
          </w:p>
        </w:tc>
        <w:tc>
          <w:tcPr>
            <w:tcW w:w="1076" w:type="dxa"/>
            <w:noWrap/>
            <w:hideMark/>
          </w:tcPr>
          <w:p w14:paraId="1AF6D4C5" w14:textId="77777777" w:rsidR="00457400" w:rsidRPr="00457400" w:rsidRDefault="00457400" w:rsidP="00457400">
            <w:pPr>
              <w:widowControl/>
              <w:jc w:val="right"/>
              <w:cnfStyle w:val="000000100000" w:firstRow="0" w:lastRow="0" w:firstColumn="0" w:lastColumn="0" w:oddVBand="0" w:evenVBand="0" w:oddHBand="1"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0.549336</w:t>
            </w:r>
          </w:p>
        </w:tc>
        <w:tc>
          <w:tcPr>
            <w:tcW w:w="1178" w:type="dxa"/>
            <w:noWrap/>
            <w:hideMark/>
          </w:tcPr>
          <w:p w14:paraId="0A4D39F9" w14:textId="77777777" w:rsidR="00457400" w:rsidRPr="00457400" w:rsidRDefault="00457400" w:rsidP="00457400">
            <w:pPr>
              <w:widowControl/>
              <w:jc w:val="right"/>
              <w:cnfStyle w:val="000000100000" w:firstRow="0" w:lastRow="0" w:firstColumn="0" w:lastColumn="0" w:oddVBand="0" w:evenVBand="0" w:oddHBand="1"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0.741172</w:t>
            </w:r>
          </w:p>
        </w:tc>
        <w:tc>
          <w:tcPr>
            <w:tcW w:w="1076" w:type="dxa"/>
            <w:noWrap/>
            <w:hideMark/>
          </w:tcPr>
          <w:p w14:paraId="0B78A3FF" w14:textId="77777777" w:rsidR="00457400" w:rsidRPr="00457400" w:rsidRDefault="00457400" w:rsidP="00457400">
            <w:pPr>
              <w:widowControl/>
              <w:jc w:val="right"/>
              <w:cnfStyle w:val="000000100000" w:firstRow="0" w:lastRow="0" w:firstColumn="0" w:lastColumn="0" w:oddVBand="0" w:evenVBand="0" w:oddHBand="1"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0.548613</w:t>
            </w:r>
          </w:p>
        </w:tc>
        <w:tc>
          <w:tcPr>
            <w:tcW w:w="1114" w:type="dxa"/>
            <w:noWrap/>
            <w:hideMark/>
          </w:tcPr>
          <w:p w14:paraId="2E382C81" w14:textId="77777777" w:rsidR="00457400" w:rsidRPr="00457400" w:rsidRDefault="00457400" w:rsidP="00457400">
            <w:pPr>
              <w:widowControl/>
              <w:jc w:val="right"/>
              <w:cnfStyle w:val="000000100000" w:firstRow="0" w:lastRow="0" w:firstColumn="0" w:lastColumn="0" w:oddVBand="0" w:evenVBand="0" w:oddHBand="1"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0.740684</w:t>
            </w:r>
          </w:p>
        </w:tc>
        <w:tc>
          <w:tcPr>
            <w:tcW w:w="1076" w:type="dxa"/>
            <w:noWrap/>
            <w:hideMark/>
          </w:tcPr>
          <w:p w14:paraId="4FCAD506" w14:textId="77777777" w:rsidR="00457400" w:rsidRPr="00457400" w:rsidRDefault="00457400" w:rsidP="00457400">
            <w:pPr>
              <w:widowControl/>
              <w:jc w:val="right"/>
              <w:cnfStyle w:val="000000100000" w:firstRow="0" w:lastRow="0" w:firstColumn="0" w:lastColumn="0" w:oddVBand="0" w:evenVBand="0" w:oddHBand="1"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0.638064</w:t>
            </w:r>
          </w:p>
        </w:tc>
        <w:tc>
          <w:tcPr>
            <w:tcW w:w="1186" w:type="dxa"/>
            <w:noWrap/>
            <w:hideMark/>
          </w:tcPr>
          <w:p w14:paraId="335B27FD" w14:textId="77777777" w:rsidR="00457400" w:rsidRPr="00457400" w:rsidRDefault="00457400" w:rsidP="00457400">
            <w:pPr>
              <w:widowControl/>
              <w:jc w:val="right"/>
              <w:cnfStyle w:val="000000100000" w:firstRow="0" w:lastRow="0" w:firstColumn="0" w:lastColumn="0" w:oddVBand="0" w:evenVBand="0" w:oddHBand="1" w:evenHBand="0" w:firstRowFirstColumn="0" w:firstRowLastColumn="0" w:lastRowFirstColumn="0" w:lastRowLastColumn="0"/>
              <w:rPr>
                <w:rFonts w:ascii="等线" w:eastAsia="等线" w:hAnsi="等线" w:cs="宋体" w:hint="eastAsia"/>
                <w:color w:val="000000"/>
                <w:kern w:val="0"/>
                <w:sz w:val="22"/>
              </w:rPr>
            </w:pPr>
            <w:r w:rsidRPr="00457400">
              <w:rPr>
                <w:rFonts w:ascii="等线" w:eastAsia="等线" w:hAnsi="等线" w:cs="宋体" w:hint="eastAsia"/>
                <w:color w:val="000000"/>
                <w:kern w:val="0"/>
                <w:sz w:val="22"/>
              </w:rPr>
              <w:t>0.798789</w:t>
            </w:r>
          </w:p>
        </w:tc>
      </w:tr>
    </w:tbl>
    <w:p w14:paraId="74CB7F83" w14:textId="658E054A" w:rsidR="00457400" w:rsidRPr="00213155" w:rsidRDefault="00213155" w:rsidP="00213155">
      <w:pPr>
        <w:pStyle w:val="af5"/>
        <w:spacing w:before="156" w:after="156"/>
        <w:rPr>
          <w:rFonts w:eastAsiaTheme="minorEastAsia"/>
        </w:rPr>
      </w:pPr>
      <w:r w:rsidRPr="00213155">
        <w:t>The complete experimental evaluation values are provided in Appendix B.</w:t>
      </w:r>
    </w:p>
    <w:p w14:paraId="76C95595" w14:textId="77777777" w:rsidR="00CE06BF" w:rsidRPr="00D22B50" w:rsidRDefault="00CE06BF" w:rsidP="00CE06BF">
      <w:pPr>
        <w:pStyle w:val="2"/>
        <w:rPr>
          <w:rFonts w:hint="eastAsia"/>
        </w:rPr>
      </w:pPr>
      <w:bookmarkStart w:id="83" w:name="_Toc228913885"/>
      <w:r w:rsidRPr="00D22B50">
        <w:t>6.4 Architectural Duel: LSTM vs. Transformer in Cold-Start</w:t>
      </w:r>
      <w:bookmarkEnd w:id="83"/>
    </w:p>
    <w:p w14:paraId="24E52440" w14:textId="658E58FD" w:rsidR="00CE06BF" w:rsidRPr="00D22B50" w:rsidRDefault="00CE06BF" w:rsidP="00FD5995">
      <w:pPr>
        <w:pStyle w:val="af5"/>
        <w:spacing w:before="156" w:after="156"/>
      </w:pPr>
      <w:r w:rsidRPr="00D22B50">
        <w:t xml:space="preserve">Having established the absolute necessity of the </w:t>
      </w:r>
      <w:r w:rsidR="00BD7543">
        <w:t>“</w:t>
      </w:r>
      <w:r w:rsidRPr="00D22B50">
        <w:t>Pre-training and Fine-tuning</w:t>
      </w:r>
      <w:r w:rsidR="00BD7543">
        <w:t>”</w:t>
      </w:r>
      <w:r w:rsidRPr="00D22B50">
        <w:t xml:space="preserve"> paradigm and successfully mitigated the negative transfer phenomenon, the final experimental phase evaluated the intrinsic robustness of different neural architectures under extreme data scarcity. In this head-to-head benchmark, both the LSTM and the newly introduced Transformer models—enhanced with temporal covariates (Hour, DayOfWeek) and individually optimized via Optuna—were subjected to the identical 10-day adaptive fine-tuning strategy.</w:t>
      </w:r>
    </w:p>
    <w:p w14:paraId="05AC6D1E" w14:textId="77777777" w:rsidR="00CE06BF" w:rsidRPr="00D22B50" w:rsidRDefault="00CE06BF" w:rsidP="001D631B">
      <w:pPr>
        <w:pStyle w:val="3"/>
        <w:rPr>
          <w:rFonts w:hint="eastAsia"/>
        </w:rPr>
      </w:pPr>
      <w:bookmarkStart w:id="84" w:name="_Toc228913886"/>
      <w:r w:rsidRPr="00D22B50">
        <w:t>6.4.1 Quantitative Comparison of Mean Performance</w:t>
      </w:r>
      <w:bookmarkEnd w:id="84"/>
      <w:r w:rsidRPr="00D22B50">
        <w:t xml:space="preserve"> </w:t>
      </w:r>
    </w:p>
    <w:p w14:paraId="42E2BE69" w14:textId="09E5C91C" w:rsidR="00CE06BF" w:rsidRPr="00457400" w:rsidRDefault="00CE06BF" w:rsidP="00457400">
      <w:pPr>
        <w:pStyle w:val="af5"/>
        <w:spacing w:before="156" w:after="156"/>
      </w:pPr>
      <w:r w:rsidRPr="00457400">
        <w:t xml:space="preserve">Table </w:t>
      </w:r>
      <w:r w:rsidR="00AC5B88">
        <w:rPr>
          <w:rFonts w:eastAsiaTheme="minorEastAsia" w:hint="eastAsia"/>
        </w:rPr>
        <w:t>3</w:t>
      </w:r>
      <w:r w:rsidR="00457400" w:rsidRPr="00457400">
        <w:rPr>
          <w:rFonts w:eastAsiaTheme="minorEastAsia" w:hint="eastAsia"/>
        </w:rPr>
        <w:t>.</w:t>
      </w:r>
      <w:r w:rsidRPr="00457400">
        <w:t xml:space="preserve"> summarizes the aggregated performance metrics across the 30 target households during the cold-start window.</w:t>
      </w:r>
    </w:p>
    <w:p w14:paraId="0FAFA9EC" w14:textId="5732F027" w:rsidR="00CE06BF" w:rsidRPr="00D22B50" w:rsidRDefault="00CE06BF" w:rsidP="00FD5995">
      <w:pPr>
        <w:jc w:val="center"/>
        <w:rPr>
          <w:rFonts w:ascii="Times New Roman" w:hAnsi="Times New Roman" w:cs="Times New Roman"/>
        </w:rPr>
      </w:pPr>
      <w:r w:rsidRPr="00D22B50">
        <w:rPr>
          <w:rFonts w:ascii="Times New Roman" w:hAnsi="Times New Roman" w:cs="Times New Roman"/>
        </w:rPr>
        <w:t xml:space="preserve">Table </w:t>
      </w:r>
      <w:r w:rsidR="00AC5B88">
        <w:rPr>
          <w:rFonts w:ascii="Times New Roman" w:hAnsi="Times New Roman" w:cs="Times New Roman" w:hint="eastAsia"/>
        </w:rPr>
        <w:t>3</w:t>
      </w:r>
      <w:r w:rsidRPr="00D22B50">
        <w:rPr>
          <w:rFonts w:ascii="Times New Roman" w:hAnsi="Times New Roman" w:cs="Times New Roman"/>
        </w:rPr>
        <w:t>: Mean Performance Comparison (30 Households)</w:t>
      </w:r>
    </w:p>
    <w:tbl>
      <w:tblPr>
        <w:tblStyle w:val="21"/>
        <w:tblW w:w="0" w:type="auto"/>
        <w:tblLook w:val="04A0" w:firstRow="1" w:lastRow="0" w:firstColumn="1" w:lastColumn="0" w:noHBand="0" w:noVBand="1"/>
      </w:tblPr>
      <w:tblGrid>
        <w:gridCol w:w="2074"/>
        <w:gridCol w:w="2074"/>
        <w:gridCol w:w="2074"/>
        <w:gridCol w:w="2074"/>
      </w:tblGrid>
      <w:tr w:rsidR="00CE06BF" w:rsidRPr="00D22B50" w14:paraId="751109E6" w14:textId="77777777" w:rsidTr="00FD59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61168C2A" w14:textId="77777777" w:rsidR="00CE06BF" w:rsidRPr="00D22B50" w:rsidRDefault="00CE06BF" w:rsidP="001D048B">
            <w:pPr>
              <w:rPr>
                <w:rFonts w:hint="eastAsia"/>
                <w:b w:val="0"/>
                <w:bCs w:val="0"/>
              </w:rPr>
            </w:pPr>
            <w:r w:rsidRPr="00D22B50">
              <w:rPr>
                <w:rStyle w:val="af4"/>
                <w:rFonts w:ascii="Arial" w:hAnsi="Arial" w:cs="Arial"/>
                <w:color w:val="1F1F1F"/>
                <w:bdr w:val="none" w:sz="0" w:space="0" w:color="auto" w:frame="1"/>
              </w:rPr>
              <w:t>Architecture</w:t>
            </w:r>
          </w:p>
        </w:tc>
        <w:tc>
          <w:tcPr>
            <w:tcW w:w="2074" w:type="dxa"/>
          </w:tcPr>
          <w:p w14:paraId="390C0166" w14:textId="77777777" w:rsidR="00CE06BF" w:rsidRPr="00D22B50" w:rsidRDefault="00CE06BF" w:rsidP="001D048B">
            <w:pPr>
              <w:cnfStyle w:val="100000000000" w:firstRow="1" w:lastRow="0" w:firstColumn="0" w:lastColumn="0" w:oddVBand="0" w:evenVBand="0" w:oddHBand="0" w:evenHBand="0" w:firstRowFirstColumn="0" w:firstRowLastColumn="0" w:lastRowFirstColumn="0" w:lastRowLastColumn="0"/>
              <w:rPr>
                <w:rFonts w:hint="eastAsia"/>
                <w:b w:val="0"/>
                <w:bCs w:val="0"/>
              </w:rPr>
            </w:pPr>
            <w:r w:rsidRPr="00D22B50">
              <w:rPr>
                <w:rStyle w:val="af4"/>
                <w:rFonts w:ascii="Arial" w:hAnsi="Arial" w:cs="Arial"/>
                <w:color w:val="1F1F1F"/>
                <w:bdr w:val="none" w:sz="0" w:space="0" w:color="auto" w:frame="1"/>
              </w:rPr>
              <w:t>Strategy</w:t>
            </w:r>
          </w:p>
        </w:tc>
        <w:tc>
          <w:tcPr>
            <w:tcW w:w="2074" w:type="dxa"/>
          </w:tcPr>
          <w:p w14:paraId="1C9E6D3D" w14:textId="77777777" w:rsidR="00CE06BF" w:rsidRPr="00D22B50" w:rsidRDefault="00CE06BF" w:rsidP="001D048B">
            <w:pPr>
              <w:cnfStyle w:val="100000000000" w:firstRow="1" w:lastRow="0" w:firstColumn="0" w:lastColumn="0" w:oddVBand="0" w:evenVBand="0" w:oddHBand="0" w:evenHBand="0" w:firstRowFirstColumn="0" w:firstRowLastColumn="0" w:lastRowFirstColumn="0" w:lastRowLastColumn="0"/>
              <w:rPr>
                <w:rFonts w:hint="eastAsia"/>
                <w:b w:val="0"/>
                <w:bCs w:val="0"/>
              </w:rPr>
            </w:pPr>
            <w:r w:rsidRPr="00D22B50">
              <w:rPr>
                <w:rStyle w:val="af4"/>
                <w:rFonts w:ascii="Arial" w:hAnsi="Arial" w:cs="Arial"/>
                <w:color w:val="1F1F1F"/>
                <w:bdr w:val="none" w:sz="0" w:space="0" w:color="auto" w:frame="1"/>
              </w:rPr>
              <w:t>MSE (Mean)</w:t>
            </w:r>
          </w:p>
        </w:tc>
        <w:tc>
          <w:tcPr>
            <w:tcW w:w="2074" w:type="dxa"/>
          </w:tcPr>
          <w:p w14:paraId="04D18612" w14:textId="77777777" w:rsidR="00CE06BF" w:rsidRPr="00D22B50" w:rsidRDefault="00CE06BF" w:rsidP="001D048B">
            <w:pPr>
              <w:cnfStyle w:val="100000000000" w:firstRow="1" w:lastRow="0" w:firstColumn="0" w:lastColumn="0" w:oddVBand="0" w:evenVBand="0" w:oddHBand="0" w:evenHBand="0" w:firstRowFirstColumn="0" w:firstRowLastColumn="0" w:lastRowFirstColumn="0" w:lastRowLastColumn="0"/>
              <w:rPr>
                <w:rFonts w:hint="eastAsia"/>
                <w:b w:val="0"/>
                <w:bCs w:val="0"/>
              </w:rPr>
            </w:pPr>
            <w:r w:rsidRPr="00D22B50">
              <w:rPr>
                <w:rStyle w:val="af4"/>
                <w:rFonts w:ascii="Arial" w:hAnsi="Arial" w:cs="Arial"/>
                <w:color w:val="1F1F1F"/>
                <w:bdr w:val="none" w:sz="0" w:space="0" w:color="auto" w:frame="1"/>
              </w:rPr>
              <w:t>MAPE (Mean)</w:t>
            </w:r>
          </w:p>
        </w:tc>
      </w:tr>
      <w:tr w:rsidR="00CE06BF" w:rsidRPr="00D22B50" w14:paraId="3CF5748B" w14:textId="77777777" w:rsidTr="00FD5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29B5A096" w14:textId="77777777" w:rsidR="00CE06BF" w:rsidRPr="00D22B50" w:rsidRDefault="00CE06BF" w:rsidP="001D048B">
            <w:pPr>
              <w:rPr>
                <w:rFonts w:hint="eastAsia"/>
                <w:b w:val="0"/>
                <w:bCs w:val="0"/>
              </w:rPr>
            </w:pPr>
            <w:r w:rsidRPr="00D22B50">
              <w:rPr>
                <w:rFonts w:ascii="Arial" w:hAnsi="Arial" w:cs="Arial"/>
                <w:b w:val="0"/>
                <w:bCs w:val="0"/>
                <w:color w:val="1F1F1F"/>
                <w:bdr w:val="none" w:sz="0" w:space="0" w:color="auto" w:frame="1"/>
              </w:rPr>
              <w:t>LSTM</w:t>
            </w:r>
          </w:p>
        </w:tc>
        <w:tc>
          <w:tcPr>
            <w:tcW w:w="2074" w:type="dxa"/>
          </w:tcPr>
          <w:p w14:paraId="37DE60DA" w14:textId="77777777" w:rsidR="00CE06BF" w:rsidRPr="00D22B50" w:rsidRDefault="00CE06BF" w:rsidP="001D048B">
            <w:pPr>
              <w:cnfStyle w:val="000000100000" w:firstRow="0" w:lastRow="0" w:firstColumn="0" w:lastColumn="0" w:oddVBand="0" w:evenVBand="0" w:oddHBand="1" w:evenHBand="0" w:firstRowFirstColumn="0" w:firstRowLastColumn="0" w:lastRowFirstColumn="0" w:lastRowLastColumn="0"/>
              <w:rPr>
                <w:rFonts w:hint="eastAsia"/>
              </w:rPr>
            </w:pPr>
            <w:r w:rsidRPr="00D22B50">
              <w:rPr>
                <w:rFonts w:ascii="Arial" w:hAnsi="Arial" w:cs="Arial"/>
                <w:color w:val="1F1F1F"/>
                <w:bdr w:val="none" w:sz="0" w:space="0" w:color="auto" w:frame="1"/>
              </w:rPr>
              <w:t>Adaptive Fine-tuning</w:t>
            </w:r>
          </w:p>
        </w:tc>
        <w:tc>
          <w:tcPr>
            <w:tcW w:w="2074" w:type="dxa"/>
          </w:tcPr>
          <w:p w14:paraId="6936542C" w14:textId="77777777" w:rsidR="00CE06BF" w:rsidRPr="00D22B50" w:rsidRDefault="00CE06BF" w:rsidP="001D048B">
            <w:pPr>
              <w:cnfStyle w:val="000000100000" w:firstRow="0" w:lastRow="0" w:firstColumn="0" w:lastColumn="0" w:oddVBand="0" w:evenVBand="0" w:oddHBand="1" w:evenHBand="0" w:firstRowFirstColumn="0" w:firstRowLastColumn="0" w:lastRowFirstColumn="0" w:lastRowLastColumn="0"/>
              <w:rPr>
                <w:rFonts w:hint="eastAsia"/>
              </w:rPr>
            </w:pPr>
            <w:r w:rsidRPr="00D22B50">
              <w:rPr>
                <w:rFonts w:ascii="Arial" w:hAnsi="Arial" w:cs="Arial"/>
                <w:color w:val="1F1F1F"/>
                <w:bdr w:val="none" w:sz="0" w:space="0" w:color="auto" w:frame="1"/>
              </w:rPr>
              <w:t>0.4849</w:t>
            </w:r>
          </w:p>
        </w:tc>
        <w:tc>
          <w:tcPr>
            <w:tcW w:w="2074" w:type="dxa"/>
          </w:tcPr>
          <w:p w14:paraId="6448190A" w14:textId="77777777" w:rsidR="00CE06BF" w:rsidRPr="00D22B50" w:rsidRDefault="00CE06BF" w:rsidP="001D048B">
            <w:pPr>
              <w:cnfStyle w:val="000000100000" w:firstRow="0" w:lastRow="0" w:firstColumn="0" w:lastColumn="0" w:oddVBand="0" w:evenVBand="0" w:oddHBand="1" w:evenHBand="0" w:firstRowFirstColumn="0" w:firstRowLastColumn="0" w:lastRowFirstColumn="0" w:lastRowLastColumn="0"/>
              <w:rPr>
                <w:rFonts w:hint="eastAsia"/>
              </w:rPr>
            </w:pPr>
            <w:r w:rsidRPr="00D22B50">
              <w:rPr>
                <w:rFonts w:ascii="Arial" w:hAnsi="Arial" w:cs="Arial"/>
                <w:color w:val="1F1F1F"/>
                <w:bdr w:val="none" w:sz="0" w:space="0" w:color="auto" w:frame="1"/>
              </w:rPr>
              <w:t>285.80%</w:t>
            </w:r>
          </w:p>
        </w:tc>
      </w:tr>
      <w:tr w:rsidR="00CE06BF" w:rsidRPr="00D22B50" w14:paraId="414D4272" w14:textId="77777777" w:rsidTr="00FD5995">
        <w:tc>
          <w:tcPr>
            <w:cnfStyle w:val="001000000000" w:firstRow="0" w:lastRow="0" w:firstColumn="1" w:lastColumn="0" w:oddVBand="0" w:evenVBand="0" w:oddHBand="0" w:evenHBand="0" w:firstRowFirstColumn="0" w:firstRowLastColumn="0" w:lastRowFirstColumn="0" w:lastRowLastColumn="0"/>
            <w:tcW w:w="2074" w:type="dxa"/>
          </w:tcPr>
          <w:p w14:paraId="2F84BF28" w14:textId="77777777" w:rsidR="00CE06BF" w:rsidRPr="00D22B50" w:rsidRDefault="00CE06BF" w:rsidP="001D048B">
            <w:pPr>
              <w:rPr>
                <w:rFonts w:hint="eastAsia"/>
                <w:b w:val="0"/>
                <w:bCs w:val="0"/>
              </w:rPr>
            </w:pPr>
            <w:r w:rsidRPr="00D22B50">
              <w:rPr>
                <w:rFonts w:ascii="Arial" w:hAnsi="Arial" w:cs="Arial"/>
                <w:b w:val="0"/>
                <w:bCs w:val="0"/>
                <w:color w:val="1F1F1F"/>
                <w:bdr w:val="none" w:sz="0" w:space="0" w:color="auto" w:frame="1"/>
              </w:rPr>
              <w:t>Transformer</w:t>
            </w:r>
          </w:p>
        </w:tc>
        <w:tc>
          <w:tcPr>
            <w:tcW w:w="2074" w:type="dxa"/>
          </w:tcPr>
          <w:p w14:paraId="12A62006" w14:textId="77777777" w:rsidR="00CE06BF" w:rsidRPr="00D22B50" w:rsidRDefault="00CE06BF" w:rsidP="001D048B">
            <w:pPr>
              <w:cnfStyle w:val="000000000000" w:firstRow="0" w:lastRow="0" w:firstColumn="0" w:lastColumn="0" w:oddVBand="0" w:evenVBand="0" w:oddHBand="0" w:evenHBand="0" w:firstRowFirstColumn="0" w:firstRowLastColumn="0" w:lastRowFirstColumn="0" w:lastRowLastColumn="0"/>
              <w:rPr>
                <w:rFonts w:hint="eastAsia"/>
              </w:rPr>
            </w:pPr>
            <w:r w:rsidRPr="00D22B50">
              <w:rPr>
                <w:rFonts w:ascii="Arial" w:hAnsi="Arial" w:cs="Arial"/>
                <w:color w:val="1F1F1F"/>
                <w:bdr w:val="none" w:sz="0" w:space="0" w:color="auto" w:frame="1"/>
              </w:rPr>
              <w:t>Adaptive Fine-tuning</w:t>
            </w:r>
          </w:p>
        </w:tc>
        <w:tc>
          <w:tcPr>
            <w:tcW w:w="2074" w:type="dxa"/>
          </w:tcPr>
          <w:p w14:paraId="0A274C64" w14:textId="77777777" w:rsidR="00CE06BF" w:rsidRPr="00D22B50" w:rsidRDefault="00CE06BF" w:rsidP="001D048B">
            <w:pPr>
              <w:cnfStyle w:val="000000000000" w:firstRow="0" w:lastRow="0" w:firstColumn="0" w:lastColumn="0" w:oddVBand="0" w:evenVBand="0" w:oddHBand="0" w:evenHBand="0" w:firstRowFirstColumn="0" w:firstRowLastColumn="0" w:lastRowFirstColumn="0" w:lastRowLastColumn="0"/>
              <w:rPr>
                <w:rFonts w:hint="eastAsia"/>
              </w:rPr>
            </w:pPr>
            <w:r w:rsidRPr="00D22B50">
              <w:rPr>
                <w:rFonts w:ascii="Arial" w:hAnsi="Arial" w:cs="Arial"/>
                <w:color w:val="1F1F1F"/>
                <w:bdr w:val="none" w:sz="0" w:space="0" w:color="auto" w:frame="1"/>
              </w:rPr>
              <w:t>0.4984</w:t>
            </w:r>
          </w:p>
        </w:tc>
        <w:tc>
          <w:tcPr>
            <w:tcW w:w="2074" w:type="dxa"/>
          </w:tcPr>
          <w:p w14:paraId="20AA5360" w14:textId="77777777" w:rsidR="00CE06BF" w:rsidRPr="00D22B50" w:rsidRDefault="00CE06BF" w:rsidP="001D048B">
            <w:pPr>
              <w:cnfStyle w:val="000000000000" w:firstRow="0" w:lastRow="0" w:firstColumn="0" w:lastColumn="0" w:oddVBand="0" w:evenVBand="0" w:oddHBand="0" w:evenHBand="0" w:firstRowFirstColumn="0" w:firstRowLastColumn="0" w:lastRowFirstColumn="0" w:lastRowLastColumn="0"/>
              <w:rPr>
                <w:rFonts w:hint="eastAsia"/>
              </w:rPr>
            </w:pPr>
            <w:r w:rsidRPr="00D22B50">
              <w:rPr>
                <w:rFonts w:ascii="Arial" w:hAnsi="Arial" w:cs="Arial"/>
                <w:color w:val="1F1F1F"/>
                <w:bdr w:val="none" w:sz="0" w:space="0" w:color="auto" w:frame="1"/>
              </w:rPr>
              <w:t>302.35%</w:t>
            </w:r>
          </w:p>
        </w:tc>
      </w:tr>
      <w:tr w:rsidR="00CE06BF" w:rsidRPr="00D22B50" w14:paraId="53419EF6" w14:textId="77777777" w:rsidTr="00FD5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4BFAEE93" w14:textId="77777777" w:rsidR="00CE06BF" w:rsidRPr="00D22B50" w:rsidRDefault="00CE06BF" w:rsidP="001D048B">
            <w:pPr>
              <w:rPr>
                <w:rFonts w:hint="eastAsia"/>
                <w:b w:val="0"/>
                <w:bCs w:val="0"/>
              </w:rPr>
            </w:pPr>
            <w:r w:rsidRPr="00D22B50">
              <w:rPr>
                <w:rFonts w:ascii="Arial" w:hAnsi="Arial" w:cs="Arial"/>
                <w:b w:val="0"/>
                <w:bCs w:val="0"/>
                <w:color w:val="1F1F1F"/>
                <w:bdr w:val="none" w:sz="0" w:space="0" w:color="auto" w:frame="1"/>
              </w:rPr>
              <w:t>Combined</w:t>
            </w:r>
          </w:p>
        </w:tc>
        <w:tc>
          <w:tcPr>
            <w:tcW w:w="2074" w:type="dxa"/>
          </w:tcPr>
          <w:p w14:paraId="749F4B1A" w14:textId="77777777" w:rsidR="00CE06BF" w:rsidRPr="00D22B50" w:rsidRDefault="00CE06BF" w:rsidP="001D048B">
            <w:pPr>
              <w:cnfStyle w:val="000000100000" w:firstRow="0" w:lastRow="0" w:firstColumn="0" w:lastColumn="0" w:oddVBand="0" w:evenVBand="0" w:oddHBand="1" w:evenHBand="0" w:firstRowFirstColumn="0" w:firstRowLastColumn="0" w:lastRowFirstColumn="0" w:lastRowLastColumn="0"/>
              <w:rPr>
                <w:rFonts w:hint="eastAsia"/>
              </w:rPr>
            </w:pPr>
            <w:r w:rsidRPr="00D22B50">
              <w:rPr>
                <w:rFonts w:ascii="Arial" w:hAnsi="Arial" w:cs="Arial"/>
                <w:color w:val="1F1F1F"/>
                <w:bdr w:val="none" w:sz="0" w:space="0" w:color="auto" w:frame="1"/>
              </w:rPr>
              <w:t>Training from Scratch</w:t>
            </w:r>
          </w:p>
        </w:tc>
        <w:tc>
          <w:tcPr>
            <w:tcW w:w="2074" w:type="dxa"/>
          </w:tcPr>
          <w:p w14:paraId="1E110C26" w14:textId="77777777" w:rsidR="00CE06BF" w:rsidRPr="00D22B50" w:rsidRDefault="00CE06BF" w:rsidP="001D048B">
            <w:pPr>
              <w:cnfStyle w:val="000000100000" w:firstRow="0" w:lastRow="0" w:firstColumn="0" w:lastColumn="0" w:oddVBand="0" w:evenVBand="0" w:oddHBand="1" w:evenHBand="0" w:firstRowFirstColumn="0" w:firstRowLastColumn="0" w:lastRowFirstColumn="0" w:lastRowLastColumn="0"/>
              <w:rPr>
                <w:rFonts w:hint="eastAsia"/>
              </w:rPr>
            </w:pPr>
            <w:r w:rsidRPr="00D22B50">
              <w:rPr>
                <w:rFonts w:ascii="Arial" w:hAnsi="Arial" w:cs="Arial"/>
                <w:color w:val="1F1F1F"/>
                <w:bdr w:val="none" w:sz="0" w:space="0" w:color="auto" w:frame="1"/>
              </w:rPr>
              <w:t>0.7080</w:t>
            </w:r>
          </w:p>
        </w:tc>
        <w:tc>
          <w:tcPr>
            <w:tcW w:w="2074" w:type="dxa"/>
          </w:tcPr>
          <w:p w14:paraId="0F0BD045" w14:textId="77777777" w:rsidR="00CE06BF" w:rsidRPr="00D22B50" w:rsidRDefault="00CE06BF" w:rsidP="001D048B">
            <w:pPr>
              <w:cnfStyle w:val="000000100000" w:firstRow="0" w:lastRow="0" w:firstColumn="0" w:lastColumn="0" w:oddVBand="0" w:evenVBand="0" w:oddHBand="1" w:evenHBand="0" w:firstRowFirstColumn="0" w:firstRowLastColumn="0" w:lastRowFirstColumn="0" w:lastRowLastColumn="0"/>
              <w:rPr>
                <w:rFonts w:hint="eastAsia"/>
              </w:rPr>
            </w:pPr>
            <w:r w:rsidRPr="00D22B50">
              <w:rPr>
                <w:rFonts w:ascii="Arial" w:hAnsi="Arial" w:cs="Arial"/>
                <w:color w:val="1F1F1F"/>
                <w:bdr w:val="none" w:sz="0" w:space="0" w:color="auto" w:frame="1"/>
              </w:rPr>
              <w:t>355.01%</w:t>
            </w:r>
          </w:p>
        </w:tc>
      </w:tr>
    </w:tbl>
    <w:p w14:paraId="177C308A" w14:textId="08CA0F71" w:rsidR="00CE06BF" w:rsidRDefault="00CE06BF" w:rsidP="00FD5995">
      <w:pPr>
        <w:pStyle w:val="af5"/>
        <w:spacing w:before="156" w:after="156"/>
        <w:rPr>
          <w:rFonts w:eastAsiaTheme="minorEastAsia"/>
        </w:rPr>
      </w:pPr>
      <w:r w:rsidRPr="00D22B50">
        <w:t xml:space="preserve">The empirical data clearly indicates that while both fine-tuned architectures vastly outperformed the </w:t>
      </w:r>
      <w:r w:rsidR="00BD7543">
        <w:t>“</w:t>
      </w:r>
      <w:r w:rsidRPr="00D22B50">
        <w:t>from-scratch</w:t>
      </w:r>
      <w:r w:rsidR="00BD7543">
        <w:t>”</w:t>
      </w:r>
      <w:r w:rsidRPr="00D22B50">
        <w:t xml:space="preserve"> baseline (MSE = 0.7080), the LSTM framework consistently demonstrated superior stability over the Transformer within the strict 10-day cold-start window. Specifically, the LSTM achieved an average MSE of 0.4849, outperforming the Transformer</w:t>
      </w:r>
      <w:r w:rsidR="00BD7543">
        <w:t>’</w:t>
      </w:r>
      <w:r w:rsidRPr="00D22B50">
        <w:t>s 0.4984 by approximately 2.7%. This finding is of high scholarly significance, as it directly challenges the contemporary trend of defaulting to Attention-based models for all sequence tasks, particularly in environments where target domain data is critically sparse.</w:t>
      </w:r>
      <w:r w:rsidR="00CE1344" w:rsidRPr="00D22B50">
        <w:rPr>
          <w:rFonts w:asciiTheme="minorHAnsi" w:eastAsiaTheme="minorEastAsia" w:hAnsiTheme="minorHAnsi"/>
          <w:sz w:val="21"/>
        </w:rPr>
        <w:t xml:space="preserve"> </w:t>
      </w:r>
      <w:r w:rsidR="00CE1344" w:rsidRPr="00D22B50">
        <w:t xml:space="preserve">Prior investigations into deep neural network benchmarks have noted similar sensitivities when comparing recurrence-based and attention-based models across diverse energy scales </w:t>
      </w:r>
      <w:r w:rsidR="001D18D6" w:rsidRPr="00D22B50">
        <w:fldChar w:fldCharType="begin"/>
      </w:r>
      <w:r w:rsidR="001D18D6" w:rsidRPr="00D22B50">
        <w:instrText xml:space="preserve"> ADDIN ZOTERO_ITEM CSL_CITATION {"citationID":"ynZsklsL","properties":{"formattedCitation":"[39], [40]","plainCitation":"[39], [40]","noteIndex":0},"citationItems":[{"id":668,"uris":["http://zotero.org/users/local/p3tV44H5/items/L5AX8785"],"itemData":{"id":668,"type":"article-journal","abstract":"Numerous deep learning architectures have been developed to accommodate the diversity of time-series datasets across different domains. In this article, we survey common encoder and decoder designs used in both one-step-ahead and multi-horizon time-series forecasting—describing how temporal information is incorporated into predictions by each model. Next, we highlight recent developments in hybrid deep learning models, which combine well-studied statistical models with neural network components to improve pure methods in either category. Lastly, we outline some ways in which deep learning can also facilitate decision support with time-series data.\n            This article is part of the theme issue ‘Machine learning for weather and climate modelling’.","container-title":"Philosophical Transactions of the Royal Society A: Mathematical, Physical and Engineering Sciences","DOI":"10.1098/rsta.2020.0209","ISSN":"1364-503X, 1471-2962","issue":"2194","journalAbbreviation":"Phil. Trans. R. Soc. A.","language":"en","page":"20200209","source":"DOI.org (Crossref)","title":"Time-series forecasting with deep learning: a survey","title-short":"Time-series forecasting with deep learning","volume":"379","author":[{"family":"Lim","given":"Bryan"},{"family":"Zohren","given":"Stefan"}],"issued":{"date-parts":[["2021",4,5]]}}},{"id":675,"uris":["http://zotero.org/users/local/p3tV44H5/items/IDXM8DIF"],"itemData":{"id":675,"type":"paper-conference","abstract":"Ensuring sustainability demands more efficient energy management with minimized energy wastage. Therefore, the power grid of the future should provide an unprecedented level of flexibility in energy management. To that end, intelligent decision making requires accurate predictions of future energy demand/load, both at aggregate and individual site level. Thus, energy load forecasting have received increased attention in the recent past. However, it has proven to be a difficult problem. This paper presents a novel energy load forecasting methodology based on Deep Neural Networks, specifically, Long Short Term Memory (LSTM) algorithms. The presented work investigates two LSTM based architectures: 1) standard LSTM and 2) LSTM-based Sequence to Sequence (S2S) architecture. Both methods were implemented on a benchmark data set of electricity consumption data from one residential customer. Both architectures were trained and tested on one hour and one-minute time-step resolution datasets. Experimental results showed that the standard LSTM failed at one-minute resolution data while performing well in one-hour resolution data. It was shown that S2S architecture performed well on both datasets. Further, it was shown that the presented methods produced comparable results with the other deep learning methods for energy forecasting in literature.","container-title":"IECON 2016 - 42nd Annual Conference of the IEEE Industrial Electronics Society","DOI":"10.1109/IECON.2016.7793413","event-title":"IECON 2016 - 42nd Annual Conference of the IEEE Industrial Electronics Society","page":"7046-7051","source":"IEEE Xplore","title":"Building energy load forecasting using Deep Neural Networks","URL":"https://ieeexplore.ieee.org/abstract/document/7793413","author":[{"family":"Marino","given":"Daniel L."},{"family":"Amarasinghe","given":"Kasun"},{"family":"Manic","given":"Milos"}],"accessed":{"date-parts":[["2026",5,1]]},"issued":{"date-parts":[["2016",10]]}}}],"schema":"https://github.com/citation-style-language/schema/raw/master/csl-citation.json"} </w:instrText>
      </w:r>
      <w:r w:rsidR="001D18D6" w:rsidRPr="00D22B50">
        <w:fldChar w:fldCharType="separate"/>
      </w:r>
      <w:r w:rsidR="001D18D6" w:rsidRPr="00D22B50">
        <w:rPr>
          <w:rFonts w:cs="Times New Roman"/>
        </w:rPr>
        <w:t>[39], [40]</w:t>
      </w:r>
      <w:r w:rsidR="001D18D6" w:rsidRPr="00D22B50">
        <w:fldChar w:fldCharType="end"/>
      </w:r>
      <w:r w:rsidR="00CE1344" w:rsidRPr="00D22B50">
        <w:t>.</w:t>
      </w:r>
    </w:p>
    <w:p w14:paraId="0F9C756F" w14:textId="70C9AD5C" w:rsidR="00967A4B" w:rsidRPr="00967A4B" w:rsidRDefault="00967A4B" w:rsidP="00FD5995">
      <w:pPr>
        <w:pStyle w:val="af5"/>
        <w:spacing w:before="156" w:after="156"/>
        <w:rPr>
          <w:rFonts w:eastAsiaTheme="minorEastAsia" w:hint="eastAsia"/>
        </w:rPr>
      </w:pPr>
      <w:r w:rsidRPr="00967A4B">
        <w:rPr>
          <w:rFonts w:eastAsiaTheme="minorEastAsia"/>
        </w:rPr>
        <w:t>The complete raw data of Table 3 is provided in Appendix C.</w:t>
      </w:r>
    </w:p>
    <w:p w14:paraId="125EEA90" w14:textId="77777777" w:rsidR="00CE06BF" w:rsidRPr="00D22B50" w:rsidRDefault="00CE06BF" w:rsidP="00CE06BF">
      <w:pPr>
        <w:pStyle w:val="3"/>
        <w:rPr>
          <w:rFonts w:hint="eastAsia"/>
        </w:rPr>
      </w:pPr>
      <w:bookmarkStart w:id="85" w:name="_Toc228913887"/>
      <w:r w:rsidRPr="00D22B50">
        <w:lastRenderedPageBreak/>
        <w:t>6.4.2 Theoretical Analysis: Inductive Bias vs. Data Hunger</w:t>
      </w:r>
      <w:bookmarkEnd w:id="85"/>
      <w:r w:rsidRPr="00D22B50">
        <w:t xml:space="preserve"> </w:t>
      </w:r>
    </w:p>
    <w:p w14:paraId="5E595447" w14:textId="51C703A3" w:rsidR="00CE06BF" w:rsidRPr="00D22B50" w:rsidRDefault="00CE06BF" w:rsidP="00FD5995">
      <w:pPr>
        <w:pStyle w:val="af5"/>
        <w:spacing w:before="156" w:after="156"/>
      </w:pPr>
      <w:r w:rsidRPr="00D22B50">
        <w:t xml:space="preserve">The empirical superiority of the LSTM in this specific regime can be elucidated through the theoretical lens of inductive bias. </w:t>
      </w:r>
      <w:r w:rsidR="00236858" w:rsidRPr="00D22B50">
        <w:t xml:space="preserve">The Transformer architecture relies entirely on the Multi-Head Self-Attention (MHSA) mechanism to compute global relationships across all time steps simultaneously. However, recent empirical evidence suggests that standard attention mechanisms can be outperformed by specialized sequence models in data-constrained scenarios </w:t>
      </w:r>
      <w:r w:rsidR="001D18D6" w:rsidRPr="00D22B50">
        <w:fldChar w:fldCharType="begin"/>
      </w:r>
      <w:r w:rsidR="001D18D6" w:rsidRPr="00D22B50">
        <w:instrText xml:space="preserve"> ADDIN ZOTERO_ITEM CSL_CITATION {"citationID":"ZB2Zd5pa","properties":{"formattedCitation":"[41]","plainCitation":"[41]","noteIndex":0},"citationItems":[{"id":597,"uris":["http://zotero.org/users/local/p3tV44H5/items/S8YC7LFL"],"itemData":{"id":597,"type":"article-journal","abstract":"Many real-world applications require the prediction of long sequence time-series, such as electricity consumption planning. Long sequence time-series forecasting (LSTF) demands a high prediction capacity of the model, which is the ability to capture precise long-range dependency coupling between output and input efficiently. Recent studies have shown the potential of Transformer to increase the prediction capacity. However, there are several severe issues with Transformer that prevent it from being directly applicable to LSTF, including quadratic time complexity, high memory usage, and inherent limitation of the encoder-decoder architecture. To address these issues, we design an efficient transformer-based model for LSTF, named Informer, with three distinctive characteristics: (i) a ProbSparse self-attention mechanism, which achieves O(L log L) in time complexity and memory usage, and has comparable performance on sequences' dependency alignment. (ii) the self-attention distilling highlights dominating attention by halving cascading layer input, and efficiently handles extreme long input sequences. (iii) the generative style decoder, while conceptually simple, predicts the long time-series sequences at one forward operation rather than a step-by-step way, which drastically improves the inference speed of long-sequence predictions. Extensive experiments on four large-scale datasets demonstrate that Informer significantly outperforms existing methods and provides a new solution to the LSTF problem.","container-title":"Proceedings of the AAAI Conference on Artificial Intelligence","DOI":"10.1609/aaai.v35i12.17325","ISSN":"2374-3468","issue":"12","language":"en","license":"Copyright (c) 2021 Association for the Advancement of Artificial Intelligence","page":"11106-11115","source":"ojs.aaai.org","title":"Informer: Beyond Efficient Transformer for Long Sequence Time-Series Forecasting","title-short":"Informer","volume":"35","author":[{"family":"Zhou","given":"Haoyi"},{"family":"Zhang","given":"Shanghang"},{"family":"Peng","given":"Jieqi"},{"family":"Zhang","given":"Shuai"},{"family":"Li","given":"Jianxin"},{"family":"Xiong","given":"Hui"},{"family":"Zhang","given":"Wancai"}],"issued":{"date-parts":[["2021",5,18]]}}}],"schema":"https://github.com/citation-style-language/schema/raw/master/csl-citation.json"} </w:instrText>
      </w:r>
      <w:r w:rsidR="001D18D6" w:rsidRPr="00D22B50">
        <w:fldChar w:fldCharType="separate"/>
      </w:r>
      <w:r w:rsidR="001D18D6" w:rsidRPr="00D22B50">
        <w:rPr>
          <w:rFonts w:cs="Times New Roman"/>
        </w:rPr>
        <w:t>[41]</w:t>
      </w:r>
      <w:r w:rsidR="001D18D6" w:rsidRPr="00D22B50">
        <w:fldChar w:fldCharType="end"/>
      </w:r>
      <w:r w:rsidR="00236858" w:rsidRPr="00D22B50">
        <w:t>.</w:t>
      </w:r>
      <w:r w:rsidRPr="00D22B50">
        <w:t xml:space="preserve"> While this design offers theoretical advantages in capturing long-range dependencies without information bottlenecks </w:t>
      </w:r>
      <w:r w:rsidR="001D18D6" w:rsidRPr="00D22B50">
        <w:fldChar w:fldCharType="begin"/>
      </w:r>
      <w:r w:rsidR="001D18D6" w:rsidRPr="00D22B50">
        <w:instrText xml:space="preserve"> ADDIN ZOTERO_ITEM CSL_CITATION {"citationID":"zj8cUyQU","properties":{"formattedCitation":"[4]","plainCitation":"[4]","noteIndex":0},"citationItems":[{"id":567,"uris":["http://zotero.org/users/local/p3tV44H5/items/J38MU6UU"],"itemData":{"id":567,"type":"article-journal","abstract":"The current electric power system witnesses a significant transition into Smart Grids (SG) as a promising landscape for high grid reliability and efficient energy management. This ongoing transition undergoes rapid changes, requiring a plethora of advanced methodologies to process the big data generated by various units. In this context, SG stands tied very closely to Deep Learning (DL) as an emerging technology for creating a more decentralized and intelligent energy paradigm while integrating high intelligence in supervisory and operational decision-making. Motivated by the outstanding success of DL-based prediction methods, this article attempts to provide a thorough review from a broad perspective on the state-of-the-art advances of DL in SG systems. Firstly, a bibliometric analysis has been conducted to categorize this review's methodology. Further, we taxonomically delve into the mechanism behind some of the trending DL algorithms. We then showcase the DL enabling technologies in SG, such as federated learning, edge intelligence, and distributed computing. Finally, challenges and research frontiers are provided to serve as guidelines for future work in the futuristic power grid domain. This study's core objective is to foster the synergy between these two fields for decision-makers and researchers to accelerate DL's practical deployment for SG systems.","container-title":"IEEE Access","DOI":"10.1109/ACCESS.2021.3071269","ISSN":"2169-3536","page":"54558-54578","source":"IEEE Xplore","title":"Deep Learning in Smart Grid Technology: A Review of Recent Advancements and Future Prospects","title-short":"Deep Learning in Smart Grid Technology","volume":"9","author":[{"family":"Massaoudi","given":"Mohamed"},{"family":"Abu-Rub","given":"Haitham"},{"family":"Refaat","given":"Shady S."},{"family":"Chihi","given":"Ines"},{"family":"Oueslati","given":"Fakhreddine S."}],"issued":{"date-parts":[["2021"]]}}}],"schema":"https://github.com/citation-style-language/schema/raw/master/csl-citation.json"} </w:instrText>
      </w:r>
      <w:r w:rsidR="001D18D6" w:rsidRPr="00D22B50">
        <w:fldChar w:fldCharType="separate"/>
      </w:r>
      <w:r w:rsidR="001D18D6" w:rsidRPr="00D22B50">
        <w:rPr>
          <w:rFonts w:cs="Times New Roman"/>
        </w:rPr>
        <w:t>[4]</w:t>
      </w:r>
      <w:r w:rsidR="001D18D6" w:rsidRPr="00D22B50">
        <w:fldChar w:fldCharType="end"/>
      </w:r>
      <w:r w:rsidRPr="00D22B50">
        <w:t xml:space="preserve">, it is fundamentally </w:t>
      </w:r>
      <w:r w:rsidR="00BD7543">
        <w:t>“</w:t>
      </w:r>
      <w:r w:rsidRPr="00D22B50">
        <w:t>data-hungry.</w:t>
      </w:r>
      <w:r w:rsidR="00BD7543">
        <w:t>”</w:t>
      </w:r>
      <w:r w:rsidRPr="00D22B50">
        <w:t xml:space="preserve"> Transformers assume minimal structural priors; they rely purely on the attention matrix to discover temporal rules. Consequently, they require substantial data volumes to guarantee robust weight updates during the fine-tuning phase </w:t>
      </w:r>
      <w:r w:rsidR="001D18D6" w:rsidRPr="00D22B50">
        <w:fldChar w:fldCharType="begin"/>
      </w:r>
      <w:r w:rsidR="001D18D6" w:rsidRPr="00D22B50">
        <w:instrText xml:space="preserve"> ADDIN ZOTERO_ITEM CSL_CITATION {"citationID":"oJLYinvI","properties":{"formattedCitation":"[8], [9]","plainCitation":"[8], [9]","noteIndex":0},"citationItems":[{"id":512,"uris":["http://zotero.org/users/local/p3tV44H5/items/HCMHHT5F"],"itemData":{"id":512,"type":"article-journal","abstract":"Learning to store information over extended time intervals by recurrent backpropagation takes a very long time, mostly because of insufficient, decaying error backflow. We briefly review Hochreiter's (1991) analysis of this problem, then address it by introducing a novel, efficient, gradient based method called long short-term memory (LSTM). Truncating the gradient where this does not do harm, LSTM can learn to bridge minimal time lags in excess of 1000 discrete-time steps by enforcing constant error flow through constant error carousels within special units. Multiplicative gate units learn to open and close access to the constant error flow. LSTM is local in space and time; its computational complexity per time step and weight is O. 1. Our experiments with artificial data involve local, distributed, real-valued, and noisy pattern representations. In comparisons with real-time recurrent learning, back propagation through time, recurrent cascade correlation, Elman nets, and neural sequence chunking, LSTM leads to many more successful runs, and learns much faster. LSTM also solves complex, artificial long-time-lag tasks that have never been solved by previous recurrent network algorithms.","container-title":"Neural Computation","DOI":"10.1162/neco.1997.9.8.1735","ISSN":"0899-7667","issue":"8","page":"1735-1780","source":"IEEE Xplore","title":"Long Short-Term Memory","volume":"9","author":[{"family":"Hochreiter","given":"Sepp"},{"family":"Schmidhuber","given":"Jürgen"}],"issued":{"date-parts":[["1997",11]]}}},{"id":557,"uris":["http://zotero.org/users/local/p3tV44H5/items/N4D6A4RG"],"itemData":{"id":557,"type":"article-journal","abstract":"As the power system is facing a transition toward a more intelligent, flexible, and interactive system with higher penetration of renewable energy generation, load forecasting, especially short-term load forecasting for individual electric customers plays an increasingly essential role in the future grid planning and operation. Other than aggregated residential load in a large scale, forecasting an electric load of a single energy user is fairly challenging due to the high volatility and uncertainty involved. In this paper, we propose a long short-term memory (LSTM) recurrent neural network-based framework, which is the latest and one of the most popular techniques of deep learning, to tackle this tricky issue. The proposed framework is tested on a publicly available set of real residential smart meter data, of which the performance is comprehensively compared to various benchmarks including the state-of-the-arts in the field of load forecasting. As a result, the proposed LSTM approach outperforms the other listed rival algorithms in the task of short-term load forecasting for individual residential households.","container-title":"IEEE Transactions on Smart Grid","DOI":"10.1109/TSG.2017.2753802","ISSN":"1949-3061","issue":"1","page":"841-851","source":"IEEE Xplore","title":"Short-Term Residential Load Forecasting Based on LSTM Recurrent Neural Network","volume":"10","author":[{"family":"Kong","given":"Weicong"},{"family":"Dong","given":"Zhao Yang"},{"family":"Jia","given":"Youwei"},{"family":"Hill","given":"David J."},{"family":"Xu","given":"Yan"},{"family":"Zhang","given":"Yuan"}],"issued":{"date-parts":[["2019",1]]}}}],"schema":"https://github.com/citation-style-language/schema/raw/master/csl-citation.json"} </w:instrText>
      </w:r>
      <w:r w:rsidR="001D18D6" w:rsidRPr="00D22B50">
        <w:fldChar w:fldCharType="separate"/>
      </w:r>
      <w:r w:rsidR="001D18D6" w:rsidRPr="00D22B50">
        <w:rPr>
          <w:rFonts w:cs="Times New Roman"/>
        </w:rPr>
        <w:t>[8], [9]</w:t>
      </w:r>
      <w:r w:rsidR="001D18D6" w:rsidRPr="00D22B50">
        <w:fldChar w:fldCharType="end"/>
      </w:r>
      <w:r w:rsidRPr="00D22B50">
        <w:t>.</w:t>
      </w:r>
    </w:p>
    <w:p w14:paraId="240309F3" w14:textId="7868C594" w:rsidR="00CE06BF" w:rsidRPr="00D22B50" w:rsidRDefault="00CE06BF" w:rsidP="00FD5995">
      <w:pPr>
        <w:pStyle w:val="af5"/>
        <w:spacing w:before="156" w:after="156"/>
      </w:pPr>
      <w:r w:rsidRPr="00D22B50">
        <w:t xml:space="preserve">Conversely, the LSTM architecture possesses a strong inductive bias for sequential data. Its recurrent hidden state mathematically enforces the chronological flow of time, naturally processing data step-by-step </w:t>
      </w:r>
      <w:r w:rsidR="001D18D6" w:rsidRPr="00D22B50">
        <w:fldChar w:fldCharType="begin"/>
      </w:r>
      <w:r w:rsidR="001D18D6" w:rsidRPr="00D22B50">
        <w:instrText xml:space="preserve"> ADDIN ZOTERO_ITEM CSL_CITATION {"citationID":"9wcnPG2m","properties":{"formattedCitation":"[8]","plainCitation":"[8]","noteIndex":0},"citationItems":[{"id":512,"uris":["http://zotero.org/users/local/p3tV44H5/items/HCMHHT5F"],"itemData":{"id":512,"type":"article-journal","abstract":"Learning to store information over extended time intervals by recurrent backpropagation takes a very long time, mostly because of insufficient, decaying error backflow. We briefly review Hochreiter's (1991) analysis of this problem, then address it by introducing a novel, efficient, gradient based method called long short-term memory (LSTM). Truncating the gradient where this does not do harm, LSTM can learn to bridge minimal time lags in excess of 1000 discrete-time steps by enforcing constant error flow through constant error carousels within special units. Multiplicative gate units learn to open and close access to the constant error flow. LSTM is local in space and time; its computational complexity per time step and weight is O. 1. Our experiments with artificial data involve local, distributed, real-valued, and noisy pattern representations. In comparisons with real-time recurrent learning, back propagation through time, recurrent cascade correlation, Elman nets, and neural sequence chunking, LSTM leads to many more successful runs, and learns much faster. LSTM also solves complex, artificial long-time-lag tasks that have never been solved by previous recurrent network algorithms.","container-title":"Neural Computation","DOI":"10.1162/neco.1997.9.8.1735","ISSN":"0899-7667","issue":"8","page":"1735-1780","source":"IEEE Xplore","title":"Long Short-Term Memory","volume":"9","author":[{"family":"Hochreiter","given":"Sepp"},{"family":"Schmidhuber","given":"Jürgen"}],"issued":{"date-parts":[["1997",11]]}}}],"schema":"https://github.com/citation-style-language/schema/raw/master/csl-citation.json"} </w:instrText>
      </w:r>
      <w:r w:rsidR="001D18D6" w:rsidRPr="00D22B50">
        <w:fldChar w:fldCharType="separate"/>
      </w:r>
      <w:r w:rsidR="001D18D6" w:rsidRPr="00D22B50">
        <w:rPr>
          <w:rFonts w:cs="Times New Roman"/>
        </w:rPr>
        <w:t>[8]</w:t>
      </w:r>
      <w:r w:rsidR="001D18D6" w:rsidRPr="00D22B50">
        <w:fldChar w:fldCharType="end"/>
      </w:r>
      <w:r w:rsidRPr="00D22B50">
        <w:t xml:space="preserve">. In a severely restricted 10-day window (comprising only 480 discrete observations), this inherent structural assumption acts as a powerful natural regularizer. It restricts the hypothesis space of the model, effectively preventing the network from overfitting to the localized stochastic noise of the target household </w:t>
      </w:r>
      <w:r w:rsidR="001D18D6" w:rsidRPr="00D22B50">
        <w:fldChar w:fldCharType="begin"/>
      </w:r>
      <w:r w:rsidR="001D18D6" w:rsidRPr="00D22B50">
        <w:instrText xml:space="preserve"> ADDIN ZOTERO_ITEM CSL_CITATION {"citationID":"hVK4uRjE","properties":{"formattedCitation":"[11]","plainCitation":"[11]","noteIndex":0},"citationItems":[{"id":595,"uris":["http://zotero.org/users/local/p3tV44H5/items/RYGGA6L8"],"itemData":{"id":595,"type":"article-journal","abstract":"While the general belief is that the best way to predict electric load is through individualized models, the existing studies have focused on one-for-all models because the individual models are difficult to train and require a significantly larger data accumulation time per individual. In recent years, applying deep learning for forecasting electric load has become an important research topic but still one-for-all has been the main approach. In this work, we adopt transfer learning and meta learning that can be smoothly integrated into deep neural networks, and show how a high-performance individualized model can be formed using the individual's data collected over just several days. This is made possible by extracting the common patterns of many individuals using a sufficiently large dataset, and then customizing each individual model using the specific individual's small dataset. The proposed methods are evaluated over residential and non-residential datasets. When compared to the conventional methods, the meta learning model shows 7.84% and 15.07% RMSE improvements over the residential and non-residential datasets, respectively. Our results suggest that the individualized models can be used as effective tools for many short-term load forecasting tasks.","container-title":"IEEE Access","DOI":"10.1109/ACCESS.2021.3053317","ISSN":"2169-3536","page":"15413-15425","source":"IEEE Xplore","title":"Individualized Short-Term Electric Load Forecasting With Deep Neural Network Based Transfer Learning and Meta Learning","volume":"9","author":[{"family":"Lee","given":"Eunjung"},{"family":"Rhee","given":"Wonjong"}],"issued":{"date-parts":[["2021"]]}}}],"schema":"https://github.com/citation-style-language/schema/raw/master/csl-citation.json"} </w:instrText>
      </w:r>
      <w:r w:rsidR="001D18D6" w:rsidRPr="00D22B50">
        <w:fldChar w:fldCharType="separate"/>
      </w:r>
      <w:r w:rsidR="001D18D6" w:rsidRPr="00D22B50">
        <w:rPr>
          <w:rFonts w:cs="Times New Roman"/>
        </w:rPr>
        <w:t>[11]</w:t>
      </w:r>
      <w:r w:rsidR="001D18D6" w:rsidRPr="00D22B50">
        <w:fldChar w:fldCharType="end"/>
      </w:r>
      <w:r w:rsidRPr="00D22B50">
        <w:t>.</w:t>
      </w:r>
    </w:p>
    <w:p w14:paraId="23A1872C" w14:textId="77777777" w:rsidR="00CE06BF" w:rsidRPr="00D22B50" w:rsidRDefault="00CE06BF" w:rsidP="00CE06BF">
      <w:pPr>
        <w:pStyle w:val="3"/>
        <w:rPr>
          <w:rFonts w:hint="eastAsia"/>
        </w:rPr>
      </w:pPr>
      <w:bookmarkStart w:id="86" w:name="_Toc228913888"/>
      <w:r w:rsidRPr="00D22B50">
        <w:t>6.4.3 Visual Evidence of Forecasting Stability</w:t>
      </w:r>
      <w:bookmarkEnd w:id="86"/>
      <w:r w:rsidRPr="00D22B50">
        <w:t xml:space="preserve"> </w:t>
      </w:r>
    </w:p>
    <w:p w14:paraId="06CB58F0" w14:textId="712A9B44" w:rsidR="00CE06BF" w:rsidRDefault="00CE06BF" w:rsidP="00FD5995">
      <w:pPr>
        <w:pStyle w:val="af5"/>
        <w:spacing w:before="156" w:after="156"/>
        <w:rPr>
          <w:rFonts w:eastAsiaTheme="minorEastAsia"/>
        </w:rPr>
      </w:pPr>
      <w:r w:rsidRPr="00D22B50">
        <w:t>Visual diagnostics derived from the batch testing (e.g., model</w:t>
      </w:r>
      <w:r w:rsidR="00B27735">
        <w:rPr>
          <w:rFonts w:eastAsiaTheme="minorEastAsia" w:hint="eastAsia"/>
        </w:rPr>
        <w:t xml:space="preserve"> </w:t>
      </w:r>
      <w:r w:rsidRPr="00D22B50">
        <w:t>final</w:t>
      </w:r>
      <w:r w:rsidR="00B27735">
        <w:rPr>
          <w:rFonts w:eastAsiaTheme="minorEastAsia" w:hint="eastAsia"/>
        </w:rPr>
        <w:t xml:space="preserve"> </w:t>
      </w:r>
      <w:r w:rsidRPr="00D22B50">
        <w:t>comparison</w:t>
      </w:r>
      <w:r w:rsidR="00B27735">
        <w:rPr>
          <w:rFonts w:eastAsiaTheme="minorEastAsia" w:hint="eastAsia"/>
        </w:rPr>
        <w:t xml:space="preserve"> </w:t>
      </w:r>
      <w:r w:rsidRPr="00D22B50">
        <w:t>enhanced.png</w:t>
      </w:r>
      <w:r w:rsidR="009570A0">
        <w:rPr>
          <w:rFonts w:eastAsiaTheme="minorEastAsia" w:hint="eastAsia"/>
        </w:rPr>
        <w:t>, shown in Figure 6</w:t>
      </w:r>
      <w:r w:rsidRPr="00D22B50">
        <w:t>) corroborate this numerical superiority. The predictions generated by the Transformer model frequently exhibit over-adjustments or erratic oscillations in response to sudden, non-periodic load spikes. This reflects the instability of the self-attention weight updates under extreme small-sample constraints. The LSTM</w:t>
      </w:r>
      <w:r w:rsidR="00BD7543">
        <w:t>’</w:t>
      </w:r>
      <w:r w:rsidRPr="00D22B50">
        <w:t xml:space="preserve">s predictions, however, maintain a smoother and more robust alignment with the underlying ground truth load curve. For smart grid operators, this forecasting stability is paramount; erratic predictions at the edge of the grid can disrupt reliable transformer load balancing and undermine automated demand-side management strategies </w:t>
      </w:r>
      <w:r w:rsidR="001D18D6" w:rsidRPr="00D22B50">
        <w:fldChar w:fldCharType="begin"/>
      </w:r>
      <w:r w:rsidR="001D18D6" w:rsidRPr="00D22B50">
        <w:instrText xml:space="preserve"> ADDIN ZOTERO_ITEM CSL_CITATION {"citationID":"7alHrmGo","properties":{"formattedCitation":"[1], [9]","plainCitation":"[1], [9]","noteIndex":0},"citationItems":[{"id":539,"uris":["http://zotero.org/users/local/p3tV44H5/items/HWZLV4UQ"],"itemData":{"id":539,"type":"article-journal","abstract":"Accurate forecasting of electricity demand is vital to the resilient management of energy systems. Recent efforts in harnessing smart-meter data to improve forecasting accuracy have primarily centered around cluster-based approaches (CBAs), where smart-meter data are grouped into a small number of clusters and separate prediction models are developed for each cluster. The cluster-based predictions are then aggregated to compute the total demand. CBAs have provided promising results compared to conventional approaches that are generally not conducive to integrating smart-meter data. However, CBAs are computationally costly and suffer from the curse of dimensionality, especially under scenarios involving smart-meter data from millions of customers. In this work, we propose an efficient reduced model approach (RMA) that leverages a novel hierarchical dimension reduction algorithm to enable the integration of fine-resolution high-dimensional smart-meter data for millions of customers in load prediction. We demonstrate the applicability of our proposed approach by using data from a utility company, based in Illinois, United States, with more than 3.7 million customers and present model performance in-terms of forecast accuracy. The proposed hierarchical dimension reduction approach enables utilizing the high-resolution data from smart-meters in a scalable manner that is not exploitable otherwise. The results shows significant improvements in forecast accuracy compared to the available approaches that either do not harness fine-resolution data or are not scalable to large-scale smart-meter big data.","container-title":"IEEE Access","DOI":"10.1109/ACCESS.2022.3142680","ISSN":"2169-3536","page":"8377-8387","source":"IEEE Xplore","title":"Smart-Meter Big Data for Load Forecasting: An Alternative Approach to Clustering","title-short":"Smart-Meter Big Data for Load Forecasting","volume":"10","author":[{"family":"Alemazkoor","given":"Negin"},{"family":"Tootkaboni","given":"Mazdak"},{"family":"Nateghi","given":"Roshanak"},{"family":"Louhghalam","given":"Arghavan"}],"issued":{"date-parts":[["2022"]]}}},{"id":557,"uris":["http://zotero.org/users/local/p3tV44H5/items/N4D6A4RG"],"itemData":{"id":557,"type":"article-journal","abstract":"As the power system is facing a transition toward a more intelligent, flexible, and interactive system with higher penetration of renewable energy generation, load forecasting, especially short-term load forecasting for individual electric customers plays an increasingly essential role in the future grid planning and operation. Other than aggregated residential load in a large scale, forecasting an electric load of a single energy user is fairly challenging due to the high volatility and uncertainty involved. In this paper, we propose a long short-term memory (LSTM) recurrent neural network-based framework, which is the latest and one of the most popular techniques of deep learning, to tackle this tricky issue. The proposed framework is tested on a publicly available set of real residential smart meter data, of which the performance is comprehensively compared to various benchmarks including the state-of-the-arts in the field of load forecasting. As a result, the proposed LSTM approach outperforms the other listed rival algorithms in the task of short-term load forecasting for individual residential households.","container-title":"IEEE Transactions on Smart Grid","DOI":"10.1109/TSG.2017.2753802","ISSN":"1949-3061","issue":"1","page":"841-851","source":"IEEE Xplore","title":"Short-Term Residential Load Forecasting Based on LSTM Recurrent Neural Network","volume":"10","author":[{"family":"Kong","given":"Weicong"},{"family":"Dong","given":"Zhao Yang"},{"family":"Jia","given":"Youwei"},{"family":"Hill","given":"David J."},{"family":"Xu","given":"Yan"},{"family":"Zhang","given":"Yuan"}],"issued":{"date-parts":[["2019",1]]}}}],"schema":"https://github.com/citation-style-language/schema/raw/master/csl-citation.json"} </w:instrText>
      </w:r>
      <w:r w:rsidR="001D18D6" w:rsidRPr="00D22B50">
        <w:fldChar w:fldCharType="separate"/>
      </w:r>
      <w:r w:rsidR="001D18D6" w:rsidRPr="00D22B50">
        <w:rPr>
          <w:rFonts w:cs="Times New Roman"/>
        </w:rPr>
        <w:t>[1], [9]</w:t>
      </w:r>
      <w:r w:rsidR="001D18D6" w:rsidRPr="00D22B50">
        <w:fldChar w:fldCharType="end"/>
      </w:r>
      <w:r w:rsidRPr="00D22B50">
        <w:t>.</w:t>
      </w:r>
    </w:p>
    <w:p w14:paraId="3A3C8105" w14:textId="70FB3879" w:rsidR="009570A0" w:rsidRDefault="009570A0" w:rsidP="00FD5995">
      <w:pPr>
        <w:pStyle w:val="af5"/>
        <w:spacing w:before="156" w:after="156"/>
        <w:rPr>
          <w:rFonts w:eastAsiaTheme="minorEastAsia"/>
        </w:rPr>
      </w:pPr>
      <w:r>
        <w:rPr>
          <w:noProof/>
        </w:rPr>
        <w:lastRenderedPageBreak/>
        <w:drawing>
          <wp:inline distT="0" distB="0" distL="0" distR="0" wp14:anchorId="706B0B46" wp14:editId="4E942595">
            <wp:extent cx="5274310" cy="2637155"/>
            <wp:effectExtent l="0" t="0" r="2540" b="0"/>
            <wp:docPr id="448367958"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74310" cy="2637155"/>
                    </a:xfrm>
                    <a:prstGeom prst="rect">
                      <a:avLst/>
                    </a:prstGeom>
                    <a:noFill/>
                    <a:ln>
                      <a:noFill/>
                    </a:ln>
                  </pic:spPr>
                </pic:pic>
              </a:graphicData>
            </a:graphic>
          </wp:inline>
        </w:drawing>
      </w:r>
    </w:p>
    <w:p w14:paraId="05BD5E77" w14:textId="149F130E" w:rsidR="00B27735" w:rsidRPr="00B27735" w:rsidRDefault="00B27735" w:rsidP="00B27735">
      <w:pPr>
        <w:pStyle w:val="af5"/>
        <w:spacing w:before="156" w:after="156"/>
        <w:jc w:val="center"/>
        <w:rPr>
          <w:rFonts w:eastAsiaTheme="minorEastAsia"/>
          <w:sz w:val="21"/>
          <w:szCs w:val="20"/>
        </w:rPr>
      </w:pPr>
      <w:r w:rsidRPr="00B27735">
        <w:rPr>
          <w:rFonts w:eastAsiaTheme="minorEastAsia" w:hint="eastAsia"/>
          <w:sz w:val="21"/>
          <w:szCs w:val="20"/>
        </w:rPr>
        <w:t>Fig 6. M</w:t>
      </w:r>
      <w:r w:rsidRPr="00B27735">
        <w:rPr>
          <w:sz w:val="21"/>
          <w:szCs w:val="20"/>
        </w:rPr>
        <w:t>odel</w:t>
      </w:r>
      <w:r w:rsidRPr="00B27735">
        <w:rPr>
          <w:rFonts w:eastAsiaTheme="minorEastAsia" w:hint="eastAsia"/>
          <w:sz w:val="21"/>
          <w:szCs w:val="20"/>
        </w:rPr>
        <w:t xml:space="preserve"> </w:t>
      </w:r>
      <w:r w:rsidRPr="00B27735">
        <w:rPr>
          <w:sz w:val="21"/>
          <w:szCs w:val="20"/>
        </w:rPr>
        <w:t>final</w:t>
      </w:r>
      <w:r w:rsidRPr="00B27735">
        <w:rPr>
          <w:rFonts w:eastAsiaTheme="minorEastAsia" w:hint="eastAsia"/>
          <w:sz w:val="21"/>
          <w:szCs w:val="20"/>
        </w:rPr>
        <w:t xml:space="preserve"> </w:t>
      </w:r>
      <w:r w:rsidRPr="00B27735">
        <w:rPr>
          <w:sz w:val="21"/>
          <w:szCs w:val="20"/>
        </w:rPr>
        <w:t>comparison</w:t>
      </w:r>
      <w:r w:rsidRPr="00B27735">
        <w:rPr>
          <w:rFonts w:eastAsiaTheme="minorEastAsia" w:hint="eastAsia"/>
          <w:sz w:val="21"/>
          <w:szCs w:val="20"/>
        </w:rPr>
        <w:t xml:space="preserve"> </w:t>
      </w:r>
      <w:r w:rsidRPr="00B27735">
        <w:rPr>
          <w:sz w:val="21"/>
          <w:szCs w:val="20"/>
        </w:rPr>
        <w:t>enhanced</w:t>
      </w:r>
    </w:p>
    <w:p w14:paraId="421F9A45" w14:textId="17984BAA" w:rsidR="00CE06BF" w:rsidRPr="00D22B50" w:rsidRDefault="00CE06BF" w:rsidP="00FD5995">
      <w:pPr>
        <w:pStyle w:val="af5"/>
        <w:spacing w:before="156" w:after="156"/>
      </w:pPr>
      <w:r w:rsidRPr="00D22B50">
        <w:t xml:space="preserve">Ultimately, while Transformers possess a higher theoretical capacity for large-scale datasets, this comparative framework proves that the sequence-constrained LSTM remains the more robust and reliable choice for the </w:t>
      </w:r>
      <w:r w:rsidR="00BD7543">
        <w:t>“</w:t>
      </w:r>
      <w:r w:rsidRPr="00D22B50">
        <w:t>Day-1</w:t>
      </w:r>
      <w:r w:rsidR="00BD7543">
        <w:t>”</w:t>
      </w:r>
      <w:r w:rsidRPr="00D22B50">
        <w:t xml:space="preserve"> deployment of newly commissioned smart meters.</w:t>
      </w:r>
    </w:p>
    <w:p w14:paraId="516E33EA" w14:textId="77777777" w:rsidR="00CE06BF" w:rsidRPr="00D22B50" w:rsidRDefault="00CE06BF" w:rsidP="00CE06BF">
      <w:pPr>
        <w:pStyle w:val="2"/>
        <w:rPr>
          <w:rFonts w:hint="eastAsia"/>
        </w:rPr>
      </w:pPr>
      <w:bookmarkStart w:id="87" w:name="_Toc228913889"/>
      <w:r w:rsidRPr="00D22B50">
        <w:t>6.5 Robustness Analysis and Metric Discussion</w:t>
      </w:r>
      <w:bookmarkEnd w:id="87"/>
    </w:p>
    <w:p w14:paraId="0BCA729A" w14:textId="4CB239F2" w:rsidR="00CE06BF" w:rsidRPr="00D22B50" w:rsidRDefault="00CE06BF" w:rsidP="00FD5995">
      <w:pPr>
        <w:pStyle w:val="af5"/>
        <w:spacing w:before="156" w:after="156"/>
      </w:pPr>
      <w:r w:rsidRPr="00D22B50">
        <w:t>The robustness of the proposed framework is further analyzed by examining the statistical distribution of forecasting errors across the heterogeneous consumer base. In a real-world smart grid deployment, a model</w:t>
      </w:r>
      <w:r w:rsidR="00BD7543">
        <w:t>’</w:t>
      </w:r>
      <w:r w:rsidRPr="00D22B50">
        <w:t>s consistency across a diverse population with varying appliance usage behaviors is often more critical than its average performance on a single household.</w:t>
      </w:r>
    </w:p>
    <w:p w14:paraId="709B2235" w14:textId="77777777" w:rsidR="00CE06BF" w:rsidRPr="00D22B50" w:rsidRDefault="00CE06BF" w:rsidP="00CE06BF">
      <w:pPr>
        <w:pStyle w:val="3"/>
        <w:rPr>
          <w:rFonts w:hint="eastAsia"/>
        </w:rPr>
      </w:pPr>
      <w:bookmarkStart w:id="88" w:name="_Toc228913890"/>
      <w:r w:rsidRPr="00D22B50">
        <w:t>6.5.1 Error Stability and Architecture Reliability</w:t>
      </w:r>
      <w:bookmarkEnd w:id="88"/>
    </w:p>
    <w:p w14:paraId="0A7C482A" w14:textId="56862FA2" w:rsidR="00CE06BF" w:rsidRPr="00D22B50" w:rsidRDefault="00CE06BF" w:rsidP="00FD5995">
      <w:pPr>
        <w:pStyle w:val="af5"/>
        <w:spacing w:before="156" w:after="156"/>
      </w:pPr>
      <w:r w:rsidRPr="00D22B50">
        <w:t xml:space="preserve">The statistical dispersion of errors provides critical insights into the reliability of the forecasting framework across the 30 test households. </w:t>
      </w:r>
      <w:r w:rsidR="00392308">
        <w:rPr>
          <w:rFonts w:eastAsiaTheme="minorEastAsia" w:hint="eastAsia"/>
        </w:rPr>
        <w:t>My</w:t>
      </w:r>
      <w:r w:rsidRPr="00D22B50">
        <w:t xml:space="preserve"> results indicate that the LSTM-based fine-tuning strategy demonstrates a significantly narrower error distribution compared to the scratch-training baseline. This reduction in variance suggests that knowledge migration provides more consistent service quality across diverse consumption magnitudes.</w:t>
      </w:r>
    </w:p>
    <w:p w14:paraId="5CE91EF1" w14:textId="28DB3CAB" w:rsidR="00CE06BF" w:rsidRPr="00D22B50" w:rsidRDefault="00CE06BF" w:rsidP="00FD5995">
      <w:pPr>
        <w:pStyle w:val="af5"/>
        <w:spacing w:before="156" w:after="156"/>
      </w:pPr>
      <w:r w:rsidRPr="00D22B50">
        <w:t xml:space="preserve">From an operational perspective, reducing the </w:t>
      </w:r>
      <w:r w:rsidR="00BD7543">
        <w:t>“</w:t>
      </w:r>
      <w:r w:rsidRPr="00D22B50">
        <w:t>worst-case</w:t>
      </w:r>
      <w:r w:rsidR="00BD7543">
        <w:t>”</w:t>
      </w:r>
      <w:r w:rsidRPr="00D22B50">
        <w:t xml:space="preserve"> error or tail risk is paramount for grid stability </w:t>
      </w:r>
      <w:r w:rsidR="001D18D6" w:rsidRPr="00D22B50">
        <w:fldChar w:fldCharType="begin"/>
      </w:r>
      <w:r w:rsidR="001D18D6" w:rsidRPr="00D22B50">
        <w:instrText xml:space="preserve"> ADDIN ZOTERO_ITEM CSL_CITATION {"citationID":"LkO5TRcj","properties":{"formattedCitation":"[4]","plainCitation":"[4]","noteIndex":0},"citationItems":[{"id":567,"uris":["http://zotero.org/users/local/p3tV44H5/items/J38MU6UU"],"itemData":{"id":567,"type":"article-journal","abstract":"The current electric power system witnesses a significant transition into Smart Grids (SG) as a promising landscape for high grid reliability and efficient energy management. This ongoing transition undergoes rapid changes, requiring a plethora of advanced methodologies to process the big data generated by various units. In this context, SG stands tied very closely to Deep Learning (DL) as an emerging technology for creating a more decentralized and intelligent energy paradigm while integrating high intelligence in supervisory and operational decision-making. Motivated by the outstanding success of DL-based prediction methods, this article attempts to provide a thorough review from a broad perspective on the state-of-the-art advances of DL in SG systems. Firstly, a bibliometric analysis has been conducted to categorize this review's methodology. Further, we taxonomically delve into the mechanism behind some of the trending DL algorithms. We then showcase the DL enabling technologies in SG, such as federated learning, edge intelligence, and distributed computing. Finally, challenges and research frontiers are provided to serve as guidelines for future work in the futuristic power grid domain. This study's core objective is to foster the synergy between these two fields for decision-makers and researchers to accelerate DL's practical deployment for SG systems.","container-title":"IEEE Access","DOI":"10.1109/ACCESS.2021.3071269","ISSN":"2169-3536","page":"54558-54578","source":"IEEE Xplore","title":"Deep Learning in Smart Grid Technology: A Review of Recent Advancements and Future Prospects","title-short":"Deep Learning in Smart Grid Technology","volume":"9","author":[{"family":"Massaoudi","given":"Mohamed"},{"family":"Abu-Rub","given":"Haitham"},{"family":"Refaat","given":"Shady S."},{"family":"Chihi","given":"Ines"},{"family":"Oueslati","given":"Fakhreddine S."}],"issued":{"date-parts":[["2021"]]}}}],"schema":"https://github.com/citation-style-language/schema/raw/master/csl-citation.json"} </w:instrText>
      </w:r>
      <w:r w:rsidR="001D18D6" w:rsidRPr="00D22B50">
        <w:fldChar w:fldCharType="separate"/>
      </w:r>
      <w:r w:rsidR="001D18D6" w:rsidRPr="00D22B50">
        <w:rPr>
          <w:rFonts w:cs="Times New Roman"/>
        </w:rPr>
        <w:t>[4]</w:t>
      </w:r>
      <w:r w:rsidR="001D18D6" w:rsidRPr="00D22B50">
        <w:fldChar w:fldCharType="end"/>
      </w:r>
      <w:r w:rsidRPr="00D22B50">
        <w:t>. Large, unpredictable forecasting failures at the distribution level can trigger localized transformer overloads and voltage instability</w:t>
      </w:r>
      <w:r w:rsidR="001D18D6" w:rsidRPr="00D22B50">
        <w:rPr>
          <w:rFonts w:eastAsiaTheme="minorEastAsia" w:hint="eastAsia"/>
        </w:rPr>
        <w:t xml:space="preserve"> </w:t>
      </w:r>
      <w:r w:rsidR="001A2364" w:rsidRPr="00D22B50">
        <w:rPr>
          <w:rFonts w:eastAsiaTheme="minorEastAsia"/>
        </w:rPr>
        <w:fldChar w:fldCharType="begin"/>
      </w:r>
      <w:r w:rsidR="001A2364" w:rsidRPr="00D22B50">
        <w:rPr>
          <w:rFonts w:eastAsiaTheme="minorEastAsia"/>
        </w:rPr>
        <w:instrText xml:space="preserve"> ADDIN ZOTERO_ITEM CSL_CITATION {"citationID":"Vv8r16DI","properties":{"formattedCitation":"[1]","plainCitation":"[1]","noteIndex":0},"citationItems":[{"id":539,"uris":["http://zotero.org/users/local/p3tV44H5/items/HWZLV4UQ"],"itemData":{"id":539,"type":"article-journal","abstract":"Accurate forecasting of electricity demand is vital to the resilient management of energy systems. Recent efforts in harnessing smart-meter data to improve forecasting accuracy have primarily centered around cluster-based approaches (CBAs), where smart-meter data are grouped into a small number of clusters and separate prediction models are developed for each cluster. The cluster-based predictions are then aggregated to compute the total demand. CBAs have provided promising results compared to conventional approaches that are generally not conducive to integrating smart-meter data. However, CBAs are computationally costly and suffer from the curse of dimensionality, especially under scenarios involving smart-meter data from millions of customers. In this work, we propose an efficient reduced model approach (RMA) that leverages a novel hierarchical dimension reduction algorithm to enable the integration of fine-resolution high-dimensional smart-meter data for millions of customers in load prediction. We demonstrate the applicability of our proposed approach by using data from a utility company, based in Illinois, United States, with more than 3.7 million customers and present model performance in-terms of forecast accuracy. The proposed hierarchical dimension reduction approach enables utilizing the high-resolution data from smart-meters in a scalable manner that is not exploitable otherwise. The results shows significant improvements in forecast accuracy compared to the available approaches that either do not harness fine-resolution data or are not scalable to large-scale smart-meter big data.","container-title":"IEEE Access","DOI":"10.1109/ACCESS.2022.3142680","ISSN":"2169-3536","page":"8377-8387","source":"IEEE Xplore","title":"Smart-Meter Big Data for Load Forecasting: An Alternative Approach to Clustering","title-short":"Smart-Meter Big Data for Load Forecasting","volume":"10","author":[{"family":"Alemazkoor","given":"Negin"},{"family":"Tootkaboni","given":"Mazdak"},{"family":"Nateghi","given":"Roshanak"},{"family":"Louhghalam","given":"Arghavan"}],"issued":{"date-parts":[["2022"]]}}}],"schema":"https://github.com/citation-style-language/schema/raw/master/csl-citation.json"} </w:instrText>
      </w:r>
      <w:r w:rsidR="001A2364" w:rsidRPr="00D22B50">
        <w:rPr>
          <w:rFonts w:eastAsiaTheme="minorEastAsia"/>
        </w:rPr>
        <w:fldChar w:fldCharType="separate"/>
      </w:r>
      <w:r w:rsidR="001A2364" w:rsidRPr="00D22B50">
        <w:rPr>
          <w:rFonts w:eastAsiaTheme="minorEastAsia" w:cs="Times New Roman"/>
        </w:rPr>
        <w:t>[1]</w:t>
      </w:r>
      <w:r w:rsidR="001A2364" w:rsidRPr="00D22B50">
        <w:rPr>
          <w:rFonts w:eastAsiaTheme="minorEastAsia"/>
        </w:rPr>
        <w:fldChar w:fldCharType="end"/>
      </w:r>
      <w:r w:rsidRPr="00D22B50">
        <w:t xml:space="preserve">. By leveraging the stabilized weights of the pre-trained LSTM, the framework acts as a </w:t>
      </w:r>
      <w:r w:rsidR="00BD7543">
        <w:t>“</w:t>
      </w:r>
      <w:r w:rsidRPr="00D22B50">
        <w:t>variance compressor,</w:t>
      </w:r>
      <w:r w:rsidR="00BD7543">
        <w:t>”</w:t>
      </w:r>
      <w:r w:rsidRPr="00D22B50">
        <w:t xml:space="preserve"> ensuring that even households with highly irregular routines remain within a manageable error margin. While the Transformer model achieved competitive results, its slightly higher error variance in the 10-day window suggests a </w:t>
      </w:r>
      <w:r w:rsidRPr="00D22B50">
        <w:lastRenderedPageBreak/>
        <w:t>higher sensitivity to individual stochasticity when data is sparse.</w:t>
      </w:r>
    </w:p>
    <w:p w14:paraId="7654D96A" w14:textId="77777777" w:rsidR="00CE06BF" w:rsidRPr="00D22B50" w:rsidRDefault="00CE06BF" w:rsidP="00CE06BF">
      <w:pPr>
        <w:pStyle w:val="3"/>
        <w:rPr>
          <w:rFonts w:hint="eastAsia"/>
        </w:rPr>
      </w:pPr>
      <w:bookmarkStart w:id="89" w:name="_Toc228913891"/>
      <w:r w:rsidRPr="00D22B50">
        <w:t>6.5.2 Interpreting the MAPE Anomaly in Standardized Spaces</w:t>
      </w:r>
      <w:bookmarkEnd w:id="89"/>
    </w:p>
    <w:p w14:paraId="3025BDDB" w14:textId="660746F3" w:rsidR="00CE06BF" w:rsidRPr="00D22B50" w:rsidRDefault="00CE06BF" w:rsidP="00FD5995">
      <w:pPr>
        <w:pStyle w:val="af5"/>
        <w:spacing w:before="156" w:after="156"/>
      </w:pPr>
      <w:r w:rsidRPr="00D22B50">
        <w:t xml:space="preserve">A notable observation in the experimental results is that the Mean Absolute Percentage Error (MAPE) values exceed 250% for all tested configurations, including the optimized LSTM and Transformer models. In traditional macroeconomic forecasting, a MAPE of this magnitude would typically indicate model failure. However, in the context of high-resolution residential STLF performed on normalized data, this is primarily a mathematical artifact resulting from the Z-score normalization process </w:t>
      </w:r>
      <w:r w:rsidR="001A2364" w:rsidRPr="00D22B50">
        <w:rPr>
          <w:rFonts w:eastAsia="宋体" w:cs="Times New Roman"/>
        </w:rPr>
        <w:fldChar w:fldCharType="begin"/>
      </w:r>
      <w:r w:rsidR="001A2364" w:rsidRPr="00D22B50">
        <w:rPr>
          <w:rFonts w:eastAsia="宋体" w:cs="Times New Roman"/>
        </w:rPr>
        <w:instrText xml:space="preserve"> ADDIN ZOTERO_ITEM CSL_CITATION {"citationID":"5x0FgWYk","properties":{"formattedCitation":"[37], [42]","plainCitation":"[37], [42]","noteIndex":0},"citationItems":[{"id":570,"uris":["http://zotero.org/users/local/p3tV44H5/items/2VCBRUTA"],"itemData":{"id":570,"type":"article-journal","abstract":"Load forecasting has been a fundamental business problem since the inception of the electric power industry. Over the past 100 plus years, both research efforts and industry practices in this area have focused primarily on point load forecasting. In the most recent decade, though, the increased market competition, aging infrastructure and renewable integration requirements mean that probabilistic load forecasting has become more and more important to energy systems planning and operations. This paper offers a tutorial review of probabilistic electric load forecasting, including notable techniques, methodologies and evaluation methods, and common misunderstandings. We also underline the need to invest in additional research, such as reproducible case studies, probabilistic load forecast evaluation and valuation, and a consideration of emerging technologies and energy policies in the probabilistic load forecasting process.","container-title":"International Journal of Forecasting","DOI":"10.1016/j.ijforecast.2015.11.011","ISSN":"01692070","issue":"3","journalAbbreviation":"International Journal of Forecasting","language":"en","page":"914-938","source":"DOI.org (Crossref)","title":"Probabilistic electric load forecasting: A tutorial review","title-short":"Probabilistic electric load forecasting","volume":"32","author":[{"family":"Hong","given":"Tao"},{"family":"Fan","given":"Shu"}],"issued":{"date-parts":[["2016",7]]}}},{"id":647,"uris":["http://zotero.org/users/local/p3tV44H5/items/7GBWK86D"],"itemData":{"id":647,"type":"article-journal","abstract":"We discuss and compare measures of accuracy of univariate time series forecasts. The methods used in the M-competition as well as the M3-competition, and many of the measures recommended by previous authors on this topic, are found to be degenerate in commonly occurring situations. Instead, we propose that the mean absolute scaled error become the standard measure for comparing forecast accuracy across multiple time series.","container-title":"International Journal of Forecasting","DOI":"10.1016/j.ijforecast.2006.03.001","ISSN":"01692070","issue":"4","journalAbbreviation":"International Journal of Forecasting","language":"en","license":"https://www.elsevier.com/tdm/userlicense/1.0/","page":"679-688","source":"DOI.org (Crossref)","title":"Another look at measures of forecast accuracy","volume":"22","author":[{"family":"Hyndman","given":"Rob J."},{"family":"Koehler","given":"Anne B."}],"issued":{"date-parts":[["2006",10]]}}}],"schema":"https://github.com/citation-style-language/schema/raw/master/csl-citation.json"} </w:instrText>
      </w:r>
      <w:r w:rsidR="001A2364" w:rsidRPr="00D22B50">
        <w:rPr>
          <w:rFonts w:eastAsia="宋体" w:cs="Times New Roman"/>
        </w:rPr>
        <w:fldChar w:fldCharType="separate"/>
      </w:r>
      <w:r w:rsidR="001A2364" w:rsidRPr="00D22B50">
        <w:rPr>
          <w:rFonts w:eastAsia="宋体" w:cs="Times New Roman"/>
        </w:rPr>
        <w:t>[37], [42]</w:t>
      </w:r>
      <w:r w:rsidR="001A2364" w:rsidRPr="00D22B50">
        <w:rPr>
          <w:rFonts w:eastAsia="宋体" w:cs="Times New Roman"/>
        </w:rPr>
        <w:fldChar w:fldCharType="end"/>
      </w:r>
      <w:r w:rsidRPr="00D22B50">
        <w:t>.</w:t>
      </w:r>
    </w:p>
    <w:p w14:paraId="32F14843" w14:textId="35889C8A" w:rsidR="00CE06BF" w:rsidRPr="00D22B50" w:rsidRDefault="00CE06BF" w:rsidP="00FD5995">
      <w:pPr>
        <w:pStyle w:val="af5"/>
        <w:spacing w:before="156" w:after="156"/>
      </w:pPr>
      <w:r w:rsidRPr="00D22B50">
        <w:t xml:space="preserve">The MAPE formula is defined by the ratio of the absolute error to the actual value. In this research, consumption values are transformed into a standardized space where the mean is centered at zero. When a household is in a </w:t>
      </w:r>
      <w:r w:rsidR="00BD7543">
        <w:t>“</w:t>
      </w:r>
      <w:r w:rsidRPr="00D22B50">
        <w:t>base-load</w:t>
      </w:r>
      <w:r w:rsidR="00BD7543">
        <w:t>”</w:t>
      </w:r>
      <w:r w:rsidRPr="00D22B50">
        <w:t xml:space="preserve"> state—such as during late-night hours when residents are asleep—the normalized actual value </w:t>
      </w:r>
      <m:oMath>
        <m:sSub>
          <m:sSubPr>
            <m:ctrlPr>
              <w:rPr>
                <w:rFonts w:ascii="Cambria Math" w:hAnsi="Cambria Math"/>
                <w:i/>
              </w:rPr>
            </m:ctrlPr>
          </m:sSubPr>
          <m:e>
            <m:r>
              <w:rPr>
                <w:rFonts w:ascii="Cambria Math" w:hAnsi="Cambria Math"/>
              </w:rPr>
              <m:t>y</m:t>
            </m:r>
          </m:e>
          <m:sub>
            <m:r>
              <w:rPr>
                <w:rFonts w:ascii="Cambria Math" w:hAnsi="Cambria Math"/>
              </w:rPr>
              <m:t>t</m:t>
            </m:r>
          </m:sub>
        </m:sSub>
      </m:oMath>
      <w:r w:rsidRPr="00D22B50">
        <w:t xml:space="preserve"> frequently approaches zero. In the MAPE calculation, these near-zero values appear in the denominator, causing the percentage error to spike toward infinity even when the absolute difference between the predicted and actual value is negligible.</w:t>
      </w:r>
    </w:p>
    <w:p w14:paraId="3DAB343A" w14:textId="6C8FBF50" w:rsidR="002C44EF" w:rsidRPr="00D22B50" w:rsidRDefault="00CE06BF" w:rsidP="00FD5995">
      <w:pPr>
        <w:pStyle w:val="af5"/>
        <w:spacing w:before="156" w:after="156"/>
      </w:pPr>
      <w:r w:rsidRPr="00D22B50">
        <w:t xml:space="preserve">Despite these high absolute percentage values, the relative reduction in MAPE remains a powerful and valid indicator of performance improvement. The framework achieved a reduction from 355.01% (Scratch) to 285.81% (LSTM Fine-tuning). This significant decrease aligns with the gains observed in the more numerically stable MSE and RMSE metrics </w:t>
      </w:r>
      <w:r w:rsidR="001A2364" w:rsidRPr="00D22B50">
        <w:fldChar w:fldCharType="begin"/>
      </w:r>
      <w:r w:rsidR="001A2364" w:rsidRPr="00D22B50">
        <w:instrText xml:space="preserve"> ADDIN ZOTERO_ITEM CSL_CITATION {"citationID":"63vd6raq","properties":{"formattedCitation":"[4]","plainCitation":"[4]","noteIndex":0},"citationItems":[{"id":567,"uris":["http://zotero.org/users/local/p3tV44H5/items/J38MU6UU"],"itemData":{"id":567,"type":"article-journal","abstract":"The current electric power system witnesses a significant transition into Smart Grids (SG) as a promising landscape for high grid reliability and efficient energy management. This ongoing transition undergoes rapid changes, requiring a plethora of advanced methodologies to process the big data generated by various units. In this context, SG stands tied very closely to Deep Learning (DL) as an emerging technology for creating a more decentralized and intelligent energy paradigm while integrating high intelligence in supervisory and operational decision-making. Motivated by the outstanding success of DL-based prediction methods, this article attempts to provide a thorough review from a broad perspective on the state-of-the-art advances of DL in SG systems. Firstly, a bibliometric analysis has been conducted to categorize this review's methodology. Further, we taxonomically delve into the mechanism behind some of the trending DL algorithms. We then showcase the DL enabling technologies in SG, such as federated learning, edge intelligence, and distributed computing. Finally, challenges and research frontiers are provided to serve as guidelines for future work in the futuristic power grid domain. This study's core objective is to foster the synergy between these two fields for decision-makers and researchers to accelerate DL's practical deployment for SG systems.","container-title":"IEEE Access","DOI":"10.1109/ACCESS.2021.3071269","ISSN":"2169-3536","page":"54558-54578","source":"IEEE Xplore","title":"Deep Learning in Smart Grid Technology: A Review of Recent Advancements and Future Prospects","title-short":"Deep Learning in Smart Grid Technology","volume":"9","author":[{"family":"Massaoudi","given":"Mohamed"},{"family":"Abu-Rub","given":"Haitham"},{"family":"Refaat","given":"Shady S."},{"family":"Chihi","given":"Ines"},{"family":"Oueslati","given":"Fakhreddine S."}],"issued":{"date-parts":[["2021"]]}}}],"schema":"https://github.com/citation-style-language/schema/raw/master/csl-citation.json"} </w:instrText>
      </w:r>
      <w:r w:rsidR="001A2364" w:rsidRPr="00D22B50">
        <w:fldChar w:fldCharType="separate"/>
      </w:r>
      <w:r w:rsidR="001A2364" w:rsidRPr="00D22B50">
        <w:rPr>
          <w:rFonts w:cs="Times New Roman"/>
        </w:rPr>
        <w:t>[4]</w:t>
      </w:r>
      <w:r w:rsidR="001A2364" w:rsidRPr="00D22B50">
        <w:fldChar w:fldCharType="end"/>
      </w:r>
      <w:r w:rsidRPr="00D22B50">
        <w:t xml:space="preserve">. It confirms that the transfer learning framework effectively captures the macroscopic consumption cycles—the </w:t>
      </w:r>
      <w:r w:rsidR="00BD7543">
        <w:t>“</w:t>
      </w:r>
      <w:r w:rsidRPr="00D22B50">
        <w:t>energy fingerprint</w:t>
      </w:r>
      <w:r w:rsidR="00BD7543">
        <w:t>”</w:t>
      </w:r>
      <w:r w:rsidRPr="00D22B50">
        <w:t xml:space="preserve">—of residential users, even though the point-wise percentage metrics are skewed by the zero-centered nature of the standardized dataset </w:t>
      </w:r>
      <w:r w:rsidR="001A2364" w:rsidRPr="00D22B50">
        <w:fldChar w:fldCharType="begin"/>
      </w:r>
      <w:r w:rsidR="001A2364" w:rsidRPr="00D22B50">
        <w:instrText xml:space="preserve"> ADDIN ZOTERO_ITEM CSL_CITATION {"citationID":"RSRi7w2d","properties":{"formattedCitation":"[22]","plainCitation":"[22]","noteIndex":0},"citationItems":[{"id":582,"uris":["http://zotero.org/users/local/p3tV44H5/items/ZEP5S279"],"itemData":{"id":582,"type":"article-journal","abstract":"The key challenge for household load forecasting lies in the high volatility and uncertainty of load profiles. Traditional methods tend to avoid such uncertainty by load aggregation (to offset uncertainties), customer classification (to cluster uncertainties) and spectral analysis (to filter out uncertainties). This paper, for the first time, aims to directly learn the uncertainty by applying a new breed of machine learning algorithms – deep learning.","container-title":"IEEE Transactions on Smart Grid","DOI":"10.1109/TSG.2017.2686012","ISSN":"1949-3053, 1949-3061","issue":"5","journalAbbreviation":"IEEE Trans. Smart Grid","language":"en","license":"https://ieeexplore.ieee.org/Xplorehelp/downloads/license-information/IEEE.html","page":"5271-5280","source":"DOI.org (Crossref)","title":"Deep Learning for Household Load Forecasting—A Novel Pooling Deep RNN","volume":"9","author":[{"family":"Shi","given":"Heng"},{"family":"Xu","given":"Minghao"},{"family":"Li","given":"Ran"}],"issued":{"date-parts":[["2018",9]]}}}],"schema":"https://github.com/citation-style-language/schema/raw/master/csl-citation.json"} </w:instrText>
      </w:r>
      <w:r w:rsidR="001A2364" w:rsidRPr="00D22B50">
        <w:fldChar w:fldCharType="separate"/>
      </w:r>
      <w:r w:rsidR="001A2364" w:rsidRPr="00D22B50">
        <w:rPr>
          <w:rFonts w:cs="Times New Roman"/>
        </w:rPr>
        <w:t>[22]</w:t>
      </w:r>
      <w:r w:rsidR="001A2364" w:rsidRPr="00D22B50">
        <w:fldChar w:fldCharType="end"/>
      </w:r>
      <w:r w:rsidRPr="00D22B50">
        <w:t>.</w:t>
      </w:r>
    </w:p>
    <w:p w14:paraId="79E870D7" w14:textId="77777777" w:rsidR="00715AB5" w:rsidRPr="00D22B50" w:rsidRDefault="00715AB5" w:rsidP="00715AB5">
      <w:pPr>
        <w:pStyle w:val="1"/>
        <w:rPr>
          <w:rFonts w:hint="eastAsia"/>
        </w:rPr>
      </w:pPr>
      <w:bookmarkStart w:id="90" w:name="_Toc228913892"/>
      <w:r w:rsidRPr="00D22B50">
        <w:t>7</w:t>
      </w:r>
      <w:r w:rsidRPr="00D22B50">
        <w:rPr>
          <w:rFonts w:hint="eastAsia"/>
        </w:rPr>
        <w:t>.</w:t>
      </w:r>
      <w:r w:rsidRPr="00D22B50">
        <w:t xml:space="preserve"> Discussion</w:t>
      </w:r>
      <w:bookmarkEnd w:id="90"/>
    </w:p>
    <w:p w14:paraId="653DD786" w14:textId="77777777" w:rsidR="00715AB5" w:rsidRPr="00D22B50" w:rsidRDefault="00715AB5" w:rsidP="00715AB5">
      <w:pPr>
        <w:pStyle w:val="2"/>
        <w:rPr>
          <w:rFonts w:hint="eastAsia"/>
        </w:rPr>
      </w:pPr>
      <w:bookmarkStart w:id="91" w:name="_Toc228913893"/>
      <w:r w:rsidRPr="00D22B50">
        <w:t>7.1 Theoretical Foundations of the Performance Hierarchy</w:t>
      </w:r>
      <w:bookmarkEnd w:id="91"/>
      <w:r w:rsidRPr="00D22B50">
        <w:t xml:space="preserve"> </w:t>
      </w:r>
    </w:p>
    <w:p w14:paraId="10820D6B" w14:textId="65421F70" w:rsidR="00715AB5" w:rsidRPr="00D22B50" w:rsidRDefault="00715AB5" w:rsidP="00FD5995">
      <w:pPr>
        <w:pStyle w:val="af5"/>
        <w:spacing w:before="156" w:after="156"/>
      </w:pPr>
      <w:r w:rsidRPr="00D22B50">
        <w:t xml:space="preserve">The experimental results across the 30 residential households have consistently substantiated a hierarchical progression of predictive accuracy, which </w:t>
      </w:r>
      <w:r w:rsidR="002657F3">
        <w:t xml:space="preserve">I </w:t>
      </w:r>
      <w:r w:rsidRPr="00D22B50">
        <w:t xml:space="preserve">define as the </w:t>
      </w:r>
      <w:r w:rsidR="00BD7543">
        <w:t>“</w:t>
      </w:r>
      <w:r w:rsidRPr="00D22B50">
        <w:t>performance ladder.</w:t>
      </w:r>
      <w:r w:rsidR="00BD7543">
        <w:t>”</w:t>
      </w:r>
      <w:r w:rsidRPr="00D22B50">
        <w:t xml:space="preserve"> This ladder demonstrates that the integration of global knowledge through transfer learning represents a fundamental advancement over isolated local learning. The empirical transition from a scratch-training Mean Squared Error (MSE) of 0.7080 to an adaptive fine-tuning MSE of 0.4849 (for the LSTM backbone) is not merely a numerical optimization; it serves as a robust validation of the </w:t>
      </w:r>
      <w:r w:rsidR="00BD7543">
        <w:t>“</w:t>
      </w:r>
      <w:r w:rsidRPr="00D22B50">
        <w:t>Temporal Universality</w:t>
      </w:r>
      <w:r w:rsidR="00BD7543">
        <w:t>”</w:t>
      </w:r>
      <w:r w:rsidRPr="00D22B50">
        <w:t xml:space="preserve"> hypothesis in residential energy informatics. This hypothesis </w:t>
      </w:r>
      <w:r w:rsidRPr="00D22B50">
        <w:lastRenderedPageBreak/>
        <w:t xml:space="preserve">posits that beneath the apparent stochasticity of individual consumer behavior, there exists an underlying structural consistency in energy utilization patterns governed by shared socio-biological and circadian rhythms </w:t>
      </w:r>
      <w:r w:rsidR="001A2364" w:rsidRPr="00D22B50">
        <w:fldChar w:fldCharType="begin"/>
      </w:r>
      <w:r w:rsidR="001A2364" w:rsidRPr="00D22B50">
        <w:instrText xml:space="preserve"> ADDIN ZOTERO_ITEM CSL_CITATION {"citationID":"vJ1qcUwB","properties":{"formattedCitation":"[8], [9]","plainCitation":"[8], [9]","noteIndex":0},"citationItems":[{"id":512,"uris":["http://zotero.org/users/local/p3tV44H5/items/HCMHHT5F"],"itemData":{"id":512,"type":"article-journal","abstract":"Learning to store information over extended time intervals by recurrent backpropagation takes a very long time, mostly because of insufficient, decaying error backflow. We briefly review Hochreiter's (1991) analysis of this problem, then address it by introducing a novel, efficient, gradient based method called long short-term memory (LSTM). Truncating the gradient where this does not do harm, LSTM can learn to bridge minimal time lags in excess of 1000 discrete-time steps by enforcing constant error flow through constant error carousels within special units. Multiplicative gate units learn to open and close access to the constant error flow. LSTM is local in space and time; its computational complexity per time step and weight is O. 1. Our experiments with artificial data involve local, distributed, real-valued, and noisy pattern representations. In comparisons with real-time recurrent learning, back propagation through time, recurrent cascade correlation, Elman nets, and neural sequence chunking, LSTM leads to many more successful runs, and learns much faster. LSTM also solves complex, artificial long-time-lag tasks that have never been solved by previous recurrent network algorithms.","container-title":"Neural Computation","DOI":"10.1162/neco.1997.9.8.1735","ISSN":"0899-7667","issue":"8","page":"1735-1780","source":"IEEE Xplore","title":"Long Short-Term Memory","volume":"9","author":[{"family":"Hochreiter","given":"Sepp"},{"family":"Schmidhuber","given":"Jürgen"}],"issued":{"date-parts":[["1997",11]]}}},{"id":557,"uris":["http://zotero.org/users/local/p3tV44H5/items/N4D6A4RG"],"itemData":{"id":557,"type":"article-journal","abstract":"As the power system is facing a transition toward a more intelligent, flexible, and interactive system with higher penetration of renewable energy generation, load forecasting, especially short-term load forecasting for individual electric customers plays an increasingly essential role in the future grid planning and operation. Other than aggregated residential load in a large scale, forecasting an electric load of a single energy user is fairly challenging due to the high volatility and uncertainty involved. In this paper, we propose a long short-term memory (LSTM) recurrent neural network-based framework, which is the latest and one of the most popular techniques of deep learning, to tackle this tricky issue. The proposed framework is tested on a publicly available set of real residential smart meter data, of which the performance is comprehensively compared to various benchmarks including the state-of-the-arts in the field of load forecasting. As a result, the proposed LSTM approach outperforms the other listed rival algorithms in the task of short-term load forecasting for individual residential households.","container-title":"IEEE Transactions on Smart Grid","DOI":"10.1109/TSG.2017.2753802","ISSN":"1949-3061","issue":"1","page":"841-851","source":"IEEE Xplore","title":"Short-Term Residential Load Forecasting Based on LSTM Recurrent Neural Network","volume":"10","author":[{"family":"Kong","given":"Weicong"},{"family":"Dong","given":"Zhao Yang"},{"family":"Jia","given":"Youwei"},{"family":"Hill","given":"David J."},{"family":"Xu","given":"Yan"},{"family":"Zhang","given":"Yuan"}],"issued":{"date-parts":[["2019",1]]}}}],"schema":"https://github.com/citation-style-language/schema/raw/master/csl-citation.json"} </w:instrText>
      </w:r>
      <w:r w:rsidR="001A2364" w:rsidRPr="00D22B50">
        <w:fldChar w:fldCharType="separate"/>
      </w:r>
      <w:r w:rsidR="001A2364" w:rsidRPr="00D22B50">
        <w:rPr>
          <w:rFonts w:cs="Times New Roman"/>
        </w:rPr>
        <w:t>[8], [9]</w:t>
      </w:r>
      <w:r w:rsidR="001A2364" w:rsidRPr="00D22B50">
        <w:fldChar w:fldCharType="end"/>
      </w:r>
      <w:r w:rsidRPr="00D22B50">
        <w:t>.</w:t>
      </w:r>
    </w:p>
    <w:p w14:paraId="68497E43" w14:textId="77777777" w:rsidR="00715AB5" w:rsidRPr="00D22B50" w:rsidRDefault="00715AB5" w:rsidP="00715AB5">
      <w:pPr>
        <w:pStyle w:val="3"/>
        <w:rPr>
          <w:rFonts w:hint="eastAsia"/>
        </w:rPr>
      </w:pPr>
      <w:bookmarkStart w:id="92" w:name="_Toc228913894"/>
      <w:r w:rsidRPr="00D22B50">
        <w:t>7.1.1 The Universality of Circadian Rhythms</w:t>
      </w:r>
      <w:bookmarkEnd w:id="92"/>
      <w:r w:rsidRPr="00D22B50">
        <w:t xml:space="preserve"> </w:t>
      </w:r>
    </w:p>
    <w:p w14:paraId="667DB99D" w14:textId="2F066550" w:rsidR="00715AB5" w:rsidRPr="00D22B50" w:rsidRDefault="00715AB5" w:rsidP="00FD5995">
      <w:pPr>
        <w:pStyle w:val="af5"/>
        <w:spacing w:before="156" w:after="156"/>
      </w:pPr>
      <w:r w:rsidRPr="00D22B50">
        <w:t xml:space="preserve">Residential electricity demand, while appearing chaotic at the individual meter level, is fundamentally anchored by deep-seated circadian cycles. These rhythms are dictated by the natural day-night cycle, standard societal working hours, and the collective domestic routines of the metropolitan population. The source domain models, particularly after being enhanced with multivariate temporal features such as Hour of Day and Day of Week, function as generalized feature extractors. They successfully internalize macro-level behaviors, including the thermodynamic lag of buildings and the recurring consumption peaks associated with morning and evening surges </w:t>
      </w:r>
      <w:r w:rsidR="001A2364" w:rsidRPr="00D22B50">
        <w:fldChar w:fldCharType="begin"/>
      </w:r>
      <w:r w:rsidR="001A2364" w:rsidRPr="00D22B50">
        <w:instrText xml:space="preserve"> ADDIN ZOTERO_ITEM CSL_CITATION {"citationID":"Pt1Un04o","properties":{"formattedCitation":"[9]","plainCitation":"[9]","noteIndex":0},"citationItems":[{"id":557,"uris":["http://zotero.org/users/local/p3tV44H5/items/N4D6A4RG"],"itemData":{"id":557,"type":"article-journal","abstract":"As the power system is facing a transition toward a more intelligent, flexible, and interactive system with higher penetration of renewable energy generation, load forecasting, especially short-term load forecasting for individual electric customers plays an increasingly essential role in the future grid planning and operation. Other than aggregated residential load in a large scale, forecasting an electric load of a single energy user is fairly challenging due to the high volatility and uncertainty involved. In this paper, we propose a long short-term memory (LSTM) recurrent neural network-based framework, which is the latest and one of the most popular techniques of deep learning, to tackle this tricky issue. The proposed framework is tested on a publicly available set of real residential smart meter data, of which the performance is comprehensively compared to various benchmarks including the state-of-the-arts in the field of load forecasting. As a result, the proposed LSTM approach outperforms the other listed rival algorithms in the task of short-term load forecasting for individual residential households.","container-title":"IEEE Transactions on Smart Grid","DOI":"10.1109/TSG.2017.2753802","ISSN":"1949-3061","issue":"1","page":"841-851","source":"IEEE Xplore","title":"Short-Term Residential Load Forecasting Based on LSTM Recurrent Neural Network","volume":"10","author":[{"family":"Kong","given":"Weicong"},{"family":"Dong","given":"Zhao Yang"},{"family":"Jia","given":"Youwei"},{"family":"Hill","given":"David J."},{"family":"Xu","given":"Yan"},{"family":"Zhang","given":"Yuan"}],"issued":{"date-parts":[["2019",1]]}}}],"schema":"https://github.com/citation-style-language/schema/raw/master/csl-citation.json"} </w:instrText>
      </w:r>
      <w:r w:rsidR="001A2364" w:rsidRPr="00D22B50">
        <w:fldChar w:fldCharType="separate"/>
      </w:r>
      <w:r w:rsidR="001A2364" w:rsidRPr="00D22B50">
        <w:rPr>
          <w:rFonts w:cs="Times New Roman"/>
        </w:rPr>
        <w:t>[9]</w:t>
      </w:r>
      <w:r w:rsidR="001A2364" w:rsidRPr="00D22B50">
        <w:fldChar w:fldCharType="end"/>
      </w:r>
      <w:r w:rsidRPr="00D22B50">
        <w:t xml:space="preserve">. By migrating these pre-trained weights, the target model does not start from a </w:t>
      </w:r>
      <w:r w:rsidR="00BD7543">
        <w:t>“</w:t>
      </w:r>
      <w:r w:rsidRPr="00D22B50">
        <w:t>tabula rasa</w:t>
      </w:r>
      <w:r w:rsidR="00BD7543">
        <w:t>”</w:t>
      </w:r>
      <w:r w:rsidRPr="00D22B50">
        <w:t xml:space="preserve"> state but from an informed prior that already understands the fundamental </w:t>
      </w:r>
      <w:r w:rsidR="00BD7543">
        <w:t>“</w:t>
      </w:r>
      <w:r w:rsidRPr="00D22B50">
        <w:t>grammar</w:t>
      </w:r>
      <w:r w:rsidR="00BD7543">
        <w:t>”</w:t>
      </w:r>
      <w:r w:rsidRPr="00D22B50">
        <w:t xml:space="preserve"> of energy demand </w:t>
      </w:r>
      <w:r w:rsidR="001A2364" w:rsidRPr="00D22B50">
        <w:fldChar w:fldCharType="begin"/>
      </w:r>
      <w:r w:rsidR="001A2364" w:rsidRPr="00D22B50">
        <w:instrText xml:space="preserve"> ADDIN ZOTERO_ITEM CSL_CITATION {"citationID":"5WfJwv9P","properties":{"formattedCitation":"[15]","plainCitation":"[15]","noteIndex":0},"citationItems":[{"id":587,"uris":["http://zotero.org/users/local/p3tV44H5/items/JV45ZU2Z"],"itemData":{"id":587,"type":"paper-conference","abstract":"Transfer learning for deep neural networks is the process of first training a base network on a source dataset, and then transferring the learned features (the network’s weights) to a second network to be trained on a target dataset. This idea has been shown to improve deep neural network’s generalization capabilities in many computer vision tasks such as image recognition and object localization. Apart from these applications, deep Convolutional Neural Networks (CNNs) have also recently gained popularity in the Time Series Classification (TSC) community. However, unlike for image recognition problems, transfer learning techniques have not yet been investigated thoroughly for the TSC task. This is surprising as the accuracy of deep learning models for TSC could potentially be improved if the model is fine-tuned from a pre-trained neural network instead of training it from scratch. In this paper, we fill this gap by investigating how to transfer deep CNNs for the TSC task. To evaluate the potential of transfer learning, we performed extensive experiments using the UCR archive which is the largest publicly available TSC benchmark containing 85 datasets. For each dataset in the archive, we pre-trained a model and then fine-tuned it on the other datasets resulting in 7140 different deep neural networks. These experiments revealed that transfer learning can improve or degrade the models predictions depending on the dataset used for transfer. Therefore, in an effort to predict the best source dataset for a given target dataset, we propose a new method relying on Dynamic Time Warping to measure inter-datasets similarities. We describe how our method can guide the transfer to choose the best source dataset leading to an improvement in accuracy on 71 out of 85 datasets.","container-title":"2018 IEEE International Conference on Big Data (Big Data)","DOI":"10.1109/BigData.2018.8621990","event-title":"2018 IEEE International Conference on Big Data (Big Data)","page":"1367-1376","source":"IEEE Xplore","title":"Transfer learning for time series classification","URL":"https://ieeexplore.ieee.org/document/8621990","author":[{"family":"Ismail Fawaz","given":"Hassan"},{"family":"Forestier","given":"Germain"},{"family":"Weber","given":"Jonathan"},{"family":"Idoumghar","given":"Lhassane"},{"family":"Muller","given":"Pierre-Alain"}],"accessed":{"date-parts":[["2026",5,1]]},"issued":{"date-parts":[["2018",12]]}}}],"schema":"https://github.com/citation-style-language/schema/raw/master/csl-citation.json"} </w:instrText>
      </w:r>
      <w:r w:rsidR="001A2364" w:rsidRPr="00D22B50">
        <w:fldChar w:fldCharType="separate"/>
      </w:r>
      <w:r w:rsidR="001A2364" w:rsidRPr="00D22B50">
        <w:rPr>
          <w:rFonts w:cs="Times New Roman"/>
        </w:rPr>
        <w:t>[15]</w:t>
      </w:r>
      <w:r w:rsidR="001A2364" w:rsidRPr="00D22B50">
        <w:fldChar w:fldCharType="end"/>
      </w:r>
      <w:r w:rsidRPr="00D22B50">
        <w:t>. This allows the model to interpret sparse local data through the lens of established global knowledge, providing immediate predictive utility.</w:t>
      </w:r>
    </w:p>
    <w:p w14:paraId="00469DBF" w14:textId="77777777" w:rsidR="00715AB5" w:rsidRPr="00D22B50" w:rsidRDefault="00715AB5" w:rsidP="00715AB5">
      <w:pPr>
        <w:pStyle w:val="3"/>
        <w:rPr>
          <w:rFonts w:hint="eastAsia"/>
        </w:rPr>
      </w:pPr>
      <w:bookmarkStart w:id="93" w:name="_Toc228913895"/>
      <w:r w:rsidRPr="00D22B50">
        <w:t>7.1.2 Transfer Learning as a Structural Regularizer</w:t>
      </w:r>
      <w:bookmarkEnd w:id="93"/>
      <w:r w:rsidRPr="00D22B50">
        <w:t xml:space="preserve"> </w:t>
      </w:r>
    </w:p>
    <w:p w14:paraId="301E5678" w14:textId="4D384454" w:rsidR="00715AB5" w:rsidRPr="00D22B50" w:rsidRDefault="00715AB5" w:rsidP="00FD5995">
      <w:pPr>
        <w:pStyle w:val="af5"/>
        <w:spacing w:before="156" w:after="156"/>
      </w:pPr>
      <w:r w:rsidRPr="00D22B50">
        <w:t xml:space="preserve">In the extreme cold-start regime where sample size is critically limited (N = 10 days), the primary mathematical obstacle to accuracy is the high variance of the estimator. High-capacity models like LSTMs and Transformers, which possess thousands of degrees of freedom, are prone to </w:t>
      </w:r>
      <w:r w:rsidR="00BD7543">
        <w:t>“</w:t>
      </w:r>
      <w:r w:rsidRPr="00D22B50">
        <w:t>memorizing</w:t>
      </w:r>
      <w:r w:rsidR="00BD7543">
        <w:t>”</w:t>
      </w:r>
      <w:r w:rsidRPr="00D22B50">
        <w:t xml:space="preserve"> idiosyncratic noise and temporal anomalies when trained on only 480 observations </w:t>
      </w:r>
      <w:r w:rsidR="001A2364" w:rsidRPr="00D22B50">
        <w:fldChar w:fldCharType="begin"/>
      </w:r>
      <w:r w:rsidR="001A2364" w:rsidRPr="00D22B50">
        <w:instrText xml:space="preserve"> ADDIN ZOTERO_ITEM CSL_CITATION {"citationID":"KH4RiwY2","properties":{"formattedCitation":"[8], [9]","plainCitation":"[8], [9]","noteIndex":0},"citationItems":[{"id":512,"uris":["http://zotero.org/users/local/p3tV44H5/items/HCMHHT5F"],"itemData":{"id":512,"type":"article-journal","abstract":"Learning to store information over extended time intervals by recurrent backpropagation takes a very long time, mostly because of insufficient, decaying error backflow. We briefly review Hochreiter's (1991) analysis of this problem, then address it by introducing a novel, efficient, gradient based method called long short-term memory (LSTM). Truncating the gradient where this does not do harm, LSTM can learn to bridge minimal time lags in excess of 1000 discrete-time steps by enforcing constant error flow through constant error carousels within special units. Multiplicative gate units learn to open and close access to the constant error flow. LSTM is local in space and time; its computational complexity per time step and weight is O. 1. Our experiments with artificial data involve local, distributed, real-valued, and noisy pattern representations. In comparisons with real-time recurrent learning, back propagation through time, recurrent cascade correlation, Elman nets, and neural sequence chunking, LSTM leads to many more successful runs, and learns much faster. LSTM also solves complex, artificial long-time-lag tasks that have never been solved by previous recurrent network algorithms.","container-title":"Neural Computation","DOI":"10.1162/neco.1997.9.8.1735","ISSN":"0899-7667","issue":"8","page":"1735-1780","source":"IEEE Xplore","title":"Long Short-Term Memory","volume":"9","author":[{"family":"Hochreiter","given":"Sepp"},{"family":"Schmidhuber","given":"Jürgen"}],"issued":{"date-parts":[["1997",11]]}}},{"id":557,"uris":["http://zotero.org/users/local/p3tV44H5/items/N4D6A4RG"],"itemData":{"id":557,"type":"article-journal","abstract":"As the power system is facing a transition toward a more intelligent, flexible, and interactive system with higher penetration of renewable energy generation, load forecasting, especially short-term load forecasting for individual electric customers plays an increasingly essential role in the future grid planning and operation. Other than aggregated residential load in a large scale, forecasting an electric load of a single energy user is fairly challenging due to the high volatility and uncertainty involved. In this paper, we propose a long short-term memory (LSTM) recurrent neural network-based framework, which is the latest and one of the most popular techniques of deep learning, to tackle this tricky issue. The proposed framework is tested on a publicly available set of real residential smart meter data, of which the performance is comprehensively compared to various benchmarks including the state-of-the-arts in the field of load forecasting. As a result, the proposed LSTM approach outperforms the other listed rival algorithms in the task of short-term load forecasting for individual residential households.","container-title":"IEEE Transactions on Smart Grid","DOI":"10.1109/TSG.2017.2753802","ISSN":"1949-3061","issue":"1","page":"841-851","source":"IEEE Xplore","title":"Short-Term Residential Load Forecasting Based on LSTM Recurrent Neural Network","volume":"10","author":[{"family":"Kong","given":"Weicong"},{"family":"Dong","given":"Zhao Yang"},{"family":"Jia","given":"Youwei"},{"family":"Hill","given":"David J."},{"family":"Xu","given":"Yan"},{"family":"Zhang","given":"Yuan"}],"issued":{"date-parts":[["2019",1]]}}}],"schema":"https://github.com/citation-style-language/schema/raw/master/csl-citation.json"} </w:instrText>
      </w:r>
      <w:r w:rsidR="001A2364" w:rsidRPr="00D22B50">
        <w:fldChar w:fldCharType="separate"/>
      </w:r>
      <w:r w:rsidR="001A2364" w:rsidRPr="00D22B50">
        <w:rPr>
          <w:rFonts w:cs="Times New Roman"/>
        </w:rPr>
        <w:t>[8], [9]</w:t>
      </w:r>
      <w:r w:rsidR="001A2364" w:rsidRPr="00D22B50">
        <w:fldChar w:fldCharType="end"/>
      </w:r>
      <w:r w:rsidRPr="00D22B50">
        <w:t>. This leads to catastrophic overfitting, where the model captures temporary quirks—such as an unusual holiday event during the 10-day window—rather than the true underlying signal.</w:t>
      </w:r>
    </w:p>
    <w:p w14:paraId="16E80846" w14:textId="52C04409" w:rsidR="00715AB5" w:rsidRPr="00D22B50" w:rsidRDefault="00715AB5" w:rsidP="00FD5995">
      <w:pPr>
        <w:pStyle w:val="af5"/>
        <w:spacing w:before="156" w:after="156"/>
      </w:pPr>
      <w:r w:rsidRPr="00D22B50">
        <w:t xml:space="preserve">The proposed transfer learning framework addresses this by acting as a structural regularizer. By freezing the recurrent layers of the LSTM or the encoder blocks of the Transformer, </w:t>
      </w:r>
      <w:r w:rsidR="002657F3">
        <w:t xml:space="preserve">I </w:t>
      </w:r>
      <w:r w:rsidRPr="00D22B50">
        <w:t xml:space="preserve">effectively constrain the hypothesis space of the model. This forces the network to utilize generalized features proven robust across the 100-household source domain, effectively anchoring the predictions to reliable </w:t>
      </w:r>
      <w:r w:rsidR="00BD7543">
        <w:t>“</w:t>
      </w:r>
      <w:r w:rsidRPr="00D22B50">
        <w:t>temporal anchors</w:t>
      </w:r>
      <w:r w:rsidR="00BD7543">
        <w:t>”</w:t>
      </w:r>
      <w:r w:rsidRPr="00D22B50">
        <w:t xml:space="preserve"> </w:t>
      </w:r>
      <w:r w:rsidR="001A2364" w:rsidRPr="00D22B50">
        <w:fldChar w:fldCharType="begin"/>
      </w:r>
      <w:r w:rsidR="001A2364" w:rsidRPr="00D22B50">
        <w:instrText xml:space="preserve"> ADDIN ZOTERO_ITEM CSL_CITATION {"citationID":"a64iJiR0","properties":{"formattedCitation":"[11]","plainCitation":"[11]","noteIndex":0},"citationItems":[{"id":595,"uris":["http://zotero.org/users/local/p3tV44H5/items/RYGGA6L8"],"itemData":{"id":595,"type":"article-journal","abstract":"While the general belief is that the best way to predict electric load is through individualized models, the existing studies have focused on one-for-all models because the individual models are difficult to train and require a significantly larger data accumulation time per individual. In recent years, applying deep learning for forecasting electric load has become an important research topic but still one-for-all has been the main approach. In this work, we adopt transfer learning and meta learning that can be smoothly integrated into deep neural networks, and show how a high-performance individualized model can be formed using the individual's data collected over just several days. This is made possible by extracting the common patterns of many individuals using a sufficiently large dataset, and then customizing each individual model using the specific individual's small dataset. The proposed methods are evaluated over residential and non-residential datasets. When compared to the conventional methods, the meta learning model shows 7.84% and 15.07% RMSE improvements over the residential and non-residential datasets, respectively. Our results suggest that the individualized models can be used as effective tools for many short-term load forecasting tasks.","container-title":"IEEE Access","DOI":"10.1109/ACCESS.2021.3053317","ISSN":"2169-3536","page":"15413-15425","source":"IEEE Xplore","title":"Individualized Short-Term Electric Load Forecasting With Deep Neural Network Based Transfer Learning and Meta Learning","volume":"9","author":[{"family":"Lee","given":"Eunjung"},{"family":"Rhee","given":"Wonjong"}],"issued":{"date-parts":[["2021"]]}}}],"schema":"https://github.com/citation-style-language/schema/raw/master/csl-citation.json"} </w:instrText>
      </w:r>
      <w:r w:rsidR="001A2364" w:rsidRPr="00D22B50">
        <w:fldChar w:fldCharType="separate"/>
      </w:r>
      <w:r w:rsidR="001A2364" w:rsidRPr="00D22B50">
        <w:rPr>
          <w:rFonts w:cs="Times New Roman"/>
        </w:rPr>
        <w:t>[11]</w:t>
      </w:r>
      <w:r w:rsidR="001A2364" w:rsidRPr="00D22B50">
        <w:fldChar w:fldCharType="end"/>
      </w:r>
      <w:r w:rsidRPr="00D22B50">
        <w:t xml:space="preserve">. This regularization prevents the </w:t>
      </w:r>
      <w:r w:rsidR="00BD7543">
        <w:t>“</w:t>
      </w:r>
      <w:r w:rsidRPr="00D22B50">
        <w:t>gradient drift</w:t>
      </w:r>
      <w:r w:rsidR="00BD7543">
        <w:t>”</w:t>
      </w:r>
      <w:r w:rsidRPr="00D22B50">
        <w:t xml:space="preserve"> typical of small-sample training and leads to the observed 31.5% improvement (for LSTM) in forecasting accuracy, ensuring stable performance even when target-specific context is virtually non-existent.</w:t>
      </w:r>
    </w:p>
    <w:p w14:paraId="5E921CA6" w14:textId="77777777" w:rsidR="00715AB5" w:rsidRPr="00D22B50" w:rsidRDefault="00715AB5" w:rsidP="00715AB5">
      <w:pPr>
        <w:pStyle w:val="2"/>
        <w:rPr>
          <w:rFonts w:hint="eastAsia"/>
        </w:rPr>
      </w:pPr>
      <w:bookmarkStart w:id="94" w:name="_Toc228913896"/>
      <w:r w:rsidRPr="00D22B50">
        <w:t>7.2 Architectural Trade-offs: Inductive Bias vs. Data Scarcity</w:t>
      </w:r>
      <w:bookmarkEnd w:id="94"/>
    </w:p>
    <w:p w14:paraId="2662077D" w14:textId="43EE47B3" w:rsidR="00715AB5" w:rsidRPr="00D22B50" w:rsidRDefault="00715AB5" w:rsidP="00FD5995">
      <w:pPr>
        <w:pStyle w:val="af5"/>
        <w:spacing w:before="156" w:after="156"/>
      </w:pPr>
      <w:r w:rsidRPr="00D22B50">
        <w:t xml:space="preserve">A pivotal scholarly insight derived from this comparative study is the performance divergence between Recurrence-based (LSTM) and Attention-based (Transformer) architectures under extreme data scarcity. While contemporary deep learning literature </w:t>
      </w:r>
      <w:r w:rsidRPr="00D22B50">
        <w:lastRenderedPageBreak/>
        <w:t xml:space="preserve">frequently positions the Transformer as the superior successor to recurrent networks for sequence modeling </w:t>
      </w:r>
      <w:r w:rsidR="001A2364" w:rsidRPr="00D22B50">
        <w:fldChar w:fldCharType="begin"/>
      </w:r>
      <w:r w:rsidR="001A2364" w:rsidRPr="00D22B50">
        <w:instrText xml:space="preserve"> ADDIN ZOTERO_ITEM CSL_CITATION {"citationID":"oz61xyoi","properties":{"formattedCitation":"[4]","plainCitation":"[4]","noteIndex":0},"citationItems":[{"id":567,"uris":["http://zotero.org/users/local/p3tV44H5/items/J38MU6UU"],"itemData":{"id":567,"type":"article-journal","abstract":"The current electric power system witnesses a significant transition into Smart Grids (SG) as a promising landscape for high grid reliability and efficient energy management. This ongoing transition undergoes rapid changes, requiring a plethora of advanced methodologies to process the big data generated by various units. In this context, SG stands tied very closely to Deep Learning (DL) as an emerging technology for creating a more decentralized and intelligent energy paradigm while integrating high intelligence in supervisory and operational decision-making. Motivated by the outstanding success of DL-based prediction methods, this article attempts to provide a thorough review from a broad perspective on the state-of-the-art advances of DL in SG systems. Firstly, a bibliometric analysis has been conducted to categorize this review's methodology. Further, we taxonomically delve into the mechanism behind some of the trending DL algorithms. We then showcase the DL enabling technologies in SG, such as federated learning, edge intelligence, and distributed computing. Finally, challenges and research frontiers are provided to serve as guidelines for future work in the futuristic power grid domain. This study's core objective is to foster the synergy between these two fields for decision-makers and researchers to accelerate DL's practical deployment for SG systems.","container-title":"IEEE Access","DOI":"10.1109/ACCESS.2021.3071269","ISSN":"2169-3536","page":"54558-54578","source":"IEEE Xplore","title":"Deep Learning in Smart Grid Technology: A Review of Recent Advancements and Future Prospects","title-short":"Deep Learning in Smart Grid Technology","volume":"9","author":[{"family":"Massaoudi","given":"Mohamed"},{"family":"Abu-Rub","given":"Haitham"},{"family":"Refaat","given":"Shady S."},{"family":"Chihi","given":"Ines"},{"family":"Oueslati","given":"Fakhreddine S."}],"issued":{"date-parts":[["2021"]]}}}],"schema":"https://github.com/citation-style-language/schema/raw/master/csl-citation.json"} </w:instrText>
      </w:r>
      <w:r w:rsidR="001A2364" w:rsidRPr="00D22B50">
        <w:fldChar w:fldCharType="separate"/>
      </w:r>
      <w:r w:rsidR="001A2364" w:rsidRPr="00D22B50">
        <w:rPr>
          <w:rFonts w:cs="Times New Roman"/>
        </w:rPr>
        <w:t>[4]</w:t>
      </w:r>
      <w:r w:rsidR="001A2364" w:rsidRPr="00D22B50">
        <w:fldChar w:fldCharType="end"/>
      </w:r>
      <w:r w:rsidRPr="00D22B50">
        <w:t xml:space="preserve">, </w:t>
      </w:r>
      <w:r w:rsidR="00392308">
        <w:rPr>
          <w:rFonts w:eastAsiaTheme="minorEastAsia" w:hint="eastAsia"/>
        </w:rPr>
        <w:t>my</w:t>
      </w:r>
      <w:r w:rsidRPr="00D22B50">
        <w:t xml:space="preserve"> empirical results across the 30-household cohort reveal a more nuanced reality in cold-start regimes. The finding that the fine-tuned LSTM (MSE: 0.4849) outperformed the fine-tuned Transformer (MSE: 0.4984) provides a critical foundation for discussing the theoretical trade-offs between architectural capacity and representational robustness.</w:t>
      </w:r>
    </w:p>
    <w:p w14:paraId="19C61191" w14:textId="056604C0" w:rsidR="00715AB5" w:rsidRPr="00D22B50" w:rsidRDefault="00715AB5" w:rsidP="00715AB5">
      <w:pPr>
        <w:pStyle w:val="3"/>
        <w:rPr>
          <w:rFonts w:hint="eastAsia"/>
        </w:rPr>
      </w:pPr>
      <w:bookmarkStart w:id="95" w:name="_Toc228913897"/>
      <w:r w:rsidRPr="00D22B50">
        <w:t xml:space="preserve">7.2.1 The </w:t>
      </w:r>
      <w:r w:rsidR="00BD7543">
        <w:t>“</w:t>
      </w:r>
      <w:r w:rsidRPr="00D22B50">
        <w:t>Data Hunger</w:t>
      </w:r>
      <w:r w:rsidR="00BD7543">
        <w:t>”</w:t>
      </w:r>
      <w:r w:rsidRPr="00D22B50">
        <w:t xml:space="preserve"> Paradox of Self-Attention</w:t>
      </w:r>
      <w:bookmarkEnd w:id="95"/>
    </w:p>
    <w:p w14:paraId="5E9CA245" w14:textId="1A0C9C1D" w:rsidR="00715AB5" w:rsidRPr="00D22B50" w:rsidRDefault="00715AB5" w:rsidP="00FD5995">
      <w:pPr>
        <w:pStyle w:val="af5"/>
        <w:spacing w:before="156" w:after="156"/>
      </w:pPr>
      <w:r w:rsidRPr="00D22B50">
        <w:t xml:space="preserve">The relative underperformance of the Transformer in the 10-day window (N=480 observations) can be elucidated through the lens of architectural </w:t>
      </w:r>
      <w:r w:rsidR="00BD7543">
        <w:t>“</w:t>
      </w:r>
      <w:r w:rsidRPr="00D22B50">
        <w:t>data hunger.</w:t>
      </w:r>
      <w:r w:rsidR="00BD7543">
        <w:t>”</w:t>
      </w:r>
      <w:r w:rsidRPr="00D22B50">
        <w:t xml:space="preserve"> The core innovation of the Transformer is the Multi-Head Self-Attention (MHSA) mechanism, which computes global dependencies across the entire temporal window simultaneously. Unlike recurrent gates that process information sequentially, MHSA assumes minimal structural priors about the data, relying instead on the attention matrix to </w:t>
      </w:r>
      <w:r w:rsidR="00BD7543">
        <w:t>“</w:t>
      </w:r>
      <w:r w:rsidRPr="00D22B50">
        <w:t>discover</w:t>
      </w:r>
      <w:r w:rsidR="00BD7543">
        <w:t>”</w:t>
      </w:r>
      <w:r w:rsidRPr="00D22B50">
        <w:t xml:space="preserve"> temporal rules purely from the provided samples. In data-abundant environments, this flexibility allows Transformers to capture complex, multi-scale behavioral anomalies that evade traditional LSTMs.</w:t>
      </w:r>
    </w:p>
    <w:p w14:paraId="3A0A0C8E" w14:textId="1ACFA266" w:rsidR="00715AB5" w:rsidRPr="00D22B50" w:rsidRDefault="00715AB5" w:rsidP="00FD5995">
      <w:pPr>
        <w:pStyle w:val="af5"/>
        <w:spacing w:before="156" w:after="156"/>
      </w:pPr>
      <w:r w:rsidRPr="00D22B50">
        <w:t xml:space="preserve">However, in the extreme small-sample regime of a cold start, this lack of structural constraint becomes a mathematical liability. The attention weights are highly sensitive to localized stochasticity; with only 480 local observations, the fine-tuning process lacks sufficient </w:t>
      </w:r>
      <w:r w:rsidR="00BD7543">
        <w:t>“</w:t>
      </w:r>
      <w:r w:rsidRPr="00D22B50">
        <w:t>gradient density</w:t>
      </w:r>
      <w:r w:rsidR="00BD7543">
        <w:t>”</w:t>
      </w:r>
      <w:r w:rsidRPr="00D22B50">
        <w:t xml:space="preserve"> to reliably converge the high-dimensional self-attention matrices without capturing the idiosyncratic noise of the 10-day window </w:t>
      </w:r>
      <w:r w:rsidR="001A2364" w:rsidRPr="00D22B50">
        <w:fldChar w:fldCharType="begin"/>
      </w:r>
      <w:r w:rsidR="001A2364" w:rsidRPr="00D22B50">
        <w:instrText xml:space="preserve"> ADDIN ZOTERO_ITEM CSL_CITATION {"citationID":"SbvJS6Mb","properties":{"formattedCitation":"[8], [9]","plainCitation":"[8], [9]","noteIndex":0},"citationItems":[{"id":512,"uris":["http://zotero.org/users/local/p3tV44H5/items/HCMHHT5F"],"itemData":{"id":512,"type":"article-journal","abstract":"Learning to store information over extended time intervals by recurrent backpropagation takes a very long time, mostly because of insufficient, decaying error backflow. We briefly review Hochreiter's (1991) analysis of this problem, then address it by introducing a novel, efficient, gradient based method called long short-term memory (LSTM). Truncating the gradient where this does not do harm, LSTM can learn to bridge minimal time lags in excess of 1000 discrete-time steps by enforcing constant error flow through constant error carousels within special units. Multiplicative gate units learn to open and close access to the constant error flow. LSTM is local in space and time; its computational complexity per time step and weight is O. 1. Our experiments with artificial data involve local, distributed, real-valued, and noisy pattern representations. In comparisons with real-time recurrent learning, back propagation through time, recurrent cascade correlation, Elman nets, and neural sequence chunking, LSTM leads to many more successful runs, and learns much faster. LSTM also solves complex, artificial long-time-lag tasks that have never been solved by previous recurrent network algorithms.","container-title":"Neural Computation","DOI":"10.1162/neco.1997.9.8.1735","ISSN":"0899-7667","issue":"8","page":"1735-1780","source":"IEEE Xplore","title":"Long Short-Term Memory","volume":"9","author":[{"family":"Hochreiter","given":"Sepp"},{"family":"Schmidhuber","given":"Jürgen"}],"issued":{"date-parts":[["1997",11]]}}},{"id":557,"uris":["http://zotero.org/users/local/p3tV44H5/items/N4D6A4RG"],"itemData":{"id":557,"type":"article-journal","abstract":"As the power system is facing a transition toward a more intelligent, flexible, and interactive system with higher penetration of renewable energy generation, load forecasting, especially short-term load forecasting for individual electric customers plays an increasingly essential role in the future grid planning and operation. Other than aggregated residential load in a large scale, forecasting an electric load of a single energy user is fairly challenging due to the high volatility and uncertainty involved. In this paper, we propose a long short-term memory (LSTM) recurrent neural network-based framework, which is the latest and one of the most popular techniques of deep learning, to tackle this tricky issue. The proposed framework is tested on a publicly available set of real residential smart meter data, of which the performance is comprehensively compared to various benchmarks including the state-of-the-arts in the field of load forecasting. As a result, the proposed LSTM approach outperforms the other listed rival algorithms in the task of short-term load forecasting for individual residential households.","container-title":"IEEE Transactions on Smart Grid","DOI":"10.1109/TSG.2017.2753802","ISSN":"1949-3061","issue":"1","page":"841-851","source":"IEEE Xplore","title":"Short-Term Residential Load Forecasting Based on LSTM Recurrent Neural Network","volume":"10","author":[{"family":"Kong","given":"Weicong"},{"family":"Dong","given":"Zhao Yang"},{"family":"Jia","given":"Youwei"},{"family":"Hill","given":"David J."},{"family":"Xu","given":"Yan"},{"family":"Zhang","given":"Yuan"}],"issued":{"date-parts":[["2019",1]]}}}],"schema":"https://github.com/citation-style-language/schema/raw/master/csl-citation.json"} </w:instrText>
      </w:r>
      <w:r w:rsidR="001A2364" w:rsidRPr="00D22B50">
        <w:fldChar w:fldCharType="separate"/>
      </w:r>
      <w:r w:rsidR="001A2364" w:rsidRPr="00D22B50">
        <w:rPr>
          <w:rFonts w:cs="Times New Roman"/>
        </w:rPr>
        <w:t>[8], [9]</w:t>
      </w:r>
      <w:r w:rsidR="001A2364" w:rsidRPr="00D22B50">
        <w:fldChar w:fldCharType="end"/>
      </w:r>
      <w:r w:rsidRPr="00D22B50">
        <w:t xml:space="preserve">. This results in the observed </w:t>
      </w:r>
      <w:r w:rsidR="00BD7543">
        <w:t>“</w:t>
      </w:r>
      <w:r w:rsidRPr="00D22B50">
        <w:t>over-adjustment</w:t>
      </w:r>
      <w:r w:rsidR="00BD7543">
        <w:t>”</w:t>
      </w:r>
      <w:r w:rsidRPr="00D22B50">
        <w:t xml:space="preserve"> to non-periodic spikes, leading to the slightly higher MSE and MAPE values recorded in </w:t>
      </w:r>
      <w:r w:rsidR="00392308">
        <w:rPr>
          <w:rFonts w:eastAsiaTheme="minorEastAsia" w:hint="eastAsia"/>
        </w:rPr>
        <w:t>my</w:t>
      </w:r>
      <w:r w:rsidRPr="00D22B50">
        <w:t xml:space="preserve"> batch evaluation.</w:t>
      </w:r>
    </w:p>
    <w:p w14:paraId="2E90751C" w14:textId="77777777" w:rsidR="00715AB5" w:rsidRPr="00D22B50" w:rsidRDefault="00715AB5" w:rsidP="00715AB5">
      <w:pPr>
        <w:pStyle w:val="3"/>
        <w:rPr>
          <w:rFonts w:hint="eastAsia"/>
        </w:rPr>
      </w:pPr>
      <w:bookmarkStart w:id="96" w:name="_Toc228913898"/>
      <w:r w:rsidRPr="00D22B50">
        <w:t>7.2.2 The Advantage of Sequential Inductive Bias</w:t>
      </w:r>
      <w:bookmarkEnd w:id="96"/>
    </w:p>
    <w:p w14:paraId="76E97E9F" w14:textId="1AE295D0" w:rsidR="00715AB5" w:rsidRPr="00D22B50" w:rsidRDefault="00715AB5" w:rsidP="00FD5995">
      <w:pPr>
        <w:pStyle w:val="af5"/>
        <w:spacing w:before="156" w:after="156"/>
      </w:pPr>
      <w:r w:rsidRPr="00D22B50">
        <w:t xml:space="preserve">In contrast, the LSTM architecture possesses a strong inductive bias specifically tailored for time-series data. By maintaining a hidden state that is updated step-by-step, the LSTM mathematically enforces the chronological flow of time </w:t>
      </w:r>
      <w:r w:rsidR="001A2364" w:rsidRPr="00D22B50">
        <w:fldChar w:fldCharType="begin"/>
      </w:r>
      <w:r w:rsidR="001A2364" w:rsidRPr="00D22B50">
        <w:instrText xml:space="preserve"> ADDIN ZOTERO_ITEM CSL_CITATION {"citationID":"4B5Ft87j","properties":{"formattedCitation":"[8]","plainCitation":"[8]","noteIndex":0},"citationItems":[{"id":512,"uris":["http://zotero.org/users/local/p3tV44H5/items/HCMHHT5F"],"itemData":{"id":512,"type":"article-journal","abstract":"Learning to store information over extended time intervals by recurrent backpropagation takes a very long time, mostly because of insufficient, decaying error backflow. We briefly review Hochreiter's (1991) analysis of this problem, then address it by introducing a novel, efficient, gradient based method called long short-term memory (LSTM). Truncating the gradient where this does not do harm, LSTM can learn to bridge minimal time lags in excess of 1000 discrete-time steps by enforcing constant error flow through constant error carousels within special units. Multiplicative gate units learn to open and close access to the constant error flow. LSTM is local in space and time; its computational complexity per time step and weight is O. 1. Our experiments with artificial data involve local, distributed, real-valued, and noisy pattern representations. In comparisons with real-time recurrent learning, back propagation through time, recurrent cascade correlation, Elman nets, and neural sequence chunking, LSTM leads to many more successful runs, and learns much faster. LSTM also solves complex, artificial long-time-lag tasks that have never been solved by previous recurrent network algorithms.","container-title":"Neural Computation","DOI":"10.1162/neco.1997.9.8.1735","ISSN":"0899-7667","issue":"8","page":"1735-1780","source":"IEEE Xplore","title":"Long Short-Term Memory","volume":"9","author":[{"family":"Hochreiter","given":"Sepp"},{"family":"Schmidhuber","given":"Jürgen"}],"issued":{"date-parts":[["1997",11]]}}}],"schema":"https://github.com/citation-style-language/schema/raw/master/csl-citation.json"} </w:instrText>
      </w:r>
      <w:r w:rsidR="001A2364" w:rsidRPr="00D22B50">
        <w:fldChar w:fldCharType="separate"/>
      </w:r>
      <w:r w:rsidR="001A2364" w:rsidRPr="00D22B50">
        <w:rPr>
          <w:rFonts w:cs="Times New Roman"/>
        </w:rPr>
        <w:t>[8]</w:t>
      </w:r>
      <w:r w:rsidR="001A2364" w:rsidRPr="00D22B50">
        <w:fldChar w:fldCharType="end"/>
      </w:r>
      <w:r w:rsidRPr="00D22B50">
        <w:t xml:space="preserve">. This inherent structural assumption acts as a powerful regularizer that is </w:t>
      </w:r>
      <w:r w:rsidR="00BD7543">
        <w:t>“</w:t>
      </w:r>
      <w:r w:rsidRPr="00D22B50">
        <w:t>built-in</w:t>
      </w:r>
      <w:r w:rsidR="00BD7543">
        <w:t>”</w:t>
      </w:r>
      <w:r w:rsidRPr="00D22B50">
        <w:t xml:space="preserve"> to the network</w:t>
      </w:r>
      <w:r w:rsidR="00BD7543">
        <w:t>’</w:t>
      </w:r>
      <w:r w:rsidRPr="00D22B50">
        <w:t xml:space="preserve">s recurrent geometry. For a newly commissioned smart meter, this sequential prior provides a stable interpretative framework that anchors the model even when local data is critically sparse </w:t>
      </w:r>
      <w:r w:rsidR="001A2364" w:rsidRPr="00D22B50">
        <w:fldChar w:fldCharType="begin"/>
      </w:r>
      <w:r w:rsidR="001A2364" w:rsidRPr="00D22B50">
        <w:instrText xml:space="preserve"> ADDIN ZOTERO_ITEM CSL_CITATION {"citationID":"sLXUNVIO","properties":{"formattedCitation":"[11]","plainCitation":"[11]","noteIndex":0},"citationItems":[{"id":595,"uris":["http://zotero.org/users/local/p3tV44H5/items/RYGGA6L8"],"itemData":{"id":595,"type":"article-journal","abstract":"While the general belief is that the best way to predict electric load is through individualized models, the existing studies have focused on one-for-all models because the individual models are difficult to train and require a significantly larger data accumulation time per individual. In recent years, applying deep learning for forecasting electric load has become an important research topic but still one-for-all has been the main approach. In this work, we adopt transfer learning and meta learning that can be smoothly integrated into deep neural networks, and show how a high-performance individualized model can be formed using the individual's data collected over just several days. This is made possible by extracting the common patterns of many individuals using a sufficiently large dataset, and then customizing each individual model using the specific individual's small dataset. The proposed methods are evaluated over residential and non-residential datasets. When compared to the conventional methods, the meta learning model shows 7.84% and 15.07% RMSE improvements over the residential and non-residential datasets, respectively. Our results suggest that the individualized models can be used as effective tools for many short-term load forecasting tasks.","container-title":"IEEE Access","DOI":"10.1109/ACCESS.2021.3053317","ISSN":"2169-3536","page":"15413-15425","source":"IEEE Xplore","title":"Individualized Short-Term Electric Load Forecasting With Deep Neural Network Based Transfer Learning and Meta Learning","volume":"9","author":[{"family":"Lee","given":"Eunjung"},{"family":"Rhee","given":"Wonjong"}],"issued":{"date-parts":[["2021"]]}}}],"schema":"https://github.com/citation-style-language/schema/raw/master/csl-citation.json"} </w:instrText>
      </w:r>
      <w:r w:rsidR="001A2364" w:rsidRPr="00D22B50">
        <w:fldChar w:fldCharType="separate"/>
      </w:r>
      <w:r w:rsidR="001A2364" w:rsidRPr="00D22B50">
        <w:rPr>
          <w:rFonts w:cs="Times New Roman"/>
        </w:rPr>
        <w:t>[11]</w:t>
      </w:r>
      <w:r w:rsidR="001A2364" w:rsidRPr="00D22B50">
        <w:fldChar w:fldCharType="end"/>
      </w:r>
      <w:r w:rsidRPr="00D22B50">
        <w:t>.</w:t>
      </w:r>
    </w:p>
    <w:p w14:paraId="76AB9697" w14:textId="7A6C4576" w:rsidR="00715AB5" w:rsidRPr="00D22B50" w:rsidRDefault="00392308" w:rsidP="00FD5995">
      <w:pPr>
        <w:pStyle w:val="af5"/>
        <w:spacing w:before="156" w:after="156"/>
      </w:pPr>
      <w:r>
        <w:rPr>
          <w:rFonts w:eastAsiaTheme="minorEastAsia" w:hint="eastAsia"/>
        </w:rPr>
        <w:t>My</w:t>
      </w:r>
      <w:r w:rsidR="00715AB5" w:rsidRPr="00D22B50">
        <w:t xml:space="preserve"> implementation proves that by migrating the pre-trained LSTM weights and freezing the recurrent gates, the model effectively utilizes a </w:t>
      </w:r>
      <w:r w:rsidR="00BD7543">
        <w:t>“</w:t>
      </w:r>
      <w:r w:rsidR="00715AB5" w:rsidRPr="00D22B50">
        <w:t>generalized temporal template</w:t>
      </w:r>
      <w:r w:rsidR="00BD7543">
        <w:t>”</w:t>
      </w:r>
      <w:r w:rsidR="00715AB5" w:rsidRPr="00D22B50">
        <w:t xml:space="preserve"> learned from the 100-household source domain </w:t>
      </w:r>
      <w:r w:rsidR="001A2364" w:rsidRPr="00D22B50">
        <w:fldChar w:fldCharType="begin"/>
      </w:r>
      <w:r w:rsidR="001A2364" w:rsidRPr="00D22B50">
        <w:instrText xml:space="preserve"> ADDIN ZOTERO_ITEM CSL_CITATION {"citationID":"57KObjdM","properties":{"formattedCitation":"[15]","plainCitation":"[15]","noteIndex":0},"citationItems":[{"id":587,"uris":["http://zotero.org/users/local/p3tV44H5/items/JV45ZU2Z"],"itemData":{"id":587,"type":"paper-conference","abstract":"Transfer learning for deep neural networks is the process of first training a base network on a source dataset, and then transferring the learned features (the network’s weights) to a second network to be trained on a target dataset. This idea has been shown to improve deep neural network’s generalization capabilities in many computer vision tasks such as image recognition and object localization. Apart from these applications, deep Convolutional Neural Networks (CNNs) have also recently gained popularity in the Time Series Classification (TSC) community. However, unlike for image recognition problems, transfer learning techniques have not yet been investigated thoroughly for the TSC task. This is surprising as the accuracy of deep learning models for TSC could potentially be improved if the model is fine-tuned from a pre-trained neural network instead of training it from scratch. In this paper, we fill this gap by investigating how to transfer deep CNNs for the TSC task. To evaluate the potential of transfer learning, we performed extensive experiments using the UCR archive which is the largest publicly available TSC benchmark containing 85 datasets. For each dataset in the archive, we pre-trained a model and then fine-tuned it on the other datasets resulting in 7140 different deep neural networks. These experiments revealed that transfer learning can improve or degrade the models predictions depending on the dataset used for transfer. Therefore, in an effort to predict the best source dataset for a given target dataset, we propose a new method relying on Dynamic Time Warping to measure inter-datasets similarities. We describe how our method can guide the transfer to choose the best source dataset leading to an improvement in accuracy on 71 out of 85 datasets.","container-title":"2018 IEEE International Conference on Big Data (Big Data)","DOI":"10.1109/BigData.2018.8621990","event-title":"2018 IEEE International Conference on Big Data (Big Data)","page":"1367-1376","source":"IEEE Xplore","title":"Transfer learning for time series classification","URL":"https://ieeexplore.ieee.org/document/8621990","author":[{"family":"Ismail Fawaz","given":"Hassan"},{"family":"Forestier","given":"Germain"},{"family":"Weber","given":"Jonathan"},{"family":"Idoumghar","given":"Lhassane"},{"family":"Muller","given":"Pierre-Alain"}],"accessed":{"date-parts":[["2026",5,1]]},"issued":{"date-parts":[["2018",12]]}}}],"schema":"https://github.com/citation-style-language/schema/raw/master/csl-citation.json"} </w:instrText>
      </w:r>
      <w:r w:rsidR="001A2364" w:rsidRPr="00D22B50">
        <w:fldChar w:fldCharType="separate"/>
      </w:r>
      <w:r w:rsidR="001A2364" w:rsidRPr="00D22B50">
        <w:rPr>
          <w:rFonts w:cs="Times New Roman"/>
        </w:rPr>
        <w:t>[15]</w:t>
      </w:r>
      <w:r w:rsidR="001A2364" w:rsidRPr="00D22B50">
        <w:fldChar w:fldCharType="end"/>
      </w:r>
      <w:r w:rsidR="00715AB5" w:rsidRPr="00D22B50">
        <w:t xml:space="preserve">. The recurrent structure ensures that the knowledge localization phase (fine-tuning the final linear layer) remains grounded in the basic physics of residential energy cycles—such as the deterministic rise and fall of circadian loads—preventing the catastrophic model drift often seen in unconstrained attention mechanisms during small-sample adaptation. This architectural robustness explains why the LSTM achieved a lower MSE than the </w:t>
      </w:r>
      <w:r w:rsidR="00715AB5" w:rsidRPr="00D22B50">
        <w:lastRenderedPageBreak/>
        <w:t xml:space="preserve">Transformer, confirming that for Day-1 deployment in smart grids, architectures with stronger sequential priors provide superior reliability </w:t>
      </w:r>
      <w:r w:rsidR="001A2364" w:rsidRPr="00D22B50">
        <w:fldChar w:fldCharType="begin"/>
      </w:r>
      <w:r w:rsidR="001A2364" w:rsidRPr="00D22B50">
        <w:instrText xml:space="preserve"> ADDIN ZOTERO_ITEM CSL_CITATION {"citationID":"x6lOVwiT","properties":{"formattedCitation":"[9]","plainCitation":"[9]","noteIndex":0},"citationItems":[{"id":557,"uris":["http://zotero.org/users/local/p3tV44H5/items/N4D6A4RG"],"itemData":{"id":557,"type":"article-journal","abstract":"As the power system is facing a transition toward a more intelligent, flexible, and interactive system with higher penetration of renewable energy generation, load forecasting, especially short-term load forecasting for individual electric customers plays an increasingly essential role in the future grid planning and operation. Other than aggregated residential load in a large scale, forecasting an electric load of a single energy user is fairly challenging due to the high volatility and uncertainty involved. In this paper, we propose a long short-term memory (LSTM) recurrent neural network-based framework, which is the latest and one of the most popular techniques of deep learning, to tackle this tricky issue. The proposed framework is tested on a publicly available set of real residential smart meter data, of which the performance is comprehensively compared to various benchmarks including the state-of-the-arts in the field of load forecasting. As a result, the proposed LSTM approach outperforms the other listed rival algorithms in the task of short-term load forecasting for individual residential households.","container-title":"IEEE Transactions on Smart Grid","DOI":"10.1109/TSG.2017.2753802","ISSN":"1949-3061","issue":"1","page":"841-851","source":"IEEE Xplore","title":"Short-Term Residential Load Forecasting Based on LSTM Recurrent Neural Network","volume":"10","author":[{"family":"Kong","given":"Weicong"},{"family":"Dong","given":"Zhao Yang"},{"family":"Jia","given":"Youwei"},{"family":"Hill","given":"David J."},{"family":"Xu","given":"Yan"},{"family":"Zhang","given":"Yuan"}],"issued":{"date-parts":[["2019",1]]}}}],"schema":"https://github.com/citation-style-language/schema/raw/master/csl-citation.json"} </w:instrText>
      </w:r>
      <w:r w:rsidR="001A2364" w:rsidRPr="00D22B50">
        <w:fldChar w:fldCharType="separate"/>
      </w:r>
      <w:r w:rsidR="001A2364" w:rsidRPr="00D22B50">
        <w:rPr>
          <w:rFonts w:cs="Times New Roman"/>
        </w:rPr>
        <w:t>[9]</w:t>
      </w:r>
      <w:r w:rsidR="001A2364" w:rsidRPr="00D22B50">
        <w:fldChar w:fldCharType="end"/>
      </w:r>
      <w:r w:rsidR="00715AB5" w:rsidRPr="00D22B50">
        <w:t>.</w:t>
      </w:r>
    </w:p>
    <w:p w14:paraId="2FBD1060" w14:textId="77777777" w:rsidR="00715AB5" w:rsidRPr="00D22B50" w:rsidRDefault="00715AB5" w:rsidP="00715AB5">
      <w:pPr>
        <w:pStyle w:val="2"/>
        <w:rPr>
          <w:rFonts w:hint="eastAsia"/>
        </w:rPr>
      </w:pPr>
      <w:bookmarkStart w:id="97" w:name="_Toc228913899"/>
      <w:r w:rsidRPr="00D22B50">
        <w:t>7.3 The Critical Threshold of Negative Transfer and Optimization</w:t>
      </w:r>
      <w:bookmarkEnd w:id="97"/>
    </w:p>
    <w:p w14:paraId="0329ED8C" w14:textId="7341E7DA" w:rsidR="00715AB5" w:rsidRPr="00D22B50" w:rsidRDefault="00715AB5" w:rsidP="00FD5995">
      <w:pPr>
        <w:pStyle w:val="af5"/>
        <w:spacing w:before="156" w:after="156"/>
      </w:pPr>
      <w:r w:rsidRPr="00D22B50">
        <w:t xml:space="preserve">The empirical documentation of negative transfer in </w:t>
      </w:r>
      <w:r w:rsidR="00392308">
        <w:rPr>
          <w:rFonts w:eastAsiaTheme="minorEastAsia" w:hint="eastAsia"/>
        </w:rPr>
        <w:t>my</w:t>
      </w:r>
      <w:r w:rsidRPr="00D22B50">
        <w:t xml:space="preserve"> preliminary Model 1 provides a critical warning for smart grid practitioners. It demonstrates that the conceptual proximity of source and target domains is insufficient to guarantee successful knowledge migration; architectural and parametric alignment is the true determinant of performance </w:t>
      </w:r>
      <w:r w:rsidR="001A2364" w:rsidRPr="00D22B50">
        <w:fldChar w:fldCharType="begin"/>
      </w:r>
      <w:r w:rsidR="001A2364" w:rsidRPr="00D22B50">
        <w:instrText xml:space="preserve"> ADDIN ZOTERO_ITEM CSL_CITATION {"citationID":"F7hW39PJ","properties":{"formattedCitation":"[13]","plainCitation":"[13]","noteIndex":0},"citationItems":[{"id":585,"uris":["http://zotero.org/users/local/p3tV44H5/items/SRPRYVXS"],"itemData":{"id":585,"type":"article-journal","abstract":"A major assumption in many machine learning and data mining algorithms is that the training and future data must be in the same feature space and have the same distribution. However, in many real-world applications, this assumption may not hold. For example, we sometimes have a classification task in one domain of interest, but we only have sufficient training data in another domain of interest, where the latter data may be in a different feature space or follow a different data distribution. In such cases, knowledge transfer, if done successfully, would greatly improve the performance of learning by avoiding much expensive data-labeling efforts. In recent years, transfer learning has emerged as a new learning framework to address this problem. This survey focuses on categorizing and reviewing the current progress on transfer learning for classification, regression, and clustering problems. In this survey, we discuss the relationship between transfer learning and other related machine learning techniques such as domain adaptation, multitask learning and sample selection bias, as well as covariate shift. We also explore some potential future issues in transfer learning research.","container-title":"IEEE Transactions on Knowledge and Data Engineering","DOI":"10.1109/TKDE.2009.191","ISSN":"1558-2191","issue":"10","page":"1345-1359","source":"IEEE Xplore","title":"A Survey on Transfer Learning","volume":"22","author":[{"family":"Pan","given":"Sinno Jialin"},{"family":"Yang","given":"Qiang"}],"issued":{"date-parts":[["2010",10]]}}}],"schema":"https://github.com/citation-style-language/schema/raw/master/csl-citation.json"} </w:instrText>
      </w:r>
      <w:r w:rsidR="001A2364" w:rsidRPr="00D22B50">
        <w:fldChar w:fldCharType="separate"/>
      </w:r>
      <w:r w:rsidR="001A2364" w:rsidRPr="00D22B50">
        <w:rPr>
          <w:rFonts w:cs="Times New Roman"/>
        </w:rPr>
        <w:t>[13]</w:t>
      </w:r>
      <w:r w:rsidR="001A2364" w:rsidRPr="00D22B50">
        <w:fldChar w:fldCharType="end"/>
      </w:r>
      <w:r w:rsidRPr="00D22B50">
        <w:t>. When the weights of Model 1—tuned via traditional manual heuristics—were transferred to the target households, the resulting average MSE was approximately 0.81, which is notably worse than the 0.7080 MSE achieved by the scratch-training baseline. This substantial performance penalty indicates that unoptimized pre-trained weights can actively hinder a model</w:t>
      </w:r>
      <w:r w:rsidR="00BD7543">
        <w:t>’</w:t>
      </w:r>
      <w:r w:rsidRPr="00D22B50">
        <w:t xml:space="preserve">s ability to adapt to new target domains </w:t>
      </w:r>
      <w:r w:rsidR="001A2364" w:rsidRPr="00D22B50">
        <w:fldChar w:fldCharType="begin"/>
      </w:r>
      <w:r w:rsidR="001A2364" w:rsidRPr="00D22B50">
        <w:instrText xml:space="preserve"> ADDIN ZOTERO_ITEM CSL_CITATION {"citationID":"WqW5bOX3","properties":{"formattedCitation":"[11]","plainCitation":"[11]","noteIndex":0},"citationItems":[{"id":595,"uris":["http://zotero.org/users/local/p3tV44H5/items/RYGGA6L8"],"itemData":{"id":595,"type":"article-journal","abstract":"While the general belief is that the best way to predict electric load is through individualized models, the existing studies have focused on one-for-all models because the individual models are difficult to train and require a significantly larger data accumulation time per individual. In recent years, applying deep learning for forecasting electric load has become an important research topic but still one-for-all has been the main approach. In this work, we adopt transfer learning and meta learning that can be smoothly integrated into deep neural networks, and show how a high-performance individualized model can be formed using the individual's data collected over just several days. This is made possible by extracting the common patterns of many individuals using a sufficiently large dataset, and then customizing each individual model using the specific individual's small dataset. The proposed methods are evaluated over residential and non-residential datasets. When compared to the conventional methods, the meta learning model shows 7.84% and 15.07% RMSE improvements over the residential and non-residential datasets, respectively. Our results suggest that the individualized models can be used as effective tools for many short-term load forecasting tasks.","container-title":"IEEE Access","DOI":"10.1109/ACCESS.2021.3053317","ISSN":"2169-3536","page":"15413-15425","source":"IEEE Xplore","title":"Individualized Short-Term Electric Load Forecasting With Deep Neural Network Based Transfer Learning and Meta Learning","volume":"9","author":[{"family":"Lee","given":"Eunjung"},{"family":"Rhee","given":"Wonjong"}],"issued":{"date-parts":[["2021"]]}}}],"schema":"https://github.com/citation-style-language/schema/raw/master/csl-citation.json"} </w:instrText>
      </w:r>
      <w:r w:rsidR="001A2364" w:rsidRPr="00D22B50">
        <w:fldChar w:fldCharType="separate"/>
      </w:r>
      <w:r w:rsidR="001A2364" w:rsidRPr="00D22B50">
        <w:rPr>
          <w:rFonts w:cs="Times New Roman"/>
        </w:rPr>
        <w:t>[11]</w:t>
      </w:r>
      <w:r w:rsidR="001A2364" w:rsidRPr="00D22B50">
        <w:fldChar w:fldCharType="end"/>
      </w:r>
      <w:r w:rsidRPr="00D22B50">
        <w:t>.</w:t>
      </w:r>
    </w:p>
    <w:p w14:paraId="7A8ACFF3" w14:textId="77777777" w:rsidR="00715AB5" w:rsidRPr="00D22B50" w:rsidRDefault="00715AB5" w:rsidP="00715AB5">
      <w:pPr>
        <w:pStyle w:val="3"/>
        <w:rPr>
          <w:rFonts w:hint="eastAsia"/>
        </w:rPr>
      </w:pPr>
      <w:bookmarkStart w:id="98" w:name="_Toc228913900"/>
      <w:r w:rsidRPr="00D22B50">
        <w:t>7.3.1 Informative Bias and Source Domain Over-specialization</w:t>
      </w:r>
      <w:bookmarkEnd w:id="98"/>
      <w:r w:rsidRPr="00D22B50">
        <w:t xml:space="preserve"> </w:t>
      </w:r>
    </w:p>
    <w:p w14:paraId="3A58910B" w14:textId="11667D62" w:rsidR="00715AB5" w:rsidRPr="00D22B50" w:rsidRDefault="00715AB5" w:rsidP="00FD5995">
      <w:pPr>
        <w:pStyle w:val="af5"/>
        <w:spacing w:before="156" w:after="156"/>
      </w:pPr>
      <w:r w:rsidRPr="00D22B50">
        <w:t xml:space="preserve">A post-hoc analysis suggests that Model 1 suffered from </w:t>
      </w:r>
      <w:r w:rsidR="00BD7543">
        <w:t>“</w:t>
      </w:r>
      <w:r w:rsidRPr="00D22B50">
        <w:t>informative bias.</w:t>
      </w:r>
      <w:r w:rsidR="00BD7543">
        <w:t>”</w:t>
      </w:r>
      <w:r w:rsidRPr="00D22B50">
        <w:t xml:space="preserve"> Because the manual heuristics were focused solely on minimizing source domain training loss, the network</w:t>
      </w:r>
      <w:r w:rsidR="00BD7543">
        <w:t>’</w:t>
      </w:r>
      <w:r w:rsidRPr="00D22B50">
        <w:t>s internal weights became over-specialized to the idiosyncratic noise of the 100 source households. Instead of learning universal temporal invariants, Model 1 memorized specific behavioral anomalies. When transferred to a new target household, these biased weights imposed an incorrect representational structure that the sparse 10-day local target data could not overcome. This confirms that without deliberate regularization during the pre-training phase, deep neural networks tend to prioritize memorization over generalization, severely compromising their transferability.</w:t>
      </w:r>
    </w:p>
    <w:p w14:paraId="72C135D3" w14:textId="77777777" w:rsidR="00715AB5" w:rsidRPr="00D22B50" w:rsidRDefault="00715AB5" w:rsidP="00715AB5">
      <w:pPr>
        <w:pStyle w:val="3"/>
        <w:rPr>
          <w:rFonts w:hint="eastAsia"/>
        </w:rPr>
      </w:pPr>
      <w:bookmarkStart w:id="99" w:name="_Toc228913901"/>
      <w:r w:rsidRPr="00D22B50">
        <w:t>7.3.2 Bayesian Optimization as a Catalyst for Transferability</w:t>
      </w:r>
      <w:bookmarkEnd w:id="99"/>
      <w:r w:rsidRPr="00D22B50">
        <w:t xml:space="preserve"> </w:t>
      </w:r>
    </w:p>
    <w:p w14:paraId="793ACFE4" w14:textId="03344607" w:rsidR="00715AB5" w:rsidRPr="00D22B50" w:rsidRDefault="00715AB5" w:rsidP="00FD5995">
      <w:pPr>
        <w:pStyle w:val="af5"/>
        <w:spacing w:before="156" w:after="156"/>
      </w:pPr>
      <w:r w:rsidRPr="00D22B50">
        <w:t>The successful implementation of Model 2 via the Optuna framework represents a technical necessity for ensuring the robustness of neural representations</w:t>
      </w:r>
      <w:r w:rsidR="001A2364" w:rsidRPr="00D22B50">
        <w:rPr>
          <w:rFonts w:eastAsiaTheme="minorEastAsia" w:hint="eastAsia"/>
        </w:rPr>
        <w:t xml:space="preserve"> </w:t>
      </w:r>
      <w:r w:rsidR="001A2364" w:rsidRPr="00D22B50">
        <w:rPr>
          <w:rFonts w:eastAsiaTheme="minorEastAsia"/>
        </w:rPr>
        <w:fldChar w:fldCharType="begin"/>
      </w:r>
      <w:r w:rsidR="001A2364" w:rsidRPr="00D22B50">
        <w:rPr>
          <w:rFonts w:eastAsiaTheme="minorEastAsia"/>
        </w:rPr>
        <w:instrText xml:space="preserve"> ADDIN ZOTERO_ITEM CSL_CITATION {"citationID":"9N95fS0k","properties":{"formattedCitation":"[16]","plainCitation":"[16]","noteIndex":0},"citationItems":[{"id":575,"uris":["http://zotero.org/users/local/p3tV44H5/items/KGFYWMJL"],"itemData":{"id":575,"type":"paper-conference","abstract":"The purpose of this study is to introduce new design-criteria for next-generation hyperparameter optimization software. The criteria we propose include (1) define-by-run API that allows users to construct the parameter search space dynamically, (2) efficient implementation of both searching and pruning strategies, and (3) easy-to-setup, versatile architecture that can be deployed for various purposes, ranging from scalable distributed computing to light-weight experiment conducted via interactive interface. In order to prove our point, we will introduce Optuna, an optimization software which is a culmination of our effort in the development of a next generation optimization software. As an optimization software designed with define-by-run principle, Optuna is particularly the first of its kind. We will present the design-techniques that became necessary in the development of the software that meets the above criteria, and demonstrate the power of our new design through experimental results and real world applications. Our software is available under the MIT license (https://github.com/pfnet/optuna/).","collection-title":"KDD '19","container-title":"Proceedings of the 25th ACM SIGKDD International Conference on Knowledge Discovery &amp; Data Mining","DOI":"10.1145/3292500.3330701","ISBN":"978-1-4503-6201-6","page":"2623–2631","publisher":"Association for Computing Machinery","publisher-place":"New York, NY, USA","source":"ACM Digital Library","title":"Optuna: A Next-generation Hyperparameter Optimization Framework","title-short":"Optuna","URL":"https://dl.acm.org/doi/10.1145/3292500.3330701","author":[{"family":"Akiba","given":"Takuya"},{"family":"Sano","given":"Shotaro"},{"family":"Yanase","given":"Toshihiko"},{"family":"Ohta","given":"Takeru"},{"family":"Koyama","given":"Masanori"}],"accessed":{"date-parts":[["2026",5,1]]},"issued":{"date-parts":[["2019",7,25]]}}}],"schema":"https://github.com/citation-style-language/schema/raw/master/csl-citation.json"} </w:instrText>
      </w:r>
      <w:r w:rsidR="001A2364" w:rsidRPr="00D22B50">
        <w:rPr>
          <w:rFonts w:eastAsiaTheme="minorEastAsia"/>
        </w:rPr>
        <w:fldChar w:fldCharType="separate"/>
      </w:r>
      <w:r w:rsidR="001A2364" w:rsidRPr="00D22B50">
        <w:rPr>
          <w:rFonts w:eastAsiaTheme="minorEastAsia" w:cs="Times New Roman"/>
        </w:rPr>
        <w:t>[16]</w:t>
      </w:r>
      <w:r w:rsidR="001A2364" w:rsidRPr="00D22B50">
        <w:rPr>
          <w:rFonts w:eastAsiaTheme="minorEastAsia"/>
        </w:rPr>
        <w:fldChar w:fldCharType="end"/>
      </w:r>
      <w:r w:rsidRPr="00D22B50">
        <w:t>. By utilizing the Tree-structured Parzen Estimator (TPE) algorithm for systematic Bayesian optimization, the system explored the high-dimensional hyperparameter space to identify a flatter minimum in the loss landscape. Specifically, the optimization history revealed that a significantly lower learning rate and a tailored dropout configuration were necessary for the source model to maintain parameter generality.</w:t>
      </w:r>
    </w:p>
    <w:p w14:paraId="604661ED" w14:textId="569FA1A9" w:rsidR="00715AB5" w:rsidRPr="00D22B50" w:rsidRDefault="00715AB5" w:rsidP="00FD5995">
      <w:pPr>
        <w:pStyle w:val="af5"/>
        <w:spacing w:before="156" w:after="156"/>
      </w:pPr>
      <w:r w:rsidRPr="00D22B50">
        <w:t xml:space="preserve">This automated hyperparameter alignment transformed the initial negative transfer into a substantial forecasting gain, ultimately enabling the optimized LSTM to achieve an MSE of 0.4849. This dramatic shift from a performance penalty to a definitive advantage confirms that systematic Bayesian optimization is not merely a refinement step, but a fundamental prerequisite for robust knowledge migration in complex energy </w:t>
      </w:r>
      <w:r w:rsidRPr="00D22B50">
        <w:lastRenderedPageBreak/>
        <w:t xml:space="preserve">systems </w:t>
      </w:r>
      <w:r w:rsidR="001A2364" w:rsidRPr="00D22B50">
        <w:fldChar w:fldCharType="begin"/>
      </w:r>
      <w:r w:rsidR="001A2364" w:rsidRPr="00D22B50">
        <w:instrText xml:space="preserve"> ADDIN ZOTERO_ITEM CSL_CITATION {"citationID":"nV4uFadd","properties":{"formattedCitation":"[16]","plainCitation":"[16]","noteIndex":0},"citationItems":[{"id":575,"uris":["http://zotero.org/users/local/p3tV44H5/items/KGFYWMJL"],"itemData":{"id":575,"type":"paper-conference","abstract":"The purpose of this study is to introduce new design-criteria for next-generation hyperparameter optimization software. The criteria we propose include (1) define-by-run API that allows users to construct the parameter search space dynamically, (2) efficient implementation of both searching and pruning strategies, and (3) easy-to-setup, versatile architecture that can be deployed for various purposes, ranging from scalable distributed computing to light-weight experiment conducted via interactive interface. In order to prove our point, we will introduce Optuna, an optimization software which is a culmination of our effort in the development of a next generation optimization software. As an optimization software designed with define-by-run principle, Optuna is particularly the first of its kind. We will present the design-techniques that became necessary in the development of the software that meets the above criteria, and demonstrate the power of our new design through experimental results and real world applications. Our software is available under the MIT license (https://github.com/pfnet/optuna/).","collection-title":"KDD '19","container-title":"Proceedings of the 25th ACM SIGKDD International Conference on Knowledge Discovery &amp; Data Mining","DOI":"10.1145/3292500.3330701","ISBN":"978-1-4503-6201-6","page":"2623–2631","publisher":"Association for Computing Machinery","publisher-place":"New York, NY, USA","source":"ACM Digital Library","title":"Optuna: A Next-generation Hyperparameter Optimization Framework","title-short":"Optuna","URL":"https://dl.acm.org/doi/10.1145/3292500.3330701","author":[{"family":"Akiba","given":"Takuya"},{"family":"Sano","given":"Shotaro"},{"family":"Yanase","given":"Toshihiko"},{"family":"Ohta","given":"Takeru"},{"family":"Koyama","given":"Masanori"}],"accessed":{"date-parts":[["2026",5,1]]},"issued":{"date-parts":[["2019",7,25]]}}}],"schema":"https://github.com/citation-style-language/schema/raw/master/csl-citation.json"} </w:instrText>
      </w:r>
      <w:r w:rsidR="001A2364" w:rsidRPr="00D22B50">
        <w:fldChar w:fldCharType="separate"/>
      </w:r>
      <w:r w:rsidR="001A2364" w:rsidRPr="00D22B50">
        <w:rPr>
          <w:rFonts w:cs="Times New Roman"/>
        </w:rPr>
        <w:t>[16]</w:t>
      </w:r>
      <w:r w:rsidR="001A2364" w:rsidRPr="00D22B50">
        <w:fldChar w:fldCharType="end"/>
      </w:r>
      <w:r w:rsidRPr="00D22B50">
        <w:t>.</w:t>
      </w:r>
    </w:p>
    <w:p w14:paraId="0727A3EF" w14:textId="77777777" w:rsidR="00715AB5" w:rsidRPr="00D22B50" w:rsidRDefault="00715AB5" w:rsidP="00715AB5">
      <w:pPr>
        <w:pStyle w:val="2"/>
        <w:rPr>
          <w:rFonts w:hint="eastAsia"/>
        </w:rPr>
      </w:pPr>
      <w:bookmarkStart w:id="100" w:name="_Toc228913902"/>
      <w:r w:rsidRPr="00D22B50">
        <w:t>7.4 Implications for Smart Grid Reliability and Service Deployment</w:t>
      </w:r>
      <w:bookmarkEnd w:id="100"/>
    </w:p>
    <w:p w14:paraId="16C8AB58" w14:textId="5B6EE7AA" w:rsidR="00715AB5" w:rsidRPr="00D22B50" w:rsidRDefault="00715AB5" w:rsidP="00FD5995">
      <w:pPr>
        <w:pStyle w:val="af5"/>
        <w:spacing w:before="156" w:after="156"/>
      </w:pPr>
      <w:r w:rsidRPr="00D22B50">
        <w:t xml:space="preserve">The practical value of the proposed framework extends beyond average accuracy improvements, offering significant implications for the operational reliability of modern smart grids. By bridging the </w:t>
      </w:r>
      <w:r w:rsidR="00BD7543">
        <w:t>“</w:t>
      </w:r>
      <w:r w:rsidRPr="00D22B50">
        <w:t>value-void</w:t>
      </w:r>
      <w:r w:rsidR="00BD7543">
        <w:t>”</w:t>
      </w:r>
      <w:r w:rsidRPr="00D22B50">
        <w:t xml:space="preserve"> of the initial 10-day cold-start period, this methodology enables the immediate deployment of data-driven services for new participants.</w:t>
      </w:r>
    </w:p>
    <w:p w14:paraId="2B620631" w14:textId="4D5600A9" w:rsidR="00715AB5" w:rsidRPr="00D22B50" w:rsidRDefault="00715AB5" w:rsidP="00715AB5">
      <w:pPr>
        <w:pStyle w:val="3"/>
        <w:rPr>
          <w:rFonts w:hint="eastAsia"/>
        </w:rPr>
      </w:pPr>
      <w:bookmarkStart w:id="101" w:name="_Toc228913903"/>
      <w:r w:rsidRPr="00D22B50">
        <w:t xml:space="preserve">7.4.1 The </w:t>
      </w:r>
      <w:r w:rsidR="00BD7543">
        <w:t>“</w:t>
      </w:r>
      <w:r w:rsidRPr="00D22B50">
        <w:t>Variance Compressor</w:t>
      </w:r>
      <w:r w:rsidR="00BD7543">
        <w:t>”</w:t>
      </w:r>
      <w:r w:rsidRPr="00D22B50">
        <w:t xml:space="preserve"> Effect and Risk Mitigation</w:t>
      </w:r>
      <w:bookmarkEnd w:id="101"/>
      <w:r w:rsidRPr="00D22B50">
        <w:t xml:space="preserve"> </w:t>
      </w:r>
    </w:p>
    <w:p w14:paraId="6A945A9E" w14:textId="3356C2D4" w:rsidR="00715AB5" w:rsidRPr="00D22B50" w:rsidRDefault="00715AB5" w:rsidP="00FD5995">
      <w:pPr>
        <w:pStyle w:val="af5"/>
        <w:spacing w:before="156" w:after="156"/>
      </w:pPr>
      <w:r w:rsidRPr="00D22B50">
        <w:t xml:space="preserve">A critical observation from the batch evaluation of the 30 test households is the significant reduction in error variance. While the scratch-training approach exhibited volatile performance across different users, the optimized LSTM fine-tuning strategy acted as a </w:t>
      </w:r>
      <w:r w:rsidR="00BD7543">
        <w:t>“</w:t>
      </w:r>
      <w:r w:rsidRPr="00D22B50">
        <w:t>variance compressor,</w:t>
      </w:r>
      <w:r w:rsidR="00BD7543">
        <w:t>”</w:t>
      </w:r>
      <w:r w:rsidRPr="00D22B50">
        <w:t xml:space="preserve"> providing a more consistent level of service quality regardless of individual behavioral stochasticity. For utility operators, mitigating </w:t>
      </w:r>
      <w:r w:rsidR="00BD7543">
        <w:t>“</w:t>
      </w:r>
      <w:r w:rsidRPr="00D22B50">
        <w:t>tail risk</w:t>
      </w:r>
      <w:r w:rsidR="00BD7543">
        <w:t>”</w:t>
      </w:r>
      <w:r w:rsidRPr="00D22B50">
        <w:t xml:space="preserve">—the occurrence of extreme forecasting failures—is often more vital than marginal gains in mean accuracy </w:t>
      </w:r>
      <w:r w:rsidR="001A2364" w:rsidRPr="00D22B50">
        <w:fldChar w:fldCharType="begin"/>
      </w:r>
      <w:r w:rsidR="001A2364" w:rsidRPr="00D22B50">
        <w:instrText xml:space="preserve"> ADDIN ZOTERO_ITEM CSL_CITATION {"citationID":"kZKLWlsI","properties":{"formattedCitation":"[4]","plainCitation":"[4]","noteIndex":0},"citationItems":[{"id":567,"uris":["http://zotero.org/users/local/p3tV44H5/items/J38MU6UU"],"itemData":{"id":567,"type":"article-journal","abstract":"The current electric power system witnesses a significant transition into Smart Grids (SG) as a promising landscape for high grid reliability and efficient energy management. This ongoing transition undergoes rapid changes, requiring a plethora of advanced methodologies to process the big data generated by various units. In this context, SG stands tied very closely to Deep Learning (DL) as an emerging technology for creating a more decentralized and intelligent energy paradigm while integrating high intelligence in supervisory and operational decision-making. Motivated by the outstanding success of DL-based prediction methods, this article attempts to provide a thorough review from a broad perspective on the state-of-the-art advances of DL in SG systems. Firstly, a bibliometric analysis has been conducted to categorize this review's methodology. Further, we taxonomically delve into the mechanism behind some of the trending DL algorithms. We then showcase the DL enabling technologies in SG, such as federated learning, edge intelligence, and distributed computing. Finally, challenges and research frontiers are provided to serve as guidelines for future work in the futuristic power grid domain. This study's core objective is to foster the synergy between these two fields for decision-makers and researchers to accelerate DL's practical deployment for SG systems.","container-title":"IEEE Access","DOI":"10.1109/ACCESS.2021.3071269","ISSN":"2169-3536","page":"54558-54578","source":"IEEE Xplore","title":"Deep Learning in Smart Grid Technology: A Review of Recent Advancements and Future Prospects","title-short":"Deep Learning in Smart Grid Technology","volume":"9","author":[{"family":"Massaoudi","given":"Mohamed"},{"family":"Abu-Rub","given":"Haitham"},{"family":"Refaat","given":"Shady S."},{"family":"Chihi","given":"Ines"},{"family":"Oueslati","given":"Fakhreddine S."}],"issued":{"date-parts":[["2021"]]}}}],"schema":"https://github.com/citation-style-language/schema/raw/master/csl-citation.json"} </w:instrText>
      </w:r>
      <w:r w:rsidR="001A2364" w:rsidRPr="00D22B50">
        <w:fldChar w:fldCharType="separate"/>
      </w:r>
      <w:r w:rsidR="001A2364" w:rsidRPr="00D22B50">
        <w:rPr>
          <w:rFonts w:cs="Times New Roman"/>
        </w:rPr>
        <w:t>[4]</w:t>
      </w:r>
      <w:r w:rsidR="001A2364" w:rsidRPr="00D22B50">
        <w:fldChar w:fldCharType="end"/>
      </w:r>
      <w:r w:rsidRPr="00D22B50">
        <w:t xml:space="preserve">. Reliable forecasts at the grid edge are essential for localized transformer load balancing and the prevention of voltage instability caused by unpredictable residential surges </w:t>
      </w:r>
      <w:r w:rsidR="001A2364" w:rsidRPr="00D22B50">
        <w:fldChar w:fldCharType="begin"/>
      </w:r>
      <w:r w:rsidR="001A2364" w:rsidRPr="00D22B50">
        <w:instrText xml:space="preserve"> ADDIN ZOTERO_ITEM CSL_CITATION {"citationID":"eh3y6DrM","properties":{"formattedCitation":"[1]","plainCitation":"[1]","noteIndex":0},"citationItems":[{"id":539,"uris":["http://zotero.org/users/local/p3tV44H5/items/HWZLV4UQ"],"itemData":{"id":539,"type":"article-journal","abstract":"Accurate forecasting of electricity demand is vital to the resilient management of energy systems. Recent efforts in harnessing smart-meter data to improve forecasting accuracy have primarily centered around cluster-based approaches (CBAs), where smart-meter data are grouped into a small number of clusters and separate prediction models are developed for each cluster. The cluster-based predictions are then aggregated to compute the total demand. CBAs have provided promising results compared to conventional approaches that are generally not conducive to integrating smart-meter data. However, CBAs are computationally costly and suffer from the curse of dimensionality, especially under scenarios involving smart-meter data from millions of customers. In this work, we propose an efficient reduced model approach (RMA) that leverages a novel hierarchical dimension reduction algorithm to enable the integration of fine-resolution high-dimensional smart-meter data for millions of customers in load prediction. We demonstrate the applicability of our proposed approach by using data from a utility company, based in Illinois, United States, with more than 3.7 million customers and present model performance in-terms of forecast accuracy. The proposed hierarchical dimension reduction approach enables utilizing the high-resolution data from smart-meters in a scalable manner that is not exploitable otherwise. The results shows significant improvements in forecast accuracy compared to the available approaches that either do not harness fine-resolution data or are not scalable to large-scale smart-meter big data.","container-title":"IEEE Access","DOI":"10.1109/ACCESS.2022.3142680","ISSN":"2169-3536","page":"8377-8387","source":"IEEE Xplore","title":"Smart-Meter Big Data for Load Forecasting: An Alternative Approach to Clustering","title-short":"Smart-Meter Big Data for Load Forecasting","volume":"10","author":[{"family":"Alemazkoor","given":"Negin"},{"family":"Tootkaboni","given":"Mazdak"},{"family":"Nateghi","given":"Roshanak"},{"family":"Louhghalam","given":"Arghavan"}],"issued":{"date-parts":[["2022"]]}}}],"schema":"https://github.com/citation-style-language/schema/raw/master/csl-citation.json"} </w:instrText>
      </w:r>
      <w:r w:rsidR="001A2364" w:rsidRPr="00D22B50">
        <w:fldChar w:fldCharType="separate"/>
      </w:r>
      <w:r w:rsidR="001A2364" w:rsidRPr="00D22B50">
        <w:rPr>
          <w:rFonts w:cs="Times New Roman"/>
        </w:rPr>
        <w:t>[1]</w:t>
      </w:r>
      <w:r w:rsidR="001A2364" w:rsidRPr="00D22B50">
        <w:fldChar w:fldCharType="end"/>
      </w:r>
      <w:r w:rsidRPr="00D22B50">
        <w:t xml:space="preserve">. By providing a stabilized forecasting floor from </w:t>
      </w:r>
      <w:r w:rsidR="00BD7543">
        <w:t>“</w:t>
      </w:r>
      <w:r w:rsidRPr="00D22B50">
        <w:t>Day 1,</w:t>
      </w:r>
      <w:r w:rsidR="00BD7543">
        <w:t>”</w:t>
      </w:r>
      <w:r w:rsidRPr="00D22B50">
        <w:t xml:space="preserve"> this framework ensures that new smart meter installations do not compromise the collective stability of the distribution network </w:t>
      </w:r>
      <w:r w:rsidR="001A2364" w:rsidRPr="00D22B50">
        <w:fldChar w:fldCharType="begin"/>
      </w:r>
      <w:r w:rsidR="001A2364" w:rsidRPr="00D22B50">
        <w:instrText xml:space="preserve"> ADDIN ZOTERO_ITEM CSL_CITATION {"citationID":"uOZTj1pY","properties":{"formattedCitation":"[9]","plainCitation":"[9]","noteIndex":0},"citationItems":[{"id":557,"uris":["http://zotero.org/users/local/p3tV44H5/items/N4D6A4RG"],"itemData":{"id":557,"type":"article-journal","abstract":"As the power system is facing a transition toward a more intelligent, flexible, and interactive system with higher penetration of renewable energy generation, load forecasting, especially short-term load forecasting for individual electric customers plays an increasingly essential role in the future grid planning and operation. Other than aggregated residential load in a large scale, forecasting an electric load of a single energy user is fairly challenging due to the high volatility and uncertainty involved. In this paper, we propose a long short-term memory (LSTM) recurrent neural network-based framework, which is the latest and one of the most popular techniques of deep learning, to tackle this tricky issue. The proposed framework is tested on a publicly available set of real residential smart meter data, of which the performance is comprehensively compared to various benchmarks including the state-of-the-arts in the field of load forecasting. As a result, the proposed LSTM approach outperforms the other listed rival algorithms in the task of short-term load forecasting for individual residential households.","container-title":"IEEE Transactions on Smart Grid","DOI":"10.1109/TSG.2017.2753802","ISSN":"1949-3061","issue":"1","page":"841-851","source":"IEEE Xplore","title":"Short-Term Residential Load Forecasting Based on LSTM Recurrent Neural Network","volume":"10","author":[{"family":"Kong","given":"Weicong"},{"family":"Dong","given":"Zhao Yang"},{"family":"Jia","given":"Youwei"},{"family":"Hill","given":"David J."},{"family":"Xu","given":"Yan"},{"family":"Zhang","given":"Yuan"}],"issued":{"date-parts":[["2019",1]]}}}],"schema":"https://github.com/citation-style-language/schema/raw/master/csl-citation.json"} </w:instrText>
      </w:r>
      <w:r w:rsidR="001A2364" w:rsidRPr="00D22B50">
        <w:fldChar w:fldCharType="separate"/>
      </w:r>
      <w:r w:rsidR="001A2364" w:rsidRPr="00D22B50">
        <w:rPr>
          <w:rFonts w:cs="Times New Roman"/>
        </w:rPr>
        <w:t>[9]</w:t>
      </w:r>
      <w:r w:rsidR="001A2364" w:rsidRPr="00D22B50">
        <w:fldChar w:fldCharType="end"/>
      </w:r>
      <w:r w:rsidRPr="00D22B50">
        <w:t>.</w:t>
      </w:r>
    </w:p>
    <w:p w14:paraId="586550EA" w14:textId="77777777" w:rsidR="00715AB5" w:rsidRPr="00D22B50" w:rsidRDefault="00715AB5" w:rsidP="00715AB5">
      <w:pPr>
        <w:pStyle w:val="3"/>
        <w:rPr>
          <w:rFonts w:hint="eastAsia"/>
        </w:rPr>
      </w:pPr>
      <w:bookmarkStart w:id="102" w:name="_Toc228913904"/>
      <w:r w:rsidRPr="00D22B50">
        <w:t>7.4.2 Interpreting the MAPE Anomaly and Scaling Artifacts</w:t>
      </w:r>
      <w:bookmarkEnd w:id="102"/>
      <w:r w:rsidRPr="00D22B50">
        <w:t xml:space="preserve"> </w:t>
      </w:r>
    </w:p>
    <w:p w14:paraId="41DE01F7" w14:textId="2BF04300" w:rsidR="00715AB5" w:rsidRPr="00D22B50" w:rsidRDefault="00715AB5" w:rsidP="00FD5995">
      <w:pPr>
        <w:pStyle w:val="af5"/>
        <w:spacing w:before="156" w:after="156"/>
      </w:pPr>
      <w:r w:rsidRPr="00D22B50">
        <w:t xml:space="preserve">Despite the clear superiority of the transfer learning approach in MSE and RMSE metrics, the persistently high Mean Absolute Percentage Error (MAPE) values (e.g., 285.80%) require rigorous scholarly interpretation. As observed in high-resolution residential load studies, this is primarily a mathematical artifact induced by Z-score normalization </w:t>
      </w:r>
      <w:r w:rsidR="001A2364" w:rsidRPr="00D22B50">
        <w:fldChar w:fldCharType="begin"/>
      </w:r>
      <w:r w:rsidR="001A2364" w:rsidRPr="00D22B50">
        <w:instrText xml:space="preserve"> ADDIN ZOTERO_ITEM CSL_CITATION {"citationID":"g5mU6ix0","properties":{"formattedCitation":"[37]","plainCitation":"[37]","noteIndex":0},"citationItems":[{"id":570,"uris":["http://zotero.org/users/local/p3tV44H5/items/2VCBRUTA"],"itemData":{"id":570,"type":"article-journal","abstract":"Load forecasting has been a fundamental business problem since the inception of the electric power industry. Over the past 100 plus years, both research efforts and industry practices in this area have focused primarily on point load forecasting. In the most recent decade, though, the increased market competition, aging infrastructure and renewable integration requirements mean that probabilistic load forecasting has become more and more important to energy systems planning and operations. This paper offers a tutorial review of probabilistic electric load forecasting, including notable techniques, methodologies and evaluation methods, and common misunderstandings. We also underline the need to invest in additional research, such as reproducible case studies, probabilistic load forecast evaluation and valuation, and a consideration of emerging technologies and energy policies in the probabilistic load forecasting process.","container-title":"International Journal of Forecasting","DOI":"10.1016/j.ijforecast.2015.11.011","ISSN":"01692070","issue":"3","journalAbbreviation":"International Journal of Forecasting","language":"en","page":"914-938","source":"DOI.org (Crossref)","title":"Probabilistic electric load forecasting: A tutorial review","title-short":"Probabilistic electric load forecasting","volume":"32","author":[{"family":"Hong","given":"Tao"},{"family":"Fan","given":"Shu"}],"issued":{"date-parts":[["2016",7]]}}}],"schema":"https://github.com/citation-style-language/schema/raw/master/csl-citation.json"} </w:instrText>
      </w:r>
      <w:r w:rsidR="001A2364" w:rsidRPr="00D22B50">
        <w:fldChar w:fldCharType="separate"/>
      </w:r>
      <w:r w:rsidR="001A2364" w:rsidRPr="00D22B50">
        <w:rPr>
          <w:rFonts w:cs="Times New Roman"/>
        </w:rPr>
        <w:t>[37]</w:t>
      </w:r>
      <w:r w:rsidR="001A2364" w:rsidRPr="00D22B50">
        <w:fldChar w:fldCharType="end"/>
      </w:r>
      <w:r w:rsidRPr="00D22B50">
        <w:t>. In the standardized feature space, consumption values are centered around zero. During base-load periods (such as late-night intervals), the actual value in the denominator of the MAPE formula approaches zero, causing the percentage error to inflate toward infinity even when the absolute kilowatt deviation is negligible.</w:t>
      </w:r>
    </w:p>
    <w:p w14:paraId="7CFE3C37" w14:textId="7FCB3FB1" w:rsidR="00715AB5" w:rsidRPr="00D22B50" w:rsidRDefault="00715AB5" w:rsidP="00FD5995">
      <w:pPr>
        <w:pStyle w:val="af5"/>
        <w:spacing w:before="156" w:after="156"/>
      </w:pPr>
      <w:r w:rsidRPr="00D22B50">
        <w:t xml:space="preserve">However, the relative reduction of MAPE from 355.01% (Scratch) to 285.80% (LSTM Fine-tuning) remains a highly valid statistical proxy for performance gain. This improvement aligns with the gains observed in more numerically stable metrics and confirms that the model is successfully internalizing the </w:t>
      </w:r>
      <w:r w:rsidR="00BD7543">
        <w:t>“</w:t>
      </w:r>
      <w:r w:rsidRPr="00D22B50">
        <w:t>energy fingerprint</w:t>
      </w:r>
      <w:r w:rsidR="00BD7543">
        <w:t>”</w:t>
      </w:r>
      <w:r w:rsidRPr="00D22B50">
        <w:t xml:space="preserve"> of the household </w:t>
      </w:r>
      <w:r w:rsidR="001A2364" w:rsidRPr="00D22B50">
        <w:fldChar w:fldCharType="begin"/>
      </w:r>
      <w:r w:rsidR="001A2364" w:rsidRPr="00D22B50">
        <w:instrText xml:space="preserve"> ADDIN ZOTERO_ITEM CSL_CITATION {"citationID":"O95Meiol","properties":{"formattedCitation":"[22]","plainCitation":"[22]","noteIndex":0},"citationItems":[{"id":582,"uris":["http://zotero.org/users/local/p3tV44H5/items/ZEP5S279"],"itemData":{"id":582,"type":"article-journal","abstract":"The key challenge for household load forecasting lies in the high volatility and uncertainty of load profiles. Traditional methods tend to avoid such uncertainty by load aggregation (to offset uncertainties), customer classification (to cluster uncertainties) and spectral analysis (to filter out uncertainties). This paper, for the first time, aims to directly learn the uncertainty by applying a new breed of machine learning algorithms – deep learning.","container-title":"IEEE Transactions on Smart Grid","DOI":"10.1109/TSG.2017.2686012","ISSN":"1949-3053, 1949-3061","issue":"5","journalAbbreviation":"IEEE Trans. Smart Grid","language":"en","license":"https://ieeexplore.ieee.org/Xplorehelp/downloads/license-information/IEEE.html","page":"5271-5280","source":"DOI.org (Crossref)","title":"Deep Learning for Household Load Forecasting—A Novel Pooling Deep RNN","volume":"9","author":[{"family":"Shi","given":"Heng"},{"family":"Xu","given":"Minghao"},{"family":"Li","given":"Ran"}],"issued":{"date-parts":[["2018",9]]}}}],"schema":"https://github.com/citation-style-language/schema/raw/master/csl-citation.json"} </w:instrText>
      </w:r>
      <w:r w:rsidR="001A2364" w:rsidRPr="00D22B50">
        <w:fldChar w:fldCharType="separate"/>
      </w:r>
      <w:r w:rsidR="001A2364" w:rsidRPr="00D22B50">
        <w:rPr>
          <w:rFonts w:cs="Times New Roman"/>
        </w:rPr>
        <w:t>[22]</w:t>
      </w:r>
      <w:r w:rsidR="001A2364" w:rsidRPr="00D22B50">
        <w:fldChar w:fldCharType="end"/>
      </w:r>
      <w:r w:rsidRPr="00D22B50">
        <w:t>. For practical application, these results suggest that while percentage-based metrics provide a sense of relative improvement, absolute error metrics in the original scale should remain the primary benchmarks for physical grid engineering.</w:t>
      </w:r>
    </w:p>
    <w:p w14:paraId="405901DE" w14:textId="77777777" w:rsidR="00715AB5" w:rsidRPr="00D22B50" w:rsidRDefault="00715AB5" w:rsidP="00715AB5">
      <w:pPr>
        <w:pStyle w:val="3"/>
        <w:rPr>
          <w:rFonts w:hint="eastAsia"/>
        </w:rPr>
      </w:pPr>
      <w:bookmarkStart w:id="103" w:name="_Toc228913905"/>
      <w:r w:rsidRPr="00D22B50">
        <w:lastRenderedPageBreak/>
        <w:t>7.4.3 Accelerating the ROI of Smart Metering Infrastructure</w:t>
      </w:r>
      <w:bookmarkEnd w:id="103"/>
      <w:r w:rsidRPr="00D22B50">
        <w:t xml:space="preserve"> </w:t>
      </w:r>
    </w:p>
    <w:p w14:paraId="774F41CB" w14:textId="275D5D6E" w:rsidR="002C44EF" w:rsidRPr="00D22B50" w:rsidRDefault="00715AB5" w:rsidP="00FD5995">
      <w:pPr>
        <w:pStyle w:val="af5"/>
        <w:spacing w:before="156" w:after="156"/>
      </w:pPr>
      <w:r w:rsidRPr="00D22B50">
        <w:t xml:space="preserve">The ability to generate high-precision forecasts without a lengthy </w:t>
      </w:r>
      <w:r w:rsidR="00BD7543">
        <w:t>“</w:t>
      </w:r>
      <w:r w:rsidRPr="00D22B50">
        <w:t>burn-in</w:t>
      </w:r>
      <w:r w:rsidR="00BD7543">
        <w:t>”</w:t>
      </w:r>
      <w:r w:rsidRPr="00D22B50">
        <w:t xml:space="preserve"> period of data accumulation significantly enhances the Return on Investment (ROI) for Advanced Metering Infrastructure </w:t>
      </w:r>
      <w:r w:rsidR="001A2364" w:rsidRPr="00D22B50">
        <w:fldChar w:fldCharType="begin"/>
      </w:r>
      <w:r w:rsidR="001A2364" w:rsidRPr="00D22B50">
        <w:instrText xml:space="preserve"> ADDIN ZOTERO_ITEM CSL_CITATION {"citationID":"bimmU1xu","properties":{"formattedCitation":"[4]","plainCitation":"[4]","noteIndex":0},"citationItems":[{"id":567,"uris":["http://zotero.org/users/local/p3tV44H5/items/J38MU6UU"],"itemData":{"id":567,"type":"article-journal","abstract":"The current electric power system witnesses a significant transition into Smart Grids (SG) as a promising landscape for high grid reliability and efficient energy management. This ongoing transition undergoes rapid changes, requiring a plethora of advanced methodologies to process the big data generated by various units. In this context, SG stands tied very closely to Deep Learning (DL) as an emerging technology for creating a more decentralized and intelligent energy paradigm while integrating high intelligence in supervisory and operational decision-making. Motivated by the outstanding success of DL-based prediction methods, this article attempts to provide a thorough review from a broad perspective on the state-of-the-art advances of DL in SG systems. Firstly, a bibliometric analysis has been conducted to categorize this review's methodology. Further, we taxonomically delve into the mechanism behind some of the trending DL algorithms. We then showcase the DL enabling technologies in SG, such as federated learning, edge intelligence, and distributed computing. Finally, challenges and research frontiers are provided to serve as guidelines for future work in the futuristic power grid domain. This study's core objective is to foster the synergy between these two fields for decision-makers and researchers to accelerate DL's practical deployment for SG systems.","container-title":"IEEE Access","DOI":"10.1109/ACCESS.2021.3071269","ISSN":"2169-3536","page":"54558-54578","source":"IEEE Xplore","title":"Deep Learning in Smart Grid Technology: A Review of Recent Advancements and Future Prospects","title-short":"Deep Learning in Smart Grid Technology","volume":"9","author":[{"family":"Massaoudi","given":"Mohamed"},{"family":"Abu-Rub","given":"Haitham"},{"family":"Refaat","given":"Shady S."},{"family":"Chihi","given":"Ines"},{"family":"Oueslati","given":"Fakhreddine S."}],"issued":{"date-parts":[["2021"]]}}}],"schema":"https://github.com/citation-style-language/schema/raw/master/csl-citation.json"} </w:instrText>
      </w:r>
      <w:r w:rsidR="001A2364" w:rsidRPr="00D22B50">
        <w:fldChar w:fldCharType="separate"/>
      </w:r>
      <w:r w:rsidR="001A2364" w:rsidRPr="00D22B50">
        <w:rPr>
          <w:rFonts w:cs="Times New Roman"/>
        </w:rPr>
        <w:t>[4]</w:t>
      </w:r>
      <w:r w:rsidR="001A2364" w:rsidRPr="00D22B50">
        <w:fldChar w:fldCharType="end"/>
      </w:r>
      <w:r w:rsidRPr="00D22B50">
        <w:t>. Typically, smart grid services such as dynamic pricing and personalized demand-side management are delayed by months until sufficient history is gathered.</w:t>
      </w:r>
      <w:r w:rsidRPr="00392308">
        <w:t xml:space="preserve"> </w:t>
      </w:r>
      <w:r w:rsidR="00392308" w:rsidRPr="00392308">
        <w:rPr>
          <w:rFonts w:eastAsiaTheme="minorEastAsia" w:hint="eastAsia"/>
        </w:rPr>
        <w:t>My</w:t>
      </w:r>
      <w:r w:rsidRPr="00392308">
        <w:t xml:space="preserve"> results pro</w:t>
      </w:r>
      <w:r w:rsidRPr="00D22B50">
        <w:t xml:space="preserve">ve that by leveraging the </w:t>
      </w:r>
      <w:r w:rsidR="00BD7543">
        <w:t>“</w:t>
      </w:r>
      <w:r w:rsidRPr="00D22B50">
        <w:t>Inductive Bias</w:t>
      </w:r>
      <w:r w:rsidR="00BD7543">
        <w:t>”</w:t>
      </w:r>
      <w:r w:rsidRPr="00D22B50">
        <w:t xml:space="preserve"> of pre-trained LSTMs, operators can bypass this data-accumulation phase, enabling the full suite of smart grid functionalities immediately upon meter commissioning </w:t>
      </w:r>
      <w:r w:rsidR="001A2364" w:rsidRPr="00D22B50">
        <w:fldChar w:fldCharType="begin"/>
      </w:r>
      <w:r w:rsidR="001A2364" w:rsidRPr="00D22B50">
        <w:instrText xml:space="preserve"> ADDIN ZOTERO_ITEM CSL_CITATION {"citationID":"xF6earEx","properties":{"formattedCitation":"[4]","plainCitation":"[4]","noteIndex":0},"citationItems":[{"id":567,"uris":["http://zotero.org/users/local/p3tV44H5/items/J38MU6UU"],"itemData":{"id":567,"type":"article-journal","abstract":"The current electric power system witnesses a significant transition into Smart Grids (SG) as a promising landscape for high grid reliability and efficient energy management. This ongoing transition undergoes rapid changes, requiring a plethora of advanced methodologies to process the big data generated by various units. In this context, SG stands tied very closely to Deep Learning (DL) as an emerging technology for creating a more decentralized and intelligent energy paradigm while integrating high intelligence in supervisory and operational decision-making. Motivated by the outstanding success of DL-based prediction methods, this article attempts to provide a thorough review from a broad perspective on the state-of-the-art advances of DL in SG systems. Firstly, a bibliometric analysis has been conducted to categorize this review's methodology. Further, we taxonomically delve into the mechanism behind some of the trending DL algorithms. We then showcase the DL enabling technologies in SG, such as federated learning, edge intelligence, and distributed computing. Finally, challenges and research frontiers are provided to serve as guidelines for future work in the futuristic power grid domain. This study's core objective is to foster the synergy between these two fields for decision-makers and researchers to accelerate DL's practical deployment for SG systems.","container-title":"IEEE Access","DOI":"10.1109/ACCESS.2021.3071269","ISSN":"2169-3536","page":"54558-54578","source":"IEEE Xplore","title":"Deep Learning in Smart Grid Technology: A Review of Recent Advancements and Future Prospects","title-short":"Deep Learning in Smart Grid Technology","volume":"9","author":[{"family":"Massaoudi","given":"Mohamed"},{"family":"Abu-Rub","given":"Haitham"},{"family":"Refaat","given":"Shady S."},{"family":"Chihi","given":"Ines"},{"family":"Oueslati","given":"Fakhreddine S."}],"issued":{"date-parts":[["2021"]]}}}],"schema":"https://github.com/citation-style-language/schema/raw/master/csl-citation.json"} </w:instrText>
      </w:r>
      <w:r w:rsidR="001A2364" w:rsidRPr="00D22B50">
        <w:fldChar w:fldCharType="separate"/>
      </w:r>
      <w:r w:rsidR="001A2364" w:rsidRPr="00D22B50">
        <w:rPr>
          <w:rFonts w:cs="Times New Roman"/>
        </w:rPr>
        <w:t>[4]</w:t>
      </w:r>
      <w:r w:rsidR="001A2364" w:rsidRPr="00D22B50">
        <w:fldChar w:fldCharType="end"/>
      </w:r>
      <w:r w:rsidRPr="00D22B50">
        <w:t>. This acceleration is a key catalyst for the broader adoption of sustainable energy management technologies in residential sectors.</w:t>
      </w:r>
    </w:p>
    <w:p w14:paraId="6ECEB20E" w14:textId="77777777" w:rsidR="00715AB5" w:rsidRPr="00D22B50" w:rsidRDefault="00715AB5" w:rsidP="00715AB5">
      <w:pPr>
        <w:pStyle w:val="1"/>
        <w:rPr>
          <w:rFonts w:hint="eastAsia"/>
        </w:rPr>
      </w:pPr>
      <w:bookmarkStart w:id="104" w:name="_Toc228913906"/>
      <w:r w:rsidRPr="00D22B50">
        <w:t>8</w:t>
      </w:r>
      <w:r w:rsidRPr="00D22B50">
        <w:rPr>
          <w:rFonts w:hint="eastAsia"/>
        </w:rPr>
        <w:t>.</w:t>
      </w:r>
      <w:r w:rsidRPr="00D22B50">
        <w:t>Conclusion and Future Work</w:t>
      </w:r>
      <w:bookmarkEnd w:id="104"/>
    </w:p>
    <w:p w14:paraId="0A91BCFF" w14:textId="77777777" w:rsidR="00715AB5" w:rsidRPr="00D22B50" w:rsidRDefault="00715AB5" w:rsidP="00715AB5">
      <w:pPr>
        <w:pStyle w:val="2"/>
        <w:rPr>
          <w:rFonts w:hint="eastAsia"/>
        </w:rPr>
      </w:pPr>
      <w:bookmarkStart w:id="105" w:name="_Toc228913907"/>
      <w:r w:rsidRPr="00D22B50">
        <w:t>8.1 Summary of Contributions</w:t>
      </w:r>
      <w:bookmarkEnd w:id="105"/>
      <w:r w:rsidRPr="00D22B50">
        <w:t xml:space="preserve"> </w:t>
      </w:r>
    </w:p>
    <w:p w14:paraId="140C4A7F" w14:textId="688FAB56" w:rsidR="00715AB5" w:rsidRPr="00D22B50" w:rsidRDefault="00715AB5" w:rsidP="00FD5995">
      <w:pPr>
        <w:pStyle w:val="af5"/>
        <w:spacing w:before="156" w:after="156"/>
      </w:pPr>
      <w:r w:rsidRPr="00D22B50">
        <w:t xml:space="preserve">The integration of Advanced Metering Infrastructure (AMI) into modern smart grids has fundamentally transformed demand-side management. However, the operational </w:t>
      </w:r>
      <w:r w:rsidR="00BD7543">
        <w:t>“</w:t>
      </w:r>
      <w:r w:rsidRPr="00D22B50">
        <w:t>value-void</w:t>
      </w:r>
      <w:r w:rsidR="00BD7543">
        <w:t>”</w:t>
      </w:r>
      <w:r w:rsidRPr="00D22B50">
        <w:t xml:space="preserve"> caused by the data scarcity of newly commissioned smart meters—known as the cold-start problem—remains a critical bottleneck </w:t>
      </w:r>
      <w:r w:rsidR="001A2364" w:rsidRPr="00D22B50">
        <w:fldChar w:fldCharType="begin"/>
      </w:r>
      <w:r w:rsidR="001A2364" w:rsidRPr="00D22B50">
        <w:instrText xml:space="preserve"> ADDIN ZOTERO_ITEM CSL_CITATION {"citationID":"A5QETvT9","properties":{"formattedCitation":"[11]","plainCitation":"[11]","noteIndex":0},"citationItems":[{"id":595,"uris":["http://zotero.org/users/local/p3tV44H5/items/RYGGA6L8"],"itemData":{"id":595,"type":"article-journal","abstract":"While the general belief is that the best way to predict electric load is through individualized models, the existing studies have focused on one-for-all models because the individual models are difficult to train and require a significantly larger data accumulation time per individual. In recent years, applying deep learning for forecasting electric load has become an important research topic but still one-for-all has been the main approach. In this work, we adopt transfer learning and meta learning that can be smoothly integrated into deep neural networks, and show how a high-performance individualized model can be formed using the individual's data collected over just several days. This is made possible by extracting the common patterns of many individuals using a sufficiently large dataset, and then customizing each individual model using the specific individual's small dataset. The proposed methods are evaluated over residential and non-residential datasets. When compared to the conventional methods, the meta learning model shows 7.84% and 15.07% RMSE improvements over the residential and non-residential datasets, respectively. Our results suggest that the individualized models can be used as effective tools for many short-term load forecasting tasks.","container-title":"IEEE Access","DOI":"10.1109/ACCESS.2021.3053317","ISSN":"2169-3536","page":"15413-15425","source":"IEEE Xplore","title":"Individualized Short-Term Electric Load Forecasting With Deep Neural Network Based Transfer Learning and Meta Learning","volume":"9","author":[{"family":"Lee","given":"Eunjung"},{"family":"Rhee","given":"Wonjong"}],"issued":{"date-parts":[["2021"]]}}}],"schema":"https://github.com/citation-style-language/schema/raw/master/csl-citation.json"} </w:instrText>
      </w:r>
      <w:r w:rsidR="001A2364" w:rsidRPr="00D22B50">
        <w:fldChar w:fldCharType="separate"/>
      </w:r>
      <w:r w:rsidR="001A2364" w:rsidRPr="00D22B50">
        <w:rPr>
          <w:rFonts w:cs="Times New Roman"/>
        </w:rPr>
        <w:t>[11]</w:t>
      </w:r>
      <w:r w:rsidR="001A2364" w:rsidRPr="00D22B50">
        <w:fldChar w:fldCharType="end"/>
      </w:r>
      <w:r w:rsidRPr="00D22B50">
        <w:t>. This research successfully developed and rigorously evaluated a multivariate transfer learning framework to bridge this gap, specifically targeting the extreme 10-day (480 observations) small-sample regime. By conducting a systematic, head-to-head empirical comparison across a diverse cohort of 30 residential households from the London Smart Meter dataset, this study provides actionable insights into the architectural and strategic prerequisites for robust knowledge migration.</w:t>
      </w:r>
    </w:p>
    <w:p w14:paraId="3692A508" w14:textId="77777777" w:rsidR="00715AB5" w:rsidRPr="00D22B50" w:rsidRDefault="00715AB5" w:rsidP="00715AB5">
      <w:pPr>
        <w:pStyle w:val="2"/>
        <w:rPr>
          <w:rFonts w:hint="eastAsia"/>
        </w:rPr>
      </w:pPr>
      <w:bookmarkStart w:id="106" w:name="_Toc228913908"/>
      <w:r w:rsidRPr="00D22B50">
        <w:t>8.2 Key Empirical Findings</w:t>
      </w:r>
      <w:bookmarkEnd w:id="106"/>
      <w:r w:rsidRPr="00D22B50">
        <w:t xml:space="preserve"> </w:t>
      </w:r>
    </w:p>
    <w:p w14:paraId="32D1F4E8" w14:textId="77777777" w:rsidR="00715AB5" w:rsidRPr="00D22B50" w:rsidRDefault="00715AB5" w:rsidP="00FD5995">
      <w:pPr>
        <w:pStyle w:val="af5"/>
        <w:spacing w:before="156" w:after="156"/>
      </w:pPr>
      <w:r w:rsidRPr="00D22B50">
        <w:t>The experimental phase yielded three major scholarly and engineering discoveries:</w:t>
      </w:r>
    </w:p>
    <w:p w14:paraId="70F46B15" w14:textId="1CF71B9C" w:rsidR="00FD5995" w:rsidRPr="00D22B50" w:rsidRDefault="00715AB5" w:rsidP="00FD5995">
      <w:pPr>
        <w:pStyle w:val="af5"/>
        <w:numPr>
          <w:ilvl w:val="0"/>
          <w:numId w:val="24"/>
        </w:numPr>
        <w:spacing w:before="156" w:after="156"/>
      </w:pPr>
      <w:r w:rsidRPr="00D22B50">
        <w:t>The Superiority of Sequential Inductive Bias in Cold Starts: The most significant finding of this research is the performance divergence between neural architectures under extreme data scarcity. Despite the theoretical advantages of attention mechanisms in sequence modeling, the LSTM architecture (MSE: 0.4849) demonstrated empirically superior stability over the Transformer (MSE: 0.4984) during the 10-day fine-tuning window. The LSTM</w:t>
      </w:r>
      <w:r w:rsidR="00BD7543">
        <w:t>’</w:t>
      </w:r>
      <w:r w:rsidRPr="00D22B50">
        <w:t xml:space="preserve">s inherent sequential inductive bias acted as a structural regularizer, preventing the catastrophic over-adjustment to localized noise that plagued the </w:t>
      </w:r>
      <w:r w:rsidR="00BD7543">
        <w:t>“</w:t>
      </w:r>
      <w:r w:rsidRPr="00D22B50">
        <w:t>data-hungry</w:t>
      </w:r>
      <w:r w:rsidR="00BD7543">
        <w:t>”</w:t>
      </w:r>
      <w:r w:rsidRPr="00D22B50">
        <w:t xml:space="preserve"> Transformer.</w:t>
      </w:r>
    </w:p>
    <w:p w14:paraId="68415466" w14:textId="38978F2B" w:rsidR="00FD5995" w:rsidRPr="00D22B50" w:rsidRDefault="00715AB5" w:rsidP="00FD5995">
      <w:pPr>
        <w:pStyle w:val="af5"/>
        <w:numPr>
          <w:ilvl w:val="0"/>
          <w:numId w:val="24"/>
        </w:numPr>
        <w:spacing w:before="156" w:after="156"/>
      </w:pPr>
      <w:r w:rsidRPr="00D22B50">
        <w:t xml:space="preserve">The Absolute Necessity of Knowledge Migration: The research established a definitive </w:t>
      </w:r>
      <w:r w:rsidR="00BD7543">
        <w:t>“</w:t>
      </w:r>
      <w:r w:rsidRPr="00D22B50">
        <w:t>performance ladder,</w:t>
      </w:r>
      <w:r w:rsidR="00BD7543">
        <w:t>”</w:t>
      </w:r>
      <w:r w:rsidRPr="00D22B50">
        <w:t xml:space="preserve"> proving that isolated local learning is </w:t>
      </w:r>
      <w:r w:rsidRPr="00D22B50">
        <w:lastRenderedPageBreak/>
        <w:t xml:space="preserve">mathematically unviable for new meters. The proposed adaptive fine-tuning strategy reduced the Mean Squared Error from 0.7080 (training from scratch) to 0.4849, while simultaneously acting as a </w:t>
      </w:r>
      <w:r w:rsidR="00BD7543">
        <w:t>“</w:t>
      </w:r>
      <w:r w:rsidRPr="00D22B50">
        <w:t>variance compressor</w:t>
      </w:r>
      <w:r w:rsidR="00BD7543">
        <w:t>”</w:t>
      </w:r>
      <w:r w:rsidRPr="00D22B50">
        <w:t xml:space="preserve"> to ensure consistent service quality across highly diverse consumption behaviors.</w:t>
      </w:r>
    </w:p>
    <w:p w14:paraId="75C47067" w14:textId="725A672A" w:rsidR="00715AB5" w:rsidRPr="00D22B50" w:rsidRDefault="00715AB5" w:rsidP="00FD5995">
      <w:pPr>
        <w:pStyle w:val="af5"/>
        <w:numPr>
          <w:ilvl w:val="0"/>
          <w:numId w:val="24"/>
        </w:numPr>
        <w:spacing w:before="156" w:after="156"/>
      </w:pPr>
      <w:r w:rsidRPr="00D22B50">
        <w:t xml:space="preserve">Overcoming Negative Transfer via Bayesian Optimization: The study documented the severe risks of </w:t>
      </w:r>
      <w:r w:rsidR="00BD7543">
        <w:t>“</w:t>
      </w:r>
      <w:r w:rsidRPr="00D22B50">
        <w:t>informative bias</w:t>
      </w:r>
      <w:r w:rsidR="00BD7543">
        <w:t>”</w:t>
      </w:r>
      <w:r w:rsidRPr="00D22B50">
        <w:t xml:space="preserve"> and negative transfer when migrating weights derived from manual heuristics. By implementing a Tree-structured Parzen Estimator (TPE) via the Optuna framework </w:t>
      </w:r>
      <w:r w:rsidR="00D22B50" w:rsidRPr="00D22B50">
        <w:fldChar w:fldCharType="begin"/>
      </w:r>
      <w:r w:rsidR="00D22B50" w:rsidRPr="00D22B50">
        <w:instrText xml:space="preserve"> ADDIN ZOTERO_ITEM CSL_CITATION {"citationID":"MAG6dy2A","properties":{"formattedCitation":"[16]","plainCitation":"[16]","noteIndex":0},"citationItems":[{"id":575,"uris":["http://zotero.org/users/local/p3tV44H5/items/KGFYWMJL"],"itemData":{"id":575,"type":"paper-conference","abstract":"The purpose of this study is to introduce new design-criteria for next-generation hyperparameter optimization software. The criteria we propose include (1) define-by-run API that allows users to construct the parameter search space dynamically, (2) efficient implementation of both searching and pruning strategies, and (3) easy-to-setup, versatile architecture that can be deployed for various purposes, ranging from scalable distributed computing to light-weight experiment conducted via interactive interface. In order to prove our point, we will introduce Optuna, an optimization software which is a culmination of our effort in the development of a next generation optimization software. As an optimization software designed with define-by-run principle, Optuna is particularly the first of its kind. We will present the design-techniques that became necessary in the development of the software that meets the above criteria, and demonstrate the power of our new design through experimental results and real world applications. Our software is available under the MIT license (https://github.com/pfnet/optuna/).","collection-title":"KDD '19","container-title":"Proceedings of the 25th ACM SIGKDD International Conference on Knowledge Discovery &amp; Data Mining","DOI":"10.1145/3292500.3330701","ISBN":"978-1-4503-6201-6","page":"2623–2631","publisher":"Association for Computing Machinery","publisher-place":"New York, NY, USA","source":"ACM Digital Library","title":"Optuna: A Next-generation Hyperparameter Optimization Framework","title-short":"Optuna","URL":"https://dl.acm.org/doi/10.1145/3292500.3330701","author":[{"family":"Akiba","given":"Takuya"},{"family":"Sano","given":"Shotaro"},{"family":"Yanase","given":"Toshihiko"},{"family":"Ohta","given":"Takeru"},{"family":"Koyama","given":"Masanori"}],"accessed":{"date-parts":[["2026",5,1]]},"issued":{"date-parts":[["2019",7,25]]}}}],"schema":"https://github.com/citation-style-language/schema/raw/master/csl-citation.json"} </w:instrText>
      </w:r>
      <w:r w:rsidR="00D22B50" w:rsidRPr="00D22B50">
        <w:fldChar w:fldCharType="separate"/>
      </w:r>
      <w:r w:rsidR="00D22B50" w:rsidRPr="00D22B50">
        <w:rPr>
          <w:rFonts w:cs="Times New Roman"/>
        </w:rPr>
        <w:t>[16]</w:t>
      </w:r>
      <w:r w:rsidR="00D22B50" w:rsidRPr="00D22B50">
        <w:fldChar w:fldCharType="end"/>
      </w:r>
      <w:r w:rsidRPr="00D22B50">
        <w:t xml:space="preserve">, the methodology successfully aligned the hyperparameter space, transforming an initial performance penalty (MSE: 0.81) into a nearly 30% forecasting gain. This proves that systematic architectural optimization is a mandatory prerequisite for successful transfer learning </w:t>
      </w:r>
      <w:r w:rsidR="00D22B50" w:rsidRPr="00D22B50">
        <w:fldChar w:fldCharType="begin"/>
      </w:r>
      <w:r w:rsidR="00D22B50" w:rsidRPr="00D22B50">
        <w:instrText xml:space="preserve"> ADDIN ZOTERO_ITEM CSL_CITATION {"citationID":"27TRXQfq","properties":{"formattedCitation":"[13]","plainCitation":"[13]","noteIndex":0},"citationItems":[{"id":585,"uris":["http://zotero.org/users/local/p3tV44H5/items/SRPRYVXS"],"itemData":{"id":585,"type":"article-journal","abstract":"A major assumption in many machine learning and data mining algorithms is that the training and future data must be in the same feature space and have the same distribution. However, in many real-world applications, this assumption may not hold. For example, we sometimes have a classification task in one domain of interest, but we only have sufficient training data in another domain of interest, where the latter data may be in a different feature space or follow a different data distribution. In such cases, knowledge transfer, if done successfully, would greatly improve the performance of learning by avoiding much expensive data-labeling efforts. In recent years, transfer learning has emerged as a new learning framework to address this problem. This survey focuses on categorizing and reviewing the current progress on transfer learning for classification, regression, and clustering problems. In this survey, we discuss the relationship between transfer learning and other related machine learning techniques such as domain adaptation, multitask learning and sample selection bias, as well as covariate shift. We also explore some potential future issues in transfer learning research.","container-title":"IEEE Transactions on Knowledge and Data Engineering","DOI":"10.1109/TKDE.2009.191","ISSN":"1558-2191","issue":"10","page":"1345-1359","source":"IEEE Xplore","title":"A Survey on Transfer Learning","volume":"22","author":[{"family":"Pan","given":"Sinno Jialin"},{"family":"Yang","given":"Qiang"}],"issued":{"date-parts":[["2010",10]]}}}],"schema":"https://github.com/citation-style-language/schema/raw/master/csl-citation.json"} </w:instrText>
      </w:r>
      <w:r w:rsidR="00D22B50" w:rsidRPr="00D22B50">
        <w:fldChar w:fldCharType="separate"/>
      </w:r>
      <w:r w:rsidR="00D22B50" w:rsidRPr="00D22B50">
        <w:rPr>
          <w:rFonts w:cs="Times New Roman"/>
        </w:rPr>
        <w:t>[13]</w:t>
      </w:r>
      <w:r w:rsidR="00D22B50" w:rsidRPr="00D22B50">
        <w:fldChar w:fldCharType="end"/>
      </w:r>
      <w:r w:rsidRPr="00D22B50">
        <w:t>.</w:t>
      </w:r>
    </w:p>
    <w:p w14:paraId="0C190B3E" w14:textId="77777777" w:rsidR="00715AB5" w:rsidRPr="00D22B50" w:rsidRDefault="00715AB5" w:rsidP="00715AB5">
      <w:pPr>
        <w:pStyle w:val="2"/>
        <w:rPr>
          <w:rFonts w:hint="eastAsia"/>
        </w:rPr>
      </w:pPr>
      <w:bookmarkStart w:id="107" w:name="_Toc228913909"/>
      <w:r w:rsidRPr="00D22B50">
        <w:t>8.3 Practical Implications for Utility Operators</w:t>
      </w:r>
      <w:bookmarkEnd w:id="107"/>
    </w:p>
    <w:p w14:paraId="37D10BB0" w14:textId="5F3DA2C8" w:rsidR="00715AB5" w:rsidRPr="00D22B50" w:rsidRDefault="00715AB5" w:rsidP="00FD5995">
      <w:pPr>
        <w:pStyle w:val="af5"/>
        <w:spacing w:before="156" w:after="156"/>
      </w:pPr>
      <w:r w:rsidRPr="00D22B50">
        <w:t>From an operational perspective, the proposed framework enables utility providers to bypass the traditional months-long data accumulation phase. By providing highly reliable Day-1 forecasts, operators can immediately implement localized transformer load balancing and dynamic pricing strategies, significantly accelerating the Return on Investment of smart grid rollouts. Furthermore, while percentage-based metrics (such as the 285.80% MAPE) exhibit mathematical artifacts due to zero-centered standardized data, the profound relative reductions confirm the framework</w:t>
      </w:r>
      <w:r w:rsidR="00BD7543">
        <w:t>’</w:t>
      </w:r>
      <w:r w:rsidRPr="00D22B50">
        <w:t xml:space="preserve">s capacity to securely capture the unique </w:t>
      </w:r>
      <w:r w:rsidR="00BD7543">
        <w:t>“</w:t>
      </w:r>
      <w:r w:rsidRPr="00D22B50">
        <w:t>energy fingerprint</w:t>
      </w:r>
      <w:r w:rsidR="00BD7543">
        <w:t>”</w:t>
      </w:r>
      <w:r w:rsidRPr="00D22B50">
        <w:t xml:space="preserve"> of individual users.</w:t>
      </w:r>
    </w:p>
    <w:p w14:paraId="69BA2152" w14:textId="77777777" w:rsidR="00715AB5" w:rsidRPr="00D22B50" w:rsidRDefault="00715AB5" w:rsidP="00715AB5">
      <w:pPr>
        <w:pStyle w:val="2"/>
        <w:rPr>
          <w:rFonts w:hint="eastAsia"/>
        </w:rPr>
      </w:pPr>
      <w:bookmarkStart w:id="108" w:name="_Toc228913910"/>
      <w:r w:rsidRPr="00D22B50">
        <w:t>8.4 Limitations and Future Directions</w:t>
      </w:r>
      <w:bookmarkEnd w:id="108"/>
      <w:r w:rsidRPr="00D22B50">
        <w:t xml:space="preserve"> </w:t>
      </w:r>
    </w:p>
    <w:p w14:paraId="75761166" w14:textId="4D2A98FC" w:rsidR="00715AB5" w:rsidRDefault="00715AB5" w:rsidP="00FD5995">
      <w:pPr>
        <w:pStyle w:val="af5"/>
        <w:spacing w:before="156" w:after="156"/>
        <w:rPr>
          <w:rFonts w:eastAsiaTheme="minorEastAsia"/>
        </w:rPr>
      </w:pPr>
      <w:r w:rsidRPr="00D22B50">
        <w:t xml:space="preserve">While this study resolves the immediate 10-day cold-start challenge, certain limitations warrant future investigation. First, the comparative evaluation was restricted to deterministic point forecasting. Future research should extend this framework into probabilistic forecasting boundaries to quantify uncertainty margins for grid dispatchers. Second, as the newly commissioned meter accumulates longitudinal data (e.g., beyond 3 to 6 months), a dynamic </w:t>
      </w:r>
      <w:r w:rsidR="00BD7543">
        <w:t>“</w:t>
      </w:r>
      <w:r w:rsidRPr="00D22B50">
        <w:t>architecture-switching</w:t>
      </w:r>
      <w:r w:rsidR="00BD7543">
        <w:t>”</w:t>
      </w:r>
      <w:r w:rsidRPr="00D22B50">
        <w:t xml:space="preserve"> mechanism could be explored. Such a system would deploy the stable LSTM during the cold-start phase and autonomously transition to a Transformer backbone once sufficient data is available to satisfy its multi-head attention requirements. </w:t>
      </w:r>
      <w:r w:rsidR="00CE1344" w:rsidRPr="00D22B50">
        <w:t xml:space="preserve">Finally, incorporating Federated Learning (FL) into the pre-training phase </w:t>
      </w:r>
      <w:r w:rsidR="00D22B50" w:rsidRPr="00D22B50">
        <w:fldChar w:fldCharType="begin"/>
      </w:r>
      <w:r w:rsidR="00D22B50" w:rsidRPr="00D22B50">
        <w:instrText xml:space="preserve"> ADDIN ZOTERO_ITEM CSL_CITATION {"citationID":"5bKJbYxV","properties":{"formattedCitation":"[43]","plainCitation":"[43]","noteIndex":0},"citationItems":[{"id":656,"uris":["http://zotero.org/users/local/p3tV44H5/items/G3N3ZXVW"],"itemData":{"id":656,"type":"article-journal","abstract":"Federated learning involves training statistical models over remote devices or siloed data centers, such as mobile phones or hospitals, while keeping data localized. Training in heterogeneous and potentially massive networks introduces novel challenges that require a fundamental departure from standard approaches for large-scale machine learning, distributed optimization, and privacy-preserving data analysis. In this article, we discuss the unique characteristics and challenges of federated learning, provide a broad overview of current approaches, and outline several directions of future work that are relevant to a wide range of research communities.","container-title":"IEEE Signal Processing Magazine","DOI":"10.1109/MSP.2020.2975749","ISSN":"1558-0792","issue":"3","page":"50-60","source":"IEEE Xplore","title":"Federated Learning: Challenges, Methods, and Future Directions","title-short":"Federated Learning","volume":"37","author":[{"family":"Li","given":"Tian"},{"family":"Sahu","given":"Anit Kumar"},{"family":"Talwalkar","given":"Ameet"},{"family":"Smith","given":"Virginia"}],"issued":{"date-parts":[["2020",5]]}}}],"schema":"https://github.com/citation-style-language/schema/raw/master/csl-citation.json"} </w:instrText>
      </w:r>
      <w:r w:rsidR="00D22B50" w:rsidRPr="00D22B50">
        <w:fldChar w:fldCharType="separate"/>
      </w:r>
      <w:r w:rsidR="00D22B50" w:rsidRPr="00D22B50">
        <w:rPr>
          <w:rFonts w:cs="Times New Roman"/>
        </w:rPr>
        <w:t>[43]</w:t>
      </w:r>
      <w:r w:rsidR="00D22B50" w:rsidRPr="00D22B50">
        <w:fldChar w:fldCharType="end"/>
      </w:r>
      <w:r w:rsidR="00CE1344" w:rsidRPr="00D22B50">
        <w:t xml:space="preserve"> could further enhance the source model</w:t>
      </w:r>
      <w:r w:rsidR="00BD7543">
        <w:t>’</w:t>
      </w:r>
      <w:r w:rsidR="00CE1344" w:rsidRPr="00D22B50">
        <w:t>s universality</w:t>
      </w:r>
      <w:r w:rsidR="009B36BC" w:rsidRPr="00D22B50">
        <w:rPr>
          <w:rFonts w:eastAsiaTheme="minorEastAsia" w:hint="eastAsia"/>
        </w:rPr>
        <w:t xml:space="preserve">, </w:t>
      </w:r>
      <w:r w:rsidR="009B36BC" w:rsidRPr="00D22B50">
        <w:rPr>
          <w:rFonts w:eastAsiaTheme="minorEastAsia"/>
        </w:rPr>
        <w:t xml:space="preserve">reflecting the evolving methodological standards in smart meter data analytics </w:t>
      </w:r>
      <w:r w:rsidR="00D22B50" w:rsidRPr="00D22B50">
        <w:rPr>
          <w:rFonts w:eastAsiaTheme="minorEastAsia"/>
        </w:rPr>
        <w:fldChar w:fldCharType="begin"/>
      </w:r>
      <w:r w:rsidR="00D22B50" w:rsidRPr="00D22B50">
        <w:rPr>
          <w:rFonts w:eastAsiaTheme="minorEastAsia"/>
        </w:rPr>
        <w:instrText xml:space="preserve"> ADDIN ZOTERO_ITEM CSL_CITATION {"citationID":"pKSmRS7R","properties":{"formattedCitation":"[44]","plainCitation":"[44]","noteIndex":0},"citationItems":[{"id":695,"uris":["http://zotero.org/users/local/p3tV44H5/items/5ZY8QQDG"],"itemData":{"id":695,"type":"article-journal","abstract":"The widespread popularity of smart meters enables an immense amount of fine-grained electricity consumption data to be collected. Meanwhile, the deregulation of the power industry, particularly on the delivery side, has continuously been moving forward worldwide. How to employ massive smart meter data to promote and enhance the efficiency and sustainability of the power grid is a pressing issue. To date, substantial works have been conducted on smart meter data analytics. To provide a comprehensive overview of the current research and to identify challenges for future research, this paper conducts an application-oriented review of smart meter data analytics. Following the three stages of analytics, namely, descriptive, predictive and prescriptive analytics, we identify the key application areas as load analysis, load forecasting, and load management. We also review the techniques and methodologies adopted or developed to address each application. In addition, we also discuss some research trends, such as big data issues, novel machine learning technologies, new business models, the transition of energy systems, and data privacy and security.","container-title":"IEEE Transactions on Smart Grid","DOI":"10.1109/TSG.2018.2818167","ISSN":"1949-3053, 1949-3061","issue":"3","journalAbbreviation":"IEEE Trans. Smart Grid","note":"arXiv:1802.04117 [cs]","page":"3125-3148","source":"arXiv.org","title":"Review of Smart Meter Data Analytics: Applications, Methodologies, and Challenges","title-short":"Review of Smart Meter Data Analytics","volume":"10","author":[{"family":"Wang","given":"Yi"},{"family":"Chen","given":"Qixin"},{"family":"Hong","given":"Tao"},{"family":"Kang","given":"Chongqing"}],"issued":{"date-parts":[["2019",5]]}}}],"schema":"https://github.com/citation-style-language/schema/raw/master/csl-citation.json"} </w:instrText>
      </w:r>
      <w:r w:rsidR="00D22B50" w:rsidRPr="00D22B50">
        <w:rPr>
          <w:rFonts w:eastAsiaTheme="minorEastAsia"/>
        </w:rPr>
        <w:fldChar w:fldCharType="separate"/>
      </w:r>
      <w:r w:rsidR="00D22B50" w:rsidRPr="00D22B50">
        <w:rPr>
          <w:rFonts w:eastAsiaTheme="minorEastAsia" w:cs="Times New Roman"/>
        </w:rPr>
        <w:t>[44]</w:t>
      </w:r>
      <w:r w:rsidR="00D22B50" w:rsidRPr="00D22B50">
        <w:rPr>
          <w:rFonts w:eastAsiaTheme="minorEastAsia"/>
        </w:rPr>
        <w:fldChar w:fldCharType="end"/>
      </w:r>
      <w:r w:rsidR="009B36BC" w:rsidRPr="00D22B50">
        <w:rPr>
          <w:rFonts w:eastAsiaTheme="minorEastAsia"/>
        </w:rPr>
        <w:t>,</w:t>
      </w:r>
      <w:r w:rsidR="00CE1344" w:rsidRPr="00D22B50">
        <w:t xml:space="preserve"> while strictly preserving the privacy of the 100-household source domain through decentralized knowledge aggregation </w:t>
      </w:r>
      <w:r w:rsidR="00D22B50" w:rsidRPr="00D22B50">
        <w:fldChar w:fldCharType="begin"/>
      </w:r>
      <w:r w:rsidR="00D22B50" w:rsidRPr="00D22B50">
        <w:instrText xml:space="preserve"> ADDIN ZOTERO_ITEM CSL_CITATION {"citationID":"PZr8AVXu","properties":{"formattedCitation":"[45]","plainCitation":"[45]","noteIndex":0},"citationItems":[{"id":669,"uris":["http://zotero.org/users/local/p3tV44H5/items/LA3HMASP"],"itemData":{"id":669,"type":"article-journal","abstract":"Today’s artificial intelligence still faces two major challenges. One is that, in most industries, data exists in the form of isolated islands. The other is the strengthening of data privacy and security. We propose a possible solution to these challenges: secure federated learning. Beyond the federated-learning framework first proposed by Google in 2016, we introduce a comprehensive secure federated-learning framework, which includes horizontal federated learning, vertical federated learning, and federated transfer learning. We provide definitions, architectures, and applications for the federated-learning framework, and provide a comprehensive survey of existing works on this subject. In addition, we propose building data networks among organizations based on federated mechanisms as an effective solution to allowing knowledge to be shared without compromising user privacy.","container-title":"ACM Trans. Intell. Syst. Technol.","DOI":"10.1145/3298981","ISSN":"2157-6904","issue":"2","page":"12:1–12:19","source":"ACM Digital Library","title":"Federated Machine Learning: Concept and Applications","title-short":"Federated Machine Learning","volume":"10","author":[{"family":"Yang","given":"Qiang"},{"family":"Liu","given":"Yang"},{"family":"Chen","given":"Tianjian"},{"family":"Tong","given":"Yongxin"}],"issued":{"date-parts":[["2019",1,28]]}}}],"schema":"https://github.com/citation-style-language/schema/raw/master/csl-citation.json"} </w:instrText>
      </w:r>
      <w:r w:rsidR="00D22B50" w:rsidRPr="00D22B50">
        <w:fldChar w:fldCharType="separate"/>
      </w:r>
      <w:r w:rsidR="00D22B50" w:rsidRPr="00D22B50">
        <w:rPr>
          <w:rFonts w:cs="Times New Roman"/>
        </w:rPr>
        <w:t>[45]</w:t>
      </w:r>
      <w:r w:rsidR="00D22B50" w:rsidRPr="00D22B50">
        <w:fldChar w:fldCharType="end"/>
      </w:r>
      <w:r w:rsidR="00CE1344" w:rsidRPr="00D22B50">
        <w:t>.</w:t>
      </w:r>
    </w:p>
    <w:p w14:paraId="50C472FC" w14:textId="35163BE5" w:rsidR="00AF6770" w:rsidRPr="00AF6770" w:rsidRDefault="00AF6770" w:rsidP="00FD5995">
      <w:pPr>
        <w:pStyle w:val="af5"/>
        <w:spacing w:before="156" w:after="156"/>
        <w:rPr>
          <w:rFonts w:eastAsiaTheme="minorEastAsia"/>
        </w:rPr>
      </w:pPr>
      <w:r w:rsidRPr="00AF6770">
        <w:rPr>
          <w:rFonts w:eastAsiaTheme="minorEastAsia"/>
        </w:rPr>
        <w:t xml:space="preserve">Furthermore, it must be acknowledged that the current models were developed under specific hardware and software constraints, which may have limited the exhaustive exploration of the model's performance ceiling. Consequently, a primary objective for future work is to further elevate the predictive accuracy and robustness of the </w:t>
      </w:r>
      <w:r w:rsidRPr="00AF6770">
        <w:rPr>
          <w:rFonts w:eastAsiaTheme="minorEastAsia"/>
        </w:rPr>
        <w:lastRenderedPageBreak/>
        <w:t>framework. This will involve significantly expanding the volume and diversity of the source domain data to cultivate a more potent and generalizable 'universal knowledge' base. Moreover, conducting a more granular and extensive search of the hyperparameter landscape will be essential to identify the absolute optimal configurations, thereby fully unlocking the potential of both LSTM and Transformer architectures in the context of residential load migration.</w:t>
      </w:r>
    </w:p>
    <w:p w14:paraId="1E95BCCF" w14:textId="6B080FED" w:rsidR="002C44EF" w:rsidRPr="00D22B50" w:rsidRDefault="00715AB5" w:rsidP="00715AB5">
      <w:pPr>
        <w:widowControl/>
        <w:jc w:val="left"/>
        <w:rPr>
          <w:rFonts w:hint="eastAsia"/>
        </w:rPr>
      </w:pPr>
      <w:r w:rsidRPr="00D22B50">
        <w:rPr>
          <w:rFonts w:hint="eastAsia"/>
        </w:rPr>
        <w:br w:type="page"/>
      </w:r>
    </w:p>
    <w:p w14:paraId="03F08FFF" w14:textId="5D89834E" w:rsidR="009B36BC" w:rsidRPr="00D22B50" w:rsidRDefault="002C44EF" w:rsidP="00FD5200">
      <w:pPr>
        <w:pStyle w:val="1"/>
        <w:rPr>
          <w:rFonts w:hint="eastAsia"/>
        </w:rPr>
      </w:pPr>
      <w:bookmarkStart w:id="109" w:name="_Toc228913911"/>
      <w:r w:rsidRPr="00D22B50">
        <w:lastRenderedPageBreak/>
        <w:t>References</w:t>
      </w:r>
      <w:bookmarkEnd w:id="109"/>
      <w:r w:rsidRPr="00D22B50">
        <w:t xml:space="preserve"> </w:t>
      </w:r>
    </w:p>
    <w:p w14:paraId="426A40E6" w14:textId="77777777" w:rsidR="00111004" w:rsidRPr="00111004" w:rsidRDefault="00FD5200" w:rsidP="00111004">
      <w:pPr>
        <w:pStyle w:val="af7"/>
        <w:rPr>
          <w:rFonts w:ascii="等线" w:eastAsia="等线" w:hAnsi="等线" w:hint="eastAsia"/>
        </w:rPr>
      </w:pPr>
      <w:r w:rsidRPr="00D22B50">
        <w:rPr>
          <w:rFonts w:hint="eastAsia"/>
        </w:rPr>
        <w:fldChar w:fldCharType="begin"/>
      </w:r>
      <w:r w:rsidR="00111004">
        <w:rPr>
          <w:rFonts w:hint="eastAsia"/>
        </w:rPr>
        <w:instrText xml:space="preserve"> ADDIN ZOTERO_BIBL {"uncited":[],"omitted":[],"custom":[]} CSL_BIBLIOGRAPHY </w:instrText>
      </w:r>
      <w:r w:rsidRPr="00D22B50">
        <w:rPr>
          <w:rFonts w:hint="eastAsia"/>
        </w:rPr>
        <w:fldChar w:fldCharType="separate"/>
      </w:r>
      <w:r w:rsidR="00111004" w:rsidRPr="00111004">
        <w:rPr>
          <w:rFonts w:ascii="等线" w:eastAsia="等线" w:hAnsi="等线"/>
        </w:rPr>
        <w:t>[1]</w:t>
      </w:r>
      <w:r w:rsidR="00111004" w:rsidRPr="00111004">
        <w:rPr>
          <w:rFonts w:ascii="等线" w:eastAsia="等线" w:hAnsi="等线"/>
        </w:rPr>
        <w:tab/>
        <w:t xml:space="preserve">N. Alemazkoor, M. Tootkaboni, R. Nateghi, and A. Louhghalam, ‘Smart-Meter Big Data for Load Forecasting: An Alternative Approach to Clustering’, </w:t>
      </w:r>
      <w:r w:rsidR="00111004" w:rsidRPr="00111004">
        <w:rPr>
          <w:rFonts w:ascii="等线" w:eastAsia="等线" w:hAnsi="等线"/>
          <w:i/>
          <w:iCs/>
        </w:rPr>
        <w:t>IEEE Access</w:t>
      </w:r>
      <w:r w:rsidR="00111004" w:rsidRPr="00111004">
        <w:rPr>
          <w:rFonts w:ascii="等线" w:eastAsia="等线" w:hAnsi="等线"/>
        </w:rPr>
        <w:t>, vol. 10, pp. 8377–8387, 2022, doi: 10.1109/ACCESS.2022.3142680.</w:t>
      </w:r>
    </w:p>
    <w:p w14:paraId="01488F26" w14:textId="77777777" w:rsidR="00111004" w:rsidRPr="00111004" w:rsidRDefault="00111004" w:rsidP="00111004">
      <w:pPr>
        <w:pStyle w:val="af7"/>
        <w:rPr>
          <w:rFonts w:ascii="等线" w:eastAsia="等线" w:hAnsi="等线" w:hint="eastAsia"/>
        </w:rPr>
      </w:pPr>
      <w:r w:rsidRPr="00111004">
        <w:rPr>
          <w:rFonts w:ascii="等线" w:eastAsia="等线" w:hAnsi="等线"/>
        </w:rPr>
        <w:t>[2]</w:t>
      </w:r>
      <w:r w:rsidRPr="00111004">
        <w:rPr>
          <w:rFonts w:ascii="等线" w:eastAsia="等线" w:hAnsi="等线"/>
        </w:rPr>
        <w:tab/>
        <w:t xml:space="preserve">Y. Zhang, T. Huang, and E. F. Bompard, ‘Big data analytics in smart grids: a review’, </w:t>
      </w:r>
      <w:r w:rsidRPr="00111004">
        <w:rPr>
          <w:rFonts w:ascii="等线" w:eastAsia="等线" w:hAnsi="等线"/>
          <w:i/>
          <w:iCs/>
        </w:rPr>
        <w:t>Energy Inform</w:t>
      </w:r>
      <w:r w:rsidRPr="00111004">
        <w:rPr>
          <w:rFonts w:ascii="等线" w:eastAsia="等线" w:hAnsi="等线"/>
        </w:rPr>
        <w:t>, vol. 1, no. 1, p. 8, Aug. 2018, doi: 10.1186/s42162-018-0007-5.</w:t>
      </w:r>
    </w:p>
    <w:p w14:paraId="57A8653E" w14:textId="77777777" w:rsidR="00111004" w:rsidRPr="00111004" w:rsidRDefault="00111004" w:rsidP="00111004">
      <w:pPr>
        <w:pStyle w:val="af7"/>
        <w:rPr>
          <w:rFonts w:ascii="等线" w:eastAsia="等线" w:hAnsi="等线" w:hint="eastAsia"/>
        </w:rPr>
      </w:pPr>
      <w:r w:rsidRPr="00111004">
        <w:rPr>
          <w:rFonts w:ascii="等线" w:eastAsia="等线" w:hAnsi="等线"/>
        </w:rPr>
        <w:t>[3]</w:t>
      </w:r>
      <w:r w:rsidRPr="00111004">
        <w:rPr>
          <w:rFonts w:ascii="等线" w:eastAsia="等线" w:hAnsi="等线"/>
        </w:rPr>
        <w:tab/>
        <w:t xml:space="preserve">S. S. S. R. Depuru, L. Wang, V. Devabhaktuni, and N. Gudi, ‘Smart meters for power grid — Challenges, issues, advantages and status’, in </w:t>
      </w:r>
      <w:r w:rsidRPr="00111004">
        <w:rPr>
          <w:rFonts w:ascii="等线" w:eastAsia="等线" w:hAnsi="等线"/>
          <w:i/>
          <w:iCs/>
        </w:rPr>
        <w:t>2011 IEEE/PES Power Systems Conference and Exposition</w:t>
      </w:r>
      <w:r w:rsidRPr="00111004">
        <w:rPr>
          <w:rFonts w:ascii="等线" w:eastAsia="等线" w:hAnsi="等线"/>
        </w:rPr>
        <w:t>, Mar. 2011, pp. 1–7. doi: 10.1109/PSCE.2011.5772451.</w:t>
      </w:r>
    </w:p>
    <w:p w14:paraId="7240DD74" w14:textId="77777777" w:rsidR="00111004" w:rsidRPr="00111004" w:rsidRDefault="00111004" w:rsidP="00111004">
      <w:pPr>
        <w:pStyle w:val="af7"/>
        <w:rPr>
          <w:rFonts w:ascii="等线" w:eastAsia="等线" w:hAnsi="等线" w:hint="eastAsia"/>
        </w:rPr>
      </w:pPr>
      <w:r w:rsidRPr="00111004">
        <w:rPr>
          <w:rFonts w:ascii="等线" w:eastAsia="等线" w:hAnsi="等线"/>
        </w:rPr>
        <w:t>[4]</w:t>
      </w:r>
      <w:r w:rsidRPr="00111004">
        <w:rPr>
          <w:rFonts w:ascii="等线" w:eastAsia="等线" w:hAnsi="等线"/>
        </w:rPr>
        <w:tab/>
        <w:t xml:space="preserve">M. Massaoudi, H. Abu-Rub, S. S. Refaat, I. Chihi, and F. S. Oueslati, ‘Deep Learning in Smart Grid Technology: A Review of Recent Advancements and Future Prospects’, </w:t>
      </w:r>
      <w:r w:rsidRPr="00111004">
        <w:rPr>
          <w:rFonts w:ascii="等线" w:eastAsia="等线" w:hAnsi="等线"/>
          <w:i/>
          <w:iCs/>
        </w:rPr>
        <w:t>IEEE Access</w:t>
      </w:r>
      <w:r w:rsidRPr="00111004">
        <w:rPr>
          <w:rFonts w:ascii="等线" w:eastAsia="等线" w:hAnsi="等线"/>
        </w:rPr>
        <w:t>, vol. 9, pp. 54558–54578, 2021, doi: 10.1109/ACCESS.2021.3071269.</w:t>
      </w:r>
    </w:p>
    <w:p w14:paraId="3D7C9FF4" w14:textId="77777777" w:rsidR="00111004" w:rsidRPr="00111004" w:rsidRDefault="00111004" w:rsidP="00111004">
      <w:pPr>
        <w:pStyle w:val="af7"/>
        <w:rPr>
          <w:rFonts w:ascii="等线" w:eastAsia="等线" w:hAnsi="等线" w:hint="eastAsia"/>
        </w:rPr>
      </w:pPr>
      <w:r w:rsidRPr="00111004">
        <w:rPr>
          <w:rFonts w:ascii="等线" w:eastAsia="等线" w:hAnsi="等线"/>
        </w:rPr>
        <w:t>[5]</w:t>
      </w:r>
      <w:r w:rsidRPr="00111004">
        <w:rPr>
          <w:rFonts w:ascii="等线" w:eastAsia="等线" w:hAnsi="等线"/>
        </w:rPr>
        <w:tab/>
        <w:t xml:space="preserve">M. Alhussein, K. Aurangzeb, and S. I. Haider, ‘Hybrid CNN-LSTM Model for Short-Term Individual Household Load Forecasting’, </w:t>
      </w:r>
      <w:r w:rsidRPr="00111004">
        <w:rPr>
          <w:rFonts w:ascii="等线" w:eastAsia="等线" w:hAnsi="等线"/>
          <w:i/>
          <w:iCs/>
        </w:rPr>
        <w:t>IEEE Access</w:t>
      </w:r>
      <w:r w:rsidRPr="00111004">
        <w:rPr>
          <w:rFonts w:ascii="等线" w:eastAsia="等线" w:hAnsi="等线"/>
        </w:rPr>
        <w:t>, vol. 8, pp. 180544–180557, 2020, doi: 10.1109/ACCESS.2020.3028281.</w:t>
      </w:r>
    </w:p>
    <w:p w14:paraId="7111345F" w14:textId="77777777" w:rsidR="00111004" w:rsidRPr="00111004" w:rsidRDefault="00111004" w:rsidP="00111004">
      <w:pPr>
        <w:pStyle w:val="af7"/>
        <w:rPr>
          <w:rFonts w:ascii="等线" w:eastAsia="等线" w:hAnsi="等线" w:hint="eastAsia"/>
        </w:rPr>
      </w:pPr>
      <w:r w:rsidRPr="00111004">
        <w:rPr>
          <w:rFonts w:ascii="等线" w:eastAsia="等线" w:hAnsi="等线"/>
        </w:rPr>
        <w:t>[6]</w:t>
      </w:r>
      <w:r w:rsidRPr="00111004">
        <w:rPr>
          <w:rFonts w:ascii="等线" w:eastAsia="等线" w:hAnsi="等线"/>
        </w:rPr>
        <w:tab/>
        <w:t xml:space="preserve">J. W. Taylor, ‘Short-term electricity demand forecasting using double seasonal exponential smoothing’, </w:t>
      </w:r>
      <w:r w:rsidRPr="00111004">
        <w:rPr>
          <w:rFonts w:ascii="等线" w:eastAsia="等线" w:hAnsi="等线"/>
          <w:i/>
          <w:iCs/>
        </w:rPr>
        <w:t>Journal of the Operational Research Society</w:t>
      </w:r>
      <w:r w:rsidRPr="00111004">
        <w:rPr>
          <w:rFonts w:ascii="等线" w:eastAsia="等线" w:hAnsi="等线"/>
        </w:rPr>
        <w:t>, vol. 54, no. 8, pp. 799–805, Aug. 2003, doi: 10.1057/palgrave.jors.2601589.</w:t>
      </w:r>
    </w:p>
    <w:p w14:paraId="3C130D75" w14:textId="77777777" w:rsidR="00111004" w:rsidRPr="00111004" w:rsidRDefault="00111004" w:rsidP="00111004">
      <w:pPr>
        <w:pStyle w:val="af7"/>
        <w:rPr>
          <w:rFonts w:ascii="等线" w:eastAsia="等线" w:hAnsi="等线" w:hint="eastAsia"/>
        </w:rPr>
      </w:pPr>
      <w:r w:rsidRPr="00111004">
        <w:rPr>
          <w:rFonts w:ascii="等线" w:eastAsia="等线" w:hAnsi="等线"/>
        </w:rPr>
        <w:t>[7]</w:t>
      </w:r>
      <w:r w:rsidRPr="00111004">
        <w:rPr>
          <w:rFonts w:ascii="等线" w:eastAsia="等线" w:hAnsi="等线"/>
        </w:rPr>
        <w:tab/>
        <w:t xml:space="preserve">C. Chatfield and H. Xing, </w:t>
      </w:r>
      <w:r w:rsidRPr="00111004">
        <w:rPr>
          <w:rFonts w:ascii="等线" w:eastAsia="等线" w:hAnsi="等线"/>
          <w:i/>
          <w:iCs/>
        </w:rPr>
        <w:t>The analysis of time series: an introduction</w:t>
      </w:r>
      <w:r w:rsidRPr="00111004">
        <w:rPr>
          <w:rFonts w:ascii="等线" w:eastAsia="等线" w:hAnsi="等线"/>
        </w:rPr>
        <w:t>, Seventh edition. in Chapman &amp; Hall/CRC texts in statistical science series. Boca Raton, Florida: CRC Press, 2019.</w:t>
      </w:r>
    </w:p>
    <w:p w14:paraId="41F81F8A" w14:textId="77777777" w:rsidR="00111004" w:rsidRPr="00111004" w:rsidRDefault="00111004" w:rsidP="00111004">
      <w:pPr>
        <w:pStyle w:val="af7"/>
        <w:rPr>
          <w:rFonts w:ascii="等线" w:eastAsia="等线" w:hAnsi="等线" w:hint="eastAsia"/>
        </w:rPr>
      </w:pPr>
      <w:r w:rsidRPr="00111004">
        <w:rPr>
          <w:rFonts w:ascii="等线" w:eastAsia="等线" w:hAnsi="等线"/>
        </w:rPr>
        <w:t>[8]</w:t>
      </w:r>
      <w:r w:rsidRPr="00111004">
        <w:rPr>
          <w:rFonts w:ascii="等线" w:eastAsia="等线" w:hAnsi="等线"/>
        </w:rPr>
        <w:tab/>
        <w:t xml:space="preserve">S. Hochreiter and J. Schmidhuber, ‘Long Short-Term Memory’, </w:t>
      </w:r>
      <w:r w:rsidRPr="00111004">
        <w:rPr>
          <w:rFonts w:ascii="等线" w:eastAsia="等线" w:hAnsi="等线"/>
          <w:i/>
          <w:iCs/>
        </w:rPr>
        <w:t>Neural Computation</w:t>
      </w:r>
      <w:r w:rsidRPr="00111004">
        <w:rPr>
          <w:rFonts w:ascii="等线" w:eastAsia="等线" w:hAnsi="等线"/>
        </w:rPr>
        <w:t>, vol. 9, no. 8, pp. 1735–1780, Nov. 1997, doi: 10.1162/neco.1997.9.8.1735.</w:t>
      </w:r>
    </w:p>
    <w:p w14:paraId="66DEC965" w14:textId="77777777" w:rsidR="00111004" w:rsidRPr="00111004" w:rsidRDefault="00111004" w:rsidP="00111004">
      <w:pPr>
        <w:pStyle w:val="af7"/>
        <w:rPr>
          <w:rFonts w:ascii="等线" w:eastAsia="等线" w:hAnsi="等线" w:hint="eastAsia"/>
        </w:rPr>
      </w:pPr>
      <w:r w:rsidRPr="00111004">
        <w:rPr>
          <w:rFonts w:ascii="等线" w:eastAsia="等线" w:hAnsi="等线"/>
        </w:rPr>
        <w:t>[9]</w:t>
      </w:r>
      <w:r w:rsidRPr="00111004">
        <w:rPr>
          <w:rFonts w:ascii="等线" w:eastAsia="等线" w:hAnsi="等线"/>
        </w:rPr>
        <w:tab/>
        <w:t xml:space="preserve">W. Kong, Z. Y. Dong, Y. Jia, D. J. Hill, Y. Xu, and Y. Zhang, ‘Short-Term Residential Load Forecasting Based on LSTM Recurrent Neural Network’, </w:t>
      </w:r>
      <w:r w:rsidRPr="00111004">
        <w:rPr>
          <w:rFonts w:ascii="等线" w:eastAsia="等线" w:hAnsi="等线"/>
          <w:i/>
          <w:iCs/>
        </w:rPr>
        <w:t>IEEE Transactions on Smart Grid</w:t>
      </w:r>
      <w:r w:rsidRPr="00111004">
        <w:rPr>
          <w:rFonts w:ascii="等线" w:eastAsia="等线" w:hAnsi="等线"/>
        </w:rPr>
        <w:t>, vol. 10, no. 1, pp. 841–851, Jan. 2019, doi: 10.1109/TSG.2017.2753802.</w:t>
      </w:r>
    </w:p>
    <w:p w14:paraId="0BE126D9" w14:textId="77777777" w:rsidR="00111004" w:rsidRPr="00111004" w:rsidRDefault="00111004" w:rsidP="00111004">
      <w:pPr>
        <w:pStyle w:val="af7"/>
        <w:rPr>
          <w:rFonts w:ascii="等线" w:eastAsia="等线" w:hAnsi="等线" w:hint="eastAsia"/>
        </w:rPr>
      </w:pPr>
      <w:r w:rsidRPr="00111004">
        <w:rPr>
          <w:rFonts w:ascii="等线" w:eastAsia="等线" w:hAnsi="等线"/>
        </w:rPr>
        <w:t>[10]</w:t>
      </w:r>
      <w:r w:rsidRPr="00111004">
        <w:rPr>
          <w:rFonts w:ascii="等线" w:eastAsia="等线" w:hAnsi="等线"/>
        </w:rPr>
        <w:tab/>
        <w:t xml:space="preserve">Y. Wang, Q. Yao, J. T. Kwok, and L. M. Ni, ‘Generalizing from a Few Examples: A Survey on Few-shot Learning’, </w:t>
      </w:r>
      <w:r w:rsidRPr="00111004">
        <w:rPr>
          <w:rFonts w:ascii="等线" w:eastAsia="等线" w:hAnsi="等线"/>
          <w:i/>
          <w:iCs/>
        </w:rPr>
        <w:t>ACM Comput. Surv.</w:t>
      </w:r>
      <w:r w:rsidRPr="00111004">
        <w:rPr>
          <w:rFonts w:ascii="等线" w:eastAsia="等线" w:hAnsi="等线"/>
        </w:rPr>
        <w:t>, vol. 53, no. 3, p. 63:1-63:34, Jun. 2020, doi: 10.1145/3386252.</w:t>
      </w:r>
    </w:p>
    <w:p w14:paraId="579C0FAC" w14:textId="77777777" w:rsidR="00111004" w:rsidRPr="00111004" w:rsidRDefault="00111004" w:rsidP="00111004">
      <w:pPr>
        <w:pStyle w:val="af7"/>
        <w:rPr>
          <w:rFonts w:ascii="等线" w:eastAsia="等线" w:hAnsi="等线" w:hint="eastAsia"/>
        </w:rPr>
      </w:pPr>
      <w:r w:rsidRPr="00111004">
        <w:rPr>
          <w:rFonts w:ascii="等线" w:eastAsia="等线" w:hAnsi="等线"/>
        </w:rPr>
        <w:t>[11]</w:t>
      </w:r>
      <w:r w:rsidRPr="00111004">
        <w:rPr>
          <w:rFonts w:ascii="等线" w:eastAsia="等线" w:hAnsi="等线"/>
        </w:rPr>
        <w:tab/>
        <w:t xml:space="preserve">E. Lee and W. Rhee, ‘Individualized Short-Term Electric Load Forecasting With Deep Neural Network Based Transfer Learning and Meta Learning’, </w:t>
      </w:r>
      <w:r w:rsidRPr="00111004">
        <w:rPr>
          <w:rFonts w:ascii="等线" w:eastAsia="等线" w:hAnsi="等线"/>
          <w:i/>
          <w:iCs/>
        </w:rPr>
        <w:t>IEEE Access</w:t>
      </w:r>
      <w:r w:rsidRPr="00111004">
        <w:rPr>
          <w:rFonts w:ascii="等线" w:eastAsia="等线" w:hAnsi="等线"/>
        </w:rPr>
        <w:t>, vol. 9, pp. 15413–15425, 2021, doi: 10.1109/ACCESS.2021.3053317.</w:t>
      </w:r>
    </w:p>
    <w:p w14:paraId="19122635" w14:textId="77777777" w:rsidR="00111004" w:rsidRPr="00111004" w:rsidRDefault="00111004" w:rsidP="00111004">
      <w:pPr>
        <w:pStyle w:val="af7"/>
        <w:rPr>
          <w:rFonts w:ascii="等线" w:eastAsia="等线" w:hAnsi="等线" w:hint="eastAsia"/>
        </w:rPr>
      </w:pPr>
      <w:r w:rsidRPr="00111004">
        <w:rPr>
          <w:rFonts w:ascii="等线" w:eastAsia="等线" w:hAnsi="等线"/>
        </w:rPr>
        <w:t>[12]</w:t>
      </w:r>
      <w:r w:rsidRPr="00111004">
        <w:rPr>
          <w:rFonts w:ascii="等线" w:eastAsia="等线" w:hAnsi="等线"/>
        </w:rPr>
        <w:tab/>
        <w:t xml:space="preserve">F. Zhuang </w:t>
      </w:r>
      <w:r w:rsidRPr="00111004">
        <w:rPr>
          <w:rFonts w:ascii="等线" w:eastAsia="等线" w:hAnsi="等线"/>
          <w:i/>
          <w:iCs/>
        </w:rPr>
        <w:t>et al.</w:t>
      </w:r>
      <w:r w:rsidRPr="00111004">
        <w:rPr>
          <w:rFonts w:ascii="等线" w:eastAsia="等线" w:hAnsi="等线"/>
        </w:rPr>
        <w:t xml:space="preserve">, ‘A Comprehensive Survey on Transfer Learning’, </w:t>
      </w:r>
      <w:r w:rsidRPr="00111004">
        <w:rPr>
          <w:rFonts w:ascii="等线" w:eastAsia="等线" w:hAnsi="等线"/>
          <w:i/>
          <w:iCs/>
        </w:rPr>
        <w:t>Proceedings of the IEEE</w:t>
      </w:r>
      <w:r w:rsidRPr="00111004">
        <w:rPr>
          <w:rFonts w:ascii="等线" w:eastAsia="等线" w:hAnsi="等线"/>
        </w:rPr>
        <w:t>, vol. 109, no. 1, pp. 43–76, Jan. 2021, doi: 10.1109/JPROC.2020.3004555.</w:t>
      </w:r>
    </w:p>
    <w:p w14:paraId="6850883B" w14:textId="77777777" w:rsidR="00111004" w:rsidRPr="00111004" w:rsidRDefault="00111004" w:rsidP="00111004">
      <w:pPr>
        <w:pStyle w:val="af7"/>
        <w:rPr>
          <w:rFonts w:ascii="等线" w:eastAsia="等线" w:hAnsi="等线" w:hint="eastAsia"/>
        </w:rPr>
      </w:pPr>
      <w:r w:rsidRPr="00111004">
        <w:rPr>
          <w:rFonts w:ascii="等线" w:eastAsia="等线" w:hAnsi="等线"/>
        </w:rPr>
        <w:t>[13]</w:t>
      </w:r>
      <w:r w:rsidRPr="00111004">
        <w:rPr>
          <w:rFonts w:ascii="等线" w:eastAsia="等线" w:hAnsi="等线"/>
        </w:rPr>
        <w:tab/>
        <w:t xml:space="preserve">S. J. Pan and Q. Yang, ‘A Survey on Transfer Learning’, </w:t>
      </w:r>
      <w:r w:rsidRPr="00111004">
        <w:rPr>
          <w:rFonts w:ascii="等线" w:eastAsia="等线" w:hAnsi="等线"/>
          <w:i/>
          <w:iCs/>
        </w:rPr>
        <w:t>IEEE Transactions on Knowledge and Data Engineering</w:t>
      </w:r>
      <w:r w:rsidRPr="00111004">
        <w:rPr>
          <w:rFonts w:ascii="等线" w:eastAsia="等线" w:hAnsi="等线"/>
        </w:rPr>
        <w:t>, vol. 22, no. 10, pp. 1345–1359, Oct. 2010, doi: 10.1109/TKDE.2009.191.</w:t>
      </w:r>
    </w:p>
    <w:p w14:paraId="74873C7C" w14:textId="77777777" w:rsidR="00111004" w:rsidRPr="00111004" w:rsidRDefault="00111004" w:rsidP="00111004">
      <w:pPr>
        <w:pStyle w:val="af7"/>
        <w:rPr>
          <w:rFonts w:ascii="等线" w:eastAsia="等线" w:hAnsi="等线" w:hint="eastAsia"/>
        </w:rPr>
      </w:pPr>
      <w:r w:rsidRPr="00111004">
        <w:rPr>
          <w:rFonts w:ascii="等线" w:eastAsia="等线" w:hAnsi="等线"/>
        </w:rPr>
        <w:t>[14]</w:t>
      </w:r>
      <w:r w:rsidRPr="00111004">
        <w:rPr>
          <w:rFonts w:ascii="等线" w:eastAsia="等线" w:hAnsi="等线"/>
        </w:rPr>
        <w:tab/>
        <w:t xml:space="preserve">Y. Bengio, A. Courville, and P. Vincent, ‘Representation Learning: A Review and New Perspectives’, </w:t>
      </w:r>
      <w:r w:rsidRPr="00111004">
        <w:rPr>
          <w:rFonts w:ascii="等线" w:eastAsia="等线" w:hAnsi="等线"/>
          <w:i/>
          <w:iCs/>
        </w:rPr>
        <w:t>IEEE Transactions on Pattern Analysis and Machine Intelligence</w:t>
      </w:r>
      <w:r w:rsidRPr="00111004">
        <w:rPr>
          <w:rFonts w:ascii="等线" w:eastAsia="等线" w:hAnsi="等线"/>
        </w:rPr>
        <w:t>, vol. 35, no. 8, pp. 1798–1828, Aug. 2013, doi: 10.1109/TPAMI.2013.50.</w:t>
      </w:r>
    </w:p>
    <w:p w14:paraId="03286753" w14:textId="77777777" w:rsidR="00111004" w:rsidRPr="00111004" w:rsidRDefault="00111004" w:rsidP="00111004">
      <w:pPr>
        <w:pStyle w:val="af7"/>
        <w:rPr>
          <w:rFonts w:ascii="等线" w:eastAsia="等线" w:hAnsi="等线" w:hint="eastAsia"/>
        </w:rPr>
      </w:pPr>
      <w:r w:rsidRPr="00111004">
        <w:rPr>
          <w:rFonts w:ascii="等线" w:eastAsia="等线" w:hAnsi="等线"/>
        </w:rPr>
        <w:t>[15]</w:t>
      </w:r>
      <w:r w:rsidRPr="00111004">
        <w:rPr>
          <w:rFonts w:ascii="等线" w:eastAsia="等线" w:hAnsi="等线"/>
        </w:rPr>
        <w:tab/>
        <w:t xml:space="preserve">H. Ismail Fawaz, G. Forestier, J. Weber, L. Idoumghar, and P.-A. Muller, ‘Transfer learning for time series classification’, in </w:t>
      </w:r>
      <w:r w:rsidRPr="00111004">
        <w:rPr>
          <w:rFonts w:ascii="等线" w:eastAsia="等线" w:hAnsi="等线"/>
          <w:i/>
          <w:iCs/>
        </w:rPr>
        <w:t>2018 IEEE International Conference on Big Data (Big Data)</w:t>
      </w:r>
      <w:r w:rsidRPr="00111004">
        <w:rPr>
          <w:rFonts w:ascii="等线" w:eastAsia="等线" w:hAnsi="等线"/>
        </w:rPr>
        <w:t xml:space="preserve">, </w:t>
      </w:r>
      <w:r w:rsidRPr="00111004">
        <w:rPr>
          <w:rFonts w:ascii="等线" w:eastAsia="等线" w:hAnsi="等线"/>
        </w:rPr>
        <w:lastRenderedPageBreak/>
        <w:t>Dec. 2018, pp. 1367–1376. doi: 10.1109/BigData.2018.8621990.</w:t>
      </w:r>
    </w:p>
    <w:p w14:paraId="40107B72" w14:textId="77777777" w:rsidR="00111004" w:rsidRPr="00111004" w:rsidRDefault="00111004" w:rsidP="00111004">
      <w:pPr>
        <w:pStyle w:val="af7"/>
        <w:rPr>
          <w:rFonts w:ascii="等线" w:eastAsia="等线" w:hAnsi="等线" w:hint="eastAsia"/>
        </w:rPr>
      </w:pPr>
      <w:r w:rsidRPr="00111004">
        <w:rPr>
          <w:rFonts w:ascii="等线" w:eastAsia="等线" w:hAnsi="等线"/>
        </w:rPr>
        <w:t>[16]</w:t>
      </w:r>
      <w:r w:rsidRPr="00111004">
        <w:rPr>
          <w:rFonts w:ascii="等线" w:eastAsia="等线" w:hAnsi="等线"/>
        </w:rPr>
        <w:tab/>
        <w:t xml:space="preserve">T. Akiba, S. Sano, T. Yanase, T. Ohta, and M. Koyama, ‘Optuna: A Next-generation Hyperparameter Optimization Framework’, in </w:t>
      </w:r>
      <w:r w:rsidRPr="00111004">
        <w:rPr>
          <w:rFonts w:ascii="等线" w:eastAsia="等线" w:hAnsi="等线"/>
          <w:i/>
          <w:iCs/>
        </w:rPr>
        <w:t>Proceedings of the 25th ACM SIGKDD International Conference on Knowledge Discovery &amp; Data Mining</w:t>
      </w:r>
      <w:r w:rsidRPr="00111004">
        <w:rPr>
          <w:rFonts w:ascii="等线" w:eastAsia="等线" w:hAnsi="等线"/>
        </w:rPr>
        <w:t>, in KDD ’19. New York, NY, USA: Association for Computing Machinery, Jul. 2019, pp. 2623–2631. doi: 10.1145/3292500.3330701.</w:t>
      </w:r>
    </w:p>
    <w:p w14:paraId="535CA945" w14:textId="77777777" w:rsidR="00111004" w:rsidRPr="00111004" w:rsidRDefault="00111004" w:rsidP="00111004">
      <w:pPr>
        <w:pStyle w:val="af7"/>
        <w:rPr>
          <w:rFonts w:ascii="等线" w:eastAsia="等线" w:hAnsi="等线" w:hint="eastAsia"/>
        </w:rPr>
      </w:pPr>
      <w:r w:rsidRPr="00111004">
        <w:rPr>
          <w:rFonts w:ascii="等线" w:eastAsia="等线" w:hAnsi="等线"/>
        </w:rPr>
        <w:t>[17]</w:t>
      </w:r>
      <w:r w:rsidRPr="00111004">
        <w:rPr>
          <w:rFonts w:ascii="等线" w:eastAsia="等线" w:hAnsi="等线"/>
        </w:rPr>
        <w:tab/>
        <w:t xml:space="preserve">Y. LeCun, Y. Bengio, and G. Hinton, ‘Deep learning’, </w:t>
      </w:r>
      <w:r w:rsidRPr="00111004">
        <w:rPr>
          <w:rFonts w:ascii="等线" w:eastAsia="等线" w:hAnsi="等线"/>
          <w:i/>
          <w:iCs/>
        </w:rPr>
        <w:t>Nature</w:t>
      </w:r>
      <w:r w:rsidRPr="00111004">
        <w:rPr>
          <w:rFonts w:ascii="等线" w:eastAsia="等线" w:hAnsi="等线"/>
        </w:rPr>
        <w:t>, vol. 521, no. 7553, pp. 436–444, May 2015, doi: 10.1038/nature14539.</w:t>
      </w:r>
    </w:p>
    <w:p w14:paraId="24D69947" w14:textId="77777777" w:rsidR="00111004" w:rsidRPr="00111004" w:rsidRDefault="00111004" w:rsidP="00111004">
      <w:pPr>
        <w:pStyle w:val="af7"/>
        <w:rPr>
          <w:rFonts w:ascii="等线" w:eastAsia="等线" w:hAnsi="等线" w:hint="eastAsia"/>
        </w:rPr>
      </w:pPr>
      <w:r w:rsidRPr="00111004">
        <w:rPr>
          <w:rFonts w:ascii="等线" w:eastAsia="等线" w:hAnsi="等线"/>
        </w:rPr>
        <w:t>[18]</w:t>
      </w:r>
      <w:r w:rsidRPr="00111004">
        <w:rPr>
          <w:rFonts w:ascii="等线" w:eastAsia="等线" w:hAnsi="等线"/>
        </w:rPr>
        <w:tab/>
        <w:t xml:space="preserve">H. S. Hippert, C. E. Pedreira, and R. C. Souza, ‘Neural networks for short-term load forecasting: a review and evaluation’, </w:t>
      </w:r>
      <w:r w:rsidRPr="00111004">
        <w:rPr>
          <w:rFonts w:ascii="等线" w:eastAsia="等线" w:hAnsi="等线"/>
          <w:i/>
          <w:iCs/>
        </w:rPr>
        <w:t>IEEE Transactions on Power Systems</w:t>
      </w:r>
      <w:r w:rsidRPr="00111004">
        <w:rPr>
          <w:rFonts w:ascii="等线" w:eastAsia="等线" w:hAnsi="等线"/>
        </w:rPr>
        <w:t>, vol. 16, no. 1, pp. 44–55, Feb. 2001, doi: 10.1109/59.910780.</w:t>
      </w:r>
    </w:p>
    <w:p w14:paraId="57C31122" w14:textId="77777777" w:rsidR="00111004" w:rsidRPr="00111004" w:rsidRDefault="00111004" w:rsidP="00111004">
      <w:pPr>
        <w:pStyle w:val="af7"/>
        <w:rPr>
          <w:rFonts w:ascii="等线" w:eastAsia="等线" w:hAnsi="等线" w:hint="eastAsia"/>
        </w:rPr>
      </w:pPr>
      <w:r w:rsidRPr="00111004">
        <w:rPr>
          <w:rFonts w:ascii="等线" w:eastAsia="等线" w:hAnsi="等线"/>
        </w:rPr>
        <w:t>[19]</w:t>
      </w:r>
      <w:r w:rsidRPr="00111004">
        <w:rPr>
          <w:rFonts w:ascii="等线" w:eastAsia="等线" w:hAnsi="等线"/>
        </w:rPr>
        <w:tab/>
        <w:t xml:space="preserve">J. Zheng, C. Xu, Z. Zhang, and X. Li, ‘Electric load forecasting in smart grids using Long-Short-Term-Memory based Recurrent Neural Network’, in </w:t>
      </w:r>
      <w:r w:rsidRPr="00111004">
        <w:rPr>
          <w:rFonts w:ascii="等线" w:eastAsia="等线" w:hAnsi="等线"/>
          <w:i/>
          <w:iCs/>
        </w:rPr>
        <w:t>2017 51st Annual Conference on Information Sciences and Systems (CISS)</w:t>
      </w:r>
      <w:r w:rsidRPr="00111004">
        <w:rPr>
          <w:rFonts w:ascii="等线" w:eastAsia="等线" w:hAnsi="等线"/>
        </w:rPr>
        <w:t>, Mar. 2017, pp. 1–6. doi: 10.1109/CISS.2017.7926112.</w:t>
      </w:r>
    </w:p>
    <w:p w14:paraId="7175251B" w14:textId="77777777" w:rsidR="00111004" w:rsidRPr="00111004" w:rsidRDefault="00111004" w:rsidP="00111004">
      <w:pPr>
        <w:pStyle w:val="af7"/>
        <w:rPr>
          <w:rFonts w:ascii="等线" w:eastAsia="等线" w:hAnsi="等线" w:hint="eastAsia"/>
        </w:rPr>
      </w:pPr>
      <w:r w:rsidRPr="00111004">
        <w:rPr>
          <w:rFonts w:ascii="等线" w:eastAsia="等线" w:hAnsi="等线"/>
        </w:rPr>
        <w:t>[20]</w:t>
      </w:r>
      <w:r w:rsidRPr="00111004">
        <w:rPr>
          <w:rFonts w:ascii="等线" w:eastAsia="等线" w:hAnsi="等线"/>
        </w:rPr>
        <w:tab/>
        <w:t xml:space="preserve">B. N. Oreshkin, D. Carpov, N. Chapados, and Y. Bengio, ‘N-BEATS: Neural basis expansion analysis for interpretable time series forecasting’, Feb. 20, 2020, </w:t>
      </w:r>
      <w:r w:rsidRPr="00111004">
        <w:rPr>
          <w:rFonts w:ascii="等线" w:eastAsia="等线" w:hAnsi="等线"/>
          <w:i/>
          <w:iCs/>
        </w:rPr>
        <w:t>arXiv</w:t>
      </w:r>
      <w:r w:rsidRPr="00111004">
        <w:rPr>
          <w:rFonts w:ascii="等线" w:eastAsia="等线" w:hAnsi="等线"/>
        </w:rPr>
        <w:t>: arXiv:1905.10437. doi: 10.48550/arXiv.1905.10437.</w:t>
      </w:r>
    </w:p>
    <w:p w14:paraId="361D8242" w14:textId="77777777" w:rsidR="00111004" w:rsidRPr="00111004" w:rsidRDefault="00111004" w:rsidP="00111004">
      <w:pPr>
        <w:pStyle w:val="af7"/>
        <w:rPr>
          <w:rFonts w:ascii="等线" w:eastAsia="等线" w:hAnsi="等线" w:hint="eastAsia"/>
        </w:rPr>
      </w:pPr>
      <w:r w:rsidRPr="00111004">
        <w:rPr>
          <w:rFonts w:ascii="等线" w:eastAsia="等线" w:hAnsi="等线"/>
        </w:rPr>
        <w:t>[21]</w:t>
      </w:r>
      <w:r w:rsidRPr="00111004">
        <w:rPr>
          <w:rFonts w:ascii="等线" w:eastAsia="等线" w:hAnsi="等线"/>
        </w:rPr>
        <w:tab/>
        <w:t xml:space="preserve">Y. Wang, D. Gan, M. Sun, N. Zhang, Z. Lu, and C. Kang, ‘Probabilistic individual load forecasting using pinball loss guided LSTM’, </w:t>
      </w:r>
      <w:r w:rsidRPr="00111004">
        <w:rPr>
          <w:rFonts w:ascii="等线" w:eastAsia="等线" w:hAnsi="等线"/>
          <w:i/>
          <w:iCs/>
        </w:rPr>
        <w:t>Applied Energy</w:t>
      </w:r>
      <w:r w:rsidRPr="00111004">
        <w:rPr>
          <w:rFonts w:ascii="等线" w:eastAsia="等线" w:hAnsi="等线"/>
        </w:rPr>
        <w:t>, vol. 235, pp. 10–20, Feb. 2019, doi: 10.1016/j.apenergy.2018.10.078.</w:t>
      </w:r>
    </w:p>
    <w:p w14:paraId="251AE4C9" w14:textId="77777777" w:rsidR="00111004" w:rsidRPr="00111004" w:rsidRDefault="00111004" w:rsidP="00111004">
      <w:pPr>
        <w:pStyle w:val="af7"/>
        <w:rPr>
          <w:rFonts w:ascii="等线" w:eastAsia="等线" w:hAnsi="等线" w:hint="eastAsia"/>
        </w:rPr>
      </w:pPr>
      <w:r w:rsidRPr="00111004">
        <w:rPr>
          <w:rFonts w:ascii="等线" w:eastAsia="等线" w:hAnsi="等线"/>
        </w:rPr>
        <w:t>[22]</w:t>
      </w:r>
      <w:r w:rsidRPr="00111004">
        <w:rPr>
          <w:rFonts w:ascii="等线" w:eastAsia="等线" w:hAnsi="等线"/>
        </w:rPr>
        <w:tab/>
        <w:t xml:space="preserve">H. Shi, M. Xu, and R. Li, ‘Deep Learning for Household Load Forecasting—A Novel Pooling Deep RNN’, </w:t>
      </w:r>
      <w:r w:rsidRPr="00111004">
        <w:rPr>
          <w:rFonts w:ascii="等线" w:eastAsia="等线" w:hAnsi="等线"/>
          <w:i/>
          <w:iCs/>
        </w:rPr>
        <w:t>IEEE Trans. Smart Grid</w:t>
      </w:r>
      <w:r w:rsidRPr="00111004">
        <w:rPr>
          <w:rFonts w:ascii="等线" w:eastAsia="等线" w:hAnsi="等线"/>
        </w:rPr>
        <w:t>, vol. 9, no. 5, pp. 5271–5280, Sep. 2018, doi: 10.1109/TSG.2017.2686012.</w:t>
      </w:r>
    </w:p>
    <w:p w14:paraId="13C7BF73" w14:textId="77777777" w:rsidR="00111004" w:rsidRPr="00111004" w:rsidRDefault="00111004" w:rsidP="00111004">
      <w:pPr>
        <w:pStyle w:val="af7"/>
        <w:rPr>
          <w:rFonts w:ascii="等线" w:eastAsia="等线" w:hAnsi="等线" w:hint="eastAsia"/>
        </w:rPr>
      </w:pPr>
      <w:r w:rsidRPr="00111004">
        <w:rPr>
          <w:rFonts w:ascii="等线" w:eastAsia="等线" w:hAnsi="等线"/>
        </w:rPr>
        <w:t>[23]</w:t>
      </w:r>
      <w:r w:rsidRPr="00111004">
        <w:rPr>
          <w:rFonts w:ascii="等线" w:eastAsia="等线" w:hAnsi="等线"/>
        </w:rPr>
        <w:tab/>
        <w:t xml:space="preserve">S. Smyl, ‘A hybrid method of exponential smoothing and recurrent neural networks for time series forecasting’, </w:t>
      </w:r>
      <w:r w:rsidRPr="00111004">
        <w:rPr>
          <w:rFonts w:ascii="等线" w:eastAsia="等线" w:hAnsi="等线"/>
          <w:i/>
          <w:iCs/>
        </w:rPr>
        <w:t>International Journal of Forecasting</w:t>
      </w:r>
      <w:r w:rsidRPr="00111004">
        <w:rPr>
          <w:rFonts w:ascii="等线" w:eastAsia="等线" w:hAnsi="等线"/>
        </w:rPr>
        <w:t>, vol. 36, no. 1, pp. 75–85, Jan. 2020, doi: 10.1016/j.ijforecast.2019.03.017.</w:t>
      </w:r>
    </w:p>
    <w:p w14:paraId="71085CBE" w14:textId="77777777" w:rsidR="00111004" w:rsidRPr="00111004" w:rsidRDefault="00111004" w:rsidP="00111004">
      <w:pPr>
        <w:pStyle w:val="af7"/>
        <w:rPr>
          <w:rFonts w:ascii="等线" w:eastAsia="等线" w:hAnsi="等线" w:hint="eastAsia"/>
        </w:rPr>
      </w:pPr>
      <w:r w:rsidRPr="00111004">
        <w:rPr>
          <w:rFonts w:ascii="等线" w:eastAsia="等线" w:hAnsi="等线"/>
        </w:rPr>
        <w:t>[24]</w:t>
      </w:r>
      <w:r w:rsidRPr="00111004">
        <w:rPr>
          <w:rFonts w:ascii="等线" w:eastAsia="等线" w:hAnsi="等线"/>
        </w:rPr>
        <w:tab/>
        <w:t xml:space="preserve">J. Lu, A. Liu, F. Dong, F. Gu, J. Gama, and G. Zhang, ‘Learning under Concept Drift: A Review’, </w:t>
      </w:r>
      <w:r w:rsidRPr="00111004">
        <w:rPr>
          <w:rFonts w:ascii="等线" w:eastAsia="等线" w:hAnsi="等线"/>
          <w:i/>
          <w:iCs/>
        </w:rPr>
        <w:t>IEEE Transactions on Knowledge and Data Engineering</w:t>
      </w:r>
      <w:r w:rsidRPr="00111004">
        <w:rPr>
          <w:rFonts w:ascii="等线" w:eastAsia="等线" w:hAnsi="等线"/>
        </w:rPr>
        <w:t>, vol. 31, no. 12, pp. 2346–2363, Dec. 2019, doi: 10.1109/TKDE.2018.2876857.</w:t>
      </w:r>
    </w:p>
    <w:p w14:paraId="68DAC72D" w14:textId="77777777" w:rsidR="00111004" w:rsidRPr="00111004" w:rsidRDefault="00111004" w:rsidP="00111004">
      <w:pPr>
        <w:pStyle w:val="af7"/>
        <w:rPr>
          <w:rFonts w:ascii="等线" w:eastAsia="等线" w:hAnsi="等线" w:hint="eastAsia"/>
        </w:rPr>
      </w:pPr>
      <w:r w:rsidRPr="00111004">
        <w:rPr>
          <w:rFonts w:ascii="等线" w:eastAsia="等线" w:hAnsi="等线"/>
        </w:rPr>
        <w:t>[25]</w:t>
      </w:r>
      <w:r w:rsidRPr="00111004">
        <w:rPr>
          <w:rFonts w:ascii="等线" w:eastAsia="等线" w:hAnsi="等线"/>
        </w:rPr>
        <w:tab/>
        <w:t xml:space="preserve">M. Cai, M. Pipattanasomporn, and S. Rahman, ‘Day-ahead building-level load forecasts using deep learning vs. traditional time-series techniques’, </w:t>
      </w:r>
      <w:r w:rsidRPr="00111004">
        <w:rPr>
          <w:rFonts w:ascii="等线" w:eastAsia="等线" w:hAnsi="等线"/>
          <w:i/>
          <w:iCs/>
        </w:rPr>
        <w:t>Applied Energy</w:t>
      </w:r>
      <w:r w:rsidRPr="00111004">
        <w:rPr>
          <w:rFonts w:ascii="等线" w:eastAsia="等线" w:hAnsi="等线"/>
        </w:rPr>
        <w:t>, vol. 236, pp. 1078–1088, Feb. 2019, doi: 10.1016/j.apenergy.2018.12.042.</w:t>
      </w:r>
    </w:p>
    <w:p w14:paraId="2C1807C1" w14:textId="77777777" w:rsidR="00111004" w:rsidRPr="00111004" w:rsidRDefault="00111004" w:rsidP="00111004">
      <w:pPr>
        <w:pStyle w:val="af7"/>
        <w:rPr>
          <w:rFonts w:ascii="等线" w:eastAsia="等线" w:hAnsi="等线" w:hint="eastAsia"/>
        </w:rPr>
      </w:pPr>
      <w:r w:rsidRPr="00111004">
        <w:rPr>
          <w:rFonts w:ascii="等线" w:eastAsia="等线" w:hAnsi="等线"/>
        </w:rPr>
        <w:t>[26]</w:t>
      </w:r>
      <w:r w:rsidRPr="00111004">
        <w:rPr>
          <w:rFonts w:ascii="等线" w:eastAsia="等线" w:hAnsi="等线"/>
        </w:rPr>
        <w:tab/>
        <w:t xml:space="preserve">J. Sola and J. Sevilla, ‘Importance of input data normalization for the application of neural networks to complex industrial problems’, </w:t>
      </w:r>
      <w:r w:rsidRPr="00111004">
        <w:rPr>
          <w:rFonts w:ascii="等线" w:eastAsia="等线" w:hAnsi="等线"/>
          <w:i/>
          <w:iCs/>
        </w:rPr>
        <w:t>IEEE Transactions on Nuclear Science</w:t>
      </w:r>
      <w:r w:rsidRPr="00111004">
        <w:rPr>
          <w:rFonts w:ascii="等线" w:eastAsia="等线" w:hAnsi="等线"/>
        </w:rPr>
        <w:t>, vol. 44, no. 3, pp. 1464–1468, Jun. 1997, doi: 10.1109/23.589532.</w:t>
      </w:r>
    </w:p>
    <w:p w14:paraId="30EE3B00" w14:textId="77777777" w:rsidR="00111004" w:rsidRPr="00111004" w:rsidRDefault="00111004" w:rsidP="00111004">
      <w:pPr>
        <w:pStyle w:val="af7"/>
        <w:rPr>
          <w:rFonts w:ascii="等线" w:eastAsia="等线" w:hAnsi="等线" w:hint="eastAsia"/>
        </w:rPr>
      </w:pPr>
      <w:r w:rsidRPr="00111004">
        <w:rPr>
          <w:rFonts w:ascii="等线" w:eastAsia="等线" w:hAnsi="等线"/>
        </w:rPr>
        <w:t>[27]</w:t>
      </w:r>
      <w:r w:rsidRPr="00111004">
        <w:rPr>
          <w:rFonts w:ascii="等线" w:eastAsia="等线" w:hAnsi="等线"/>
        </w:rPr>
        <w:tab/>
        <w:t xml:space="preserve">I. Goodfellow, Y. Bengio, and A. Courville, </w:t>
      </w:r>
      <w:r w:rsidRPr="00111004">
        <w:rPr>
          <w:rFonts w:ascii="等线" w:eastAsia="等线" w:hAnsi="等线"/>
          <w:i/>
          <w:iCs/>
        </w:rPr>
        <w:t>Deep learning</w:t>
      </w:r>
      <w:r w:rsidRPr="00111004">
        <w:rPr>
          <w:rFonts w:ascii="等线" w:eastAsia="等线" w:hAnsi="等线"/>
        </w:rPr>
        <w:t>. in Adaptive computation and machine learning. Cambridge, Mass: The MIT press, 2016.</w:t>
      </w:r>
    </w:p>
    <w:p w14:paraId="3E5A3835" w14:textId="77777777" w:rsidR="00111004" w:rsidRPr="00111004" w:rsidRDefault="00111004" w:rsidP="00111004">
      <w:pPr>
        <w:pStyle w:val="af7"/>
        <w:rPr>
          <w:rFonts w:ascii="等线" w:eastAsia="等线" w:hAnsi="等线" w:hint="eastAsia"/>
        </w:rPr>
      </w:pPr>
      <w:r w:rsidRPr="00111004">
        <w:rPr>
          <w:rFonts w:ascii="等线" w:eastAsia="等线" w:hAnsi="等线"/>
        </w:rPr>
        <w:t>[28]</w:t>
      </w:r>
      <w:r w:rsidRPr="00111004">
        <w:rPr>
          <w:rFonts w:ascii="等线" w:eastAsia="等线" w:hAnsi="等线"/>
        </w:rPr>
        <w:tab/>
        <w:t xml:space="preserve">A. Sherstinsky, ‘Fundamentals of Recurrent Neural Network (RNN) and Long Short-Term Memory (LSTM) network’, </w:t>
      </w:r>
      <w:r w:rsidRPr="00111004">
        <w:rPr>
          <w:rFonts w:ascii="等线" w:eastAsia="等线" w:hAnsi="等线"/>
          <w:i/>
          <w:iCs/>
        </w:rPr>
        <w:t>Physica D: Nonlinear Phenomena</w:t>
      </w:r>
      <w:r w:rsidRPr="00111004">
        <w:rPr>
          <w:rFonts w:ascii="等线" w:eastAsia="等线" w:hAnsi="等线"/>
        </w:rPr>
        <w:t>, vol. 404, p. 132306, Mar. 2020, doi: 10.1016/j.physd.2019.132306.</w:t>
      </w:r>
    </w:p>
    <w:p w14:paraId="262B0E7D" w14:textId="77777777" w:rsidR="00111004" w:rsidRPr="00111004" w:rsidRDefault="00111004" w:rsidP="00111004">
      <w:pPr>
        <w:pStyle w:val="af7"/>
        <w:rPr>
          <w:rFonts w:ascii="等线" w:eastAsia="等线" w:hAnsi="等线" w:hint="eastAsia"/>
        </w:rPr>
      </w:pPr>
      <w:r w:rsidRPr="00111004">
        <w:rPr>
          <w:rFonts w:ascii="等线" w:eastAsia="等线" w:hAnsi="等线"/>
        </w:rPr>
        <w:t>[29]</w:t>
      </w:r>
      <w:r w:rsidRPr="00111004">
        <w:rPr>
          <w:rFonts w:ascii="等线" w:eastAsia="等线" w:hAnsi="等线"/>
        </w:rPr>
        <w:tab/>
        <w:t xml:space="preserve">G. Ke </w:t>
      </w:r>
      <w:r w:rsidRPr="00111004">
        <w:rPr>
          <w:rFonts w:ascii="等线" w:eastAsia="等线" w:hAnsi="等线"/>
          <w:i/>
          <w:iCs/>
        </w:rPr>
        <w:t>et al.</w:t>
      </w:r>
      <w:r w:rsidRPr="00111004">
        <w:rPr>
          <w:rFonts w:ascii="等线" w:eastAsia="等线" w:hAnsi="等线"/>
        </w:rPr>
        <w:t xml:space="preserve">, ‘LightGBM: A Highly Efficient Gradient Boosting Decision Tree’, in </w:t>
      </w:r>
      <w:r w:rsidRPr="00111004">
        <w:rPr>
          <w:rFonts w:ascii="等线" w:eastAsia="等线" w:hAnsi="等线"/>
          <w:i/>
          <w:iCs/>
        </w:rPr>
        <w:t>Advances in Neural Information Processing Systems</w:t>
      </w:r>
      <w:r w:rsidRPr="00111004">
        <w:rPr>
          <w:rFonts w:ascii="等线" w:eastAsia="等线" w:hAnsi="等线"/>
        </w:rPr>
        <w:t xml:space="preserve">, Curran Associates, Inc., 2017. Accessed: May 01, 2026. [Online]. Available: </w:t>
      </w:r>
      <w:r w:rsidRPr="00111004">
        <w:rPr>
          <w:rFonts w:ascii="等线" w:eastAsia="等线" w:hAnsi="等线"/>
        </w:rPr>
        <w:lastRenderedPageBreak/>
        <w:t>https://proceedings.neurips.cc/paper/2017/hash/6449f44a102fde848669bdd9eb6b76fa-Abstract.html</w:t>
      </w:r>
    </w:p>
    <w:p w14:paraId="5CD7A4F4" w14:textId="77777777" w:rsidR="00111004" w:rsidRPr="00111004" w:rsidRDefault="00111004" w:rsidP="00111004">
      <w:pPr>
        <w:pStyle w:val="af7"/>
        <w:rPr>
          <w:rFonts w:ascii="等线" w:eastAsia="等线" w:hAnsi="等线" w:hint="eastAsia"/>
        </w:rPr>
      </w:pPr>
      <w:r w:rsidRPr="00111004">
        <w:rPr>
          <w:rFonts w:ascii="等线" w:eastAsia="等线" w:hAnsi="等线"/>
        </w:rPr>
        <w:t>[30]</w:t>
      </w:r>
      <w:r w:rsidRPr="00111004">
        <w:rPr>
          <w:rFonts w:ascii="等线" w:eastAsia="等线" w:hAnsi="等线"/>
        </w:rPr>
        <w:tab/>
        <w:t xml:space="preserve">A. Vaswani </w:t>
      </w:r>
      <w:r w:rsidRPr="00111004">
        <w:rPr>
          <w:rFonts w:ascii="等线" w:eastAsia="等线" w:hAnsi="等线"/>
          <w:i/>
          <w:iCs/>
        </w:rPr>
        <w:t>et al.</w:t>
      </w:r>
      <w:r w:rsidRPr="00111004">
        <w:rPr>
          <w:rFonts w:ascii="等线" w:eastAsia="等线" w:hAnsi="等线"/>
        </w:rPr>
        <w:t xml:space="preserve">, ‘Attention is All you Need’, in </w:t>
      </w:r>
      <w:r w:rsidRPr="00111004">
        <w:rPr>
          <w:rFonts w:ascii="等线" w:eastAsia="等线" w:hAnsi="等线"/>
          <w:i/>
          <w:iCs/>
        </w:rPr>
        <w:t>Advances in Neural Information Processing Systems</w:t>
      </w:r>
      <w:r w:rsidRPr="00111004">
        <w:rPr>
          <w:rFonts w:ascii="等线" w:eastAsia="等线" w:hAnsi="等线"/>
        </w:rPr>
        <w:t>, Curran Associates, Inc., 2017. Accessed: May 01, 2026. [Online]. Available: https://proceedings.neurips.cc/paper/2017/hash/3f5ee243547dee91fbd053c1c4a845aa-Abstract.html</w:t>
      </w:r>
    </w:p>
    <w:p w14:paraId="57E012C9" w14:textId="77777777" w:rsidR="00111004" w:rsidRPr="00111004" w:rsidRDefault="00111004" w:rsidP="00111004">
      <w:pPr>
        <w:pStyle w:val="af7"/>
        <w:rPr>
          <w:rFonts w:ascii="等线" w:eastAsia="等线" w:hAnsi="等线" w:hint="eastAsia"/>
        </w:rPr>
      </w:pPr>
      <w:r w:rsidRPr="00111004">
        <w:rPr>
          <w:rFonts w:ascii="等线" w:eastAsia="等线" w:hAnsi="等线"/>
        </w:rPr>
        <w:t>[31]</w:t>
      </w:r>
      <w:r w:rsidRPr="00111004">
        <w:rPr>
          <w:rFonts w:ascii="等线" w:eastAsia="等线" w:hAnsi="等线"/>
        </w:rPr>
        <w:tab/>
        <w:t xml:space="preserve">Z. Niu, G. Zhong, and H. Yu, ‘A review on the attention mechanism of deep learning’, </w:t>
      </w:r>
      <w:r w:rsidRPr="00111004">
        <w:rPr>
          <w:rFonts w:ascii="等线" w:eastAsia="等线" w:hAnsi="等线"/>
          <w:i/>
          <w:iCs/>
        </w:rPr>
        <w:t>Neurocomputing</w:t>
      </w:r>
      <w:r w:rsidRPr="00111004">
        <w:rPr>
          <w:rFonts w:ascii="等线" w:eastAsia="等线" w:hAnsi="等线"/>
        </w:rPr>
        <w:t>, vol. 452, pp. 48–62, Sep. 2021, doi: 10.1016/j.neucom.2021.03.091.</w:t>
      </w:r>
    </w:p>
    <w:p w14:paraId="4A3D834F" w14:textId="77777777" w:rsidR="00111004" w:rsidRPr="00111004" w:rsidRDefault="00111004" w:rsidP="00111004">
      <w:pPr>
        <w:pStyle w:val="af7"/>
        <w:rPr>
          <w:rFonts w:ascii="等线" w:eastAsia="等线" w:hAnsi="等线" w:hint="eastAsia"/>
        </w:rPr>
      </w:pPr>
      <w:r w:rsidRPr="00111004">
        <w:rPr>
          <w:rFonts w:ascii="等线" w:eastAsia="等线" w:hAnsi="等线"/>
        </w:rPr>
        <w:t>[32]</w:t>
      </w:r>
      <w:r w:rsidRPr="00111004">
        <w:rPr>
          <w:rFonts w:ascii="等线" w:eastAsia="等线" w:hAnsi="等线"/>
        </w:rPr>
        <w:tab/>
        <w:t xml:space="preserve">D. P. Kingma and J. Ba, ‘Adam: A Method for Stochastic Optimization’, Jan. 30, 2017, </w:t>
      </w:r>
      <w:r w:rsidRPr="00111004">
        <w:rPr>
          <w:rFonts w:ascii="等线" w:eastAsia="等线" w:hAnsi="等线"/>
          <w:i/>
          <w:iCs/>
        </w:rPr>
        <w:t>arXiv</w:t>
      </w:r>
      <w:r w:rsidRPr="00111004">
        <w:rPr>
          <w:rFonts w:ascii="等线" w:eastAsia="等线" w:hAnsi="等线"/>
        </w:rPr>
        <w:t>: arXiv:1412.6980. doi: 10.48550/arXiv.1412.6980.</w:t>
      </w:r>
    </w:p>
    <w:p w14:paraId="34E342D2" w14:textId="77777777" w:rsidR="00111004" w:rsidRPr="00111004" w:rsidRDefault="00111004" w:rsidP="00111004">
      <w:pPr>
        <w:pStyle w:val="af7"/>
        <w:rPr>
          <w:rFonts w:ascii="等线" w:eastAsia="等线" w:hAnsi="等线" w:hint="eastAsia"/>
        </w:rPr>
      </w:pPr>
      <w:r w:rsidRPr="00111004">
        <w:rPr>
          <w:rFonts w:ascii="等线" w:eastAsia="等线" w:hAnsi="等线"/>
        </w:rPr>
        <w:t>[33]</w:t>
      </w:r>
      <w:r w:rsidRPr="00111004">
        <w:rPr>
          <w:rFonts w:ascii="等线" w:eastAsia="等线" w:hAnsi="等线"/>
        </w:rPr>
        <w:tab/>
        <w:t xml:space="preserve">I. Loshchilov and F. Hutter, ‘Decoupled Weight Decay Regularization’, Jan. 04, 2019, </w:t>
      </w:r>
      <w:r w:rsidRPr="00111004">
        <w:rPr>
          <w:rFonts w:ascii="等线" w:eastAsia="等线" w:hAnsi="等线"/>
          <w:i/>
          <w:iCs/>
        </w:rPr>
        <w:t>arXiv</w:t>
      </w:r>
      <w:r w:rsidRPr="00111004">
        <w:rPr>
          <w:rFonts w:ascii="等线" w:eastAsia="等线" w:hAnsi="等线"/>
        </w:rPr>
        <w:t>: arXiv:1711.05101. doi: 10.48550/arXiv.1711.05101.</w:t>
      </w:r>
    </w:p>
    <w:p w14:paraId="0D8732F5" w14:textId="77777777" w:rsidR="00111004" w:rsidRPr="00111004" w:rsidRDefault="00111004" w:rsidP="00111004">
      <w:pPr>
        <w:pStyle w:val="af7"/>
        <w:rPr>
          <w:rFonts w:ascii="等线" w:eastAsia="等线" w:hAnsi="等线" w:hint="eastAsia"/>
        </w:rPr>
      </w:pPr>
      <w:r w:rsidRPr="00111004">
        <w:rPr>
          <w:rFonts w:ascii="等线" w:eastAsia="等线" w:hAnsi="等线"/>
        </w:rPr>
        <w:t>[34]</w:t>
      </w:r>
      <w:r w:rsidRPr="00111004">
        <w:rPr>
          <w:rFonts w:ascii="等线" w:eastAsia="等线" w:hAnsi="等线"/>
        </w:rPr>
        <w:tab/>
        <w:t>J. Bergstra, J. Bergstra, Y. Bengio, and Y. Bengio, ‘Random Search for Hyper-Parameter Optimization’.</w:t>
      </w:r>
    </w:p>
    <w:p w14:paraId="16BA8B1E" w14:textId="77777777" w:rsidR="00111004" w:rsidRPr="00111004" w:rsidRDefault="00111004" w:rsidP="00111004">
      <w:pPr>
        <w:pStyle w:val="af7"/>
        <w:rPr>
          <w:rFonts w:ascii="等线" w:eastAsia="等线" w:hAnsi="等线" w:hint="eastAsia"/>
        </w:rPr>
      </w:pPr>
      <w:r w:rsidRPr="00111004">
        <w:rPr>
          <w:rFonts w:ascii="等线" w:eastAsia="等线" w:hAnsi="等线"/>
        </w:rPr>
        <w:t>[35]</w:t>
      </w:r>
      <w:r w:rsidRPr="00111004">
        <w:rPr>
          <w:rFonts w:ascii="等线" w:eastAsia="等线" w:hAnsi="等线"/>
        </w:rPr>
        <w:tab/>
        <w:t xml:space="preserve">M. Feurer and F. Hutter, ‘Hyperparameter Optimization’, in </w:t>
      </w:r>
      <w:r w:rsidRPr="00111004">
        <w:rPr>
          <w:rFonts w:ascii="等线" w:eastAsia="等线" w:hAnsi="等线"/>
          <w:i/>
          <w:iCs/>
        </w:rPr>
        <w:t>Automated Machine Learning: Methods, Systems, Challenges</w:t>
      </w:r>
      <w:r w:rsidRPr="00111004">
        <w:rPr>
          <w:rFonts w:ascii="等线" w:eastAsia="等线" w:hAnsi="等线"/>
        </w:rPr>
        <w:t>, F. Hutter, L. Kotthoff, and J. Vanschoren, Eds, Cham: Springer International Publishing, 2019, pp. 3–33. doi: 10.1007/978-3-030-05318-5_1.</w:t>
      </w:r>
    </w:p>
    <w:p w14:paraId="0D77B486" w14:textId="77777777" w:rsidR="00111004" w:rsidRPr="00111004" w:rsidRDefault="00111004" w:rsidP="00111004">
      <w:pPr>
        <w:pStyle w:val="af7"/>
        <w:rPr>
          <w:rFonts w:ascii="等线" w:eastAsia="等线" w:hAnsi="等线" w:hint="eastAsia"/>
        </w:rPr>
      </w:pPr>
      <w:r w:rsidRPr="00111004">
        <w:rPr>
          <w:rFonts w:ascii="等线" w:eastAsia="等线" w:hAnsi="等线"/>
        </w:rPr>
        <w:t>[36]</w:t>
      </w:r>
      <w:r w:rsidRPr="00111004">
        <w:rPr>
          <w:rFonts w:ascii="等线" w:eastAsia="等线" w:hAnsi="等线"/>
        </w:rPr>
        <w:tab/>
        <w:t>T. J. Santner, B. J. Williams, and W. I. Notz, ‘The Design and Analysis of Computer Experiments’.</w:t>
      </w:r>
    </w:p>
    <w:p w14:paraId="44553C1D" w14:textId="77777777" w:rsidR="00111004" w:rsidRPr="00111004" w:rsidRDefault="00111004" w:rsidP="00111004">
      <w:pPr>
        <w:pStyle w:val="af7"/>
        <w:rPr>
          <w:rFonts w:ascii="等线" w:eastAsia="等线" w:hAnsi="等线" w:hint="eastAsia"/>
        </w:rPr>
      </w:pPr>
      <w:r w:rsidRPr="00111004">
        <w:rPr>
          <w:rFonts w:ascii="等线" w:eastAsia="等线" w:hAnsi="等线"/>
        </w:rPr>
        <w:t>[37]</w:t>
      </w:r>
      <w:r w:rsidRPr="00111004">
        <w:rPr>
          <w:rFonts w:ascii="等线" w:eastAsia="等线" w:hAnsi="等线"/>
        </w:rPr>
        <w:tab/>
        <w:t xml:space="preserve">T. Hong and S. Fan, ‘Probabilistic electric load forecasting: A tutorial review’, </w:t>
      </w:r>
      <w:r w:rsidRPr="00111004">
        <w:rPr>
          <w:rFonts w:ascii="等线" w:eastAsia="等线" w:hAnsi="等线"/>
          <w:i/>
          <w:iCs/>
        </w:rPr>
        <w:t>International Journal of Forecasting</w:t>
      </w:r>
      <w:r w:rsidRPr="00111004">
        <w:rPr>
          <w:rFonts w:ascii="等线" w:eastAsia="等线" w:hAnsi="等线"/>
        </w:rPr>
        <w:t>, vol. 32, no. 3, pp. 914–938, Jul. 2016, doi: 10.1016/j.ijforecast.2015.11.011.</w:t>
      </w:r>
    </w:p>
    <w:p w14:paraId="14F010A9" w14:textId="77777777" w:rsidR="00111004" w:rsidRPr="00111004" w:rsidRDefault="00111004" w:rsidP="00111004">
      <w:pPr>
        <w:pStyle w:val="af7"/>
        <w:rPr>
          <w:rFonts w:ascii="等线" w:eastAsia="等线" w:hAnsi="等线" w:hint="eastAsia"/>
        </w:rPr>
      </w:pPr>
      <w:r w:rsidRPr="00111004">
        <w:rPr>
          <w:rFonts w:ascii="等线" w:eastAsia="等线" w:hAnsi="等线"/>
        </w:rPr>
        <w:t>[38]</w:t>
      </w:r>
      <w:r w:rsidRPr="00111004">
        <w:rPr>
          <w:rFonts w:ascii="等线" w:eastAsia="等线" w:hAnsi="等线"/>
        </w:rPr>
        <w:tab/>
        <w:t>Z. Cao, L. Ma, M. Long, and J. Wang, ‘Partial Adversarial Domain Adaptation’.</w:t>
      </w:r>
    </w:p>
    <w:p w14:paraId="58BBDAFD" w14:textId="77777777" w:rsidR="00111004" w:rsidRPr="00111004" w:rsidRDefault="00111004" w:rsidP="00111004">
      <w:pPr>
        <w:pStyle w:val="af7"/>
        <w:rPr>
          <w:rFonts w:ascii="等线" w:eastAsia="等线" w:hAnsi="等线" w:hint="eastAsia"/>
        </w:rPr>
      </w:pPr>
      <w:r w:rsidRPr="00111004">
        <w:rPr>
          <w:rFonts w:ascii="等线" w:eastAsia="等线" w:hAnsi="等线"/>
        </w:rPr>
        <w:t>[39]</w:t>
      </w:r>
      <w:r w:rsidRPr="00111004">
        <w:rPr>
          <w:rFonts w:ascii="等线" w:eastAsia="等线" w:hAnsi="等线"/>
        </w:rPr>
        <w:tab/>
        <w:t xml:space="preserve">B. Lim and S. Zohren, ‘Time-series forecasting with deep learning: a survey’, </w:t>
      </w:r>
      <w:r w:rsidRPr="00111004">
        <w:rPr>
          <w:rFonts w:ascii="等线" w:eastAsia="等线" w:hAnsi="等线"/>
          <w:i/>
          <w:iCs/>
        </w:rPr>
        <w:t>Phil. Trans. R. Soc. A.</w:t>
      </w:r>
      <w:r w:rsidRPr="00111004">
        <w:rPr>
          <w:rFonts w:ascii="等线" w:eastAsia="等线" w:hAnsi="等线"/>
        </w:rPr>
        <w:t>, vol. 379, no. 2194, p. 20200209, Apr. 2021, doi: 10.1098/rsta.2020.0209.</w:t>
      </w:r>
    </w:p>
    <w:p w14:paraId="39CD1392" w14:textId="77777777" w:rsidR="00111004" w:rsidRPr="00111004" w:rsidRDefault="00111004" w:rsidP="00111004">
      <w:pPr>
        <w:pStyle w:val="af7"/>
        <w:rPr>
          <w:rFonts w:ascii="等线" w:eastAsia="等线" w:hAnsi="等线" w:hint="eastAsia"/>
        </w:rPr>
      </w:pPr>
      <w:r w:rsidRPr="00111004">
        <w:rPr>
          <w:rFonts w:ascii="等线" w:eastAsia="等线" w:hAnsi="等线"/>
        </w:rPr>
        <w:t>[40]</w:t>
      </w:r>
      <w:r w:rsidRPr="00111004">
        <w:rPr>
          <w:rFonts w:ascii="等线" w:eastAsia="等线" w:hAnsi="等线"/>
        </w:rPr>
        <w:tab/>
        <w:t xml:space="preserve">D. L. Marino, K. Amarasinghe, and M. Manic, ‘Building energy load forecasting using Deep Neural Networks’, in </w:t>
      </w:r>
      <w:r w:rsidRPr="00111004">
        <w:rPr>
          <w:rFonts w:ascii="等线" w:eastAsia="等线" w:hAnsi="等线"/>
          <w:i/>
          <w:iCs/>
        </w:rPr>
        <w:t>IECON 2016 - 42nd Annual Conference of the IEEE Industrial Electronics Society</w:t>
      </w:r>
      <w:r w:rsidRPr="00111004">
        <w:rPr>
          <w:rFonts w:ascii="等线" w:eastAsia="等线" w:hAnsi="等线"/>
        </w:rPr>
        <w:t>, Oct. 2016, pp. 7046–7051. doi: 10.1109/IECON.2016.7793413.</w:t>
      </w:r>
    </w:p>
    <w:p w14:paraId="0B74A4F4" w14:textId="77777777" w:rsidR="00111004" w:rsidRPr="00111004" w:rsidRDefault="00111004" w:rsidP="00111004">
      <w:pPr>
        <w:pStyle w:val="af7"/>
        <w:rPr>
          <w:rFonts w:ascii="等线" w:eastAsia="等线" w:hAnsi="等线" w:hint="eastAsia"/>
        </w:rPr>
      </w:pPr>
      <w:r w:rsidRPr="00111004">
        <w:rPr>
          <w:rFonts w:ascii="等线" w:eastAsia="等线" w:hAnsi="等线"/>
        </w:rPr>
        <w:t>[41]</w:t>
      </w:r>
      <w:r w:rsidRPr="00111004">
        <w:rPr>
          <w:rFonts w:ascii="等线" w:eastAsia="等线" w:hAnsi="等线"/>
        </w:rPr>
        <w:tab/>
        <w:t xml:space="preserve">H. Zhou </w:t>
      </w:r>
      <w:r w:rsidRPr="00111004">
        <w:rPr>
          <w:rFonts w:ascii="等线" w:eastAsia="等线" w:hAnsi="等线"/>
          <w:i/>
          <w:iCs/>
        </w:rPr>
        <w:t>et al.</w:t>
      </w:r>
      <w:r w:rsidRPr="00111004">
        <w:rPr>
          <w:rFonts w:ascii="等线" w:eastAsia="等线" w:hAnsi="等线"/>
        </w:rPr>
        <w:t xml:space="preserve">, ‘Informer: Beyond Efficient Transformer for Long Sequence Time-Series Forecasting’, </w:t>
      </w:r>
      <w:r w:rsidRPr="00111004">
        <w:rPr>
          <w:rFonts w:ascii="等线" w:eastAsia="等线" w:hAnsi="等线"/>
          <w:i/>
          <w:iCs/>
        </w:rPr>
        <w:t>Proceedings of the AAAI Conference on Artificial Intelligence</w:t>
      </w:r>
      <w:r w:rsidRPr="00111004">
        <w:rPr>
          <w:rFonts w:ascii="等线" w:eastAsia="等线" w:hAnsi="等线"/>
        </w:rPr>
        <w:t>, vol. 35, no. 12, pp. 11106–11115, May 2021, doi: 10.1609/aaai.v35i12.17325.</w:t>
      </w:r>
    </w:p>
    <w:p w14:paraId="14E8E11C" w14:textId="77777777" w:rsidR="00111004" w:rsidRPr="00111004" w:rsidRDefault="00111004" w:rsidP="00111004">
      <w:pPr>
        <w:pStyle w:val="af7"/>
        <w:rPr>
          <w:rFonts w:ascii="等线" w:eastAsia="等线" w:hAnsi="等线" w:hint="eastAsia"/>
        </w:rPr>
      </w:pPr>
      <w:r w:rsidRPr="00111004">
        <w:rPr>
          <w:rFonts w:ascii="等线" w:eastAsia="等线" w:hAnsi="等线"/>
        </w:rPr>
        <w:t>[42]</w:t>
      </w:r>
      <w:r w:rsidRPr="00111004">
        <w:rPr>
          <w:rFonts w:ascii="等线" w:eastAsia="等线" w:hAnsi="等线"/>
        </w:rPr>
        <w:tab/>
        <w:t xml:space="preserve">R. J. Hyndman and A. B. Koehler, ‘Another look at measures of forecast accuracy’, </w:t>
      </w:r>
      <w:r w:rsidRPr="00111004">
        <w:rPr>
          <w:rFonts w:ascii="等线" w:eastAsia="等线" w:hAnsi="等线"/>
          <w:i/>
          <w:iCs/>
        </w:rPr>
        <w:t>International Journal of Forecasting</w:t>
      </w:r>
      <w:r w:rsidRPr="00111004">
        <w:rPr>
          <w:rFonts w:ascii="等线" w:eastAsia="等线" w:hAnsi="等线"/>
        </w:rPr>
        <w:t>, vol. 22, no. 4, pp. 679–688, Oct. 2006, doi: 10.1016/j.ijforecast.2006.03.001.</w:t>
      </w:r>
    </w:p>
    <w:p w14:paraId="4510B90D" w14:textId="77777777" w:rsidR="00111004" w:rsidRPr="00111004" w:rsidRDefault="00111004" w:rsidP="00111004">
      <w:pPr>
        <w:pStyle w:val="af7"/>
        <w:rPr>
          <w:rFonts w:ascii="等线" w:eastAsia="等线" w:hAnsi="等线" w:hint="eastAsia"/>
        </w:rPr>
      </w:pPr>
      <w:r w:rsidRPr="00111004">
        <w:rPr>
          <w:rFonts w:ascii="等线" w:eastAsia="等线" w:hAnsi="等线"/>
        </w:rPr>
        <w:t>[43]</w:t>
      </w:r>
      <w:r w:rsidRPr="00111004">
        <w:rPr>
          <w:rFonts w:ascii="等线" w:eastAsia="等线" w:hAnsi="等线"/>
        </w:rPr>
        <w:tab/>
        <w:t xml:space="preserve">T. Li, A. K. Sahu, A. Talwalkar, and V. Smith, ‘Federated Learning: Challenges, Methods, and Future Directions’, </w:t>
      </w:r>
      <w:r w:rsidRPr="00111004">
        <w:rPr>
          <w:rFonts w:ascii="等线" w:eastAsia="等线" w:hAnsi="等线"/>
          <w:i/>
          <w:iCs/>
        </w:rPr>
        <w:t>IEEE Signal Processing Magazine</w:t>
      </w:r>
      <w:r w:rsidRPr="00111004">
        <w:rPr>
          <w:rFonts w:ascii="等线" w:eastAsia="等线" w:hAnsi="等线"/>
        </w:rPr>
        <w:t>, vol. 37, no. 3, pp. 50–60, May 2020, doi: 10.1109/MSP.2020.2975749.</w:t>
      </w:r>
    </w:p>
    <w:p w14:paraId="2D98054F" w14:textId="77777777" w:rsidR="00111004" w:rsidRPr="00111004" w:rsidRDefault="00111004" w:rsidP="00111004">
      <w:pPr>
        <w:pStyle w:val="af7"/>
        <w:rPr>
          <w:rFonts w:ascii="等线" w:eastAsia="等线" w:hAnsi="等线" w:hint="eastAsia"/>
        </w:rPr>
      </w:pPr>
      <w:r w:rsidRPr="00111004">
        <w:rPr>
          <w:rFonts w:ascii="等线" w:eastAsia="等线" w:hAnsi="等线"/>
        </w:rPr>
        <w:t>[44]</w:t>
      </w:r>
      <w:r w:rsidRPr="00111004">
        <w:rPr>
          <w:rFonts w:ascii="等线" w:eastAsia="等线" w:hAnsi="等线"/>
        </w:rPr>
        <w:tab/>
        <w:t xml:space="preserve">Y. Wang, Q. Chen, T. Hong, and C. Kang, ‘Review of Smart Meter Data Analytics: Applications, Methodologies, and Challenges’, </w:t>
      </w:r>
      <w:r w:rsidRPr="00111004">
        <w:rPr>
          <w:rFonts w:ascii="等线" w:eastAsia="等线" w:hAnsi="等线"/>
          <w:i/>
          <w:iCs/>
        </w:rPr>
        <w:t>IEEE Trans. Smart Grid</w:t>
      </w:r>
      <w:r w:rsidRPr="00111004">
        <w:rPr>
          <w:rFonts w:ascii="等线" w:eastAsia="等线" w:hAnsi="等线"/>
        </w:rPr>
        <w:t>, vol. 10, no. 3, pp. 3125–3148, May 2019, doi: 10.1109/TSG.2018.2818167.</w:t>
      </w:r>
    </w:p>
    <w:p w14:paraId="3C107C85" w14:textId="77777777" w:rsidR="00111004" w:rsidRPr="00111004" w:rsidRDefault="00111004" w:rsidP="00111004">
      <w:pPr>
        <w:pStyle w:val="af7"/>
        <w:rPr>
          <w:rFonts w:ascii="等线" w:eastAsia="等线" w:hAnsi="等线" w:hint="eastAsia"/>
        </w:rPr>
      </w:pPr>
      <w:r w:rsidRPr="00111004">
        <w:rPr>
          <w:rFonts w:ascii="等线" w:eastAsia="等线" w:hAnsi="等线"/>
        </w:rPr>
        <w:t>[45]</w:t>
      </w:r>
      <w:r w:rsidRPr="00111004">
        <w:rPr>
          <w:rFonts w:ascii="等线" w:eastAsia="等线" w:hAnsi="等线"/>
        </w:rPr>
        <w:tab/>
        <w:t xml:space="preserve">Q. Yang, Y. Liu, T. Chen, and Y. Tong, ‘Federated Machine Learning: Concept and Applications’, </w:t>
      </w:r>
      <w:r w:rsidRPr="00111004">
        <w:rPr>
          <w:rFonts w:ascii="等线" w:eastAsia="等线" w:hAnsi="等线"/>
          <w:i/>
          <w:iCs/>
        </w:rPr>
        <w:t>ACM Trans. Intell. Syst. Technol.</w:t>
      </w:r>
      <w:r w:rsidRPr="00111004">
        <w:rPr>
          <w:rFonts w:ascii="等线" w:eastAsia="等线" w:hAnsi="等线"/>
        </w:rPr>
        <w:t>, vol. 10, no. 2, p. 12:1-12:19, Jan. 2019, doi: 10.1145/3298981.</w:t>
      </w:r>
    </w:p>
    <w:p w14:paraId="372399CD" w14:textId="29F56D8D" w:rsidR="002C44EF" w:rsidRDefault="00FD5200" w:rsidP="002C44EF">
      <w:r w:rsidRPr="00D22B50">
        <w:rPr>
          <w:rFonts w:hint="eastAsia"/>
        </w:rPr>
        <w:fldChar w:fldCharType="end"/>
      </w:r>
    </w:p>
    <w:p w14:paraId="3BEBEED4" w14:textId="1FCD4BF1" w:rsidR="00213155" w:rsidRDefault="00213155" w:rsidP="00213155">
      <w:pPr>
        <w:pStyle w:val="1"/>
        <w:rPr>
          <w:rFonts w:hint="eastAsia"/>
        </w:rPr>
      </w:pPr>
      <w:bookmarkStart w:id="110" w:name="_Toc228913912"/>
      <w:r w:rsidRPr="00213155">
        <w:lastRenderedPageBreak/>
        <w:t>Appendix A</w:t>
      </w:r>
      <w:r>
        <w:rPr>
          <w:rFonts w:hint="eastAsia"/>
        </w:rPr>
        <w:t>: Dataset</w:t>
      </w:r>
      <w:bookmarkEnd w:id="110"/>
    </w:p>
    <w:p w14:paraId="5E6FCD9F" w14:textId="6670BA83" w:rsidR="00213155" w:rsidRDefault="00213155" w:rsidP="00213155">
      <w:pPr>
        <w:pStyle w:val="af5"/>
        <w:spacing w:before="156" w:after="156"/>
        <w:rPr>
          <w:rFonts w:eastAsiaTheme="minorEastAsia"/>
        </w:rPr>
      </w:pPr>
      <w:r w:rsidRPr="00213155">
        <w:t>This appendix presents the dataset used in this study. It provides an overview of the data sources, structure, and key characteristics relevant to the experiments conducted in this project.</w:t>
      </w:r>
    </w:p>
    <w:p w14:paraId="4FF1FF68" w14:textId="6010FE9D" w:rsidR="00213155" w:rsidRDefault="00213155" w:rsidP="00213155">
      <w:pPr>
        <w:pStyle w:val="af5"/>
        <w:spacing w:before="156" w:after="156"/>
        <w:rPr>
          <w:rFonts w:eastAsiaTheme="minorEastAsia"/>
        </w:rPr>
      </w:pPr>
      <w:r>
        <w:rPr>
          <w:rFonts w:eastAsiaTheme="minorEastAsia"/>
        </w:rPr>
        <w:object w:dxaOrig="1485" w:dyaOrig="1006" w14:anchorId="0DFA023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5" type="#_x0000_t75" style="width:74.25pt;height:50.25pt" o:ole="">
            <v:imagedata r:id="rId26" o:title=""/>
          </v:shape>
          <o:OLEObject Type="Embed" ProgID="Excel.SheetMacroEnabled.12" ShapeID="_x0000_i1035" DrawAspect="Icon" ObjectID="_1839526747" r:id="rId27"/>
        </w:object>
      </w:r>
      <w:r>
        <w:rPr>
          <w:rFonts w:eastAsiaTheme="minorEastAsia"/>
        </w:rPr>
        <w:object w:dxaOrig="1485" w:dyaOrig="1006" w14:anchorId="631B7523">
          <v:shape id="_x0000_i1036" type="#_x0000_t75" style="width:74.25pt;height:50.25pt" o:ole="">
            <v:imagedata r:id="rId28" o:title=""/>
          </v:shape>
          <o:OLEObject Type="Embed" ProgID="Excel.SheetMacroEnabled.12" ShapeID="_x0000_i1036" DrawAspect="Icon" ObjectID="_1839526748" r:id="rId29"/>
        </w:object>
      </w:r>
      <w:r>
        <w:rPr>
          <w:rFonts w:eastAsiaTheme="minorEastAsia"/>
        </w:rPr>
        <w:object w:dxaOrig="1485" w:dyaOrig="1006" w14:anchorId="0704BF28">
          <v:shape id="_x0000_i1037" type="#_x0000_t75" style="width:74.25pt;height:50.25pt" o:ole="">
            <v:imagedata r:id="rId30" o:title=""/>
          </v:shape>
          <o:OLEObject Type="Embed" ProgID="Excel.SheetMacroEnabled.12" ShapeID="_x0000_i1037" DrawAspect="Icon" ObjectID="_1839526749" r:id="rId31"/>
        </w:object>
      </w:r>
    </w:p>
    <w:p w14:paraId="39ECF753" w14:textId="1E402BC1" w:rsidR="00213155" w:rsidRDefault="00213155" w:rsidP="00213155">
      <w:pPr>
        <w:pStyle w:val="1"/>
      </w:pPr>
      <w:bookmarkStart w:id="111" w:name="_Toc228913913"/>
      <w:r>
        <w:rPr>
          <w:rFonts w:hint="eastAsia"/>
        </w:rPr>
        <w:t>Appendix B: E</w:t>
      </w:r>
      <w:r w:rsidRPr="00213155">
        <w:t xml:space="preserve">valuation </w:t>
      </w:r>
      <w:r>
        <w:rPr>
          <w:rFonts w:hint="eastAsia"/>
        </w:rPr>
        <w:t>V</w:t>
      </w:r>
      <w:r w:rsidRPr="00213155">
        <w:t>alues</w:t>
      </w:r>
      <w:bookmarkEnd w:id="111"/>
    </w:p>
    <w:p w14:paraId="2D8F9EAD" w14:textId="6239CD17" w:rsidR="00213155" w:rsidRDefault="00967A4B" w:rsidP="00967A4B">
      <w:pPr>
        <w:pStyle w:val="af5"/>
        <w:spacing w:before="156" w:after="156"/>
        <w:rPr>
          <w:rFonts w:eastAsiaTheme="minorEastAsia"/>
        </w:rPr>
      </w:pPr>
      <w:r w:rsidRPr="00967A4B">
        <w:t>This appendix presents the complete set of evaluation metrics obtained after batch testing. The first column represents the HouseID (household identifier). Columns 2 to 4 report the MSE, RMSE, and MAPE values for directly predicted results. Columns 5 to 7 present the corresponding MSE, RMSE, and MAPE values after fine-tuning. Columns 8 to 10 show the MSE, RMSE, and MAPE values for the model trained from scratch.</w:t>
      </w:r>
    </w:p>
    <w:p w14:paraId="058C806C" w14:textId="12393FFE" w:rsidR="00967A4B" w:rsidRDefault="00967A4B" w:rsidP="00967A4B">
      <w:pPr>
        <w:pStyle w:val="af5"/>
        <w:spacing w:before="156" w:after="156"/>
        <w:rPr>
          <w:rFonts w:eastAsiaTheme="minorEastAsia"/>
        </w:rPr>
      </w:pPr>
      <w:r>
        <w:rPr>
          <w:rFonts w:eastAsiaTheme="minorEastAsia"/>
        </w:rPr>
        <w:object w:dxaOrig="1485" w:dyaOrig="1006" w14:anchorId="3958A840">
          <v:shape id="_x0000_i1038" type="#_x0000_t75" style="width:74.25pt;height:50.25pt" o:ole="">
            <v:imagedata r:id="rId32" o:title=""/>
          </v:shape>
          <o:OLEObject Type="Embed" ProgID="Excel.Sheet.12" ShapeID="_x0000_i1038" DrawAspect="Icon" ObjectID="_1839526750" r:id="rId33"/>
        </w:object>
      </w:r>
    </w:p>
    <w:p w14:paraId="164B7F71" w14:textId="00D56782" w:rsidR="00967A4B" w:rsidRDefault="00967A4B" w:rsidP="00967A4B">
      <w:pPr>
        <w:pStyle w:val="1"/>
      </w:pPr>
      <w:bookmarkStart w:id="112" w:name="_Toc228913914"/>
      <w:r>
        <w:rPr>
          <w:rFonts w:hint="eastAsia"/>
        </w:rPr>
        <w:t xml:space="preserve">Appendix </w:t>
      </w:r>
      <w:r>
        <w:rPr>
          <w:rFonts w:hint="eastAsia"/>
        </w:rPr>
        <w:t>C: R</w:t>
      </w:r>
      <w:r w:rsidRPr="00967A4B">
        <w:t>aw data of Table 3</w:t>
      </w:r>
      <w:bookmarkEnd w:id="112"/>
    </w:p>
    <w:p w14:paraId="486555A9" w14:textId="16062425" w:rsidR="00967A4B" w:rsidRDefault="00967A4B" w:rsidP="00967A4B">
      <w:pPr>
        <w:pStyle w:val="af5"/>
        <w:spacing w:before="156" w:after="156"/>
        <w:rPr>
          <w:rFonts w:eastAsiaTheme="minorEastAsia"/>
        </w:rPr>
      </w:pPr>
      <w:r w:rsidRPr="00967A4B">
        <w:t>This appendix presents the complete evaluation metrics for both the LSTM and Transformer models. The first column represents the HouseID (household identifier). Columns 2 to 4 report the MSE values for the Transformer model, LSTM model, and the model trained from scratch, respectively. Columns 5 to 7 present the corresponding MAPE values for the Transformer model, LSTM model, and the model trained from scratch.</w:t>
      </w:r>
    </w:p>
    <w:p w14:paraId="5EEFFD66" w14:textId="2F2EBB57" w:rsidR="00967A4B" w:rsidRPr="00967A4B" w:rsidRDefault="00967A4B" w:rsidP="00967A4B">
      <w:pPr>
        <w:pStyle w:val="af5"/>
        <w:spacing w:before="156" w:after="156"/>
        <w:rPr>
          <w:rFonts w:eastAsiaTheme="minorEastAsia" w:hint="eastAsia"/>
        </w:rPr>
      </w:pPr>
      <w:r>
        <w:rPr>
          <w:rFonts w:eastAsiaTheme="minorEastAsia"/>
        </w:rPr>
        <w:object w:dxaOrig="1485" w:dyaOrig="1006" w14:anchorId="2ED5CAF4">
          <v:shape id="_x0000_i1039" type="#_x0000_t75" style="width:74.25pt;height:50.25pt" o:ole="">
            <v:imagedata r:id="rId34" o:title=""/>
          </v:shape>
          <o:OLEObject Type="Embed" ProgID="Excel.Sheet.12" ShapeID="_x0000_i1039" DrawAspect="Icon" ObjectID="_1839526751" r:id="rId35"/>
        </w:object>
      </w:r>
    </w:p>
    <w:sectPr w:rsidR="00967A4B" w:rsidRPr="00967A4B" w:rsidSect="00DC4709">
      <w:footerReference w:type="default" r:id="rId36"/>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D47AAF" w14:textId="77777777" w:rsidR="009977EB" w:rsidRDefault="009977EB" w:rsidP="002C44EF">
      <w:pPr>
        <w:rPr>
          <w:rFonts w:hint="eastAsia"/>
        </w:rPr>
      </w:pPr>
      <w:r>
        <w:separator/>
      </w:r>
    </w:p>
  </w:endnote>
  <w:endnote w:type="continuationSeparator" w:id="0">
    <w:p w14:paraId="7B8D5397" w14:textId="77777777" w:rsidR="009977EB" w:rsidRDefault="009977EB" w:rsidP="002C44EF">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宋体">
    <w:altName w:val="SimSun"/>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9164539"/>
      <w:docPartObj>
        <w:docPartGallery w:val="Page Numbers (Bottom of Page)"/>
        <w:docPartUnique/>
      </w:docPartObj>
    </w:sdtPr>
    <w:sdtContent>
      <w:p w14:paraId="64A8782E" w14:textId="07F18EB4" w:rsidR="00B57CBF" w:rsidRDefault="00B57CBF">
        <w:pPr>
          <w:pStyle w:val="af0"/>
          <w:jc w:val="center"/>
          <w:rPr>
            <w:rFonts w:hint="eastAsia"/>
          </w:rPr>
        </w:pPr>
        <w:r>
          <w:fldChar w:fldCharType="begin"/>
        </w:r>
        <w:r>
          <w:instrText>PAGE   \* MERGEFORMAT</w:instrText>
        </w:r>
        <w:r>
          <w:fldChar w:fldCharType="separate"/>
        </w:r>
        <w:r>
          <w:rPr>
            <w:lang w:val="zh-CN"/>
          </w:rPr>
          <w:t>2</w:t>
        </w:r>
        <w:r>
          <w:fldChar w:fldCharType="end"/>
        </w:r>
      </w:p>
    </w:sdtContent>
  </w:sdt>
  <w:p w14:paraId="48354782" w14:textId="77777777" w:rsidR="00B57CBF" w:rsidRDefault="00B57CBF">
    <w:pPr>
      <w:pStyle w:val="af0"/>
      <w:rPr>
        <w:rFonts w:hint="eastAsia"/>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8436299"/>
      <w:docPartObj>
        <w:docPartGallery w:val="Page Numbers (Bottom of Page)"/>
        <w:docPartUnique/>
      </w:docPartObj>
    </w:sdtPr>
    <w:sdtContent>
      <w:p w14:paraId="37A29E61" w14:textId="5751328F" w:rsidR="00DC4709" w:rsidRDefault="00DC4709">
        <w:pPr>
          <w:pStyle w:val="af0"/>
          <w:jc w:val="center"/>
          <w:rPr>
            <w:rFonts w:hint="eastAsia"/>
          </w:rPr>
        </w:pPr>
        <w:r>
          <w:fldChar w:fldCharType="begin"/>
        </w:r>
        <w:r>
          <w:instrText>PAGE   \* MERGEFORMAT</w:instrText>
        </w:r>
        <w:r>
          <w:fldChar w:fldCharType="separate"/>
        </w:r>
        <w:r>
          <w:rPr>
            <w:lang w:val="zh-CN"/>
          </w:rPr>
          <w:t>2</w:t>
        </w:r>
        <w:r>
          <w:fldChar w:fldCharType="end"/>
        </w:r>
      </w:p>
    </w:sdtContent>
  </w:sdt>
  <w:p w14:paraId="3AF83B09" w14:textId="77777777" w:rsidR="00DC4709" w:rsidRDefault="00DC4709">
    <w:pPr>
      <w:pStyle w:val="af0"/>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89BBA3" w14:textId="77777777" w:rsidR="009977EB" w:rsidRDefault="009977EB" w:rsidP="002C44EF">
      <w:pPr>
        <w:rPr>
          <w:rFonts w:hint="eastAsia"/>
        </w:rPr>
      </w:pPr>
      <w:r>
        <w:separator/>
      </w:r>
    </w:p>
  </w:footnote>
  <w:footnote w:type="continuationSeparator" w:id="0">
    <w:p w14:paraId="1562083E" w14:textId="77777777" w:rsidR="009977EB" w:rsidRDefault="009977EB" w:rsidP="002C44EF">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3107E"/>
    <w:multiLevelType w:val="hybridMultilevel"/>
    <w:tmpl w:val="DFF0B764"/>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 w15:restartNumberingAfterBreak="0">
    <w:nsid w:val="0A02127F"/>
    <w:multiLevelType w:val="hybridMultilevel"/>
    <w:tmpl w:val="B18CE122"/>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157A22B4"/>
    <w:multiLevelType w:val="hybridMultilevel"/>
    <w:tmpl w:val="007E57CA"/>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186479C7"/>
    <w:multiLevelType w:val="multilevel"/>
    <w:tmpl w:val="1D50C8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6D0CD1"/>
    <w:multiLevelType w:val="multilevel"/>
    <w:tmpl w:val="C07853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F45F8A"/>
    <w:multiLevelType w:val="hybridMultilevel"/>
    <w:tmpl w:val="01160D1E"/>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6" w15:restartNumberingAfterBreak="0">
    <w:nsid w:val="268F755C"/>
    <w:multiLevelType w:val="hybridMultilevel"/>
    <w:tmpl w:val="39F6063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7" w15:restartNumberingAfterBreak="0">
    <w:nsid w:val="2E7C035E"/>
    <w:multiLevelType w:val="multilevel"/>
    <w:tmpl w:val="B7687E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9135A6B"/>
    <w:multiLevelType w:val="hybridMultilevel"/>
    <w:tmpl w:val="0472D014"/>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3AFB6372"/>
    <w:multiLevelType w:val="multilevel"/>
    <w:tmpl w:val="CBCE28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C555681"/>
    <w:multiLevelType w:val="multilevel"/>
    <w:tmpl w:val="97BC8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8E12A0"/>
    <w:multiLevelType w:val="hybridMultilevel"/>
    <w:tmpl w:val="58FE7160"/>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2" w15:restartNumberingAfterBreak="0">
    <w:nsid w:val="41081056"/>
    <w:multiLevelType w:val="multilevel"/>
    <w:tmpl w:val="EAF206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BEE260C"/>
    <w:multiLevelType w:val="hybridMultilevel"/>
    <w:tmpl w:val="C1E4E634"/>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4" w15:restartNumberingAfterBreak="0">
    <w:nsid w:val="54771AE9"/>
    <w:multiLevelType w:val="multilevel"/>
    <w:tmpl w:val="488442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7E12CE7"/>
    <w:multiLevelType w:val="multilevel"/>
    <w:tmpl w:val="D076E9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9E57326"/>
    <w:multiLevelType w:val="multilevel"/>
    <w:tmpl w:val="739A4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15A0C48"/>
    <w:multiLevelType w:val="multilevel"/>
    <w:tmpl w:val="ACFE39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47D57DE"/>
    <w:multiLevelType w:val="hybridMultilevel"/>
    <w:tmpl w:val="696E2FE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9" w15:restartNumberingAfterBreak="0">
    <w:nsid w:val="6B7D6779"/>
    <w:multiLevelType w:val="multilevel"/>
    <w:tmpl w:val="BD226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D4E0ECB"/>
    <w:multiLevelType w:val="multilevel"/>
    <w:tmpl w:val="7BF4B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1843571"/>
    <w:multiLevelType w:val="multilevel"/>
    <w:tmpl w:val="E2964F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39F5EB4"/>
    <w:multiLevelType w:val="multilevel"/>
    <w:tmpl w:val="E09A2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C7564FE"/>
    <w:multiLevelType w:val="multilevel"/>
    <w:tmpl w:val="50BE0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9220616">
    <w:abstractNumId w:val="21"/>
  </w:num>
  <w:num w:numId="2" w16cid:durableId="1069957910">
    <w:abstractNumId w:val="7"/>
  </w:num>
  <w:num w:numId="3" w16cid:durableId="447437701">
    <w:abstractNumId w:val="14"/>
  </w:num>
  <w:num w:numId="4" w16cid:durableId="1794595447">
    <w:abstractNumId w:val="9"/>
  </w:num>
  <w:num w:numId="5" w16cid:durableId="222638567">
    <w:abstractNumId w:val="12"/>
  </w:num>
  <w:num w:numId="6" w16cid:durableId="142041487">
    <w:abstractNumId w:val="16"/>
  </w:num>
  <w:num w:numId="7" w16cid:durableId="1926038594">
    <w:abstractNumId w:val="20"/>
  </w:num>
  <w:num w:numId="8" w16cid:durableId="683442153">
    <w:abstractNumId w:val="15"/>
  </w:num>
  <w:num w:numId="9" w16cid:durableId="1850485661">
    <w:abstractNumId w:val="19"/>
  </w:num>
  <w:num w:numId="10" w16cid:durableId="1208297069">
    <w:abstractNumId w:val="3"/>
  </w:num>
  <w:num w:numId="11" w16cid:durableId="1839810822">
    <w:abstractNumId w:val="4"/>
  </w:num>
  <w:num w:numId="12" w16cid:durableId="1335379628">
    <w:abstractNumId w:val="23"/>
  </w:num>
  <w:num w:numId="13" w16cid:durableId="664165625">
    <w:abstractNumId w:val="10"/>
  </w:num>
  <w:num w:numId="14" w16cid:durableId="1548838356">
    <w:abstractNumId w:val="22"/>
  </w:num>
  <w:num w:numId="15" w16cid:durableId="905264599">
    <w:abstractNumId w:val="17"/>
  </w:num>
  <w:num w:numId="16" w16cid:durableId="534781339">
    <w:abstractNumId w:val="1"/>
  </w:num>
  <w:num w:numId="17" w16cid:durableId="1947880281">
    <w:abstractNumId w:val="13"/>
  </w:num>
  <w:num w:numId="18" w16cid:durableId="1841697009">
    <w:abstractNumId w:val="5"/>
  </w:num>
  <w:num w:numId="19" w16cid:durableId="565409272">
    <w:abstractNumId w:val="0"/>
  </w:num>
  <w:num w:numId="20" w16cid:durableId="1402362296">
    <w:abstractNumId w:val="11"/>
  </w:num>
  <w:num w:numId="21" w16cid:durableId="601644912">
    <w:abstractNumId w:val="2"/>
  </w:num>
  <w:num w:numId="22" w16cid:durableId="269165142">
    <w:abstractNumId w:val="18"/>
  </w:num>
  <w:num w:numId="23" w16cid:durableId="1169828840">
    <w:abstractNumId w:val="6"/>
  </w:num>
  <w:num w:numId="24" w16cid:durableId="25154727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29C"/>
    <w:rsid w:val="0004514E"/>
    <w:rsid w:val="000D3DB4"/>
    <w:rsid w:val="000F2983"/>
    <w:rsid w:val="00111004"/>
    <w:rsid w:val="00112EEB"/>
    <w:rsid w:val="0012673C"/>
    <w:rsid w:val="00154045"/>
    <w:rsid w:val="00167F1E"/>
    <w:rsid w:val="001A2364"/>
    <w:rsid w:val="001B34A1"/>
    <w:rsid w:val="001D18D6"/>
    <w:rsid w:val="001D631B"/>
    <w:rsid w:val="00213155"/>
    <w:rsid w:val="00234C68"/>
    <w:rsid w:val="00236858"/>
    <w:rsid w:val="0023766B"/>
    <w:rsid w:val="00243B98"/>
    <w:rsid w:val="002657F3"/>
    <w:rsid w:val="00271F27"/>
    <w:rsid w:val="002C44EF"/>
    <w:rsid w:val="002F0A36"/>
    <w:rsid w:val="003148A3"/>
    <w:rsid w:val="00330796"/>
    <w:rsid w:val="00337503"/>
    <w:rsid w:val="003414F5"/>
    <w:rsid w:val="00347C35"/>
    <w:rsid w:val="00362672"/>
    <w:rsid w:val="00371076"/>
    <w:rsid w:val="00392308"/>
    <w:rsid w:val="003C1591"/>
    <w:rsid w:val="003D1189"/>
    <w:rsid w:val="003D5270"/>
    <w:rsid w:val="00443B11"/>
    <w:rsid w:val="00457400"/>
    <w:rsid w:val="004677F1"/>
    <w:rsid w:val="004A210D"/>
    <w:rsid w:val="004A5A33"/>
    <w:rsid w:val="004B202C"/>
    <w:rsid w:val="004C1E55"/>
    <w:rsid w:val="004F3598"/>
    <w:rsid w:val="004F727A"/>
    <w:rsid w:val="00502DE2"/>
    <w:rsid w:val="00515AA4"/>
    <w:rsid w:val="00572676"/>
    <w:rsid w:val="005B7285"/>
    <w:rsid w:val="005E508E"/>
    <w:rsid w:val="005F5B13"/>
    <w:rsid w:val="00654551"/>
    <w:rsid w:val="00660D25"/>
    <w:rsid w:val="00675009"/>
    <w:rsid w:val="0068507F"/>
    <w:rsid w:val="00715AB5"/>
    <w:rsid w:val="007230E5"/>
    <w:rsid w:val="00723FDC"/>
    <w:rsid w:val="00733588"/>
    <w:rsid w:val="00742A18"/>
    <w:rsid w:val="00742BDA"/>
    <w:rsid w:val="00753254"/>
    <w:rsid w:val="00785E2E"/>
    <w:rsid w:val="00791275"/>
    <w:rsid w:val="00791EC5"/>
    <w:rsid w:val="007C2DD2"/>
    <w:rsid w:val="008225FE"/>
    <w:rsid w:val="00875F47"/>
    <w:rsid w:val="008C7AC4"/>
    <w:rsid w:val="008F1B5F"/>
    <w:rsid w:val="008F7AEE"/>
    <w:rsid w:val="00926E42"/>
    <w:rsid w:val="00927075"/>
    <w:rsid w:val="009570A0"/>
    <w:rsid w:val="00967A4B"/>
    <w:rsid w:val="009977EB"/>
    <w:rsid w:val="009B36BC"/>
    <w:rsid w:val="00A04735"/>
    <w:rsid w:val="00A332BE"/>
    <w:rsid w:val="00AA5C86"/>
    <w:rsid w:val="00AC5B88"/>
    <w:rsid w:val="00AC7269"/>
    <w:rsid w:val="00AF229C"/>
    <w:rsid w:val="00AF6770"/>
    <w:rsid w:val="00B27735"/>
    <w:rsid w:val="00B37033"/>
    <w:rsid w:val="00B57CBF"/>
    <w:rsid w:val="00BD07A4"/>
    <w:rsid w:val="00BD23C6"/>
    <w:rsid w:val="00BD7543"/>
    <w:rsid w:val="00C355CA"/>
    <w:rsid w:val="00CB7FAE"/>
    <w:rsid w:val="00CD2527"/>
    <w:rsid w:val="00CD36FA"/>
    <w:rsid w:val="00CE06BF"/>
    <w:rsid w:val="00CE1344"/>
    <w:rsid w:val="00D00B14"/>
    <w:rsid w:val="00D0450B"/>
    <w:rsid w:val="00D0675A"/>
    <w:rsid w:val="00D12D22"/>
    <w:rsid w:val="00D22B50"/>
    <w:rsid w:val="00D35EA2"/>
    <w:rsid w:val="00DA2025"/>
    <w:rsid w:val="00DB677D"/>
    <w:rsid w:val="00DC4709"/>
    <w:rsid w:val="00DD1273"/>
    <w:rsid w:val="00DF73D4"/>
    <w:rsid w:val="00E0746C"/>
    <w:rsid w:val="00E75C1D"/>
    <w:rsid w:val="00EA1A0B"/>
    <w:rsid w:val="00ED777B"/>
    <w:rsid w:val="00EF32D5"/>
    <w:rsid w:val="00F040A2"/>
    <w:rsid w:val="00F14378"/>
    <w:rsid w:val="00F47F82"/>
    <w:rsid w:val="00F61464"/>
    <w:rsid w:val="00F93B43"/>
    <w:rsid w:val="00FA00E5"/>
    <w:rsid w:val="00FD5200"/>
    <w:rsid w:val="00FD5995"/>
    <w:rsid w:val="00FF4AF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6785D4"/>
  <w15:chartTrackingRefBased/>
  <w15:docId w15:val="{DC9C54D3-7F40-4FBF-A293-5C1C0A51F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AF229C"/>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unhideWhenUsed/>
    <w:qFormat/>
    <w:rsid w:val="00AF229C"/>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unhideWhenUsed/>
    <w:qFormat/>
    <w:rsid w:val="00AF229C"/>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AF229C"/>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AF229C"/>
    <w:pPr>
      <w:keepNext/>
      <w:keepLines/>
      <w:spacing w:before="80" w:after="40"/>
      <w:outlineLvl w:val="4"/>
    </w:pPr>
    <w:rPr>
      <w:rFonts w:cstheme="majorBidi"/>
      <w:color w:val="2F5496" w:themeColor="accent1" w:themeShade="BF"/>
      <w:sz w:val="24"/>
      <w:szCs w:val="24"/>
    </w:rPr>
  </w:style>
  <w:style w:type="paragraph" w:styleId="6">
    <w:name w:val="heading 6"/>
    <w:basedOn w:val="a"/>
    <w:next w:val="a"/>
    <w:link w:val="60"/>
    <w:uiPriority w:val="9"/>
    <w:semiHidden/>
    <w:unhideWhenUsed/>
    <w:qFormat/>
    <w:rsid w:val="00AF229C"/>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AF229C"/>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AF229C"/>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AF229C"/>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AF229C"/>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rsid w:val="00AF229C"/>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rsid w:val="00AF229C"/>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AF229C"/>
    <w:rPr>
      <w:rFonts w:cstheme="majorBidi"/>
      <w:color w:val="2F5496" w:themeColor="accent1" w:themeShade="BF"/>
      <w:sz w:val="28"/>
      <w:szCs w:val="28"/>
    </w:rPr>
  </w:style>
  <w:style w:type="character" w:customStyle="1" w:styleId="50">
    <w:name w:val="标题 5 字符"/>
    <w:basedOn w:val="a0"/>
    <w:link w:val="5"/>
    <w:uiPriority w:val="9"/>
    <w:semiHidden/>
    <w:rsid w:val="00AF229C"/>
    <w:rPr>
      <w:rFonts w:cstheme="majorBidi"/>
      <w:color w:val="2F5496" w:themeColor="accent1" w:themeShade="BF"/>
      <w:sz w:val="24"/>
      <w:szCs w:val="24"/>
    </w:rPr>
  </w:style>
  <w:style w:type="character" w:customStyle="1" w:styleId="60">
    <w:name w:val="标题 6 字符"/>
    <w:basedOn w:val="a0"/>
    <w:link w:val="6"/>
    <w:uiPriority w:val="9"/>
    <w:semiHidden/>
    <w:rsid w:val="00AF229C"/>
    <w:rPr>
      <w:rFonts w:cstheme="majorBidi"/>
      <w:b/>
      <w:bCs/>
      <w:color w:val="2F5496" w:themeColor="accent1" w:themeShade="BF"/>
    </w:rPr>
  </w:style>
  <w:style w:type="character" w:customStyle="1" w:styleId="70">
    <w:name w:val="标题 7 字符"/>
    <w:basedOn w:val="a0"/>
    <w:link w:val="7"/>
    <w:uiPriority w:val="9"/>
    <w:semiHidden/>
    <w:rsid w:val="00AF229C"/>
    <w:rPr>
      <w:rFonts w:cstheme="majorBidi"/>
      <w:b/>
      <w:bCs/>
      <w:color w:val="595959" w:themeColor="text1" w:themeTint="A6"/>
    </w:rPr>
  </w:style>
  <w:style w:type="character" w:customStyle="1" w:styleId="80">
    <w:name w:val="标题 8 字符"/>
    <w:basedOn w:val="a0"/>
    <w:link w:val="8"/>
    <w:uiPriority w:val="9"/>
    <w:semiHidden/>
    <w:rsid w:val="00AF229C"/>
    <w:rPr>
      <w:rFonts w:cstheme="majorBidi"/>
      <w:color w:val="595959" w:themeColor="text1" w:themeTint="A6"/>
    </w:rPr>
  </w:style>
  <w:style w:type="character" w:customStyle="1" w:styleId="90">
    <w:name w:val="标题 9 字符"/>
    <w:basedOn w:val="a0"/>
    <w:link w:val="9"/>
    <w:uiPriority w:val="9"/>
    <w:semiHidden/>
    <w:rsid w:val="00AF229C"/>
    <w:rPr>
      <w:rFonts w:eastAsiaTheme="majorEastAsia" w:cstheme="majorBidi"/>
      <w:color w:val="595959" w:themeColor="text1" w:themeTint="A6"/>
    </w:rPr>
  </w:style>
  <w:style w:type="paragraph" w:styleId="a3">
    <w:name w:val="Title"/>
    <w:basedOn w:val="a"/>
    <w:next w:val="a"/>
    <w:link w:val="a4"/>
    <w:uiPriority w:val="10"/>
    <w:qFormat/>
    <w:rsid w:val="00AF229C"/>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AF229C"/>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AF229C"/>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AF229C"/>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AF229C"/>
    <w:pPr>
      <w:spacing w:before="160" w:after="160"/>
      <w:jc w:val="center"/>
    </w:pPr>
    <w:rPr>
      <w:i/>
      <w:iCs/>
      <w:color w:val="404040" w:themeColor="text1" w:themeTint="BF"/>
    </w:rPr>
  </w:style>
  <w:style w:type="character" w:customStyle="1" w:styleId="a8">
    <w:name w:val="引用 字符"/>
    <w:basedOn w:val="a0"/>
    <w:link w:val="a7"/>
    <w:uiPriority w:val="29"/>
    <w:rsid w:val="00AF229C"/>
    <w:rPr>
      <w:i/>
      <w:iCs/>
      <w:color w:val="404040" w:themeColor="text1" w:themeTint="BF"/>
    </w:rPr>
  </w:style>
  <w:style w:type="paragraph" w:styleId="a9">
    <w:name w:val="List Paragraph"/>
    <w:basedOn w:val="a"/>
    <w:uiPriority w:val="34"/>
    <w:qFormat/>
    <w:rsid w:val="00AF229C"/>
    <w:pPr>
      <w:ind w:left="720"/>
      <w:contextualSpacing/>
    </w:pPr>
  </w:style>
  <w:style w:type="character" w:styleId="aa">
    <w:name w:val="Intense Emphasis"/>
    <w:basedOn w:val="a0"/>
    <w:uiPriority w:val="21"/>
    <w:qFormat/>
    <w:rsid w:val="00AF229C"/>
    <w:rPr>
      <w:i/>
      <w:iCs/>
      <w:color w:val="2F5496" w:themeColor="accent1" w:themeShade="BF"/>
    </w:rPr>
  </w:style>
  <w:style w:type="paragraph" w:styleId="ab">
    <w:name w:val="Intense Quote"/>
    <w:basedOn w:val="a"/>
    <w:next w:val="a"/>
    <w:link w:val="ac"/>
    <w:uiPriority w:val="30"/>
    <w:qFormat/>
    <w:rsid w:val="00AF229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AF229C"/>
    <w:rPr>
      <w:i/>
      <w:iCs/>
      <w:color w:val="2F5496" w:themeColor="accent1" w:themeShade="BF"/>
    </w:rPr>
  </w:style>
  <w:style w:type="character" w:styleId="ad">
    <w:name w:val="Intense Reference"/>
    <w:basedOn w:val="a0"/>
    <w:uiPriority w:val="32"/>
    <w:qFormat/>
    <w:rsid w:val="00AF229C"/>
    <w:rPr>
      <w:b/>
      <w:bCs/>
      <w:smallCaps/>
      <w:color w:val="2F5496" w:themeColor="accent1" w:themeShade="BF"/>
      <w:spacing w:val="5"/>
    </w:rPr>
  </w:style>
  <w:style w:type="paragraph" w:styleId="ae">
    <w:name w:val="header"/>
    <w:basedOn w:val="a"/>
    <w:link w:val="af"/>
    <w:uiPriority w:val="99"/>
    <w:unhideWhenUsed/>
    <w:rsid w:val="002C44EF"/>
    <w:pPr>
      <w:tabs>
        <w:tab w:val="center" w:pos="4153"/>
        <w:tab w:val="right" w:pos="8306"/>
      </w:tabs>
      <w:snapToGrid w:val="0"/>
      <w:jc w:val="center"/>
    </w:pPr>
    <w:rPr>
      <w:sz w:val="18"/>
      <w:szCs w:val="18"/>
    </w:rPr>
  </w:style>
  <w:style w:type="character" w:customStyle="1" w:styleId="af">
    <w:name w:val="页眉 字符"/>
    <w:basedOn w:val="a0"/>
    <w:link w:val="ae"/>
    <w:uiPriority w:val="99"/>
    <w:rsid w:val="002C44EF"/>
    <w:rPr>
      <w:sz w:val="18"/>
      <w:szCs w:val="18"/>
    </w:rPr>
  </w:style>
  <w:style w:type="paragraph" w:styleId="af0">
    <w:name w:val="footer"/>
    <w:basedOn w:val="a"/>
    <w:link w:val="af1"/>
    <w:uiPriority w:val="99"/>
    <w:unhideWhenUsed/>
    <w:rsid w:val="002C44EF"/>
    <w:pPr>
      <w:tabs>
        <w:tab w:val="center" w:pos="4153"/>
        <w:tab w:val="right" w:pos="8306"/>
      </w:tabs>
      <w:snapToGrid w:val="0"/>
      <w:jc w:val="left"/>
    </w:pPr>
    <w:rPr>
      <w:sz w:val="18"/>
      <w:szCs w:val="18"/>
    </w:rPr>
  </w:style>
  <w:style w:type="character" w:customStyle="1" w:styleId="af1">
    <w:name w:val="页脚 字符"/>
    <w:basedOn w:val="a0"/>
    <w:link w:val="af0"/>
    <w:uiPriority w:val="99"/>
    <w:rsid w:val="002C44EF"/>
    <w:rPr>
      <w:sz w:val="18"/>
      <w:szCs w:val="18"/>
    </w:rPr>
  </w:style>
  <w:style w:type="table" w:styleId="af2">
    <w:name w:val="Table Grid"/>
    <w:basedOn w:val="a1"/>
    <w:uiPriority w:val="39"/>
    <w:rsid w:val="00AC726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3">
    <w:name w:val="Placeholder Text"/>
    <w:basedOn w:val="a0"/>
    <w:uiPriority w:val="99"/>
    <w:semiHidden/>
    <w:rsid w:val="00CD2527"/>
    <w:rPr>
      <w:color w:val="666666"/>
    </w:rPr>
  </w:style>
  <w:style w:type="character" w:styleId="af4">
    <w:name w:val="Strong"/>
    <w:basedOn w:val="a0"/>
    <w:uiPriority w:val="22"/>
    <w:qFormat/>
    <w:rsid w:val="00CE06BF"/>
    <w:rPr>
      <w:b/>
      <w:bCs/>
    </w:rPr>
  </w:style>
  <w:style w:type="paragraph" w:customStyle="1" w:styleId="af5">
    <w:name w:val="正文样式"/>
    <w:basedOn w:val="a"/>
    <w:link w:val="af6"/>
    <w:qFormat/>
    <w:rsid w:val="00FA00E5"/>
    <w:pPr>
      <w:spacing w:beforeLines="50" w:before="50" w:afterLines="50" w:after="50"/>
    </w:pPr>
    <w:rPr>
      <w:rFonts w:ascii="Times New Roman" w:eastAsia="Times New Roman" w:hAnsi="Times New Roman"/>
      <w:sz w:val="24"/>
    </w:rPr>
  </w:style>
  <w:style w:type="character" w:customStyle="1" w:styleId="af6">
    <w:name w:val="正文样式 字符"/>
    <w:basedOn w:val="a0"/>
    <w:link w:val="af5"/>
    <w:rsid w:val="00FA00E5"/>
    <w:rPr>
      <w:rFonts w:ascii="Times New Roman" w:eastAsia="Times New Roman" w:hAnsi="Times New Roman"/>
      <w:sz w:val="24"/>
    </w:rPr>
  </w:style>
  <w:style w:type="table" w:styleId="21">
    <w:name w:val="Plain Table 2"/>
    <w:basedOn w:val="a1"/>
    <w:uiPriority w:val="42"/>
    <w:rsid w:val="00FD5995"/>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af7">
    <w:name w:val="Bibliography"/>
    <w:basedOn w:val="a"/>
    <w:next w:val="a"/>
    <w:uiPriority w:val="37"/>
    <w:unhideWhenUsed/>
    <w:rsid w:val="00FD5200"/>
    <w:pPr>
      <w:tabs>
        <w:tab w:val="left" w:pos="384"/>
      </w:tabs>
      <w:ind w:left="384" w:hanging="384"/>
    </w:pPr>
  </w:style>
  <w:style w:type="paragraph" w:styleId="TOC">
    <w:name w:val="TOC Heading"/>
    <w:basedOn w:val="1"/>
    <w:next w:val="a"/>
    <w:uiPriority w:val="39"/>
    <w:unhideWhenUsed/>
    <w:qFormat/>
    <w:rsid w:val="001D631B"/>
    <w:pPr>
      <w:widowControl/>
      <w:spacing w:before="240" w:after="0" w:line="259" w:lineRule="auto"/>
      <w:jc w:val="left"/>
      <w:outlineLvl w:val="9"/>
    </w:pPr>
    <w:rPr>
      <w:kern w:val="0"/>
      <w:sz w:val="32"/>
      <w:szCs w:val="32"/>
    </w:rPr>
  </w:style>
  <w:style w:type="paragraph" w:styleId="TOC2">
    <w:name w:val="toc 2"/>
    <w:basedOn w:val="a"/>
    <w:next w:val="a"/>
    <w:autoRedefine/>
    <w:uiPriority w:val="39"/>
    <w:unhideWhenUsed/>
    <w:rsid w:val="001D631B"/>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1D631B"/>
    <w:pPr>
      <w:widowControl/>
      <w:spacing w:after="100" w:line="259" w:lineRule="auto"/>
      <w:jc w:val="left"/>
    </w:pPr>
    <w:rPr>
      <w:rFonts w:cs="Times New Roman"/>
      <w:kern w:val="0"/>
      <w:sz w:val="22"/>
    </w:rPr>
  </w:style>
  <w:style w:type="paragraph" w:styleId="TOC3">
    <w:name w:val="toc 3"/>
    <w:basedOn w:val="a"/>
    <w:next w:val="a"/>
    <w:autoRedefine/>
    <w:uiPriority w:val="39"/>
    <w:unhideWhenUsed/>
    <w:rsid w:val="001D631B"/>
    <w:pPr>
      <w:widowControl/>
      <w:spacing w:after="100" w:line="259" w:lineRule="auto"/>
      <w:ind w:left="440"/>
      <w:jc w:val="left"/>
    </w:pPr>
    <w:rPr>
      <w:rFonts w:cs="Times New Roman"/>
      <w:kern w:val="0"/>
      <w:sz w:val="22"/>
    </w:rPr>
  </w:style>
  <w:style w:type="paragraph" w:styleId="TOC4">
    <w:name w:val="toc 4"/>
    <w:basedOn w:val="a"/>
    <w:next w:val="a"/>
    <w:autoRedefine/>
    <w:uiPriority w:val="39"/>
    <w:unhideWhenUsed/>
    <w:rsid w:val="001D631B"/>
    <w:pPr>
      <w:spacing w:after="160" w:line="278" w:lineRule="auto"/>
      <w:ind w:leftChars="600" w:left="1260"/>
      <w:jc w:val="left"/>
    </w:pPr>
    <w:rPr>
      <w:sz w:val="22"/>
      <w:szCs w:val="24"/>
      <w14:ligatures w14:val="standardContextual"/>
    </w:rPr>
  </w:style>
  <w:style w:type="paragraph" w:styleId="TOC5">
    <w:name w:val="toc 5"/>
    <w:basedOn w:val="a"/>
    <w:next w:val="a"/>
    <w:autoRedefine/>
    <w:uiPriority w:val="39"/>
    <w:unhideWhenUsed/>
    <w:rsid w:val="001D631B"/>
    <w:pPr>
      <w:spacing w:after="160" w:line="278" w:lineRule="auto"/>
      <w:ind w:leftChars="800" w:left="1680"/>
      <w:jc w:val="left"/>
    </w:pPr>
    <w:rPr>
      <w:sz w:val="22"/>
      <w:szCs w:val="24"/>
      <w14:ligatures w14:val="standardContextual"/>
    </w:rPr>
  </w:style>
  <w:style w:type="paragraph" w:styleId="TOC6">
    <w:name w:val="toc 6"/>
    <w:basedOn w:val="a"/>
    <w:next w:val="a"/>
    <w:autoRedefine/>
    <w:uiPriority w:val="39"/>
    <w:unhideWhenUsed/>
    <w:rsid w:val="001D631B"/>
    <w:pPr>
      <w:spacing w:after="160" w:line="278" w:lineRule="auto"/>
      <w:ind w:leftChars="1000" w:left="2100"/>
      <w:jc w:val="left"/>
    </w:pPr>
    <w:rPr>
      <w:sz w:val="22"/>
      <w:szCs w:val="24"/>
      <w14:ligatures w14:val="standardContextual"/>
    </w:rPr>
  </w:style>
  <w:style w:type="paragraph" w:styleId="TOC7">
    <w:name w:val="toc 7"/>
    <w:basedOn w:val="a"/>
    <w:next w:val="a"/>
    <w:autoRedefine/>
    <w:uiPriority w:val="39"/>
    <w:unhideWhenUsed/>
    <w:rsid w:val="001D631B"/>
    <w:pPr>
      <w:spacing w:after="160" w:line="278" w:lineRule="auto"/>
      <w:ind w:leftChars="1200" w:left="2520"/>
      <w:jc w:val="left"/>
    </w:pPr>
    <w:rPr>
      <w:sz w:val="22"/>
      <w:szCs w:val="24"/>
      <w14:ligatures w14:val="standardContextual"/>
    </w:rPr>
  </w:style>
  <w:style w:type="paragraph" w:styleId="TOC8">
    <w:name w:val="toc 8"/>
    <w:basedOn w:val="a"/>
    <w:next w:val="a"/>
    <w:autoRedefine/>
    <w:uiPriority w:val="39"/>
    <w:unhideWhenUsed/>
    <w:rsid w:val="001D631B"/>
    <w:pPr>
      <w:spacing w:after="160" w:line="278" w:lineRule="auto"/>
      <w:ind w:leftChars="1400" w:left="2940"/>
      <w:jc w:val="left"/>
    </w:pPr>
    <w:rPr>
      <w:sz w:val="22"/>
      <w:szCs w:val="24"/>
      <w14:ligatures w14:val="standardContextual"/>
    </w:rPr>
  </w:style>
  <w:style w:type="paragraph" w:styleId="TOC9">
    <w:name w:val="toc 9"/>
    <w:basedOn w:val="a"/>
    <w:next w:val="a"/>
    <w:autoRedefine/>
    <w:uiPriority w:val="39"/>
    <w:unhideWhenUsed/>
    <w:rsid w:val="001D631B"/>
    <w:pPr>
      <w:spacing w:after="160" w:line="278" w:lineRule="auto"/>
      <w:ind w:leftChars="1600" w:left="3360"/>
      <w:jc w:val="left"/>
    </w:pPr>
    <w:rPr>
      <w:sz w:val="22"/>
      <w:szCs w:val="24"/>
      <w14:ligatures w14:val="standardContextual"/>
    </w:rPr>
  </w:style>
  <w:style w:type="character" w:styleId="af8">
    <w:name w:val="Hyperlink"/>
    <w:basedOn w:val="a0"/>
    <w:uiPriority w:val="99"/>
    <w:unhideWhenUsed/>
    <w:rsid w:val="001D631B"/>
    <w:rPr>
      <w:color w:val="0563C1" w:themeColor="hyperlink"/>
      <w:u w:val="single"/>
    </w:rPr>
  </w:style>
  <w:style w:type="character" w:styleId="af9">
    <w:name w:val="Unresolved Mention"/>
    <w:basedOn w:val="a0"/>
    <w:uiPriority w:val="99"/>
    <w:semiHidden/>
    <w:unhideWhenUsed/>
    <w:rsid w:val="001D63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emf"/><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2.emf"/><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package" Target="embeddings/Microsoft_Excel_Worksheet.xlsx"/><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package" Target="embeddings/Microsoft_Excel_Macro-Enabled_Worksheet1.xlsm"/><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1.emf"/><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19.emf"/><Relationship Id="rId36" Type="http://schemas.openxmlformats.org/officeDocument/2006/relationships/footer" Target="footer2.xml"/><Relationship Id="rId10" Type="http://schemas.openxmlformats.org/officeDocument/2006/relationships/footer" Target="footer1.xml"/><Relationship Id="rId19" Type="http://schemas.openxmlformats.org/officeDocument/2006/relationships/image" Target="media/image11.png"/><Relationship Id="rId31" Type="http://schemas.openxmlformats.org/officeDocument/2006/relationships/package" Target="embeddings/Microsoft_Excel_Macro-Enabled_Worksheet2.xlsm"/><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package" Target="embeddings/Microsoft_Excel_Macro-Enabled_Worksheet.xlsm"/><Relationship Id="rId30" Type="http://schemas.openxmlformats.org/officeDocument/2006/relationships/image" Target="media/image20.emf"/><Relationship Id="rId35" Type="http://schemas.openxmlformats.org/officeDocument/2006/relationships/package" Target="embeddings/Microsoft_Excel_Worksheet3.xlsx"/></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E779D3-BD65-402C-81F1-C039E7BFE9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866</TotalTime>
  <Pages>52</Pages>
  <Words>58541</Words>
  <Characters>333690</Characters>
  <Application>Microsoft Office Word</Application>
  <DocSecurity>0</DocSecurity>
  <Lines>2780</Lines>
  <Paragraphs>782</Paragraphs>
  <ScaleCrop>false</ScaleCrop>
  <Company/>
  <LinksUpToDate>false</LinksUpToDate>
  <CharactersWithSpaces>391449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guan rui</dc:creator>
  <cp:keywords/>
  <dc:description/>
  <cp:lastModifiedBy>guan rui</cp:lastModifiedBy>
  <cp:revision>46</cp:revision>
  <dcterms:created xsi:type="dcterms:W3CDTF">2026-05-01T08:49:00Z</dcterms:created>
  <dcterms:modified xsi:type="dcterms:W3CDTF">2026-05-05T21:52:00Z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id="UkKvh8u2"/&gt;&lt;style id="http://www.zotero.org/styles/ieee" locale="en-GB" hasBibliography="1" bibliographyStyleHasBeenSet="1"/&gt;&lt;prefs&gt;&lt;pref name="fieldType" value="Field"/&gt;&lt;/prefs&gt;&lt;/data&gt;</vt:lpwstr>
  </property>
</Properties>
</file>