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D2869" w14:textId="77777777" w:rsidR="00EB5C5C" w:rsidRDefault="000E0B9A">
      <w:r>
        <w:t xml:space="preserve">The spear entered through the neck, piercing one end to the other, strategically missing the vocal cords allowing the fallen prince to speak. </w:t>
      </w:r>
    </w:p>
    <w:p w14:paraId="2A441080" w14:textId="77777777" w:rsidR="000E0B9A" w:rsidRDefault="000E0B9A">
      <w:r>
        <w:t xml:space="preserve">On his knees in the dust, </w:t>
      </w:r>
      <w:proofErr w:type="spellStart"/>
      <w:r>
        <w:t>Hektor</w:t>
      </w:r>
      <w:proofErr w:type="spellEnd"/>
      <w:r>
        <w:t xml:space="preserve"> begged the godlike </w:t>
      </w:r>
      <w:proofErr w:type="spellStart"/>
      <w:r>
        <w:t>Achilleus</w:t>
      </w:r>
      <w:proofErr w:type="spellEnd"/>
      <w:r>
        <w:t xml:space="preserve"> to return his body to his home, allow his death to be given the rite of burning instead</w:t>
      </w:r>
      <w:r w:rsidR="0018290E">
        <w:t>,</w:t>
      </w:r>
      <w:r>
        <w:t xml:space="preserve"> of being fed to </w:t>
      </w:r>
      <w:proofErr w:type="spellStart"/>
      <w:r>
        <w:t>Achaian</w:t>
      </w:r>
      <w:proofErr w:type="spellEnd"/>
      <w:r>
        <w:t xml:space="preserve"> dogs</w:t>
      </w:r>
      <w:r w:rsidR="0018290E">
        <w:t>,</w:t>
      </w:r>
      <w:r>
        <w:t xml:space="preserve"> as was promised by the victorious warrior. </w:t>
      </w:r>
    </w:p>
    <w:p w14:paraId="1039B580" w14:textId="77777777" w:rsidR="00933947" w:rsidRDefault="00933947">
      <w:r>
        <w:t xml:space="preserve">But, during his dying breath, </w:t>
      </w:r>
      <w:proofErr w:type="spellStart"/>
      <w:r>
        <w:t>Achilleus</w:t>
      </w:r>
      <w:proofErr w:type="spellEnd"/>
      <w:r w:rsidR="0018290E">
        <w:t>,</w:t>
      </w:r>
      <w:r>
        <w:t xml:space="preserve"> declaring that he wishe</w:t>
      </w:r>
      <w:r w:rsidR="0018290E">
        <w:t xml:space="preserve">d </w:t>
      </w:r>
      <w:r>
        <w:t>he could eat the prince</w:t>
      </w:r>
      <w:r w:rsidR="0018290E">
        <w:t>s’ flesh</w:t>
      </w:r>
      <w:r>
        <w:t xml:space="preserve"> himself, reassured him that his body </w:t>
      </w:r>
      <w:r w:rsidR="0018290E">
        <w:t>was</w:t>
      </w:r>
      <w:r>
        <w:t xml:space="preserve"> to be a feast by dogs and birds and would be so unrecognisable, </w:t>
      </w:r>
      <w:r w:rsidR="0018290E">
        <w:t xml:space="preserve">that </w:t>
      </w:r>
      <w:r>
        <w:t>his own mother w</w:t>
      </w:r>
      <w:r w:rsidR="0018290E">
        <w:t>ould</w:t>
      </w:r>
      <w:r>
        <w:t xml:space="preserve"> not wish to honour him. </w:t>
      </w:r>
    </w:p>
    <w:p w14:paraId="10F4AF6B" w14:textId="77777777" w:rsidR="00933947" w:rsidRDefault="00933947">
      <w:r>
        <w:t>With a</w:t>
      </w:r>
      <w:r w:rsidR="00EE4E18">
        <w:t xml:space="preserve"> promise of a</w:t>
      </w:r>
      <w:r>
        <w:t xml:space="preserve"> threat of the gods anger, </w:t>
      </w:r>
      <w:proofErr w:type="spellStart"/>
      <w:r w:rsidR="00EE4E18">
        <w:t>Hektors</w:t>
      </w:r>
      <w:proofErr w:type="spellEnd"/>
      <w:r>
        <w:t xml:space="preserve"> spirit </w:t>
      </w:r>
      <w:r w:rsidR="00EE4E18">
        <w:t xml:space="preserve">left his young body and </w:t>
      </w:r>
      <w:r>
        <w:t>was taken to the land of Hades</w:t>
      </w:r>
      <w:r w:rsidR="00EE4E18">
        <w:t xml:space="preserve">. </w:t>
      </w:r>
    </w:p>
    <w:p w14:paraId="15FA4D07" w14:textId="77777777" w:rsidR="00EE4E18" w:rsidRDefault="00EE4E18">
      <w:proofErr w:type="spellStart"/>
      <w:r>
        <w:t>Hektors</w:t>
      </w:r>
      <w:proofErr w:type="spellEnd"/>
      <w:r>
        <w:t xml:space="preserve"> last promise did nothing to faze the godlike mortal, claiming that he will take death at any time Zeus and the other gods wished on him. </w:t>
      </w:r>
    </w:p>
    <w:p w14:paraId="3E69BF03" w14:textId="77777777" w:rsidR="00EE4E18" w:rsidRDefault="00EE4E18">
      <w:r>
        <w:t>With that declaration, he tore the bronze spear from</w:t>
      </w:r>
      <w:r w:rsidR="0018290E">
        <w:t xml:space="preserve"> the</w:t>
      </w:r>
      <w:r>
        <w:t xml:space="preserve"> tendons of t</w:t>
      </w:r>
      <w:r w:rsidR="0018290E">
        <w:t>his</w:t>
      </w:r>
      <w:r>
        <w:t xml:space="preserve"> neck and laid it </w:t>
      </w:r>
      <w:r w:rsidR="0018290E">
        <w:t>to</w:t>
      </w:r>
      <w:r>
        <w:t xml:space="preserve"> one side. The bloodstained armour of the prince was ripped from his shoulders and</w:t>
      </w:r>
      <w:r w:rsidR="0018290E">
        <w:t>,</w:t>
      </w:r>
      <w:r>
        <w:t xml:space="preserve"> the warriors of the </w:t>
      </w:r>
      <w:proofErr w:type="spellStart"/>
      <w:r>
        <w:t>Achaians</w:t>
      </w:r>
      <w:proofErr w:type="spellEnd"/>
      <w:r>
        <w:t xml:space="preserve"> came and took turns in stabbing the spiritless body. </w:t>
      </w:r>
    </w:p>
    <w:p w14:paraId="79D1BC24" w14:textId="01E37FD5" w:rsidR="00EE4E18" w:rsidRDefault="00EE4E18">
      <w:proofErr w:type="spellStart"/>
      <w:r>
        <w:t>Achilleus</w:t>
      </w:r>
      <w:proofErr w:type="spellEnd"/>
      <w:r>
        <w:t xml:space="preserve"> then came forward and </w:t>
      </w:r>
      <w:r w:rsidR="0018290E">
        <w:t xml:space="preserve">put the body of the fallen prince to the shameless treatment as promised. The tendons of both feet were cut from heel to ankle and were then threaded with straps of ox-hide which he tied to the chariot and whipped the horses into action, fleeing from the bloodstained earth, dragging the defiled body of a prince behind. </w:t>
      </w:r>
      <w:r w:rsidR="00C74E11">
        <w:rPr>
          <w:rStyle w:val="FootnoteReference"/>
        </w:rPr>
        <w:footnoteReference w:id="1"/>
      </w:r>
    </w:p>
    <w:p w14:paraId="09B077E4" w14:textId="5C69F71D" w:rsidR="00C74E11" w:rsidRDefault="007E16D1">
      <w:pPr>
        <w:pBdr>
          <w:bottom w:val="single" w:sz="12" w:space="1" w:color="auto"/>
        </w:pBdr>
      </w:pPr>
      <w:r>
        <w:t xml:space="preserve"> </w:t>
      </w:r>
    </w:p>
    <w:p w14:paraId="3565D86F" w14:textId="57B80625" w:rsidR="00583B52" w:rsidRDefault="00583B52"/>
    <w:p w14:paraId="49D09D8C" w14:textId="5F1F7A46" w:rsidR="00583B52" w:rsidRDefault="00F5293A">
      <w:r>
        <w:t>Book 22</w:t>
      </w:r>
      <w:r w:rsidR="00151A3C">
        <w:t xml:space="preserve">, </w:t>
      </w:r>
      <w:r w:rsidR="00151A3C">
        <w:rPr>
          <w:i/>
        </w:rPr>
        <w:t xml:space="preserve">the death of </w:t>
      </w:r>
      <w:proofErr w:type="spellStart"/>
      <w:r w:rsidR="00151A3C">
        <w:rPr>
          <w:i/>
        </w:rPr>
        <w:t>Hektor</w:t>
      </w:r>
      <w:proofErr w:type="spellEnd"/>
      <w:r w:rsidR="00151A3C">
        <w:rPr>
          <w:i/>
        </w:rPr>
        <w:t xml:space="preserve">, </w:t>
      </w:r>
      <w:r w:rsidR="00385263">
        <w:t xml:space="preserve">of Homers </w:t>
      </w:r>
      <w:r w:rsidR="00385263">
        <w:rPr>
          <w:i/>
        </w:rPr>
        <w:t>Il</w:t>
      </w:r>
      <w:r w:rsidR="00A3144B">
        <w:rPr>
          <w:i/>
        </w:rPr>
        <w:t>ia</w:t>
      </w:r>
      <w:r w:rsidR="00385263">
        <w:rPr>
          <w:i/>
        </w:rPr>
        <w:t>d</w:t>
      </w:r>
      <w:r w:rsidR="00385263">
        <w:t xml:space="preserve"> subverts </w:t>
      </w:r>
      <w:r w:rsidR="00A3144B">
        <w:t xml:space="preserve">Athenian more as it shows the </w:t>
      </w:r>
      <w:r w:rsidR="00AF1DF2">
        <w:t>disregard</w:t>
      </w:r>
      <w:r w:rsidR="00A3144B">
        <w:t xml:space="preserve"> and lack of Athenian </w:t>
      </w:r>
      <w:r w:rsidR="00AF1DF2">
        <w:t xml:space="preserve">burial customs. </w:t>
      </w:r>
    </w:p>
    <w:p w14:paraId="55A2B0D6" w14:textId="39247E45" w:rsidR="00AF1DF2" w:rsidRPr="00151A3C" w:rsidRDefault="00175F08">
      <w:r>
        <w:t xml:space="preserve">It was essential </w:t>
      </w:r>
      <w:r w:rsidR="00B01FD0">
        <w:t xml:space="preserve">that the dead </w:t>
      </w:r>
      <w:r w:rsidR="000F7ECB">
        <w:t>were to</w:t>
      </w:r>
      <w:r w:rsidR="00B01FD0">
        <w:t xml:space="preserve"> receive the correct burial rights and to receive them f</w:t>
      </w:r>
      <w:r w:rsidR="000F7ECB">
        <w:t>ro</w:t>
      </w:r>
      <w:r w:rsidR="00B01FD0">
        <w:t xml:space="preserve">m </w:t>
      </w:r>
      <w:r w:rsidR="0077249E">
        <w:t>his immediate family</w:t>
      </w:r>
      <w:r w:rsidR="00973C80">
        <w:t>.</w:t>
      </w:r>
      <w:r w:rsidR="00820420">
        <w:rPr>
          <w:rStyle w:val="FootnoteReference"/>
        </w:rPr>
        <w:footnoteReference w:id="2"/>
      </w:r>
      <w:r w:rsidR="00973C80">
        <w:t xml:space="preserve"> I</w:t>
      </w:r>
      <w:r w:rsidR="004B4E54">
        <w:t>n the case of Athens, the correct burial procedure</w:t>
      </w:r>
      <w:r w:rsidR="00973C80">
        <w:t xml:space="preserve"> in the fourth centu</w:t>
      </w:r>
      <w:r w:rsidR="00820420">
        <w:t>ry,</w:t>
      </w:r>
      <w:r w:rsidR="004B4E54">
        <w:t xml:space="preserve"> would have been </w:t>
      </w:r>
      <w:r w:rsidR="00F608A3">
        <w:t xml:space="preserve">inhumation more than cremation, which was more popular in the </w:t>
      </w:r>
      <w:r w:rsidR="00973C80">
        <w:t>century’s</w:t>
      </w:r>
      <w:r w:rsidR="00BA4D1F">
        <w:rPr>
          <w:rStyle w:val="FootnoteReference"/>
        </w:rPr>
        <w:footnoteReference w:id="3"/>
      </w:r>
      <w:r w:rsidR="00F608A3">
        <w:t xml:space="preserve">. </w:t>
      </w:r>
    </w:p>
    <w:p w14:paraId="33EEF9ED" w14:textId="644AC641" w:rsidR="00050483" w:rsidRDefault="00D91654">
      <w:r>
        <w:t xml:space="preserve">In </w:t>
      </w:r>
      <w:r>
        <w:rPr>
          <w:i/>
        </w:rPr>
        <w:t xml:space="preserve">Antigone, </w:t>
      </w:r>
      <w:r w:rsidR="0097388D">
        <w:t xml:space="preserve">we can see the importance of </w:t>
      </w:r>
      <w:r w:rsidR="00566333">
        <w:t>burial customs</w:t>
      </w:r>
      <w:r w:rsidR="00466C68">
        <w:t>, it being written that a non-burial ‘defies the will of the gods’</w:t>
      </w:r>
      <w:r w:rsidR="00296AE8">
        <w:rPr>
          <w:rStyle w:val="FootnoteReference"/>
        </w:rPr>
        <w:footnoteReference w:id="4"/>
      </w:r>
      <w:r w:rsidR="00B932E8">
        <w:rPr>
          <w:i/>
        </w:rPr>
        <w:t xml:space="preserve">. </w:t>
      </w:r>
      <w:r w:rsidR="00E034D7">
        <w:rPr>
          <w:i/>
        </w:rPr>
        <w:t xml:space="preserve"> </w:t>
      </w:r>
      <w:r w:rsidR="00E034D7">
        <w:t xml:space="preserve">Having a burial was seen being so important that, </w:t>
      </w:r>
      <w:r w:rsidR="00F174FF">
        <w:t xml:space="preserve">Antigone disobeys the orders of her husband to </w:t>
      </w:r>
      <w:r w:rsidR="00050483">
        <w:t>give her brother the correct burial</w:t>
      </w:r>
      <w:r w:rsidR="00050483">
        <w:rPr>
          <w:rStyle w:val="FootnoteReference"/>
        </w:rPr>
        <w:footnoteReference w:id="5"/>
      </w:r>
      <w:r w:rsidR="00F63CEC">
        <w:t xml:space="preserve">. </w:t>
      </w:r>
      <w:r w:rsidR="007E16D1">
        <w:rPr>
          <w:i/>
        </w:rPr>
        <w:t xml:space="preserve">Antigone </w:t>
      </w:r>
      <w:r w:rsidR="007E16D1">
        <w:t xml:space="preserve">as a source, was written by Athenian </w:t>
      </w:r>
      <w:r w:rsidR="00724B84">
        <w:t xml:space="preserve">men and so, reflects the mores of Athenians at the time. Depending on the period of Greece, you would have to look at this source with careful consideration. </w:t>
      </w:r>
    </w:p>
    <w:p w14:paraId="10AAF381" w14:textId="20790325" w:rsidR="00B903C8" w:rsidRDefault="006A1C3D">
      <w:r>
        <w:t xml:space="preserve">Burial markers were used to </w:t>
      </w:r>
      <w:r w:rsidR="002A4BCF">
        <w:t>remember</w:t>
      </w:r>
      <w:r>
        <w:t xml:space="preserve"> the dead, providing a place for epiphanies</w:t>
      </w:r>
      <w:r w:rsidR="003E4CBC">
        <w:rPr>
          <w:rStyle w:val="FootnoteReference"/>
        </w:rPr>
        <w:footnoteReference w:id="6"/>
      </w:r>
      <w:r w:rsidR="00BE0408">
        <w:t xml:space="preserve">. </w:t>
      </w:r>
      <w:r w:rsidR="002E33E8">
        <w:t>The distinction of wealth can be seen within burial markers by the amount of decoration</w:t>
      </w:r>
      <w:r w:rsidR="007F7914">
        <w:t xml:space="preserve"> and how regularly it was cleaned and repaired</w:t>
      </w:r>
      <w:r w:rsidR="00D334B4">
        <w:rPr>
          <w:rStyle w:val="FootnoteReference"/>
        </w:rPr>
        <w:footnoteReference w:id="7"/>
      </w:r>
      <w:r w:rsidR="004C0164">
        <w:t>. Plato</w:t>
      </w:r>
      <w:r w:rsidR="006E4028">
        <w:t xml:space="preserve">, within his works, references </w:t>
      </w:r>
      <w:r w:rsidR="004E66AD">
        <w:t xml:space="preserve">the expense of burial in </w:t>
      </w:r>
      <w:r w:rsidR="00B903C8">
        <w:t xml:space="preserve">the </w:t>
      </w:r>
      <w:r w:rsidR="007C4C33">
        <w:t xml:space="preserve">Athenian </w:t>
      </w:r>
      <w:r w:rsidR="00B903C8">
        <w:lastRenderedPageBreak/>
        <w:t xml:space="preserve">Classical period of the </w:t>
      </w:r>
      <w:r w:rsidR="004E66AD">
        <w:t xml:space="preserve">high societies at no more than ‘five </w:t>
      </w:r>
      <w:proofErr w:type="spellStart"/>
      <w:r w:rsidR="004E66AD">
        <w:t>min</w:t>
      </w:r>
      <w:r w:rsidR="00B903C8">
        <w:t>ae</w:t>
      </w:r>
      <w:proofErr w:type="spellEnd"/>
      <w:r w:rsidR="00B903C8">
        <w:t>’, which was a considerable amount of money</w:t>
      </w:r>
      <w:r w:rsidR="00B903C8">
        <w:rPr>
          <w:rStyle w:val="FootnoteReference"/>
        </w:rPr>
        <w:footnoteReference w:id="8"/>
      </w:r>
      <w:r w:rsidR="00B903C8">
        <w:t xml:space="preserve">. </w:t>
      </w:r>
    </w:p>
    <w:p w14:paraId="3D26F36A" w14:textId="52798624" w:rsidR="006A201B" w:rsidRDefault="007C4C33">
      <w:r>
        <w:t xml:space="preserve">From these sources we can see how much the passage of Homers </w:t>
      </w:r>
      <w:r w:rsidRPr="007C4C33">
        <w:rPr>
          <w:i/>
        </w:rPr>
        <w:t>Iliad’s</w:t>
      </w:r>
      <w:r>
        <w:t xml:space="preserve"> subverts Athenian more</w:t>
      </w:r>
      <w:r w:rsidR="00FA3C1F">
        <w:t xml:space="preserve"> in a strong way as </w:t>
      </w:r>
      <w:proofErr w:type="spellStart"/>
      <w:r w:rsidR="00FA3C1F">
        <w:t>Achilleus</w:t>
      </w:r>
      <w:proofErr w:type="spellEnd"/>
      <w:r w:rsidR="00FA3C1F">
        <w:t xml:space="preserve"> is disregarding the body in such a manner that the proper rites of burial cannot take place and, as a prince, this </w:t>
      </w:r>
      <w:r w:rsidR="001D283D">
        <w:t>was</w:t>
      </w:r>
      <w:r w:rsidR="00FA3C1F">
        <w:t xml:space="preserve"> a socially importance</w:t>
      </w:r>
      <w:r w:rsidR="001D283D">
        <w:t xml:space="preserve"> to</w:t>
      </w:r>
      <w:r w:rsidR="00FA3C1F">
        <w:t xml:space="preserve"> </w:t>
      </w:r>
      <w:r w:rsidR="001D283D">
        <w:t xml:space="preserve">commemorate his bravery and life.  </w:t>
      </w:r>
    </w:p>
    <w:p w14:paraId="1B1BF683" w14:textId="77777777" w:rsidR="006A201B" w:rsidRDefault="006A201B">
      <w:r>
        <w:br w:type="page"/>
      </w:r>
    </w:p>
    <w:p w14:paraId="34F3BB35" w14:textId="77777777" w:rsidR="006A201B" w:rsidRDefault="006A201B">
      <w:r>
        <w:lastRenderedPageBreak/>
        <w:t>Bibliography.</w:t>
      </w:r>
    </w:p>
    <w:p w14:paraId="2A390B27" w14:textId="77777777" w:rsidR="00C32437" w:rsidRDefault="006A201B">
      <w:r>
        <w:t>Homer, The Iliad. M. Hammond</w:t>
      </w:r>
      <w:r w:rsidR="00C32437">
        <w:t xml:space="preserve"> (trans). 1987. Penguin Books.</w:t>
      </w:r>
    </w:p>
    <w:p w14:paraId="172EC6A2" w14:textId="77777777" w:rsidR="00C32437" w:rsidRDefault="00C32437">
      <w:r>
        <w:t xml:space="preserve">Sophocles, Antigone. R. </w:t>
      </w:r>
      <w:proofErr w:type="spellStart"/>
      <w:r>
        <w:t>Jebb</w:t>
      </w:r>
      <w:proofErr w:type="spellEnd"/>
      <w:r>
        <w:t xml:space="preserve"> (trans). 1900. Perseus. </w:t>
      </w:r>
      <w:bookmarkStart w:id="0" w:name="_GoBack"/>
      <w:bookmarkEnd w:id="0"/>
      <w:r w:rsidR="004C2F1D">
        <w:rPr>
          <w:rStyle w:val="Hyperlink"/>
        </w:rPr>
        <w:fldChar w:fldCharType="begin"/>
      </w:r>
      <w:r w:rsidR="004C2F1D">
        <w:rPr>
          <w:rStyle w:val="Hyperlink"/>
        </w:rPr>
        <w:instrText xml:space="preserve"> HYPERLINK "http://www.perseus.tufts.edu/ho</w:instrText>
      </w:r>
      <w:r w:rsidR="004C2F1D">
        <w:rPr>
          <w:rStyle w:val="Hyperlink"/>
        </w:rPr>
        <w:instrText xml:space="preserve">pper/text?doc=Perseus:text:1999.01.0186" </w:instrText>
      </w:r>
      <w:r w:rsidR="004C2F1D">
        <w:rPr>
          <w:rStyle w:val="Hyperlink"/>
        </w:rPr>
        <w:fldChar w:fldCharType="separate"/>
      </w:r>
      <w:r w:rsidRPr="00363512">
        <w:rPr>
          <w:rStyle w:val="Hyperlink"/>
        </w:rPr>
        <w:t>http://www.perseus.tufts.edu/hopper/text?doc=Perseus:text:1999.01.0186</w:t>
      </w:r>
      <w:r w:rsidR="004C2F1D">
        <w:rPr>
          <w:rStyle w:val="Hyperlink"/>
        </w:rPr>
        <w:fldChar w:fldCharType="end"/>
      </w:r>
      <w:r>
        <w:t xml:space="preserve">. </w:t>
      </w:r>
    </w:p>
    <w:p w14:paraId="4CFA5086" w14:textId="77777777" w:rsidR="00C32437" w:rsidRDefault="00C32437">
      <w:r>
        <w:t xml:space="preserve">Kurtz, D. G and Boardman, J. (1971). </w:t>
      </w:r>
      <w:r>
        <w:rPr>
          <w:i/>
        </w:rPr>
        <w:t xml:space="preserve">Greek burial customs. </w:t>
      </w:r>
      <w:r>
        <w:t xml:space="preserve">Reading: Funeral Rites. </w:t>
      </w:r>
    </w:p>
    <w:p w14:paraId="7C1C57BE" w14:textId="11E64251" w:rsidR="00C32437" w:rsidRDefault="006A201B" w:rsidP="00C32437">
      <w:r>
        <w:t xml:space="preserve"> </w:t>
      </w:r>
      <w:r w:rsidR="00C32437">
        <w:t xml:space="preserve">Kurtz, D. G and Boardman, J. (1971). </w:t>
      </w:r>
      <w:r w:rsidR="00C32437">
        <w:rPr>
          <w:i/>
        </w:rPr>
        <w:t xml:space="preserve">Greek burial customs. </w:t>
      </w:r>
      <w:r w:rsidR="00C32437">
        <w:t xml:space="preserve">Reading: Importance of burial. </w:t>
      </w:r>
    </w:p>
    <w:p w14:paraId="498AE50F" w14:textId="6C60BB8F" w:rsidR="00C32437" w:rsidRPr="00C32437" w:rsidRDefault="00C32437" w:rsidP="00C32437">
      <w:r>
        <w:t xml:space="preserve">Oliver, G. (2000). </w:t>
      </w:r>
      <w:r>
        <w:rPr>
          <w:i/>
        </w:rPr>
        <w:t xml:space="preserve">The Epigraphy of death. </w:t>
      </w:r>
      <w:r>
        <w:t>Reading: Funerary epigraphy in contex</w:t>
      </w:r>
      <w:r w:rsidR="008E28DA">
        <w:t>t</w:t>
      </w:r>
      <w:r>
        <w:t xml:space="preserve">. </w:t>
      </w:r>
    </w:p>
    <w:p w14:paraId="50406BEF" w14:textId="7D053CCC" w:rsidR="007C4C33" w:rsidRPr="007E16D1" w:rsidRDefault="007C4C33"/>
    <w:sectPr w:rsidR="007C4C33" w:rsidRPr="007E1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4E15A" w14:textId="77777777" w:rsidR="00A44007" w:rsidRDefault="00A44007" w:rsidP="00C74E11">
      <w:pPr>
        <w:spacing w:after="0" w:line="240" w:lineRule="auto"/>
      </w:pPr>
      <w:r>
        <w:separator/>
      </w:r>
    </w:p>
  </w:endnote>
  <w:endnote w:type="continuationSeparator" w:id="0">
    <w:p w14:paraId="69BEFD44" w14:textId="77777777" w:rsidR="00A44007" w:rsidRDefault="00A44007" w:rsidP="00C74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E57B8" w14:textId="77777777" w:rsidR="00A44007" w:rsidRDefault="00A44007" w:rsidP="00C74E11">
      <w:pPr>
        <w:spacing w:after="0" w:line="240" w:lineRule="auto"/>
      </w:pPr>
      <w:r>
        <w:separator/>
      </w:r>
    </w:p>
  </w:footnote>
  <w:footnote w:type="continuationSeparator" w:id="0">
    <w:p w14:paraId="7E8CE605" w14:textId="77777777" w:rsidR="00A44007" w:rsidRDefault="00A44007" w:rsidP="00C74E11">
      <w:pPr>
        <w:spacing w:after="0" w:line="240" w:lineRule="auto"/>
      </w:pPr>
      <w:r>
        <w:continuationSeparator/>
      </w:r>
    </w:p>
  </w:footnote>
  <w:footnote w:id="1">
    <w:p w14:paraId="0FABC528" w14:textId="35190979" w:rsidR="00C74E11" w:rsidRDefault="00C74E11">
      <w:pPr>
        <w:pStyle w:val="FootnoteText"/>
      </w:pPr>
      <w:r>
        <w:rPr>
          <w:rStyle w:val="FootnoteReference"/>
        </w:rPr>
        <w:footnoteRef/>
      </w:r>
      <w:r>
        <w:t xml:space="preserve"> </w:t>
      </w:r>
      <w:proofErr w:type="spellStart"/>
      <w:r w:rsidR="00F923B5">
        <w:t>Hom</w:t>
      </w:r>
      <w:proofErr w:type="spellEnd"/>
      <w:r w:rsidR="00F923B5">
        <w:t>. Iliad. 22:</w:t>
      </w:r>
      <w:r w:rsidR="00583B52">
        <w:t>384-423</w:t>
      </w:r>
    </w:p>
  </w:footnote>
  <w:footnote w:id="2">
    <w:p w14:paraId="1B0DED50" w14:textId="7C069E26" w:rsidR="00820420" w:rsidRDefault="00820420">
      <w:pPr>
        <w:pStyle w:val="FootnoteText"/>
      </w:pPr>
      <w:r>
        <w:rPr>
          <w:rStyle w:val="FootnoteReference"/>
        </w:rPr>
        <w:footnoteRef/>
      </w:r>
      <w:r>
        <w:t xml:space="preserve"> </w:t>
      </w:r>
      <w:r w:rsidR="0009654D">
        <w:t>(Kurtz and Boardman,</w:t>
      </w:r>
      <w:r w:rsidR="0014275E">
        <w:t xml:space="preserve"> 1971, p. </w:t>
      </w:r>
      <w:r w:rsidR="00BA4D1F">
        <w:t>143</w:t>
      </w:r>
      <w:r w:rsidR="00617A0E">
        <w:t>)</w:t>
      </w:r>
    </w:p>
  </w:footnote>
  <w:footnote w:id="3">
    <w:p w14:paraId="480CEF43" w14:textId="1BB4A40F" w:rsidR="00BA4D1F" w:rsidRDefault="00BA4D1F">
      <w:pPr>
        <w:pStyle w:val="FootnoteText"/>
      </w:pPr>
      <w:r>
        <w:rPr>
          <w:rStyle w:val="FootnoteReference"/>
        </w:rPr>
        <w:footnoteRef/>
      </w:r>
      <w:r>
        <w:t xml:space="preserve"> (Kurtz and Boardman, 1971, p. </w:t>
      </w:r>
      <w:r w:rsidR="00617A0E">
        <w:t>96)</w:t>
      </w:r>
    </w:p>
  </w:footnote>
  <w:footnote w:id="4">
    <w:p w14:paraId="3B249376" w14:textId="56BD2B62" w:rsidR="00296AE8" w:rsidRDefault="00296AE8">
      <w:pPr>
        <w:pStyle w:val="FootnoteText"/>
      </w:pPr>
      <w:r>
        <w:rPr>
          <w:rStyle w:val="FootnoteReference"/>
        </w:rPr>
        <w:footnoteRef/>
      </w:r>
      <w:r>
        <w:t xml:space="preserve"> </w:t>
      </w:r>
      <w:r w:rsidR="00CE2B6F">
        <w:t>Sop</w:t>
      </w:r>
      <w:r w:rsidR="008A4173">
        <w:t>h. Anti</w:t>
      </w:r>
      <w:r w:rsidR="00B105AE">
        <w:t xml:space="preserve">. </w:t>
      </w:r>
      <w:r w:rsidR="00B932E8">
        <w:t>443</w:t>
      </w:r>
    </w:p>
  </w:footnote>
  <w:footnote w:id="5">
    <w:p w14:paraId="40CC7D34" w14:textId="59A286DF" w:rsidR="00050483" w:rsidRDefault="00050483">
      <w:pPr>
        <w:pStyle w:val="FootnoteText"/>
      </w:pPr>
      <w:r>
        <w:rPr>
          <w:rStyle w:val="FootnoteReference"/>
        </w:rPr>
        <w:footnoteRef/>
      </w:r>
      <w:r>
        <w:t xml:space="preserve"> Soph</w:t>
      </w:r>
      <w:r w:rsidR="00F63CEC">
        <w:t>.</w:t>
      </w:r>
      <w:r>
        <w:t xml:space="preserve"> Anti. </w:t>
      </w:r>
      <w:r w:rsidR="00F63CEC">
        <w:t>443</w:t>
      </w:r>
    </w:p>
  </w:footnote>
  <w:footnote w:id="6">
    <w:p w14:paraId="629B0FAB" w14:textId="04E4D331" w:rsidR="003E4CBC" w:rsidRDefault="003E4CBC">
      <w:pPr>
        <w:pStyle w:val="FootnoteText"/>
      </w:pPr>
      <w:r>
        <w:rPr>
          <w:rStyle w:val="FootnoteReference"/>
        </w:rPr>
        <w:footnoteRef/>
      </w:r>
      <w:r>
        <w:t xml:space="preserve"> (Oliver,</w:t>
      </w:r>
      <w:r w:rsidR="00BE0408">
        <w:t xml:space="preserve"> 2000, p. 6)</w:t>
      </w:r>
    </w:p>
  </w:footnote>
  <w:footnote w:id="7">
    <w:p w14:paraId="091A3F64" w14:textId="11599798" w:rsidR="00D334B4" w:rsidRDefault="00D334B4">
      <w:pPr>
        <w:pStyle w:val="FootnoteText"/>
      </w:pPr>
      <w:r>
        <w:rPr>
          <w:rStyle w:val="FootnoteReference"/>
        </w:rPr>
        <w:footnoteRef/>
      </w:r>
      <w:r>
        <w:t xml:space="preserve"> (Oliver, 2000, p. 6)</w:t>
      </w:r>
    </w:p>
  </w:footnote>
  <w:footnote w:id="8">
    <w:p w14:paraId="54907AB7" w14:textId="21A3803F" w:rsidR="00B903C8" w:rsidRDefault="00B903C8">
      <w:pPr>
        <w:pStyle w:val="FootnoteText"/>
      </w:pPr>
      <w:r>
        <w:rPr>
          <w:rStyle w:val="FootnoteReference"/>
        </w:rPr>
        <w:footnoteRef/>
      </w:r>
      <w:r>
        <w:t xml:space="preserve"> (Kurtz and Boardman, 1971, p. 143)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B9A"/>
    <w:rsid w:val="00046BBE"/>
    <w:rsid w:val="00050483"/>
    <w:rsid w:val="0009654D"/>
    <w:rsid w:val="000E0B9A"/>
    <w:rsid w:val="000F7ECB"/>
    <w:rsid w:val="0014275E"/>
    <w:rsid w:val="00151A3C"/>
    <w:rsid w:val="00175F08"/>
    <w:rsid w:val="0018290E"/>
    <w:rsid w:val="001D283D"/>
    <w:rsid w:val="00296AE8"/>
    <w:rsid w:val="002A4BCF"/>
    <w:rsid w:val="002E33E8"/>
    <w:rsid w:val="00385263"/>
    <w:rsid w:val="003E4CBC"/>
    <w:rsid w:val="00400F5D"/>
    <w:rsid w:val="00466C68"/>
    <w:rsid w:val="004B4E54"/>
    <w:rsid w:val="004B64FA"/>
    <w:rsid w:val="004C0164"/>
    <w:rsid w:val="004E66AD"/>
    <w:rsid w:val="00566333"/>
    <w:rsid w:val="00583B52"/>
    <w:rsid w:val="00617A0E"/>
    <w:rsid w:val="006A1C3D"/>
    <w:rsid w:val="006A201B"/>
    <w:rsid w:val="006E4028"/>
    <w:rsid w:val="007036D0"/>
    <w:rsid w:val="00724B84"/>
    <w:rsid w:val="0077249E"/>
    <w:rsid w:val="007C4C33"/>
    <w:rsid w:val="007E16D1"/>
    <w:rsid w:val="007F7914"/>
    <w:rsid w:val="00820420"/>
    <w:rsid w:val="00891853"/>
    <w:rsid w:val="008A4173"/>
    <w:rsid w:val="008E28DA"/>
    <w:rsid w:val="00933947"/>
    <w:rsid w:val="0097388D"/>
    <w:rsid w:val="00973C80"/>
    <w:rsid w:val="00990619"/>
    <w:rsid w:val="009C2663"/>
    <w:rsid w:val="00A3144B"/>
    <w:rsid w:val="00A44007"/>
    <w:rsid w:val="00A85B62"/>
    <w:rsid w:val="00AB31D0"/>
    <w:rsid w:val="00AE0C85"/>
    <w:rsid w:val="00AF1DF2"/>
    <w:rsid w:val="00B01FD0"/>
    <w:rsid w:val="00B105AE"/>
    <w:rsid w:val="00B73686"/>
    <w:rsid w:val="00B74728"/>
    <w:rsid w:val="00B903C8"/>
    <w:rsid w:val="00B932E8"/>
    <w:rsid w:val="00BA4D1F"/>
    <w:rsid w:val="00BE0408"/>
    <w:rsid w:val="00C32437"/>
    <w:rsid w:val="00C74E11"/>
    <w:rsid w:val="00CE2B6F"/>
    <w:rsid w:val="00D334B4"/>
    <w:rsid w:val="00D91654"/>
    <w:rsid w:val="00DC53B1"/>
    <w:rsid w:val="00E034D7"/>
    <w:rsid w:val="00E177F4"/>
    <w:rsid w:val="00EB5C5C"/>
    <w:rsid w:val="00EE4E18"/>
    <w:rsid w:val="00F174FF"/>
    <w:rsid w:val="00F5293A"/>
    <w:rsid w:val="00F608A3"/>
    <w:rsid w:val="00F63CEC"/>
    <w:rsid w:val="00F923B5"/>
    <w:rsid w:val="00FA3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8173C"/>
  <w15:chartTrackingRefBased/>
  <w15:docId w15:val="{55551E8D-5032-4E50-87F3-5E025C283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4E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4E11"/>
    <w:rPr>
      <w:sz w:val="20"/>
      <w:szCs w:val="20"/>
    </w:rPr>
  </w:style>
  <w:style w:type="character" w:styleId="FootnoteReference">
    <w:name w:val="footnote reference"/>
    <w:basedOn w:val="DefaultParagraphFont"/>
    <w:uiPriority w:val="99"/>
    <w:semiHidden/>
    <w:unhideWhenUsed/>
    <w:rsid w:val="00C74E11"/>
    <w:rPr>
      <w:vertAlign w:val="superscript"/>
    </w:rPr>
  </w:style>
  <w:style w:type="character" w:styleId="Hyperlink">
    <w:name w:val="Hyperlink"/>
    <w:basedOn w:val="DefaultParagraphFont"/>
    <w:uiPriority w:val="99"/>
    <w:unhideWhenUsed/>
    <w:rsid w:val="00C32437"/>
    <w:rPr>
      <w:color w:val="0563C1" w:themeColor="hyperlink"/>
      <w:u w:val="single"/>
    </w:rPr>
  </w:style>
  <w:style w:type="character" w:styleId="UnresolvedMention">
    <w:name w:val="Unresolved Mention"/>
    <w:basedOn w:val="DefaultParagraphFont"/>
    <w:uiPriority w:val="99"/>
    <w:semiHidden/>
    <w:unhideWhenUsed/>
    <w:rsid w:val="00C324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82C0B-B3FA-4B3D-88F9-F002B8FAC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543</Words>
  <Characters>3101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Issie Griffin</dc:creator>
  <cp:keywords/>
  <dc:description/>
  <cp:lastModifiedBy>Issie Griffin</cp:lastModifiedBy>
  <cp:revision>2</cp:revision>
  <dcterms:created xsi:type="dcterms:W3CDTF">2018-10-11T13:11:00Z</dcterms:created>
  <dcterms:modified xsi:type="dcterms:W3CDTF">2018-10-11T13:11:00Z</dcterms:modified>
</cp:coreProperties>
</file>