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03"/>
      </w:tblGrid>
      <w:tr w:rsidR="00F927A1" w:rsidRPr="005D3F07" w14:paraId="68CAA39D" w14:textId="77777777" w:rsidTr="000F6934">
        <w:trPr>
          <w:trHeight w:val="3923"/>
        </w:trPr>
        <w:tc>
          <w:tcPr>
            <w:tcW w:w="11003" w:type="dxa"/>
          </w:tcPr>
          <w:p w14:paraId="02F8EE88" w14:textId="21ECB0C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F6934">
              <w:rPr>
                <w:rFonts w:ascii="Times New Roman" w:hAnsi="Times New Roman" w:cs="Times New Roman"/>
                <w:b/>
                <w:color w:val="auto"/>
                <w:sz w:val="48"/>
              </w:rPr>
              <w:t>Nicola Gould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AF3781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F6934">
              <w:rPr>
                <w:rFonts w:ascii="Times New Roman" w:hAnsi="Times New Roman" w:cs="Times New Roman"/>
                <w:b/>
                <w:color w:val="auto"/>
                <w:sz w:val="48"/>
              </w:rPr>
              <w:t xml:space="preserve"> n.gould3@npt.gov.uk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3D1EA46"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F6934" w:rsidRPr="000F6934">
              <w:rPr>
                <w:rFonts w:ascii="Calibri" w:hAnsi="Calibri" w:cs="Calibri"/>
              </w:rPr>
              <w:t xml:space="preserve"> </w:t>
            </w:r>
            <w:r w:rsidR="000F6934" w:rsidRPr="000F6934">
              <w:rPr>
                <w:rFonts w:ascii="Times New Roman" w:hAnsi="Times New Roman" w:cs="Times New Roman"/>
                <w:b/>
                <w:color w:val="auto"/>
                <w:sz w:val="48"/>
              </w:rPr>
              <w:t>2521218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46C8D24B" w14:textId="77777777" w:rsidR="000D7418" w:rsidRPr="000D7418" w:rsidRDefault="000D7418" w:rsidP="000D7418">
            <w:pPr>
              <w:spacing w:after="160" w:line="259" w:lineRule="auto"/>
              <w:rPr>
                <w:sz w:val="24"/>
                <w:szCs w:val="24"/>
              </w:rPr>
            </w:pPr>
            <w:r w:rsidRPr="000D7418">
              <w:rPr>
                <w:sz w:val="24"/>
                <w:szCs w:val="24"/>
              </w:rPr>
              <w:t>As my primary area of practice is Adult Services, this section focuses on safeguarding children and young people. Safeguarding children in Wales is underpinned by legislation, national guidance, local procedures and organisational policies designed to protect children from abuse, neglect and harm whilst promoting their wellbeing, rights and participation (Welsh Government, 2014).</w:t>
            </w:r>
          </w:p>
          <w:p w14:paraId="213857B9" w14:textId="77777777" w:rsidR="000D7418" w:rsidRPr="000D7418" w:rsidRDefault="000D7418" w:rsidP="000D7418">
            <w:pPr>
              <w:spacing w:after="160" w:line="259" w:lineRule="auto"/>
              <w:rPr>
                <w:sz w:val="24"/>
                <w:szCs w:val="24"/>
              </w:rPr>
            </w:pPr>
            <w:r w:rsidRPr="000D7418">
              <w:rPr>
                <w:sz w:val="24"/>
                <w:szCs w:val="24"/>
              </w:rPr>
              <w:t xml:space="preserve">The principal legislation is the </w:t>
            </w:r>
            <w:r w:rsidRPr="000D7418">
              <w:rPr>
                <w:i/>
                <w:iCs/>
                <w:sz w:val="24"/>
                <w:szCs w:val="24"/>
              </w:rPr>
              <w:t>Social Services and Well-being (Wales) Act 2014</w:t>
            </w:r>
            <w:r w:rsidRPr="000D7418">
              <w:rPr>
                <w:sz w:val="24"/>
                <w:szCs w:val="24"/>
              </w:rPr>
              <w:t xml:space="preserve"> (SSWBA). Part 7 places a duty on relevant partners to safeguard and promote the welfare of children and establishes responsibilities for reporting concerns and undertaking enquiries (Social Services and Well-being (Wales) Act, 2014). Under Section 130, practitioners must report where they have reasonable cause to suspect that a child is at risk of abuse, neglect or other forms of harm. The </w:t>
            </w:r>
            <w:r w:rsidRPr="000D7418">
              <w:rPr>
                <w:i/>
                <w:iCs/>
                <w:sz w:val="24"/>
                <w:szCs w:val="24"/>
              </w:rPr>
              <w:t>Children Act 1989</w:t>
            </w:r>
            <w:r w:rsidRPr="000D7418">
              <w:rPr>
                <w:sz w:val="24"/>
                <w:szCs w:val="24"/>
              </w:rPr>
              <w:t xml:space="preserve"> is also central to safeguarding practice and established the principle that the child’s welfare is the paramount consideration (Children Act, 1989). Under Section 47, local authorities have a duty to undertake enquiries where a child is suffering, or is likely to suffer, significant harm. The </w:t>
            </w:r>
            <w:r w:rsidRPr="000D7418">
              <w:rPr>
                <w:i/>
                <w:iCs/>
                <w:sz w:val="24"/>
                <w:szCs w:val="24"/>
              </w:rPr>
              <w:t>Children Act 2004</w:t>
            </w:r>
            <w:r w:rsidRPr="000D7418">
              <w:rPr>
                <w:sz w:val="24"/>
                <w:szCs w:val="24"/>
              </w:rPr>
              <w:t xml:space="preserve"> further strengthened safeguarding responsibilities through multi-agency cooperation and information sharing (Children Act, 2004).</w:t>
            </w:r>
          </w:p>
          <w:p w14:paraId="098A0AD5" w14:textId="77777777" w:rsidR="000D7418" w:rsidRPr="000D7418" w:rsidRDefault="000D7418" w:rsidP="000D7418">
            <w:pPr>
              <w:spacing w:after="160" w:line="259" w:lineRule="auto"/>
              <w:rPr>
                <w:sz w:val="24"/>
                <w:szCs w:val="24"/>
              </w:rPr>
            </w:pPr>
            <w:r w:rsidRPr="000D7418">
              <w:rPr>
                <w:sz w:val="24"/>
                <w:szCs w:val="24"/>
              </w:rPr>
              <w:t xml:space="preserve">At a national level, safeguarding practice is informed by the </w:t>
            </w:r>
            <w:r w:rsidRPr="000D7418">
              <w:rPr>
                <w:i/>
                <w:iCs/>
                <w:sz w:val="24"/>
                <w:szCs w:val="24"/>
              </w:rPr>
              <w:t>Wales Safeguarding Procedures</w:t>
            </w:r>
            <w:r w:rsidRPr="000D7418">
              <w:rPr>
                <w:sz w:val="24"/>
                <w:szCs w:val="24"/>
              </w:rPr>
              <w:t xml:space="preserve"> (Wales Safeguarding Procedures, 2020), which provide guidance on identifying, reporting and responding to safeguarding concerns. These procedures support consistent practice across Wales and outline practitioner responsibilities when managing child protection concerns. National safeguarding practice is also informed by </w:t>
            </w:r>
            <w:r w:rsidRPr="000D7418">
              <w:rPr>
                <w:i/>
                <w:iCs/>
                <w:sz w:val="24"/>
                <w:szCs w:val="24"/>
              </w:rPr>
              <w:t>Working Together to Safeguard People: Volume 5 – Handling Individual Cases to Protect Children at Risk</w:t>
            </w:r>
            <w:r w:rsidRPr="000D7418">
              <w:rPr>
                <w:sz w:val="24"/>
                <w:szCs w:val="24"/>
              </w:rPr>
              <w:t xml:space="preserve"> (Welsh Government, 2018), which provides statutory guidance regarding safeguarding duties and inter-agency working.</w:t>
            </w:r>
          </w:p>
          <w:p w14:paraId="0FCE50D1" w14:textId="77777777" w:rsidR="000D7418" w:rsidRPr="000D7418" w:rsidRDefault="000D7418" w:rsidP="000D7418">
            <w:pPr>
              <w:spacing w:after="160" w:line="259" w:lineRule="auto"/>
              <w:rPr>
                <w:sz w:val="24"/>
                <w:szCs w:val="24"/>
              </w:rPr>
            </w:pPr>
            <w:r w:rsidRPr="000D7418">
              <w:rPr>
                <w:sz w:val="24"/>
                <w:szCs w:val="24"/>
              </w:rPr>
              <w:lastRenderedPageBreak/>
              <w:t>The Children’s Commissioner for Wales also plays an important role within the national safeguarding framework. The Commissioner promotes and protects the rights of children and young people, ensuring that services consider children's views, experiences and rights when developing policy and practice (Children’s Commissioner for Wales, 2024). The Commissioner has powers to review the impact of services on children, raise awareness of children’s rights and advocate for improvements where wellbeing or safety may be affected.</w:t>
            </w:r>
          </w:p>
          <w:p w14:paraId="78FF27AE" w14:textId="77777777" w:rsidR="000D7418" w:rsidRPr="000D7418" w:rsidRDefault="000D7418" w:rsidP="000D7418">
            <w:pPr>
              <w:spacing w:after="160" w:line="259" w:lineRule="auto"/>
              <w:rPr>
                <w:sz w:val="24"/>
                <w:szCs w:val="24"/>
              </w:rPr>
            </w:pPr>
            <w:r w:rsidRPr="000D7418">
              <w:rPr>
                <w:sz w:val="24"/>
                <w:szCs w:val="24"/>
              </w:rPr>
              <w:t>At a local level, safeguarding responsibilities are coordinated through Regional Safeguarding Boards. These Boards are responsible for developing regional safeguarding policies, procedures, practice guidance and multi-agency training (Wales Safeguarding Procedures, 2020). They also undertake Child Practice Reviews following significant safeguarding incidents to identify learning and improve future safeguarding practice. These arrangements support effective partnership working between social services, health, education, police and third-sector organisations.</w:t>
            </w:r>
          </w:p>
          <w:p w14:paraId="6FA24288" w14:textId="77777777" w:rsidR="000D7418" w:rsidRPr="000D7418" w:rsidRDefault="000D7418" w:rsidP="000D7418">
            <w:pPr>
              <w:spacing w:after="160" w:line="259" w:lineRule="auto"/>
              <w:rPr>
                <w:sz w:val="24"/>
                <w:szCs w:val="24"/>
              </w:rPr>
            </w:pPr>
            <w:r w:rsidRPr="000D7418">
              <w:rPr>
                <w:sz w:val="24"/>
                <w:szCs w:val="24"/>
              </w:rPr>
              <w:t>Organisationally, safeguarding is supported through local authority safeguarding policies, child protection procedures, whistleblowing policies, information-sharing protocols and supervision frameworks. Mandatory safeguarding training ensures practitioners understand their legal responsibilities, reporting pathways and professional duties. Staff are expected to follow organisational procedures for recording concerns, sharing information appropriately, escalating risk and seeking management oversight where necessary. Regular supervision and quality assurance processes further support safe and accountable practice.</w:t>
            </w:r>
          </w:p>
          <w:p w14:paraId="3EDF5338" w14:textId="77777777" w:rsidR="000D7418" w:rsidRPr="000D7418" w:rsidRDefault="000D7418" w:rsidP="000D7418">
            <w:pPr>
              <w:spacing w:after="160" w:line="259" w:lineRule="auto"/>
              <w:rPr>
                <w:sz w:val="24"/>
                <w:szCs w:val="24"/>
              </w:rPr>
            </w:pPr>
            <w:r w:rsidRPr="000D7418">
              <w:rPr>
                <w:sz w:val="24"/>
                <w:szCs w:val="24"/>
              </w:rPr>
              <w:t>Together, legislation, national guidance, the Children’s Commissioner for Wales, Regional Safeguarding Board procedures and organisational policies provide a comprehensive framework for protecting children from harm. Social workers must understand and apply these frameworks to ensure safeguarding interventions are lawful, child-centred and focused on promoting safety, wellbeing and positive outcomes (Welsh Government, 2018; Social Services and Well-being (Wales) Act, 2014).</w:t>
            </w:r>
          </w:p>
          <w:p w14:paraId="4A95F4DB" w14:textId="57BEC3ED" w:rsidR="00FC0334" w:rsidRDefault="000D7418" w:rsidP="00FF7EBB">
            <w:pPr>
              <w:jc w:val="both"/>
              <w:rPr>
                <w:sz w:val="24"/>
                <w:szCs w:val="24"/>
              </w:rPr>
            </w:pPr>
            <w:r>
              <w:rPr>
                <w:sz w:val="24"/>
                <w:szCs w:val="24"/>
              </w:rPr>
              <w:t>Word Count - 531</w:t>
            </w: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42BE99C9" w14:textId="77777777" w:rsidR="00901A07" w:rsidRPr="00901A07" w:rsidRDefault="00901A07" w:rsidP="00901A07">
            <w:pPr>
              <w:spacing w:after="160" w:line="259" w:lineRule="auto"/>
              <w:rPr>
                <w:sz w:val="24"/>
                <w:szCs w:val="24"/>
              </w:rPr>
            </w:pPr>
            <w:r w:rsidRPr="00901A07">
              <w:rPr>
                <w:sz w:val="24"/>
                <w:szCs w:val="24"/>
              </w:rPr>
              <w:lastRenderedPageBreak/>
              <w:t>Although adult and children's safeguarding in Wales are both governed by Part 7 of the Social Services and Well-being (Wales) Act 2014 (SSWBA), they differ significantly in their legal frameworks and underpinning principles. Whilst both seek to prevent abuse, neglect and harm, children's safeguarding prioritises welfare and protection, whereas adult safeguarding emphasises rights, autonomy and self-determination (Welsh Government, 2014).</w:t>
            </w:r>
          </w:p>
          <w:p w14:paraId="251E7E0D" w14:textId="77777777" w:rsidR="00901A07" w:rsidRPr="00901A07" w:rsidRDefault="00901A07" w:rsidP="00901A07">
            <w:pPr>
              <w:spacing w:after="160" w:line="259" w:lineRule="auto"/>
              <w:rPr>
                <w:sz w:val="24"/>
                <w:szCs w:val="24"/>
              </w:rPr>
            </w:pPr>
            <w:r w:rsidRPr="00901A07">
              <w:rPr>
                <w:sz w:val="24"/>
                <w:szCs w:val="24"/>
              </w:rPr>
              <w:t>Children's safeguarding is influenced by the Children Act 1989, which established that the child's welfare is the paramount consideration (Children Act, 1989). Professionals have a duty to intervene where a child is experiencing, or is likely to experience, significant harm. Daniel, Wassell and Gilligan (2023) argue that safeguarding requires consideration of both immediate and long-term welfare needs. The United Nations Convention on the Rights of the Child (UNCRC) recognises children's participation rights whilst requiring protection from harm (United Nations, 1989).</w:t>
            </w:r>
          </w:p>
          <w:p w14:paraId="1DD67DE2" w14:textId="77777777" w:rsidR="00901A07" w:rsidRPr="00901A07" w:rsidRDefault="00901A07" w:rsidP="00901A07">
            <w:pPr>
              <w:spacing w:after="160" w:line="259" w:lineRule="auto"/>
              <w:rPr>
                <w:sz w:val="24"/>
                <w:szCs w:val="24"/>
              </w:rPr>
            </w:pPr>
            <w:r w:rsidRPr="00901A07">
              <w:rPr>
                <w:sz w:val="24"/>
                <w:szCs w:val="24"/>
              </w:rPr>
              <w:t>Where significant harm is suspected, local authorities must undertake a Section 47 enquiry. Featherstone, Gupta and Morris (2023) argue that safeguarding should balance protection with recognition of family strengths.</w:t>
            </w:r>
          </w:p>
          <w:p w14:paraId="48A813AE" w14:textId="77777777" w:rsidR="00901A07" w:rsidRPr="00901A07" w:rsidRDefault="00901A07" w:rsidP="00901A07">
            <w:pPr>
              <w:spacing w:after="160" w:line="259" w:lineRule="auto"/>
              <w:rPr>
                <w:sz w:val="24"/>
                <w:szCs w:val="24"/>
              </w:rPr>
            </w:pPr>
            <w:r w:rsidRPr="00901A07">
              <w:rPr>
                <w:sz w:val="24"/>
                <w:szCs w:val="24"/>
              </w:rPr>
              <w:t>Adult safeguarding operates differently. Under Section 126 of the Social Services and Well-being (Wales) Act 2014, an adult at risk must be experiencing, or at risk of, abuse or neglect, have care and support needs and be unable to protect themselves because of those needs (Welsh Government, 2014). Unlike children's safeguarding, harm alone is insufficient. Braye, Orr and Preston-Shoot (2023) suggest this reflects the rights-based nature of adult safeguarding.</w:t>
            </w:r>
          </w:p>
          <w:p w14:paraId="7307C61C" w14:textId="77777777" w:rsidR="00901A07" w:rsidRPr="00901A07" w:rsidRDefault="00901A07" w:rsidP="00901A07">
            <w:pPr>
              <w:spacing w:after="160" w:line="259" w:lineRule="auto"/>
              <w:rPr>
                <w:sz w:val="24"/>
                <w:szCs w:val="24"/>
              </w:rPr>
            </w:pPr>
            <w:r w:rsidRPr="00901A07">
              <w:rPr>
                <w:sz w:val="24"/>
                <w:szCs w:val="24"/>
              </w:rPr>
              <w:t>A key distinction concerns autonomy. Adult safeguarding is underpinned by the principle that adults with capacity have the right to make decisions others may regard as unwise (Mental Capacity Act, 2005). Consequently, practitioners must balance protection with self-determination. Cocker and Hafford-</w:t>
            </w:r>
            <w:proofErr w:type="spellStart"/>
            <w:r w:rsidRPr="00901A07">
              <w:rPr>
                <w:sz w:val="24"/>
                <w:szCs w:val="24"/>
              </w:rPr>
              <w:t>Letchfield</w:t>
            </w:r>
            <w:proofErr w:type="spellEnd"/>
            <w:r w:rsidRPr="00901A07">
              <w:rPr>
                <w:sz w:val="24"/>
                <w:szCs w:val="24"/>
              </w:rPr>
              <w:t xml:space="preserve"> (2022) argue that adult safeguarding should be understood through a human rights perspective that promotes autonomy alongside protection.</w:t>
            </w:r>
          </w:p>
          <w:p w14:paraId="0C482074" w14:textId="77777777" w:rsidR="00901A07" w:rsidRPr="00901A07" w:rsidRDefault="00901A07" w:rsidP="00901A07">
            <w:pPr>
              <w:spacing w:after="160" w:line="259" w:lineRule="auto"/>
              <w:rPr>
                <w:sz w:val="24"/>
                <w:szCs w:val="24"/>
              </w:rPr>
            </w:pPr>
            <w:r w:rsidRPr="00901A07">
              <w:rPr>
                <w:sz w:val="24"/>
                <w:szCs w:val="24"/>
              </w:rPr>
              <w:t>The transition between children's and adult services can present challenges. Firmin (2023) argues that vulnerability does not disappear at 18 and practitioners must apply professional judgement where capacity, autonomy and protection overlap.</w:t>
            </w:r>
          </w:p>
          <w:p w14:paraId="4611B46B" w14:textId="77777777" w:rsidR="00901A07" w:rsidRPr="00901A07" w:rsidRDefault="00901A07" w:rsidP="00901A07">
            <w:pPr>
              <w:spacing w:after="160" w:line="259" w:lineRule="auto"/>
              <w:rPr>
                <w:sz w:val="24"/>
                <w:szCs w:val="24"/>
              </w:rPr>
            </w:pPr>
            <w:r w:rsidRPr="00901A07">
              <w:rPr>
                <w:sz w:val="24"/>
                <w:szCs w:val="24"/>
              </w:rPr>
              <w:t>From a critical perspective, adult safeguarding can be considered more ethically complex than children's safeguarding. Whilst children's practitioners are guided by the paramountcy principle, adult practitioners must balance rights, autonomy, protection and proportionality. Lynch and Burns (2024) argue that safeguarding should avoid risk-averse practice and recognise autonomy as a core principle.</w:t>
            </w:r>
          </w:p>
          <w:p w14:paraId="30434224" w14:textId="77777777" w:rsidR="00901A07" w:rsidRDefault="00901A07" w:rsidP="00901A07">
            <w:pPr>
              <w:spacing w:after="160" w:line="259" w:lineRule="auto"/>
              <w:rPr>
                <w:sz w:val="24"/>
                <w:szCs w:val="24"/>
              </w:rPr>
            </w:pPr>
            <w:r w:rsidRPr="00901A07">
              <w:rPr>
                <w:sz w:val="24"/>
                <w:szCs w:val="24"/>
              </w:rPr>
              <w:t xml:space="preserve">Ultimately, although both systems share a commitment to preventing abuse and neglect, children's safeguarding prioritises welfare and protection, whilst adult safeguarding prioritises rights, empowerment and autonomy. Understanding these differences is essential for </w:t>
            </w:r>
            <w:r w:rsidRPr="00901A07">
              <w:rPr>
                <w:sz w:val="24"/>
                <w:szCs w:val="24"/>
              </w:rPr>
              <w:lastRenderedPageBreak/>
              <w:t>effective safeguarding practice, particularly when working with young people approaching adulthood.</w:t>
            </w:r>
          </w:p>
          <w:p w14:paraId="013A4801" w14:textId="56DA2D60" w:rsidR="000D7418" w:rsidRPr="00901A07" w:rsidRDefault="000D7418" w:rsidP="00901A07">
            <w:pPr>
              <w:spacing w:after="160" w:line="259" w:lineRule="auto"/>
              <w:rPr>
                <w:sz w:val="24"/>
                <w:szCs w:val="24"/>
              </w:rPr>
            </w:pPr>
            <w:r>
              <w:rPr>
                <w:sz w:val="24"/>
                <w:szCs w:val="24"/>
              </w:rPr>
              <w:t>Word Count - 422</w:t>
            </w: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7849EE" w14:textId="77777777" w:rsidR="00753234" w:rsidRDefault="00753234">
      <w:r>
        <w:separator/>
      </w:r>
    </w:p>
  </w:endnote>
  <w:endnote w:type="continuationSeparator" w:id="0">
    <w:p w14:paraId="01430A3C" w14:textId="77777777" w:rsidR="00753234" w:rsidRDefault="007532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F4466" w14:textId="77777777" w:rsidR="00753234" w:rsidRDefault="00753234">
      <w:r>
        <w:separator/>
      </w:r>
    </w:p>
  </w:footnote>
  <w:footnote w:type="continuationSeparator" w:id="0">
    <w:p w14:paraId="631A7E67" w14:textId="77777777" w:rsidR="00753234" w:rsidRDefault="007532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4D4E"/>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D7418"/>
    <w:rsid w:val="000E0D51"/>
    <w:rsid w:val="000E26B0"/>
    <w:rsid w:val="000E37C2"/>
    <w:rsid w:val="000E38C3"/>
    <w:rsid w:val="000F1599"/>
    <w:rsid w:val="000F1769"/>
    <w:rsid w:val="000F1A97"/>
    <w:rsid w:val="000F42AE"/>
    <w:rsid w:val="000F6196"/>
    <w:rsid w:val="000F6934"/>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1F7301"/>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4C6B"/>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53A2"/>
    <w:rsid w:val="0055793E"/>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3234"/>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4003"/>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1A07"/>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B83"/>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6432"/>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5F1"/>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1EA1"/>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1292</Words>
  <Characters>7370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Nicola Gould</cp:lastModifiedBy>
  <cp:revision>2</cp:revision>
  <cp:lastPrinted>2020-02-11T19:20:00Z</cp:lastPrinted>
  <dcterms:created xsi:type="dcterms:W3CDTF">2026-10-02T11:07:00Z</dcterms:created>
  <dcterms:modified xsi:type="dcterms:W3CDTF">2026-10-02T11:07:00Z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