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6FACA" w14:textId="77777777" w:rsidR="00D34D05" w:rsidRDefault="00D34D05" w:rsidP="00D34D05">
      <w:pPr>
        <w:spacing w:line="963" w:lineRule="exact"/>
      </w:pPr>
      <w:r>
        <w:rPr>
          <w:noProof/>
          <w:position w:val="-19"/>
        </w:rPr>
        <w:drawing>
          <wp:inline distT="0" distB="0" distL="0" distR="0" wp14:anchorId="1380FAC4" wp14:editId="123D3797">
            <wp:extent cx="1810385" cy="611505"/>
            <wp:effectExtent l="0" t="0" r="3175" b="13335"/>
            <wp:docPr id="4" name="IM 4" descr="文本&#10;&#10;AI 生成的内容可能不正确。"/>
            <wp:cNvGraphicFramePr/>
            <a:graphic xmlns:a="http://schemas.openxmlformats.org/drawingml/2006/main">
              <a:graphicData uri="http://schemas.openxmlformats.org/drawingml/2006/picture">
                <pic:pic xmlns:pic="http://schemas.openxmlformats.org/drawingml/2006/picture">
                  <pic:nvPicPr>
                    <pic:cNvPr id="4" name="IM 4" descr="文本&#10;&#10;AI 生成的内容可能不正确。"/>
                    <pic:cNvPicPr/>
                  </pic:nvPicPr>
                  <pic:blipFill>
                    <a:blip r:embed="rId5"/>
                    <a:stretch>
                      <a:fillRect/>
                    </a:stretch>
                  </pic:blipFill>
                  <pic:spPr>
                    <a:xfrm>
                      <a:off x="0" y="0"/>
                      <a:ext cx="1810511" cy="611570"/>
                    </a:xfrm>
                    <a:prstGeom prst="rect">
                      <a:avLst/>
                    </a:prstGeom>
                  </pic:spPr>
                </pic:pic>
              </a:graphicData>
            </a:graphic>
          </wp:inline>
        </w:drawing>
      </w:r>
    </w:p>
    <w:p w14:paraId="0F6FEC46" w14:textId="77777777" w:rsidR="00D34D05" w:rsidRDefault="00D34D05" w:rsidP="00D34D05">
      <w:pPr>
        <w:pStyle w:val="ae"/>
        <w:spacing w:before="153" w:line="196" w:lineRule="auto"/>
        <w:jc w:val="right"/>
        <w:rPr>
          <w:sz w:val="28"/>
          <w:szCs w:val="28"/>
        </w:rPr>
      </w:pPr>
      <w:r>
        <w:rPr>
          <w:b/>
          <w:bCs/>
          <w:spacing w:val="-1"/>
          <w:sz w:val="28"/>
          <w:szCs w:val="28"/>
        </w:rPr>
        <w:t>APPENDIX GA36c</w:t>
      </w:r>
    </w:p>
    <w:p w14:paraId="53C7F872" w14:textId="77777777" w:rsidR="00D34D05" w:rsidRDefault="00D34D05" w:rsidP="00D34D05">
      <w:pPr>
        <w:spacing w:line="233" w:lineRule="exact"/>
      </w:pPr>
    </w:p>
    <w:tbl>
      <w:tblPr>
        <w:tblStyle w:val="TableNormal"/>
        <w:tblW w:w="9082" w:type="dxa"/>
        <w:tblInd w:w="429" w:type="dxa"/>
        <w:tblBorders>
          <w:top w:val="single" w:sz="2" w:space="0" w:color="000000"/>
          <w:left w:val="single" w:sz="2" w:space="0" w:color="000000"/>
          <w:bottom w:val="single" w:sz="2" w:space="0" w:color="000000"/>
          <w:right w:val="single" w:sz="2" w:space="0" w:color="000000"/>
        </w:tblBorders>
        <w:shd w:val="clear" w:color="auto" w:fill="C0C0C0"/>
        <w:tblLayout w:type="fixed"/>
        <w:tblLook w:val="04A0" w:firstRow="1" w:lastRow="0" w:firstColumn="1" w:lastColumn="0" w:noHBand="0" w:noVBand="1"/>
      </w:tblPr>
      <w:tblGrid>
        <w:gridCol w:w="9082"/>
      </w:tblGrid>
      <w:tr w:rsidR="00D34D05" w14:paraId="57288A31" w14:textId="77777777" w:rsidTr="00CD578F">
        <w:trPr>
          <w:trHeight w:val="710"/>
        </w:trPr>
        <w:tc>
          <w:tcPr>
            <w:tcW w:w="9082" w:type="dxa"/>
            <w:shd w:val="clear" w:color="auto" w:fill="C0C0C0"/>
          </w:tcPr>
          <w:p w14:paraId="3992FE0A" w14:textId="44166BD4" w:rsidR="00D34D05" w:rsidRPr="00CD578F" w:rsidRDefault="00D34D05" w:rsidP="00770FFC">
            <w:pPr>
              <w:pStyle w:val="TableText"/>
              <w:spacing w:before="205" w:line="196" w:lineRule="auto"/>
              <w:ind w:left="979"/>
              <w:rPr>
                <w:rFonts w:eastAsiaTheme="minorEastAsia" w:hint="eastAsia"/>
                <w:sz w:val="40"/>
                <w:szCs w:val="40"/>
                <w:lang w:eastAsia="zh-CN"/>
              </w:rPr>
            </w:pPr>
            <w:r>
              <w:rPr>
                <w:b/>
                <w:bCs/>
                <w:spacing w:val="-1"/>
                <w:sz w:val="40"/>
                <w:szCs w:val="40"/>
              </w:rPr>
              <w:t>LEVEL 6 ASSESSMENT SPECIFICATION</w:t>
            </w:r>
            <w:r>
              <w:rPr>
                <w:b/>
                <w:bCs/>
                <w:spacing w:val="35"/>
                <w:sz w:val="40"/>
                <w:szCs w:val="40"/>
              </w:rPr>
              <w:t xml:space="preserve"> </w:t>
            </w:r>
            <w:r w:rsidR="00CD578F">
              <w:rPr>
                <w:rFonts w:eastAsiaTheme="minorEastAsia" w:hint="eastAsia"/>
                <w:b/>
                <w:bCs/>
                <w:spacing w:val="-1"/>
                <w:sz w:val="40"/>
                <w:szCs w:val="40"/>
                <w:lang w:eastAsia="zh-CN"/>
              </w:rPr>
              <w:t>2</w:t>
            </w:r>
          </w:p>
        </w:tc>
      </w:tr>
    </w:tbl>
    <w:p w14:paraId="494A5B5B" w14:textId="77777777" w:rsidR="00D34D05" w:rsidRDefault="00D34D05" w:rsidP="00D34D05">
      <w:pPr>
        <w:spacing w:before="125"/>
      </w:pPr>
    </w:p>
    <w:tbl>
      <w:tblPr>
        <w:tblStyle w:val="TableNormal"/>
        <w:tblW w:w="9930" w:type="dxa"/>
        <w:tblInd w:w="39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099"/>
        <w:gridCol w:w="3292"/>
        <w:gridCol w:w="2267"/>
        <w:gridCol w:w="2272"/>
      </w:tblGrid>
      <w:tr w:rsidR="00D34D05" w14:paraId="6B34BF32" w14:textId="77777777" w:rsidTr="00770FFC">
        <w:trPr>
          <w:trHeight w:val="503"/>
        </w:trPr>
        <w:tc>
          <w:tcPr>
            <w:tcW w:w="2099" w:type="dxa"/>
            <w:shd w:val="clear" w:color="auto" w:fill="D9D9D9"/>
          </w:tcPr>
          <w:p w14:paraId="449F9EEE" w14:textId="77777777" w:rsidR="00D34D05" w:rsidRDefault="00D34D05" w:rsidP="00CD578F">
            <w:pPr>
              <w:pStyle w:val="TableText"/>
              <w:spacing w:before="165" w:line="238" w:lineRule="auto"/>
              <w:ind w:left="115"/>
              <w:jc w:val="center"/>
            </w:pPr>
            <w:r>
              <w:rPr>
                <w:b/>
                <w:bCs/>
                <w:spacing w:val="-2"/>
              </w:rPr>
              <w:t>Student</w:t>
            </w:r>
            <w:r>
              <w:rPr>
                <w:b/>
                <w:bCs/>
                <w:spacing w:val="17"/>
              </w:rPr>
              <w:t xml:space="preserve"> </w:t>
            </w:r>
            <w:r>
              <w:rPr>
                <w:b/>
                <w:bCs/>
                <w:spacing w:val="-2"/>
              </w:rPr>
              <w:t>name:</w:t>
            </w:r>
          </w:p>
        </w:tc>
        <w:tc>
          <w:tcPr>
            <w:tcW w:w="3292" w:type="dxa"/>
          </w:tcPr>
          <w:p w14:paraId="3AA0E761" w14:textId="77777777" w:rsidR="00D34D05" w:rsidRDefault="00D34D05" w:rsidP="00CD578F">
            <w:pPr>
              <w:pStyle w:val="TableText"/>
              <w:jc w:val="center"/>
              <w:rPr>
                <w:rFonts w:eastAsia="宋体"/>
                <w:sz w:val="21"/>
                <w:lang w:eastAsia="zh-CN"/>
              </w:rPr>
            </w:pPr>
            <w:r>
              <w:rPr>
                <w:rFonts w:eastAsia="宋体" w:hint="eastAsia"/>
                <w:sz w:val="21"/>
                <w:lang w:eastAsia="zh-CN"/>
              </w:rPr>
              <w:t>Xiaoyu Sun</w:t>
            </w:r>
          </w:p>
        </w:tc>
        <w:tc>
          <w:tcPr>
            <w:tcW w:w="2267" w:type="dxa"/>
            <w:shd w:val="clear" w:color="auto" w:fill="D9D9D9"/>
          </w:tcPr>
          <w:p w14:paraId="49D942B0" w14:textId="77777777" w:rsidR="00D34D05" w:rsidRDefault="00D34D05" w:rsidP="00CD578F">
            <w:pPr>
              <w:pStyle w:val="TableText"/>
              <w:spacing w:before="165" w:line="238" w:lineRule="auto"/>
              <w:ind w:left="114"/>
              <w:jc w:val="center"/>
            </w:pPr>
            <w:r>
              <w:rPr>
                <w:b/>
                <w:bCs/>
                <w:spacing w:val="-3"/>
              </w:rPr>
              <w:t>Student</w:t>
            </w:r>
            <w:r>
              <w:rPr>
                <w:b/>
                <w:bCs/>
                <w:spacing w:val="27"/>
                <w:w w:val="101"/>
              </w:rPr>
              <w:t xml:space="preserve"> </w:t>
            </w:r>
            <w:r>
              <w:rPr>
                <w:b/>
                <w:bCs/>
                <w:spacing w:val="-3"/>
              </w:rPr>
              <w:t>ID</w:t>
            </w:r>
            <w:r>
              <w:rPr>
                <w:b/>
                <w:bCs/>
                <w:spacing w:val="16"/>
                <w:w w:val="101"/>
              </w:rPr>
              <w:t xml:space="preserve"> </w:t>
            </w:r>
            <w:r>
              <w:rPr>
                <w:b/>
                <w:bCs/>
                <w:spacing w:val="-3"/>
              </w:rPr>
              <w:t>number:</w:t>
            </w:r>
          </w:p>
        </w:tc>
        <w:tc>
          <w:tcPr>
            <w:tcW w:w="2272" w:type="dxa"/>
          </w:tcPr>
          <w:p w14:paraId="2EE03A99" w14:textId="77777777" w:rsidR="00D34D05" w:rsidRDefault="00D34D05" w:rsidP="00CD578F">
            <w:pPr>
              <w:pStyle w:val="TableText"/>
              <w:jc w:val="center"/>
              <w:rPr>
                <w:rFonts w:eastAsia="宋体"/>
                <w:sz w:val="21"/>
                <w:lang w:eastAsia="zh-CN"/>
              </w:rPr>
            </w:pPr>
            <w:r>
              <w:rPr>
                <w:rFonts w:eastAsia="宋体" w:hint="eastAsia"/>
                <w:sz w:val="21"/>
                <w:lang w:eastAsia="zh-CN"/>
              </w:rPr>
              <w:t>2503344</w:t>
            </w:r>
          </w:p>
        </w:tc>
      </w:tr>
      <w:tr w:rsidR="00D34D05" w14:paraId="79C033BD" w14:textId="77777777" w:rsidTr="00770FFC">
        <w:trPr>
          <w:trHeight w:val="496"/>
        </w:trPr>
        <w:tc>
          <w:tcPr>
            <w:tcW w:w="2099" w:type="dxa"/>
            <w:shd w:val="clear" w:color="auto" w:fill="D9D9D9"/>
          </w:tcPr>
          <w:p w14:paraId="6197C32B" w14:textId="77777777" w:rsidR="00D34D05" w:rsidRDefault="00D34D05" w:rsidP="00CD578F">
            <w:pPr>
              <w:pStyle w:val="TableText"/>
              <w:spacing w:before="161" w:line="197" w:lineRule="auto"/>
              <w:ind w:left="123"/>
              <w:jc w:val="center"/>
            </w:pPr>
            <w:proofErr w:type="spellStart"/>
            <w:r>
              <w:rPr>
                <w:b/>
                <w:bCs/>
                <w:spacing w:val="-2"/>
              </w:rPr>
              <w:t>Programme</w:t>
            </w:r>
            <w:proofErr w:type="spellEnd"/>
            <w:r>
              <w:rPr>
                <w:b/>
                <w:bCs/>
                <w:spacing w:val="-2"/>
              </w:rPr>
              <w:t>:</w:t>
            </w:r>
          </w:p>
        </w:tc>
        <w:tc>
          <w:tcPr>
            <w:tcW w:w="7831" w:type="dxa"/>
            <w:gridSpan w:val="3"/>
          </w:tcPr>
          <w:p w14:paraId="162738F1" w14:textId="77777777" w:rsidR="00D34D05" w:rsidRDefault="00D34D05" w:rsidP="00CD578F">
            <w:pPr>
              <w:pStyle w:val="TableText"/>
              <w:spacing w:before="161" w:line="197" w:lineRule="auto"/>
              <w:ind w:left="118"/>
              <w:jc w:val="center"/>
            </w:pPr>
            <w:r>
              <w:rPr>
                <w:b/>
                <w:bCs/>
                <w:spacing w:val="-1"/>
              </w:rPr>
              <w:t>Business Management</w:t>
            </w:r>
            <w:r>
              <w:rPr>
                <w:b/>
                <w:bCs/>
                <w:spacing w:val="16"/>
                <w:w w:val="101"/>
              </w:rPr>
              <w:t xml:space="preserve"> </w:t>
            </w:r>
            <w:r>
              <w:rPr>
                <w:b/>
                <w:bCs/>
                <w:spacing w:val="-1"/>
              </w:rPr>
              <w:t>Portfo</w:t>
            </w:r>
            <w:r>
              <w:rPr>
                <w:b/>
                <w:bCs/>
                <w:spacing w:val="-2"/>
              </w:rPr>
              <w:t>lio</w:t>
            </w:r>
          </w:p>
        </w:tc>
      </w:tr>
      <w:tr w:rsidR="00D34D05" w14:paraId="53642D9A" w14:textId="77777777" w:rsidTr="00770FFC">
        <w:trPr>
          <w:trHeight w:val="499"/>
        </w:trPr>
        <w:tc>
          <w:tcPr>
            <w:tcW w:w="2099" w:type="dxa"/>
            <w:shd w:val="clear" w:color="auto" w:fill="D9D9D9"/>
          </w:tcPr>
          <w:p w14:paraId="5D8DD0B8" w14:textId="77777777" w:rsidR="00D34D05" w:rsidRDefault="00D34D05" w:rsidP="00CD578F">
            <w:pPr>
              <w:pStyle w:val="TableText"/>
              <w:spacing w:before="167" w:line="194" w:lineRule="auto"/>
              <w:ind w:left="123"/>
              <w:jc w:val="center"/>
            </w:pPr>
            <w:r>
              <w:rPr>
                <w:b/>
                <w:bCs/>
                <w:spacing w:val="-2"/>
              </w:rPr>
              <w:t>Module:</w:t>
            </w:r>
          </w:p>
        </w:tc>
        <w:tc>
          <w:tcPr>
            <w:tcW w:w="7831" w:type="dxa"/>
            <w:gridSpan w:val="3"/>
          </w:tcPr>
          <w:p w14:paraId="248D14D0" w14:textId="77777777" w:rsidR="00D34D05" w:rsidRDefault="00D34D05" w:rsidP="00CD578F">
            <w:pPr>
              <w:pStyle w:val="TableText"/>
              <w:spacing w:before="165" w:line="238" w:lineRule="auto"/>
              <w:ind w:left="117"/>
              <w:jc w:val="center"/>
            </w:pPr>
            <w:r>
              <w:rPr>
                <w:b/>
                <w:bCs/>
                <w:spacing w:val="-1"/>
              </w:rPr>
              <w:t>International</w:t>
            </w:r>
            <w:r>
              <w:rPr>
                <w:b/>
                <w:bCs/>
                <w:spacing w:val="22"/>
                <w:w w:val="101"/>
              </w:rPr>
              <w:t xml:space="preserve"> </w:t>
            </w:r>
            <w:r>
              <w:rPr>
                <w:b/>
                <w:bCs/>
                <w:spacing w:val="-1"/>
              </w:rPr>
              <w:t>Business Communication</w:t>
            </w:r>
          </w:p>
        </w:tc>
      </w:tr>
      <w:tr w:rsidR="00D34D05" w14:paraId="55EA9712" w14:textId="77777777" w:rsidTr="00770FFC">
        <w:trPr>
          <w:trHeight w:val="762"/>
        </w:trPr>
        <w:tc>
          <w:tcPr>
            <w:tcW w:w="2099" w:type="dxa"/>
            <w:shd w:val="clear" w:color="auto" w:fill="D9D9D9"/>
          </w:tcPr>
          <w:p w14:paraId="45365612" w14:textId="77777777" w:rsidR="00D34D05" w:rsidRDefault="00D34D05" w:rsidP="00CD578F">
            <w:pPr>
              <w:pStyle w:val="TableText"/>
              <w:spacing w:before="162" w:line="238" w:lineRule="auto"/>
              <w:ind w:left="123"/>
              <w:jc w:val="center"/>
            </w:pPr>
            <w:r>
              <w:rPr>
                <w:b/>
                <w:bCs/>
                <w:spacing w:val="-2"/>
              </w:rPr>
              <w:t>Module code:</w:t>
            </w:r>
          </w:p>
        </w:tc>
        <w:tc>
          <w:tcPr>
            <w:tcW w:w="3292" w:type="dxa"/>
          </w:tcPr>
          <w:p w14:paraId="5090C44F" w14:textId="77777777" w:rsidR="00D34D05" w:rsidRDefault="00D34D05" w:rsidP="00CD578F">
            <w:pPr>
              <w:pStyle w:val="TableText"/>
              <w:spacing w:before="164" w:line="195" w:lineRule="auto"/>
              <w:ind w:left="118"/>
              <w:jc w:val="center"/>
            </w:pPr>
            <w:r>
              <w:rPr>
                <w:b/>
                <w:bCs/>
                <w:spacing w:val="-2"/>
              </w:rPr>
              <w:t>BMBM6021</w:t>
            </w:r>
          </w:p>
        </w:tc>
        <w:tc>
          <w:tcPr>
            <w:tcW w:w="2267" w:type="dxa"/>
            <w:shd w:val="clear" w:color="auto" w:fill="D9D9D9"/>
          </w:tcPr>
          <w:p w14:paraId="5CC7E762" w14:textId="77777777" w:rsidR="00D34D05" w:rsidRDefault="00D34D05" w:rsidP="00CD578F">
            <w:pPr>
              <w:pStyle w:val="TableText"/>
              <w:spacing w:before="43" w:line="224" w:lineRule="auto"/>
              <w:ind w:left="106" w:right="101" w:firstLine="10"/>
              <w:jc w:val="center"/>
            </w:pPr>
            <w:r>
              <w:rPr>
                <w:b/>
                <w:bCs/>
                <w:spacing w:val="-1"/>
              </w:rPr>
              <w:t>Contribution</w:t>
            </w:r>
            <w:r>
              <w:rPr>
                <w:b/>
                <w:bCs/>
                <w:spacing w:val="5"/>
              </w:rPr>
              <w:t xml:space="preserve">        </w:t>
            </w:r>
            <w:r>
              <w:rPr>
                <w:b/>
                <w:bCs/>
                <w:spacing w:val="-1"/>
              </w:rPr>
              <w:t>to</w:t>
            </w:r>
            <w:r>
              <w:rPr>
                <w:b/>
                <w:bCs/>
              </w:rPr>
              <w:t xml:space="preserve"> </w:t>
            </w:r>
            <w:r>
              <w:rPr>
                <w:b/>
                <w:bCs/>
                <w:spacing w:val="-1"/>
              </w:rPr>
              <w:t>Overall         Module</w:t>
            </w:r>
            <w:r>
              <w:rPr>
                <w:b/>
                <w:bCs/>
                <w:spacing w:val="8"/>
              </w:rPr>
              <w:t xml:space="preserve"> </w:t>
            </w:r>
            <w:r>
              <w:rPr>
                <w:b/>
                <w:bCs/>
              </w:rPr>
              <w:t>Assessment (%):</w:t>
            </w:r>
          </w:p>
        </w:tc>
        <w:tc>
          <w:tcPr>
            <w:tcW w:w="2272" w:type="dxa"/>
          </w:tcPr>
          <w:p w14:paraId="7C048EE3" w14:textId="77777777" w:rsidR="00D34D05" w:rsidRDefault="00D34D05" w:rsidP="00CD578F">
            <w:pPr>
              <w:pStyle w:val="TableText"/>
              <w:spacing w:before="162" w:line="197" w:lineRule="auto"/>
              <w:ind w:left="116"/>
              <w:jc w:val="center"/>
            </w:pPr>
            <w:r>
              <w:rPr>
                <w:b/>
                <w:bCs/>
                <w:spacing w:val="-2"/>
              </w:rPr>
              <w:t>50%</w:t>
            </w:r>
          </w:p>
        </w:tc>
      </w:tr>
      <w:tr w:rsidR="00D34D05" w14:paraId="2FD1052D" w14:textId="77777777" w:rsidTr="00770FFC">
        <w:trPr>
          <w:trHeight w:val="499"/>
        </w:trPr>
        <w:tc>
          <w:tcPr>
            <w:tcW w:w="2099" w:type="dxa"/>
            <w:shd w:val="clear" w:color="auto" w:fill="D9D9D9"/>
          </w:tcPr>
          <w:p w14:paraId="23B26A14" w14:textId="77777777" w:rsidR="00D34D05" w:rsidRDefault="00D34D05" w:rsidP="00CD578F">
            <w:pPr>
              <w:pStyle w:val="TableText"/>
              <w:spacing w:before="169" w:line="193" w:lineRule="auto"/>
              <w:ind w:left="124"/>
              <w:jc w:val="center"/>
            </w:pPr>
            <w:r>
              <w:rPr>
                <w:b/>
                <w:bCs/>
                <w:spacing w:val="-2"/>
              </w:rPr>
              <w:t>Lecturer:</w:t>
            </w:r>
          </w:p>
        </w:tc>
        <w:tc>
          <w:tcPr>
            <w:tcW w:w="3292" w:type="dxa"/>
          </w:tcPr>
          <w:p w14:paraId="0E9C4142" w14:textId="263B522D" w:rsidR="00D34D05" w:rsidRDefault="00CD578F" w:rsidP="00CD578F">
            <w:pPr>
              <w:pStyle w:val="TableText"/>
              <w:spacing w:before="165" w:line="197" w:lineRule="auto"/>
              <w:ind w:left="105"/>
              <w:jc w:val="center"/>
            </w:pPr>
            <w:r w:rsidRPr="00CD578F">
              <w:rPr>
                <w:b/>
                <w:bCs/>
                <w:spacing w:val="-1"/>
              </w:rPr>
              <w:t>Gwyneth Jones</w:t>
            </w:r>
          </w:p>
        </w:tc>
        <w:tc>
          <w:tcPr>
            <w:tcW w:w="2267" w:type="dxa"/>
            <w:shd w:val="clear" w:color="auto" w:fill="D9D9D9"/>
          </w:tcPr>
          <w:p w14:paraId="1B80391A" w14:textId="77777777" w:rsidR="00D34D05" w:rsidRDefault="00D34D05" w:rsidP="00CD578F">
            <w:pPr>
              <w:pStyle w:val="TableText"/>
              <w:spacing w:before="166" w:line="238" w:lineRule="auto"/>
              <w:ind w:left="121"/>
              <w:jc w:val="center"/>
            </w:pPr>
            <w:r>
              <w:rPr>
                <w:b/>
                <w:bCs/>
                <w:spacing w:val="-1"/>
              </w:rPr>
              <w:t>Internal Verifier:</w:t>
            </w:r>
          </w:p>
        </w:tc>
        <w:tc>
          <w:tcPr>
            <w:tcW w:w="2272" w:type="dxa"/>
          </w:tcPr>
          <w:p w14:paraId="211B4FCC" w14:textId="77777777" w:rsidR="00D34D05" w:rsidRDefault="00D34D05" w:rsidP="00CD578F">
            <w:pPr>
              <w:pStyle w:val="TableText"/>
              <w:spacing w:before="165" w:line="197" w:lineRule="auto"/>
              <w:ind w:left="123"/>
              <w:jc w:val="center"/>
            </w:pPr>
            <w:r>
              <w:rPr>
                <w:b/>
                <w:bCs/>
                <w:spacing w:val="-1"/>
              </w:rPr>
              <w:t>Robyn Griffiths</w:t>
            </w:r>
          </w:p>
        </w:tc>
      </w:tr>
      <w:tr w:rsidR="00D34D05" w14:paraId="6B1CFC01" w14:textId="77777777" w:rsidTr="00770FFC">
        <w:trPr>
          <w:trHeight w:val="751"/>
        </w:trPr>
        <w:tc>
          <w:tcPr>
            <w:tcW w:w="2099" w:type="dxa"/>
            <w:shd w:val="clear" w:color="auto" w:fill="D9D9D9"/>
          </w:tcPr>
          <w:p w14:paraId="00C04E71" w14:textId="77777777" w:rsidR="00D34D05" w:rsidRDefault="00D34D05" w:rsidP="00CD578F">
            <w:pPr>
              <w:pStyle w:val="TableText"/>
              <w:spacing w:before="163" w:line="197" w:lineRule="auto"/>
              <w:ind w:left="107"/>
              <w:jc w:val="center"/>
            </w:pPr>
            <w:r>
              <w:rPr>
                <w:b/>
                <w:bCs/>
              </w:rPr>
              <w:t>Assignment</w:t>
            </w:r>
            <w:r>
              <w:rPr>
                <w:b/>
                <w:bCs/>
                <w:spacing w:val="1"/>
              </w:rPr>
              <w:t xml:space="preserve"> </w:t>
            </w:r>
            <w:r>
              <w:rPr>
                <w:b/>
                <w:bCs/>
              </w:rPr>
              <w:t>Title</w:t>
            </w:r>
            <w:r>
              <w:rPr>
                <w:b/>
                <w:bCs/>
                <w:spacing w:val="1"/>
              </w:rPr>
              <w:t>:</w:t>
            </w:r>
          </w:p>
        </w:tc>
        <w:tc>
          <w:tcPr>
            <w:tcW w:w="3292" w:type="dxa"/>
          </w:tcPr>
          <w:p w14:paraId="32B106FC" w14:textId="48D76E15" w:rsidR="00CD578F" w:rsidRPr="00CD578F" w:rsidRDefault="00CD578F" w:rsidP="00CD578F">
            <w:pPr>
              <w:pStyle w:val="TableText"/>
              <w:spacing w:before="163"/>
              <w:ind w:left="109" w:right="106" w:firstLine="7"/>
              <w:jc w:val="center"/>
              <w:rPr>
                <w:b/>
                <w:bCs/>
                <w:spacing w:val="-1"/>
              </w:rPr>
            </w:pPr>
            <w:r w:rsidRPr="00CD578F">
              <w:rPr>
                <w:b/>
                <w:bCs/>
                <w:spacing w:val="-1"/>
              </w:rPr>
              <w:t>Intercultural Business</w:t>
            </w:r>
          </w:p>
          <w:p w14:paraId="6C8DF647" w14:textId="4C65B49B" w:rsidR="00D34D05" w:rsidRDefault="00CD578F" w:rsidP="00CD578F">
            <w:pPr>
              <w:pStyle w:val="TableText"/>
              <w:spacing w:before="163"/>
              <w:ind w:left="109" w:right="106" w:firstLine="7"/>
              <w:jc w:val="center"/>
            </w:pPr>
            <w:r w:rsidRPr="00CD578F">
              <w:rPr>
                <w:b/>
                <w:bCs/>
                <w:spacing w:val="-1"/>
              </w:rPr>
              <w:t>Communications Challenges</w:t>
            </w:r>
          </w:p>
        </w:tc>
        <w:tc>
          <w:tcPr>
            <w:tcW w:w="2267" w:type="dxa"/>
            <w:shd w:val="clear" w:color="auto" w:fill="D9D9D9"/>
          </w:tcPr>
          <w:p w14:paraId="1D2DE899" w14:textId="77777777" w:rsidR="00D34D05" w:rsidRDefault="00D34D05" w:rsidP="00CD578F">
            <w:pPr>
              <w:pStyle w:val="TableText"/>
              <w:spacing w:before="163" w:line="197" w:lineRule="auto"/>
              <w:ind w:left="106"/>
              <w:jc w:val="center"/>
            </w:pPr>
            <w:r>
              <w:rPr>
                <w:b/>
                <w:bCs/>
                <w:spacing w:val="-1"/>
              </w:rPr>
              <w:t xml:space="preserve">Word     count  </w:t>
            </w:r>
            <w:proofErr w:type="gramStart"/>
            <w:r>
              <w:rPr>
                <w:b/>
                <w:bCs/>
                <w:spacing w:val="-1"/>
              </w:rPr>
              <w:t xml:space="preserve">   (</w:t>
            </w:r>
            <w:proofErr w:type="gramEnd"/>
            <w:r>
              <w:rPr>
                <w:b/>
                <w:bCs/>
                <w:spacing w:val="-1"/>
              </w:rPr>
              <w:t>or</w:t>
            </w:r>
          </w:p>
          <w:p w14:paraId="0540FCB1" w14:textId="77777777" w:rsidR="00D34D05" w:rsidRDefault="00D34D05" w:rsidP="00CD578F">
            <w:pPr>
              <w:pStyle w:val="TableText"/>
              <w:spacing w:before="46" w:line="197" w:lineRule="auto"/>
              <w:ind w:left="113"/>
              <w:jc w:val="center"/>
            </w:pPr>
            <w:r>
              <w:rPr>
                <w:b/>
                <w:bCs/>
                <w:spacing w:val="-1"/>
              </w:rPr>
              <w:t>equivalent):</w:t>
            </w:r>
          </w:p>
        </w:tc>
        <w:tc>
          <w:tcPr>
            <w:tcW w:w="2272" w:type="dxa"/>
          </w:tcPr>
          <w:p w14:paraId="292AD43D" w14:textId="77777777" w:rsidR="00D34D05" w:rsidRDefault="00D34D05" w:rsidP="00CD578F">
            <w:pPr>
              <w:pStyle w:val="TableText"/>
              <w:spacing w:before="163" w:line="238" w:lineRule="auto"/>
              <w:ind w:left="112"/>
              <w:jc w:val="center"/>
            </w:pPr>
            <w:r>
              <w:rPr>
                <w:b/>
                <w:bCs/>
                <w:spacing w:val="-1"/>
              </w:rPr>
              <w:t>2500 words</w:t>
            </w:r>
          </w:p>
        </w:tc>
      </w:tr>
      <w:tr w:rsidR="00D34D05" w14:paraId="175286E6" w14:textId="77777777" w:rsidTr="00770FFC">
        <w:trPr>
          <w:trHeight w:val="1003"/>
        </w:trPr>
        <w:tc>
          <w:tcPr>
            <w:tcW w:w="2099" w:type="dxa"/>
            <w:shd w:val="clear" w:color="auto" w:fill="D9D9D9"/>
          </w:tcPr>
          <w:p w14:paraId="51FC9604" w14:textId="77777777" w:rsidR="00D34D05" w:rsidRDefault="00D34D05" w:rsidP="00CD578F">
            <w:pPr>
              <w:pStyle w:val="TableText"/>
              <w:spacing w:before="164" w:line="257" w:lineRule="auto"/>
              <w:ind w:left="116" w:right="735" w:hanging="1"/>
              <w:jc w:val="center"/>
            </w:pPr>
            <w:r>
              <w:rPr>
                <w:b/>
                <w:bCs/>
                <w:spacing w:val="-1"/>
              </w:rPr>
              <w:t>Submission</w:t>
            </w:r>
            <w:r>
              <w:rPr>
                <w:b/>
                <w:bCs/>
                <w:spacing w:val="5"/>
              </w:rPr>
              <w:t xml:space="preserve"> </w:t>
            </w:r>
            <w:r>
              <w:rPr>
                <w:b/>
                <w:bCs/>
                <w:spacing w:val="-1"/>
              </w:rPr>
              <w:t>deadline:</w:t>
            </w:r>
          </w:p>
        </w:tc>
        <w:tc>
          <w:tcPr>
            <w:tcW w:w="3292" w:type="dxa"/>
          </w:tcPr>
          <w:p w14:paraId="621407C5" w14:textId="79D0C2AA" w:rsidR="00D34D05" w:rsidRDefault="00CD578F" w:rsidP="00CD578F">
            <w:pPr>
              <w:pStyle w:val="TableText"/>
              <w:spacing w:before="144" w:line="215" w:lineRule="auto"/>
              <w:ind w:left="119"/>
              <w:jc w:val="center"/>
            </w:pPr>
            <w:r w:rsidRPr="00CD578F">
              <w:rPr>
                <w:b/>
                <w:bCs/>
                <w:spacing w:val="-2"/>
              </w:rPr>
              <w:t xml:space="preserve">12 </w:t>
            </w:r>
            <w:proofErr w:type="spellStart"/>
            <w:r w:rsidRPr="00CD578F">
              <w:rPr>
                <w:b/>
                <w:bCs/>
                <w:spacing w:val="-2"/>
              </w:rPr>
              <w:t>th</w:t>
            </w:r>
            <w:proofErr w:type="spellEnd"/>
            <w:r w:rsidRPr="00CD578F">
              <w:rPr>
                <w:b/>
                <w:bCs/>
                <w:spacing w:val="-2"/>
              </w:rPr>
              <w:t xml:space="preserve"> December 2025</w:t>
            </w:r>
          </w:p>
        </w:tc>
        <w:tc>
          <w:tcPr>
            <w:tcW w:w="2267" w:type="dxa"/>
            <w:shd w:val="clear" w:color="auto" w:fill="D9D9D9"/>
          </w:tcPr>
          <w:p w14:paraId="357AF51F" w14:textId="77777777" w:rsidR="00D34D05" w:rsidRDefault="00D34D05" w:rsidP="00CD578F">
            <w:pPr>
              <w:pStyle w:val="TableText"/>
              <w:spacing w:before="164" w:line="239" w:lineRule="auto"/>
              <w:ind w:left="115" w:right="96" w:firstLine="6"/>
              <w:jc w:val="center"/>
            </w:pPr>
            <w:r>
              <w:rPr>
                <w:b/>
                <w:bCs/>
                <w:spacing w:val="-3"/>
              </w:rPr>
              <w:t>Return</w:t>
            </w:r>
            <w:r>
              <w:rPr>
                <w:b/>
                <w:bCs/>
                <w:spacing w:val="10"/>
              </w:rPr>
              <w:t xml:space="preserve">     </w:t>
            </w:r>
            <w:r>
              <w:rPr>
                <w:b/>
                <w:bCs/>
                <w:spacing w:val="-3"/>
              </w:rPr>
              <w:t>date</w:t>
            </w:r>
            <w:r>
              <w:rPr>
                <w:b/>
                <w:bCs/>
                <w:spacing w:val="9"/>
              </w:rPr>
              <w:t xml:space="preserve">     </w:t>
            </w:r>
            <w:r>
              <w:rPr>
                <w:b/>
                <w:bCs/>
                <w:spacing w:val="-3"/>
              </w:rPr>
              <w:t>of</w:t>
            </w:r>
            <w:r>
              <w:rPr>
                <w:b/>
                <w:bCs/>
                <w:spacing w:val="2"/>
              </w:rPr>
              <w:t xml:space="preserve"> </w:t>
            </w:r>
            <w:r>
              <w:rPr>
                <w:b/>
                <w:bCs/>
                <w:spacing w:val="-2"/>
              </w:rPr>
              <w:t>provisional    marks</w:t>
            </w:r>
            <w:r>
              <w:rPr>
                <w:b/>
                <w:bCs/>
                <w:spacing w:val="17"/>
              </w:rPr>
              <w:t xml:space="preserve"> </w:t>
            </w:r>
            <w:r>
              <w:rPr>
                <w:b/>
                <w:bCs/>
                <w:spacing w:val="-1"/>
              </w:rPr>
              <w:t>&amp; written feedback:</w:t>
            </w:r>
          </w:p>
        </w:tc>
        <w:tc>
          <w:tcPr>
            <w:tcW w:w="2272" w:type="dxa"/>
          </w:tcPr>
          <w:p w14:paraId="491A76F6" w14:textId="73998095" w:rsidR="00D34D05" w:rsidRDefault="00CD578F" w:rsidP="00CD578F">
            <w:pPr>
              <w:pStyle w:val="TableText"/>
              <w:spacing w:before="144" w:line="215" w:lineRule="auto"/>
              <w:ind w:left="124"/>
              <w:jc w:val="center"/>
            </w:pPr>
            <w:r w:rsidRPr="00CD578F">
              <w:rPr>
                <w:b/>
                <w:bCs/>
                <w:spacing w:val="-1"/>
              </w:rPr>
              <w:t xml:space="preserve">10 </w:t>
            </w:r>
            <w:proofErr w:type="spellStart"/>
            <w:r w:rsidRPr="00CD578F">
              <w:rPr>
                <w:b/>
                <w:bCs/>
                <w:spacing w:val="-1"/>
              </w:rPr>
              <w:t>th</w:t>
            </w:r>
            <w:proofErr w:type="spellEnd"/>
            <w:r w:rsidRPr="00CD578F">
              <w:rPr>
                <w:b/>
                <w:bCs/>
                <w:spacing w:val="-1"/>
              </w:rPr>
              <w:t xml:space="preserve"> January 2026</w:t>
            </w:r>
          </w:p>
        </w:tc>
      </w:tr>
      <w:tr w:rsidR="00D34D05" w14:paraId="568FC197" w14:textId="77777777" w:rsidTr="00770FFC">
        <w:trPr>
          <w:trHeight w:val="2641"/>
        </w:trPr>
        <w:tc>
          <w:tcPr>
            <w:tcW w:w="2099" w:type="dxa"/>
            <w:shd w:val="clear" w:color="auto" w:fill="D9D9D9"/>
          </w:tcPr>
          <w:p w14:paraId="540DDCA0" w14:textId="77777777" w:rsidR="00D34D05" w:rsidRDefault="00D34D05" w:rsidP="00CD578F">
            <w:pPr>
              <w:pStyle w:val="TableText"/>
              <w:spacing w:before="166" w:line="255" w:lineRule="auto"/>
              <w:ind w:left="120" w:right="735" w:hanging="5"/>
              <w:jc w:val="center"/>
            </w:pPr>
            <w:r>
              <w:rPr>
                <w:b/>
                <w:bCs/>
                <w:spacing w:val="-1"/>
              </w:rPr>
              <w:t>Submission</w:t>
            </w:r>
            <w:r>
              <w:rPr>
                <w:b/>
                <w:bCs/>
                <w:spacing w:val="5"/>
              </w:rPr>
              <w:t xml:space="preserve"> </w:t>
            </w:r>
            <w:r>
              <w:rPr>
                <w:b/>
                <w:bCs/>
                <w:spacing w:val="-2"/>
              </w:rPr>
              <w:t>method:</w:t>
            </w:r>
          </w:p>
        </w:tc>
        <w:tc>
          <w:tcPr>
            <w:tcW w:w="7831" w:type="dxa"/>
            <w:gridSpan w:val="3"/>
          </w:tcPr>
          <w:p w14:paraId="32D5D35F" w14:textId="77777777" w:rsidR="00D34D05" w:rsidRDefault="00D34D05" w:rsidP="00CD578F">
            <w:pPr>
              <w:pStyle w:val="TableText"/>
              <w:spacing w:before="48" w:line="225" w:lineRule="auto"/>
              <w:ind w:left="107" w:right="193" w:hanging="5"/>
              <w:jc w:val="center"/>
            </w:pPr>
            <w:r>
              <w:t>All written assessmen</w:t>
            </w:r>
            <w:r>
              <w:rPr>
                <w:spacing w:val="-1"/>
              </w:rPr>
              <w:t>ts, where</w:t>
            </w:r>
            <w:r>
              <w:rPr>
                <w:spacing w:val="15"/>
              </w:rPr>
              <w:t xml:space="preserve"> </w:t>
            </w:r>
            <w:r>
              <w:rPr>
                <w:spacing w:val="-1"/>
              </w:rPr>
              <w:t>practical and possible,</w:t>
            </w:r>
            <w:r>
              <w:rPr>
                <w:spacing w:val="16"/>
                <w:w w:val="101"/>
              </w:rPr>
              <w:t xml:space="preserve"> </w:t>
            </w:r>
            <w:r>
              <w:rPr>
                <w:spacing w:val="-1"/>
              </w:rPr>
              <w:t>must</w:t>
            </w:r>
            <w:r>
              <w:rPr>
                <w:spacing w:val="16"/>
              </w:rPr>
              <w:t xml:space="preserve"> </w:t>
            </w:r>
            <w:r>
              <w:rPr>
                <w:spacing w:val="-1"/>
              </w:rPr>
              <w:t xml:space="preserve">be submitted </w:t>
            </w:r>
            <w:proofErr w:type="gramStart"/>
            <w:r>
              <w:rPr>
                <w:spacing w:val="-1"/>
              </w:rPr>
              <w:t>via</w:t>
            </w:r>
            <w:r>
              <w:t xml:space="preserve">  </w:t>
            </w:r>
            <w:r>
              <w:rPr>
                <w:spacing w:val="-1"/>
              </w:rPr>
              <w:t>Turnitin</w:t>
            </w:r>
            <w:proofErr w:type="gramEnd"/>
            <w:r>
              <w:rPr>
                <w:spacing w:val="14"/>
              </w:rPr>
              <w:t xml:space="preserve"> </w:t>
            </w:r>
            <w:r>
              <w:rPr>
                <w:spacing w:val="-1"/>
              </w:rPr>
              <w:t>unless otherwise</w:t>
            </w:r>
            <w:r>
              <w:rPr>
                <w:spacing w:val="15"/>
              </w:rPr>
              <w:t xml:space="preserve"> </w:t>
            </w:r>
            <w:r>
              <w:rPr>
                <w:spacing w:val="-1"/>
              </w:rPr>
              <w:t xml:space="preserve">instructed </w:t>
            </w:r>
            <w:r>
              <w:rPr>
                <w:spacing w:val="-2"/>
              </w:rPr>
              <w:t>by the</w:t>
            </w:r>
            <w:r>
              <w:rPr>
                <w:spacing w:val="16"/>
                <w:w w:val="101"/>
              </w:rPr>
              <w:t xml:space="preserve"> </w:t>
            </w:r>
            <w:r>
              <w:rPr>
                <w:spacing w:val="-2"/>
              </w:rPr>
              <w:t>Lecturer. (Please</w:t>
            </w:r>
            <w:r>
              <w:rPr>
                <w:spacing w:val="17"/>
              </w:rPr>
              <w:t xml:space="preserve"> </w:t>
            </w:r>
            <w:r>
              <w:rPr>
                <w:spacing w:val="-2"/>
              </w:rPr>
              <w:t>DO</w:t>
            </w:r>
            <w:r>
              <w:rPr>
                <w:spacing w:val="19"/>
              </w:rPr>
              <w:t xml:space="preserve"> </w:t>
            </w:r>
            <w:r>
              <w:rPr>
                <w:spacing w:val="-2"/>
              </w:rPr>
              <w:t>NOT</w:t>
            </w:r>
            <w:r>
              <w:rPr>
                <w:spacing w:val="17"/>
                <w:w w:val="101"/>
              </w:rPr>
              <w:t xml:space="preserve"> </w:t>
            </w:r>
            <w:r>
              <w:rPr>
                <w:spacing w:val="-2"/>
              </w:rPr>
              <w:t>put this</w:t>
            </w:r>
            <w:r>
              <w:t xml:space="preserve"> assessment specification into Turnitin o</w:t>
            </w:r>
            <w:r>
              <w:rPr>
                <w:spacing w:val="-1"/>
              </w:rPr>
              <w:t>r it will</w:t>
            </w:r>
            <w:r>
              <w:rPr>
                <w:spacing w:val="15"/>
              </w:rPr>
              <w:t xml:space="preserve"> </w:t>
            </w:r>
            <w:r>
              <w:rPr>
                <w:spacing w:val="-1"/>
              </w:rPr>
              <w:t>match</w:t>
            </w:r>
            <w:r>
              <w:rPr>
                <w:spacing w:val="16"/>
              </w:rPr>
              <w:t xml:space="preserve"> </w:t>
            </w:r>
            <w:r>
              <w:rPr>
                <w:spacing w:val="-1"/>
              </w:rPr>
              <w:t>many similarities with</w:t>
            </w:r>
          </w:p>
          <w:p w14:paraId="501AB6E8" w14:textId="77777777" w:rsidR="00D34D05" w:rsidRDefault="00D34D05" w:rsidP="00CD578F">
            <w:pPr>
              <w:pStyle w:val="TableText"/>
              <w:spacing w:before="44" w:line="199" w:lineRule="auto"/>
              <w:ind w:left="109"/>
              <w:jc w:val="center"/>
            </w:pPr>
            <w:r>
              <w:t>other students’ submi</w:t>
            </w:r>
            <w:r>
              <w:rPr>
                <w:spacing w:val="-1"/>
              </w:rPr>
              <w:t>ssions.)</w:t>
            </w:r>
          </w:p>
          <w:p w14:paraId="2BE7C27E" w14:textId="77777777" w:rsidR="00D34D05" w:rsidRDefault="00D34D05" w:rsidP="00CD578F">
            <w:pPr>
              <w:pStyle w:val="TableText"/>
              <w:spacing w:before="161" w:line="197" w:lineRule="auto"/>
              <w:ind w:left="102"/>
              <w:jc w:val="center"/>
            </w:pPr>
            <w:r>
              <w:rPr>
                <w:b/>
                <w:bCs/>
              </w:rPr>
              <w:t>Alternative submission method (if applicable):</w:t>
            </w:r>
          </w:p>
          <w:p w14:paraId="751D17F0" w14:textId="77777777" w:rsidR="00D34D05" w:rsidRDefault="00D34D05" w:rsidP="00CD578F">
            <w:pPr>
              <w:pStyle w:val="TableText"/>
              <w:spacing w:before="167" w:line="197" w:lineRule="auto"/>
              <w:ind w:left="119"/>
              <w:jc w:val="center"/>
            </w:pPr>
            <w:r>
              <w:rPr>
                <w:b/>
                <w:bCs/>
                <w:spacing w:val="-2"/>
              </w:rPr>
              <w:t>Late</w:t>
            </w:r>
            <w:r>
              <w:rPr>
                <w:b/>
                <w:bCs/>
                <w:spacing w:val="50"/>
                <w:w w:val="101"/>
              </w:rPr>
              <w:t xml:space="preserve"> </w:t>
            </w:r>
            <w:r>
              <w:rPr>
                <w:b/>
                <w:bCs/>
                <w:spacing w:val="-2"/>
              </w:rPr>
              <w:t>submission</w:t>
            </w:r>
            <w:r>
              <w:rPr>
                <w:b/>
                <w:bCs/>
                <w:spacing w:val="49"/>
                <w:w w:val="101"/>
              </w:rPr>
              <w:t xml:space="preserve"> </w:t>
            </w:r>
            <w:r>
              <w:rPr>
                <w:b/>
                <w:bCs/>
                <w:spacing w:val="-2"/>
              </w:rPr>
              <w:t>of</w:t>
            </w:r>
            <w:r>
              <w:rPr>
                <w:b/>
                <w:bCs/>
                <w:spacing w:val="39"/>
              </w:rPr>
              <w:t xml:space="preserve"> </w:t>
            </w:r>
            <w:r>
              <w:rPr>
                <w:b/>
                <w:bCs/>
                <w:spacing w:val="-2"/>
              </w:rPr>
              <w:t>the</w:t>
            </w:r>
            <w:r>
              <w:rPr>
                <w:b/>
                <w:bCs/>
                <w:spacing w:val="49"/>
                <w:w w:val="101"/>
              </w:rPr>
              <w:t xml:space="preserve"> </w:t>
            </w:r>
            <w:r>
              <w:rPr>
                <w:b/>
                <w:bCs/>
                <w:spacing w:val="-2"/>
              </w:rPr>
              <w:t>assessment</w:t>
            </w:r>
            <w:r>
              <w:rPr>
                <w:b/>
                <w:bCs/>
                <w:spacing w:val="38"/>
                <w:w w:val="101"/>
              </w:rPr>
              <w:t xml:space="preserve"> </w:t>
            </w:r>
            <w:r>
              <w:rPr>
                <w:b/>
                <w:bCs/>
                <w:spacing w:val="-2"/>
              </w:rPr>
              <w:t>will</w:t>
            </w:r>
            <w:r>
              <w:rPr>
                <w:b/>
                <w:bCs/>
                <w:spacing w:val="57"/>
              </w:rPr>
              <w:t xml:space="preserve"> </w:t>
            </w:r>
            <w:r>
              <w:rPr>
                <w:b/>
                <w:bCs/>
                <w:spacing w:val="-2"/>
              </w:rPr>
              <w:t>result</w:t>
            </w:r>
            <w:r>
              <w:rPr>
                <w:b/>
                <w:bCs/>
                <w:spacing w:val="56"/>
                <w:w w:val="101"/>
              </w:rPr>
              <w:t xml:space="preserve"> </w:t>
            </w:r>
            <w:r>
              <w:rPr>
                <w:b/>
                <w:bCs/>
                <w:spacing w:val="-2"/>
              </w:rPr>
              <w:t>in</w:t>
            </w:r>
            <w:r>
              <w:rPr>
                <w:b/>
                <w:bCs/>
                <w:spacing w:val="49"/>
                <w:w w:val="101"/>
              </w:rPr>
              <w:t xml:space="preserve"> </w:t>
            </w:r>
            <w:r>
              <w:rPr>
                <w:b/>
                <w:bCs/>
                <w:spacing w:val="-2"/>
              </w:rPr>
              <w:t>a</w:t>
            </w:r>
            <w:r>
              <w:rPr>
                <w:b/>
                <w:bCs/>
                <w:spacing w:val="57"/>
              </w:rPr>
              <w:t xml:space="preserve"> </w:t>
            </w:r>
            <w:r>
              <w:rPr>
                <w:b/>
                <w:bCs/>
                <w:spacing w:val="-2"/>
              </w:rPr>
              <w:t>late</w:t>
            </w:r>
            <w:r>
              <w:rPr>
                <w:b/>
                <w:bCs/>
                <w:spacing w:val="57"/>
              </w:rPr>
              <w:t xml:space="preserve"> </w:t>
            </w:r>
            <w:r>
              <w:rPr>
                <w:b/>
                <w:bCs/>
                <w:spacing w:val="-2"/>
              </w:rPr>
              <w:t>penalty</w:t>
            </w:r>
            <w:r>
              <w:rPr>
                <w:b/>
                <w:bCs/>
                <w:spacing w:val="50"/>
              </w:rPr>
              <w:t xml:space="preserve"> </w:t>
            </w:r>
            <w:r>
              <w:rPr>
                <w:b/>
                <w:bCs/>
                <w:spacing w:val="-2"/>
              </w:rPr>
              <w:t>mark.</w:t>
            </w:r>
          </w:p>
          <w:p w14:paraId="782C4CEB" w14:textId="77777777" w:rsidR="00D34D05" w:rsidRDefault="00D34D05" w:rsidP="00CD578F">
            <w:pPr>
              <w:pStyle w:val="TableText"/>
              <w:spacing w:before="46" w:line="226" w:lineRule="auto"/>
              <w:ind w:left="109" w:right="109" w:firstLine="9"/>
              <w:jc w:val="center"/>
            </w:pPr>
            <w:r>
              <w:rPr>
                <w:spacing w:val="-2"/>
              </w:rPr>
              <w:t>Penalties</w:t>
            </w:r>
            <w:r>
              <w:rPr>
                <w:spacing w:val="36"/>
                <w:w w:val="101"/>
              </w:rPr>
              <w:t xml:space="preserve"> </w:t>
            </w:r>
            <w:r>
              <w:rPr>
                <w:spacing w:val="-2"/>
              </w:rPr>
              <w:t>for</w:t>
            </w:r>
            <w:r>
              <w:rPr>
                <w:spacing w:val="39"/>
              </w:rPr>
              <w:t xml:space="preserve"> </w:t>
            </w:r>
            <w:r>
              <w:rPr>
                <w:spacing w:val="-2"/>
              </w:rPr>
              <w:t>late</w:t>
            </w:r>
            <w:r>
              <w:rPr>
                <w:spacing w:val="32"/>
              </w:rPr>
              <w:t xml:space="preserve"> </w:t>
            </w:r>
            <w:r>
              <w:rPr>
                <w:spacing w:val="-2"/>
              </w:rPr>
              <w:t>submission:</w:t>
            </w:r>
            <w:r>
              <w:rPr>
                <w:spacing w:val="45"/>
                <w:w w:val="101"/>
              </w:rPr>
              <w:t xml:space="preserve"> </w:t>
            </w:r>
            <w:r>
              <w:rPr>
                <w:spacing w:val="-2"/>
              </w:rPr>
              <w:t>Up</w:t>
            </w:r>
            <w:r>
              <w:rPr>
                <w:spacing w:val="28"/>
                <w:w w:val="101"/>
              </w:rPr>
              <w:t xml:space="preserve"> </w:t>
            </w:r>
            <w:r>
              <w:rPr>
                <w:spacing w:val="-2"/>
              </w:rPr>
              <w:t>to</w:t>
            </w:r>
            <w:r>
              <w:rPr>
                <w:spacing w:val="32"/>
              </w:rPr>
              <w:t xml:space="preserve"> </w:t>
            </w:r>
            <w:r>
              <w:rPr>
                <w:spacing w:val="-2"/>
              </w:rPr>
              <w:t>one</w:t>
            </w:r>
            <w:r>
              <w:rPr>
                <w:spacing w:val="25"/>
              </w:rPr>
              <w:t xml:space="preserve"> </w:t>
            </w:r>
            <w:r>
              <w:rPr>
                <w:spacing w:val="-2"/>
              </w:rPr>
              <w:t>week</w:t>
            </w:r>
            <w:r>
              <w:rPr>
                <w:spacing w:val="44"/>
              </w:rPr>
              <w:t xml:space="preserve"> </w:t>
            </w:r>
            <w:r>
              <w:rPr>
                <w:spacing w:val="-2"/>
              </w:rPr>
              <w:t>late,</w:t>
            </w:r>
            <w:r>
              <w:rPr>
                <w:spacing w:val="40"/>
                <w:w w:val="101"/>
              </w:rPr>
              <w:t xml:space="preserve"> </w:t>
            </w:r>
            <w:r>
              <w:rPr>
                <w:spacing w:val="-2"/>
              </w:rPr>
              <w:t>maximum</w:t>
            </w:r>
            <w:r>
              <w:rPr>
                <w:spacing w:val="37"/>
                <w:w w:val="101"/>
              </w:rPr>
              <w:t xml:space="preserve"> </w:t>
            </w:r>
            <w:r>
              <w:rPr>
                <w:spacing w:val="-2"/>
              </w:rPr>
              <w:t>mark</w:t>
            </w:r>
            <w:r>
              <w:rPr>
                <w:spacing w:val="34"/>
                <w:w w:val="101"/>
              </w:rPr>
              <w:t xml:space="preserve"> </w:t>
            </w:r>
            <w:r>
              <w:rPr>
                <w:spacing w:val="-2"/>
              </w:rPr>
              <w:t>of</w:t>
            </w:r>
            <w:r>
              <w:rPr>
                <w:spacing w:val="21"/>
              </w:rPr>
              <w:t xml:space="preserve"> </w:t>
            </w:r>
            <w:r>
              <w:rPr>
                <w:spacing w:val="-2"/>
              </w:rPr>
              <w:t>40%.</w:t>
            </w:r>
            <w:r>
              <w:t xml:space="preserve"> </w:t>
            </w:r>
            <w:r>
              <w:rPr>
                <w:spacing w:val="-2"/>
              </w:rPr>
              <w:t>Over</w:t>
            </w:r>
            <w:r>
              <w:rPr>
                <w:spacing w:val="61"/>
              </w:rPr>
              <w:t xml:space="preserve"> </w:t>
            </w:r>
            <w:r>
              <w:rPr>
                <w:spacing w:val="-2"/>
              </w:rPr>
              <w:t>one</w:t>
            </w:r>
            <w:r>
              <w:rPr>
                <w:spacing w:val="40"/>
              </w:rPr>
              <w:t xml:space="preserve"> </w:t>
            </w:r>
            <w:r>
              <w:rPr>
                <w:spacing w:val="-2"/>
              </w:rPr>
              <w:t>week</w:t>
            </w:r>
            <w:r>
              <w:rPr>
                <w:spacing w:val="56"/>
              </w:rPr>
              <w:t xml:space="preserve"> </w:t>
            </w:r>
            <w:r>
              <w:rPr>
                <w:spacing w:val="-2"/>
              </w:rPr>
              <w:t>late,</w:t>
            </w:r>
            <w:r>
              <w:rPr>
                <w:spacing w:val="50"/>
              </w:rPr>
              <w:t xml:space="preserve"> </w:t>
            </w:r>
            <w:r>
              <w:rPr>
                <w:spacing w:val="-2"/>
              </w:rPr>
              <w:t xml:space="preserve">0%.   </w:t>
            </w:r>
            <w:proofErr w:type="gramStart"/>
            <w:r>
              <w:rPr>
                <w:spacing w:val="-2"/>
              </w:rPr>
              <w:t>Only  the</w:t>
            </w:r>
            <w:proofErr w:type="gramEnd"/>
            <w:r>
              <w:rPr>
                <w:spacing w:val="-2"/>
              </w:rPr>
              <w:t xml:space="preserve">  </w:t>
            </w:r>
            <w:proofErr w:type="gramStart"/>
            <w:r>
              <w:rPr>
                <w:spacing w:val="-2"/>
              </w:rPr>
              <w:t>Extenuating  Circumstances</w:t>
            </w:r>
            <w:proofErr w:type="gramEnd"/>
            <w:r>
              <w:rPr>
                <w:spacing w:val="56"/>
              </w:rPr>
              <w:t xml:space="preserve"> </w:t>
            </w:r>
            <w:r>
              <w:rPr>
                <w:spacing w:val="-2"/>
              </w:rPr>
              <w:t>Panel</w:t>
            </w:r>
            <w:r>
              <w:rPr>
                <w:spacing w:val="53"/>
              </w:rPr>
              <w:t xml:space="preserve"> </w:t>
            </w:r>
            <w:r>
              <w:rPr>
                <w:spacing w:val="-2"/>
              </w:rPr>
              <w:t>may</w:t>
            </w:r>
            <w:r>
              <w:t xml:space="preserve"> </w:t>
            </w:r>
            <w:r>
              <w:rPr>
                <w:spacing w:val="-1"/>
              </w:rPr>
              <w:t>approve a change to submission</w:t>
            </w:r>
            <w:r>
              <w:rPr>
                <w:spacing w:val="26"/>
                <w:w w:val="101"/>
              </w:rPr>
              <w:t xml:space="preserve"> </w:t>
            </w:r>
            <w:r>
              <w:rPr>
                <w:spacing w:val="-1"/>
              </w:rPr>
              <w:t>dates.</w:t>
            </w:r>
          </w:p>
        </w:tc>
      </w:tr>
      <w:tr w:rsidR="00D34D05" w14:paraId="678EE5EB" w14:textId="77777777" w:rsidTr="00770FFC">
        <w:trPr>
          <w:trHeight w:val="1262"/>
        </w:trPr>
        <w:tc>
          <w:tcPr>
            <w:tcW w:w="2099" w:type="dxa"/>
            <w:shd w:val="clear" w:color="auto" w:fill="D9D9D9"/>
          </w:tcPr>
          <w:p w14:paraId="64029F2F" w14:textId="77777777" w:rsidR="00D34D05" w:rsidRDefault="00D34D05" w:rsidP="00CD578F">
            <w:pPr>
              <w:pStyle w:val="TableText"/>
              <w:spacing w:before="168" w:line="194" w:lineRule="auto"/>
              <w:ind w:left="107"/>
              <w:jc w:val="center"/>
            </w:pPr>
            <w:r>
              <w:rPr>
                <w:b/>
                <w:bCs/>
                <w:spacing w:val="-1"/>
              </w:rPr>
              <w:lastRenderedPageBreak/>
              <w:t>Academic</w:t>
            </w:r>
          </w:p>
          <w:p w14:paraId="53A1CC67" w14:textId="77777777" w:rsidR="00D34D05" w:rsidRDefault="00D34D05" w:rsidP="00CD578F">
            <w:pPr>
              <w:pStyle w:val="TableText"/>
              <w:spacing w:before="46" w:line="197" w:lineRule="auto"/>
              <w:ind w:left="123"/>
              <w:jc w:val="center"/>
            </w:pPr>
            <w:r>
              <w:rPr>
                <w:b/>
                <w:bCs/>
                <w:spacing w:val="-2"/>
              </w:rPr>
              <w:t>honesty /</w:t>
            </w:r>
          </w:p>
          <w:p w14:paraId="012B6EB4" w14:textId="77777777" w:rsidR="00D34D05" w:rsidRDefault="00D34D05" w:rsidP="00CD578F">
            <w:pPr>
              <w:pStyle w:val="TableText"/>
              <w:spacing w:before="44" w:line="197" w:lineRule="auto"/>
              <w:ind w:left="122"/>
              <w:jc w:val="center"/>
            </w:pPr>
            <w:r>
              <w:rPr>
                <w:b/>
                <w:bCs/>
                <w:spacing w:val="-2"/>
              </w:rPr>
              <w:t>referencing:</w:t>
            </w:r>
          </w:p>
        </w:tc>
        <w:tc>
          <w:tcPr>
            <w:tcW w:w="7831" w:type="dxa"/>
            <w:gridSpan w:val="3"/>
          </w:tcPr>
          <w:p w14:paraId="7A42965A" w14:textId="77777777" w:rsidR="00D34D05" w:rsidRDefault="00D34D05" w:rsidP="00CD578F">
            <w:pPr>
              <w:pStyle w:val="TableText"/>
              <w:spacing w:before="166" w:line="230" w:lineRule="auto"/>
              <w:ind w:left="105" w:right="111" w:hanging="3"/>
              <w:jc w:val="center"/>
            </w:pPr>
            <w:r>
              <w:rPr>
                <w:spacing w:val="-1"/>
              </w:rPr>
              <w:t>Academic</w:t>
            </w:r>
            <w:r>
              <w:rPr>
                <w:spacing w:val="24"/>
                <w:w w:val="101"/>
              </w:rPr>
              <w:t xml:space="preserve"> </w:t>
            </w:r>
            <w:r>
              <w:rPr>
                <w:spacing w:val="-1"/>
              </w:rPr>
              <w:t>honesty</w:t>
            </w:r>
            <w:r>
              <w:rPr>
                <w:spacing w:val="23"/>
              </w:rPr>
              <w:t xml:space="preserve"> </w:t>
            </w:r>
            <w:r>
              <w:rPr>
                <w:spacing w:val="-1"/>
              </w:rPr>
              <w:t>is</w:t>
            </w:r>
            <w:r>
              <w:rPr>
                <w:spacing w:val="25"/>
              </w:rPr>
              <w:t xml:space="preserve"> </w:t>
            </w:r>
            <w:r>
              <w:rPr>
                <w:spacing w:val="-1"/>
              </w:rPr>
              <w:t>required.</w:t>
            </w:r>
            <w:r>
              <w:rPr>
                <w:spacing w:val="32"/>
              </w:rPr>
              <w:t xml:space="preserve"> </w:t>
            </w:r>
            <w:r>
              <w:rPr>
                <w:spacing w:val="-1"/>
              </w:rPr>
              <w:t>In the</w:t>
            </w:r>
            <w:r>
              <w:rPr>
                <w:spacing w:val="22"/>
              </w:rPr>
              <w:t xml:space="preserve"> </w:t>
            </w:r>
            <w:r>
              <w:rPr>
                <w:spacing w:val="-1"/>
              </w:rPr>
              <w:t>main</w:t>
            </w:r>
            <w:r>
              <w:rPr>
                <w:spacing w:val="24"/>
                <w:w w:val="101"/>
              </w:rPr>
              <w:t xml:space="preserve"> </w:t>
            </w:r>
            <w:r>
              <w:rPr>
                <w:spacing w:val="-1"/>
              </w:rPr>
              <w:t>body</w:t>
            </w:r>
            <w:r>
              <w:rPr>
                <w:spacing w:val="17"/>
                <w:w w:val="101"/>
              </w:rPr>
              <w:t xml:space="preserve"> </w:t>
            </w:r>
            <w:r>
              <w:rPr>
                <w:spacing w:val="-1"/>
              </w:rPr>
              <w:t>of you</w:t>
            </w:r>
            <w:r>
              <w:rPr>
                <w:spacing w:val="-2"/>
              </w:rPr>
              <w:t>r</w:t>
            </w:r>
            <w:r>
              <w:rPr>
                <w:spacing w:val="15"/>
              </w:rPr>
              <w:t xml:space="preserve"> </w:t>
            </w:r>
            <w:proofErr w:type="gramStart"/>
            <w:r>
              <w:rPr>
                <w:spacing w:val="-2"/>
              </w:rPr>
              <w:t>submission</w:t>
            </w:r>
            <w:proofErr w:type="gramEnd"/>
            <w:r>
              <w:rPr>
                <w:spacing w:val="-2"/>
              </w:rPr>
              <w:t xml:space="preserve"> you</w:t>
            </w:r>
            <w:r>
              <w:rPr>
                <w:spacing w:val="24"/>
                <w:w w:val="101"/>
              </w:rPr>
              <w:t xml:space="preserve"> </w:t>
            </w:r>
            <w:r>
              <w:rPr>
                <w:spacing w:val="-2"/>
              </w:rPr>
              <w:t>must</w:t>
            </w:r>
            <w:r>
              <w:t xml:space="preserve"> </w:t>
            </w:r>
            <w:r>
              <w:rPr>
                <w:spacing w:val="-1"/>
              </w:rPr>
              <w:t>give credit to auth</w:t>
            </w:r>
            <w:r>
              <w:rPr>
                <w:spacing w:val="-2"/>
              </w:rPr>
              <w:t>ors on</w:t>
            </w:r>
            <w:r>
              <w:rPr>
                <w:spacing w:val="-13"/>
              </w:rPr>
              <w:t xml:space="preserve"> </w:t>
            </w:r>
            <w:r>
              <w:rPr>
                <w:spacing w:val="-2"/>
              </w:rPr>
              <w:t>whose research and ideas your work is based. Append</w:t>
            </w:r>
            <w:r>
              <w:t xml:space="preserve"> </w:t>
            </w:r>
            <w:r>
              <w:rPr>
                <w:spacing w:val="-1"/>
              </w:rPr>
              <w:t>to</w:t>
            </w:r>
            <w:r>
              <w:rPr>
                <w:spacing w:val="19"/>
              </w:rPr>
              <w:t xml:space="preserve"> </w:t>
            </w:r>
            <w:r>
              <w:rPr>
                <w:spacing w:val="-1"/>
              </w:rPr>
              <w:t>your</w:t>
            </w:r>
            <w:r>
              <w:rPr>
                <w:spacing w:val="20"/>
              </w:rPr>
              <w:t xml:space="preserve"> </w:t>
            </w:r>
            <w:r>
              <w:rPr>
                <w:spacing w:val="-1"/>
              </w:rPr>
              <w:t>submission</w:t>
            </w:r>
            <w:r>
              <w:rPr>
                <w:spacing w:val="22"/>
                <w:w w:val="101"/>
              </w:rPr>
              <w:t xml:space="preserve"> </w:t>
            </w:r>
            <w:r>
              <w:rPr>
                <w:spacing w:val="-1"/>
              </w:rPr>
              <w:t>a</w:t>
            </w:r>
            <w:r>
              <w:rPr>
                <w:spacing w:val="27"/>
              </w:rPr>
              <w:t xml:space="preserve"> </w:t>
            </w:r>
            <w:r>
              <w:rPr>
                <w:spacing w:val="-1"/>
              </w:rPr>
              <w:t>reference</w:t>
            </w:r>
            <w:r>
              <w:rPr>
                <w:spacing w:val="29"/>
              </w:rPr>
              <w:t xml:space="preserve"> </w:t>
            </w:r>
            <w:r>
              <w:rPr>
                <w:spacing w:val="-1"/>
              </w:rPr>
              <w:t>list</w:t>
            </w:r>
            <w:r>
              <w:rPr>
                <w:spacing w:val="18"/>
              </w:rPr>
              <w:t xml:space="preserve"> </w:t>
            </w:r>
            <w:r>
              <w:rPr>
                <w:spacing w:val="-1"/>
              </w:rPr>
              <w:t>that</w:t>
            </w:r>
            <w:r>
              <w:rPr>
                <w:spacing w:val="28"/>
                <w:w w:val="101"/>
              </w:rPr>
              <w:t xml:space="preserve"> </w:t>
            </w:r>
            <w:r>
              <w:rPr>
                <w:spacing w:val="-1"/>
              </w:rPr>
              <w:t>i</w:t>
            </w:r>
            <w:r>
              <w:rPr>
                <w:spacing w:val="-2"/>
              </w:rPr>
              <w:t>ndicates</w:t>
            </w:r>
            <w:r>
              <w:rPr>
                <w:spacing w:val="17"/>
              </w:rPr>
              <w:t xml:space="preserve"> </w:t>
            </w:r>
            <w:r>
              <w:rPr>
                <w:spacing w:val="-2"/>
              </w:rPr>
              <w:t>the</w:t>
            </w:r>
            <w:r>
              <w:rPr>
                <w:spacing w:val="29"/>
                <w:w w:val="101"/>
              </w:rPr>
              <w:t xml:space="preserve"> </w:t>
            </w:r>
            <w:r>
              <w:rPr>
                <w:spacing w:val="-2"/>
              </w:rPr>
              <w:t>books,</w:t>
            </w:r>
            <w:r>
              <w:rPr>
                <w:spacing w:val="22"/>
              </w:rPr>
              <w:t xml:space="preserve"> </w:t>
            </w:r>
            <w:r>
              <w:rPr>
                <w:spacing w:val="-2"/>
              </w:rPr>
              <w:t>articles,</w:t>
            </w:r>
            <w:r>
              <w:rPr>
                <w:spacing w:val="24"/>
              </w:rPr>
              <w:t xml:space="preserve"> </w:t>
            </w:r>
            <w:r>
              <w:rPr>
                <w:spacing w:val="-2"/>
              </w:rPr>
              <w:t>etc.</w:t>
            </w:r>
            <w:r>
              <w:rPr>
                <w:spacing w:val="16"/>
              </w:rPr>
              <w:t xml:space="preserve"> </w:t>
            </w:r>
            <w:r>
              <w:rPr>
                <w:spacing w:val="-2"/>
              </w:rPr>
              <w:t>that</w:t>
            </w:r>
            <w:r>
              <w:t xml:space="preserve"> </w:t>
            </w:r>
            <w:r>
              <w:rPr>
                <w:spacing w:val="-1"/>
              </w:rPr>
              <w:t>you</w:t>
            </w:r>
            <w:r>
              <w:rPr>
                <w:spacing w:val="31"/>
              </w:rPr>
              <w:t xml:space="preserve"> </w:t>
            </w:r>
            <w:r>
              <w:rPr>
                <w:spacing w:val="-1"/>
              </w:rPr>
              <w:t>have</w:t>
            </w:r>
            <w:r>
              <w:rPr>
                <w:spacing w:val="15"/>
                <w:w w:val="101"/>
              </w:rPr>
              <w:t xml:space="preserve"> </w:t>
            </w:r>
            <w:r>
              <w:rPr>
                <w:spacing w:val="-1"/>
              </w:rPr>
              <w:t>used, cited or quoted</w:t>
            </w:r>
            <w:r>
              <w:rPr>
                <w:spacing w:val="15"/>
              </w:rPr>
              <w:t xml:space="preserve"> </w:t>
            </w:r>
            <w:proofErr w:type="gramStart"/>
            <w:r>
              <w:rPr>
                <w:spacing w:val="-1"/>
              </w:rPr>
              <w:t>in order to</w:t>
            </w:r>
            <w:proofErr w:type="gramEnd"/>
            <w:r>
              <w:rPr>
                <w:spacing w:val="-1"/>
              </w:rPr>
              <w:t xml:space="preserve"> complete this assessment.</w:t>
            </w:r>
          </w:p>
        </w:tc>
      </w:tr>
    </w:tbl>
    <w:p w14:paraId="70174B0D" w14:textId="77777777" w:rsidR="00D34D05" w:rsidRDefault="00D34D05" w:rsidP="00CD578F">
      <w:pPr>
        <w:spacing w:before="11"/>
        <w:jc w:val="center"/>
      </w:pPr>
    </w:p>
    <w:p w14:paraId="48A71407" w14:textId="77777777" w:rsidR="00D34D05" w:rsidRDefault="00D34D05" w:rsidP="00D34D05">
      <w:pPr>
        <w:spacing w:before="10"/>
      </w:pPr>
    </w:p>
    <w:tbl>
      <w:tblPr>
        <w:tblStyle w:val="TableNormal"/>
        <w:tblW w:w="9753" w:type="dxa"/>
        <w:tblInd w:w="35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753"/>
      </w:tblGrid>
      <w:tr w:rsidR="00D34D05" w14:paraId="520AAE95" w14:textId="77777777" w:rsidTr="00770FFC">
        <w:trPr>
          <w:trHeight w:val="514"/>
        </w:trPr>
        <w:tc>
          <w:tcPr>
            <w:tcW w:w="9753" w:type="dxa"/>
            <w:shd w:val="clear" w:color="auto" w:fill="E5E5E5"/>
          </w:tcPr>
          <w:p w14:paraId="4CB8365F" w14:textId="77777777" w:rsidR="00D34D05" w:rsidRDefault="00D34D05" w:rsidP="00770FFC">
            <w:pPr>
              <w:pStyle w:val="TableText"/>
              <w:spacing w:before="44" w:line="218" w:lineRule="auto"/>
              <w:ind w:left="119" w:right="6741" w:firstLine="4"/>
            </w:pPr>
            <w:r>
              <w:rPr>
                <w:b/>
                <w:bCs/>
                <w:spacing w:val="-2"/>
              </w:rPr>
              <w:t>Module</w:t>
            </w:r>
            <w:r>
              <w:rPr>
                <w:b/>
                <w:bCs/>
                <w:spacing w:val="31"/>
              </w:rPr>
              <w:t xml:space="preserve"> </w:t>
            </w:r>
            <w:r>
              <w:rPr>
                <w:b/>
                <w:bCs/>
                <w:spacing w:val="-2"/>
              </w:rPr>
              <w:t>Learning Outcomes</w:t>
            </w:r>
            <w:r>
              <w:rPr>
                <w:b/>
                <w:bCs/>
              </w:rPr>
              <w:t xml:space="preserve"> </w:t>
            </w:r>
            <w:r>
              <w:rPr>
                <w:b/>
                <w:bCs/>
                <w:spacing w:val="-1"/>
              </w:rPr>
              <w:t>(from module syllabus)</w:t>
            </w:r>
          </w:p>
        </w:tc>
      </w:tr>
      <w:tr w:rsidR="00D34D05" w14:paraId="2D82F1BF" w14:textId="77777777" w:rsidTr="00770FFC">
        <w:trPr>
          <w:trHeight w:val="1537"/>
        </w:trPr>
        <w:tc>
          <w:tcPr>
            <w:tcW w:w="9753" w:type="dxa"/>
          </w:tcPr>
          <w:p w14:paraId="7ED85C52" w14:textId="77777777" w:rsidR="00D34D05" w:rsidRDefault="00D34D05" w:rsidP="00770FFC">
            <w:pPr>
              <w:pStyle w:val="TableText"/>
              <w:spacing w:before="178" w:line="204" w:lineRule="auto"/>
              <w:ind w:left="1544" w:right="1866" w:hanging="561"/>
            </w:pPr>
            <w:r>
              <w:rPr>
                <w:rFonts w:ascii="微软雅黑" w:eastAsia="微软雅黑" w:hAnsi="微软雅黑" w:cs="微软雅黑"/>
                <w:spacing w:val="-1"/>
              </w:rPr>
              <w:t xml:space="preserve">●       </w:t>
            </w:r>
            <w:r>
              <w:rPr>
                <w:spacing w:val="-1"/>
              </w:rPr>
              <w:t>Demonstrate a systematic</w:t>
            </w:r>
            <w:r>
              <w:rPr>
                <w:spacing w:val="16"/>
              </w:rPr>
              <w:t xml:space="preserve"> </w:t>
            </w:r>
            <w:r>
              <w:rPr>
                <w:spacing w:val="-1"/>
              </w:rPr>
              <w:t>understanding,</w:t>
            </w:r>
            <w:r>
              <w:rPr>
                <w:spacing w:val="14"/>
              </w:rPr>
              <w:t xml:space="preserve"> </w:t>
            </w:r>
            <w:r>
              <w:rPr>
                <w:spacing w:val="-1"/>
              </w:rPr>
              <w:t>includ</w:t>
            </w:r>
            <w:r>
              <w:rPr>
                <w:spacing w:val="-2"/>
              </w:rPr>
              <w:t>ing</w:t>
            </w:r>
            <w:r>
              <w:rPr>
                <w:spacing w:val="8"/>
              </w:rPr>
              <w:t xml:space="preserve"> </w:t>
            </w:r>
            <w:r>
              <w:rPr>
                <w:spacing w:val="-2"/>
              </w:rPr>
              <w:t>acquisition</w:t>
            </w:r>
            <w:r>
              <w:rPr>
                <w:spacing w:val="8"/>
              </w:rPr>
              <w:t xml:space="preserve"> </w:t>
            </w:r>
            <w:r>
              <w:rPr>
                <w:spacing w:val="-2"/>
              </w:rPr>
              <w:t>of</w:t>
            </w:r>
            <w:r>
              <w:t xml:space="preserve"> coherent and detailed knowledge of intercultur</w:t>
            </w:r>
            <w:r>
              <w:rPr>
                <w:spacing w:val="-1"/>
              </w:rPr>
              <w:t>al</w:t>
            </w:r>
            <w:r>
              <w:rPr>
                <w:spacing w:val="9"/>
              </w:rPr>
              <w:t xml:space="preserve"> </w:t>
            </w:r>
            <w:r>
              <w:rPr>
                <w:spacing w:val="-1"/>
              </w:rPr>
              <w:t>communication</w:t>
            </w:r>
            <w:r>
              <w:t xml:space="preserve">   </w:t>
            </w:r>
            <w:r>
              <w:rPr>
                <w:spacing w:val="-1"/>
              </w:rPr>
              <w:t>theories</w:t>
            </w:r>
          </w:p>
          <w:p w14:paraId="4D5ABFF5" w14:textId="77777777" w:rsidR="00D34D05" w:rsidRDefault="00D34D05" w:rsidP="00770FFC">
            <w:pPr>
              <w:pStyle w:val="TableText"/>
              <w:spacing w:before="141" w:line="167" w:lineRule="auto"/>
              <w:ind w:left="981"/>
            </w:pPr>
            <w:r>
              <w:rPr>
                <w:rFonts w:ascii="微软雅黑" w:eastAsia="微软雅黑" w:hAnsi="微软雅黑" w:cs="微软雅黑"/>
                <w:spacing w:val="-1"/>
              </w:rPr>
              <w:t xml:space="preserve">●       </w:t>
            </w:r>
            <w:r>
              <w:rPr>
                <w:spacing w:val="-1"/>
              </w:rPr>
              <w:t>Evaluate and</w:t>
            </w:r>
            <w:r>
              <w:rPr>
                <w:spacing w:val="16"/>
              </w:rPr>
              <w:t xml:space="preserve"> </w:t>
            </w:r>
            <w:r>
              <w:rPr>
                <w:spacing w:val="-1"/>
              </w:rPr>
              <w:t>interpret divergent</w:t>
            </w:r>
            <w:r>
              <w:rPr>
                <w:spacing w:val="14"/>
              </w:rPr>
              <w:t xml:space="preserve"> </w:t>
            </w:r>
            <w:r>
              <w:rPr>
                <w:spacing w:val="-1"/>
              </w:rPr>
              <w:t>international</w:t>
            </w:r>
            <w:r>
              <w:rPr>
                <w:spacing w:val="9"/>
              </w:rPr>
              <w:t xml:space="preserve"> </w:t>
            </w:r>
            <w:r>
              <w:rPr>
                <w:spacing w:val="-1"/>
              </w:rPr>
              <w:t>c</w:t>
            </w:r>
            <w:r>
              <w:rPr>
                <w:spacing w:val="-2"/>
              </w:rPr>
              <w:t>ultures</w:t>
            </w:r>
            <w:r>
              <w:rPr>
                <w:spacing w:val="1"/>
              </w:rPr>
              <w:t xml:space="preserve"> </w:t>
            </w:r>
            <w:r>
              <w:rPr>
                <w:spacing w:val="-2"/>
              </w:rPr>
              <w:t>within</w:t>
            </w:r>
            <w:r>
              <w:rPr>
                <w:spacing w:val="11"/>
              </w:rPr>
              <w:t xml:space="preserve"> </w:t>
            </w:r>
            <w:r>
              <w:rPr>
                <w:spacing w:val="-2"/>
              </w:rPr>
              <w:t>business</w:t>
            </w:r>
          </w:p>
        </w:tc>
      </w:tr>
    </w:tbl>
    <w:p w14:paraId="36FAB9FB" w14:textId="77777777" w:rsidR="00D34D05" w:rsidRDefault="00D34D05">
      <w:pPr>
        <w:widowControl/>
        <w:rPr>
          <w:rFonts w:ascii="Times New Roman" w:hAnsi="Times New Roman" w:cs="Times New Roman"/>
          <w:b/>
          <w:bCs/>
          <w:sz w:val="28"/>
          <w:szCs w:val="28"/>
        </w:rPr>
      </w:pPr>
      <w:r>
        <w:rPr>
          <w:rFonts w:ascii="Times New Roman" w:hAnsi="Times New Roman" w:cs="Times New Roman"/>
          <w:b/>
          <w:bCs/>
          <w:sz w:val="28"/>
          <w:szCs w:val="28"/>
        </w:rPr>
        <w:br w:type="page"/>
      </w:r>
    </w:p>
    <w:p w14:paraId="4BA34E58" w14:textId="06EFC239" w:rsidR="006E415A" w:rsidRPr="00C240B7" w:rsidRDefault="004713D5" w:rsidP="00C240B7">
      <w:pPr>
        <w:spacing w:line="480" w:lineRule="auto"/>
        <w:rPr>
          <w:rFonts w:ascii="Times New Roman" w:hAnsi="Times New Roman" w:cs="Times New Roman"/>
          <w:b/>
          <w:bCs/>
          <w:sz w:val="28"/>
          <w:szCs w:val="28"/>
        </w:rPr>
      </w:pPr>
      <w:r w:rsidRPr="00C240B7">
        <w:rPr>
          <w:rFonts w:ascii="Times New Roman" w:hAnsi="Times New Roman" w:cs="Times New Roman"/>
          <w:b/>
          <w:bCs/>
          <w:sz w:val="28"/>
          <w:szCs w:val="28"/>
        </w:rPr>
        <w:lastRenderedPageBreak/>
        <w:t>Introduction</w:t>
      </w:r>
    </w:p>
    <w:p w14:paraId="766CFF01" w14:textId="29B5162D" w:rsidR="004713D5" w:rsidRPr="00C240B7" w:rsidRDefault="004713D5" w:rsidP="00C240B7">
      <w:pPr>
        <w:spacing w:line="480" w:lineRule="auto"/>
        <w:rPr>
          <w:rFonts w:ascii="Times New Roman" w:hAnsi="Times New Roman" w:cs="Times New Roman"/>
          <w:sz w:val="24"/>
        </w:rPr>
      </w:pPr>
      <w:r w:rsidRPr="00C240B7">
        <w:rPr>
          <w:rFonts w:ascii="Times New Roman" w:hAnsi="Times New Roman" w:cs="Times New Roman"/>
          <w:sz w:val="24"/>
        </w:rPr>
        <w:t xml:space="preserve">In the context of a highly interdependent global economy, cross-cultural communication has become an unavoidable core issue in international business </w:t>
      </w:r>
      <w:proofErr w:type="gramStart"/>
      <w:r w:rsidRPr="00C240B7">
        <w:rPr>
          <w:rFonts w:ascii="Times New Roman" w:hAnsi="Times New Roman" w:cs="Times New Roman"/>
          <w:sz w:val="24"/>
        </w:rPr>
        <w:t>activities</w:t>
      </w:r>
      <w:r w:rsidR="00CF6FDF" w:rsidRPr="00C240B7">
        <w:rPr>
          <w:rFonts w:ascii="Times New Roman" w:hAnsi="Times New Roman" w:cs="Times New Roman"/>
          <w:sz w:val="24"/>
        </w:rPr>
        <w:t>(</w:t>
      </w:r>
      <w:proofErr w:type="gramEnd"/>
      <w:r w:rsidR="00CF6FDF" w:rsidRPr="00C240B7">
        <w:rPr>
          <w:rFonts w:ascii="Times New Roman" w:hAnsi="Times New Roman" w:cs="Times New Roman"/>
          <w:sz w:val="24"/>
        </w:rPr>
        <w:t>Adler and Gundersen, 2008; Samovar et al., 2017)</w:t>
      </w:r>
      <w:r w:rsidRPr="00C240B7">
        <w:rPr>
          <w:rFonts w:ascii="Times New Roman" w:hAnsi="Times New Roman" w:cs="Times New Roman"/>
          <w:sz w:val="24"/>
        </w:rPr>
        <w:t xml:space="preserve">. The challenges faced by companies operating across borders are no longer limited to differences in market environments, legal systems, or competitive landscapes; deeper issues often stem from differences in cultural background and communication styles. </w:t>
      </w:r>
      <w:r w:rsidR="00FB3244" w:rsidRPr="00C240B7">
        <w:rPr>
          <w:rFonts w:ascii="Times New Roman" w:hAnsi="Times New Roman" w:cs="Times New Roman"/>
          <w:sz w:val="24"/>
        </w:rPr>
        <w:t>(</w:t>
      </w:r>
      <w:r w:rsidR="00FB3244" w:rsidRPr="00C240B7">
        <w:rPr>
          <w:rFonts w:ascii="Times New Roman" w:hAnsi="Times New Roman" w:cs="Times New Roman"/>
          <w:sz w:val="24"/>
        </w:rPr>
        <w:t xml:space="preserve">Adler and Gundersen, 2008; Samovar et al., </w:t>
      </w:r>
      <w:proofErr w:type="gramStart"/>
      <w:r w:rsidR="00FB3244" w:rsidRPr="00C240B7">
        <w:rPr>
          <w:rFonts w:ascii="Times New Roman" w:hAnsi="Times New Roman" w:cs="Times New Roman"/>
          <w:sz w:val="24"/>
        </w:rPr>
        <w:t>2017</w:t>
      </w:r>
      <w:r w:rsidR="00FB3244" w:rsidRPr="00C240B7">
        <w:rPr>
          <w:rFonts w:ascii="Times New Roman" w:hAnsi="Times New Roman" w:cs="Times New Roman"/>
          <w:sz w:val="24"/>
        </w:rPr>
        <w:t>)</w:t>
      </w:r>
      <w:r w:rsidRPr="00C240B7">
        <w:rPr>
          <w:rFonts w:ascii="Times New Roman" w:hAnsi="Times New Roman" w:cs="Times New Roman"/>
          <w:sz w:val="24"/>
        </w:rPr>
        <w:t>For</w:t>
      </w:r>
      <w:proofErr w:type="gramEnd"/>
      <w:r w:rsidRPr="00C240B7">
        <w:rPr>
          <w:rFonts w:ascii="Times New Roman" w:hAnsi="Times New Roman" w:cs="Times New Roman"/>
          <w:sz w:val="24"/>
        </w:rPr>
        <w:t xml:space="preserve"> British companies, Japan has long been considered a highly attractive yet highly complex business market. On the one hand, Japan boasts a stable economic system, mature business institutions, and a highly professional corporate culture; on the other hand, its unique social structure, value system, and communication patterns contrast sharply with the British business culture, known for its low-context, direct expression, and efficiency-oriented approach.</w:t>
      </w:r>
    </w:p>
    <w:p w14:paraId="4E7FD2EE" w14:textId="77777777" w:rsidR="004713D5" w:rsidRPr="00C240B7" w:rsidRDefault="004713D5" w:rsidP="00C240B7">
      <w:pPr>
        <w:spacing w:line="480" w:lineRule="auto"/>
        <w:rPr>
          <w:rFonts w:ascii="Times New Roman" w:hAnsi="Times New Roman" w:cs="Times New Roman"/>
          <w:sz w:val="24"/>
        </w:rPr>
      </w:pPr>
      <w:r w:rsidRPr="00C240B7">
        <w:rPr>
          <w:rFonts w:ascii="Times New Roman" w:hAnsi="Times New Roman" w:cs="Times New Roman"/>
          <w:sz w:val="24"/>
        </w:rPr>
        <w:t>In actual business cooperation, many British companies, despite thorough preparation in terms of strategic planning and resource investment, still encounter misunderstandings, communication barriers, and even stagnant partnerships with Japanese companies. These problems often do not stem from insufficient language skills or a lack of professional expertise, but rather from implicit conflicts arising from cultural differences. If these conflicts are not identified and reflected upon in a timely manner, they can often unconsciously erode the foundation of trust and increase the cost of cooperation. Against this backdrop, this paper uses the Gibbs reflection cycle as a theoretical framework to systematically reflect on the cross-</w:t>
      </w:r>
      <w:r w:rsidRPr="00C240B7">
        <w:rPr>
          <w:rFonts w:ascii="Times New Roman" w:hAnsi="Times New Roman" w:cs="Times New Roman"/>
          <w:sz w:val="24"/>
        </w:rPr>
        <w:lastRenderedPageBreak/>
        <w:t>cultural communication challenges faced by British companies in the Japanese business environment. It aims to deepen the understanding of the complexity of cross-cultural business communication through a combination of theory and practice, and to provide a more actionable cognitive foundation for future practices.</w:t>
      </w:r>
    </w:p>
    <w:p w14:paraId="18CBE12F" w14:textId="77777777" w:rsidR="004713D5" w:rsidRPr="00C240B7" w:rsidRDefault="004713D5" w:rsidP="00C240B7">
      <w:pPr>
        <w:spacing w:line="480" w:lineRule="auto"/>
        <w:rPr>
          <w:rFonts w:ascii="Times New Roman" w:hAnsi="Times New Roman" w:cs="Times New Roman"/>
          <w:sz w:val="24"/>
        </w:rPr>
      </w:pPr>
    </w:p>
    <w:p w14:paraId="672460C1" w14:textId="0B9E3E17" w:rsidR="006E415A" w:rsidRPr="00C240B7" w:rsidRDefault="004713D5" w:rsidP="00C240B7">
      <w:pPr>
        <w:spacing w:line="480" w:lineRule="auto"/>
        <w:rPr>
          <w:rFonts w:ascii="Times New Roman" w:hAnsi="Times New Roman" w:cs="Times New Roman"/>
          <w:b/>
          <w:bCs/>
          <w:sz w:val="28"/>
          <w:szCs w:val="28"/>
        </w:rPr>
      </w:pPr>
      <w:r w:rsidRPr="00C240B7">
        <w:rPr>
          <w:rFonts w:ascii="Times New Roman" w:hAnsi="Times New Roman" w:cs="Times New Roman"/>
          <w:b/>
          <w:bCs/>
          <w:sz w:val="28"/>
          <w:szCs w:val="28"/>
        </w:rPr>
        <w:t xml:space="preserve">Intercultural Business Communication </w:t>
      </w:r>
      <w:r w:rsidR="00C240B7" w:rsidRPr="00C240B7">
        <w:rPr>
          <w:rFonts w:ascii="Times New Roman" w:hAnsi="Times New Roman" w:cs="Times New Roman" w:hint="eastAsia"/>
          <w:b/>
          <w:bCs/>
          <w:sz w:val="28"/>
          <w:szCs w:val="28"/>
        </w:rPr>
        <w:t xml:space="preserve">background </w:t>
      </w:r>
      <w:r w:rsidRPr="00C240B7">
        <w:rPr>
          <w:rFonts w:ascii="Times New Roman" w:hAnsi="Times New Roman" w:cs="Times New Roman"/>
          <w:b/>
          <w:bCs/>
          <w:sz w:val="28"/>
          <w:szCs w:val="28"/>
        </w:rPr>
        <w:t>between the UK and Japan</w:t>
      </w:r>
    </w:p>
    <w:p w14:paraId="3EEB9CC7" w14:textId="2B6A57BF" w:rsidR="004713D5" w:rsidRPr="00C240B7" w:rsidRDefault="004713D5" w:rsidP="00C240B7">
      <w:pPr>
        <w:spacing w:line="480" w:lineRule="auto"/>
        <w:rPr>
          <w:rFonts w:ascii="Times New Roman" w:hAnsi="Times New Roman" w:cs="Times New Roman"/>
          <w:sz w:val="24"/>
        </w:rPr>
      </w:pPr>
      <w:r w:rsidRPr="00C240B7">
        <w:rPr>
          <w:rFonts w:ascii="Times New Roman" w:hAnsi="Times New Roman" w:cs="Times New Roman"/>
          <w:sz w:val="24"/>
        </w:rPr>
        <w:t>In business dealings between British and Japanese companies, communication differences are most concentrated in interactive scenarios related to meetings, negotiations, and decision-making. British business culture typically emphasizes directness, clarity, and time efficiency; meetings are seen as the core venue for clarifying positions, discussing differences, and quickly forming decisions. In this cultural context, openly expressing opinions, providing immediate feedback, and directly challenging viewpoints are seen as manifestations of professional competence and responsibility. British managers often expect to reach clear conclusions or at least a clear consensus on next steps by the end of a meeting.</w:t>
      </w:r>
    </w:p>
    <w:p w14:paraId="0D2CB78D" w14:textId="4B30D50E" w:rsidR="004713D5" w:rsidRPr="00C240B7" w:rsidRDefault="004713D5" w:rsidP="00C240B7">
      <w:pPr>
        <w:spacing w:line="480" w:lineRule="auto"/>
        <w:rPr>
          <w:rFonts w:ascii="Times New Roman" w:hAnsi="Times New Roman" w:cs="Times New Roman"/>
          <w:sz w:val="24"/>
        </w:rPr>
      </w:pPr>
      <w:r w:rsidRPr="00C240B7">
        <w:rPr>
          <w:rFonts w:ascii="Times New Roman" w:hAnsi="Times New Roman" w:cs="Times New Roman"/>
          <w:sz w:val="24"/>
        </w:rPr>
        <w:t xml:space="preserve">However, when this communication expectation is directly applied to the Japanese business environment, it often encounters a significant discrepancy. In Japanese companies, meetings serve more as a means of information sharing, confirming positions, and maintaining relationships, rather than making final decisions on the spot. Key decisions are typically made after meetings, through repeated internal </w:t>
      </w:r>
      <w:r w:rsidRPr="00C240B7">
        <w:rPr>
          <w:rFonts w:ascii="Times New Roman" w:hAnsi="Times New Roman" w:cs="Times New Roman"/>
          <w:sz w:val="24"/>
        </w:rPr>
        <w:lastRenderedPageBreak/>
        <w:t>discussions and hierarchical approvals. This process is widely regarded in Japan as a crucial mechanism for ensuring organizational consistency and mitigating risk. For British companies unfamiliar with this decision-making logic, the cautious attitude, implicit responses, and lack of clear conclusions displayed by Japanese teams in meetings are often misinterpreted as procrastination, hesitation, or a lack of enthusiasm for cooperation.</w:t>
      </w:r>
    </w:p>
    <w:p w14:paraId="078A5ACB" w14:textId="35EA5E61" w:rsidR="004713D5" w:rsidRPr="00C240B7" w:rsidRDefault="004713D5" w:rsidP="00C240B7">
      <w:pPr>
        <w:spacing w:line="480" w:lineRule="auto"/>
        <w:rPr>
          <w:rFonts w:ascii="Times New Roman" w:hAnsi="Times New Roman" w:cs="Times New Roman"/>
          <w:sz w:val="24"/>
        </w:rPr>
      </w:pPr>
      <w:r w:rsidRPr="00C240B7">
        <w:rPr>
          <w:rFonts w:ascii="Times New Roman" w:hAnsi="Times New Roman" w:cs="Times New Roman"/>
          <w:sz w:val="24"/>
        </w:rPr>
        <w:t xml:space="preserve">Negotiation and relationship building are also areas where cultural differences are highly apparent. British companies generally adopt a task-oriented negotiation approach, tending to get to the substantive issues early on, discussing contract terms, pricing structures, and timelines, and driving the negotiation process through logical reasoning and data support. In contrast, Japanese companies tend to view negotiation as part of building long-term relationships, investing significant time in mutual understanding, building trust, and assessing the sustainability of cooperation in the early stages. This difference often leads British companies to feel a mismatch in pace when interacting with Japanese companies, and even to doubt the other party's intentions for </w:t>
      </w:r>
      <w:proofErr w:type="gramStart"/>
      <w:r w:rsidRPr="00C240B7">
        <w:rPr>
          <w:rFonts w:ascii="Times New Roman" w:hAnsi="Times New Roman" w:cs="Times New Roman"/>
          <w:sz w:val="24"/>
        </w:rPr>
        <w:t>cooperation</w:t>
      </w:r>
      <w:r w:rsidR="00CF6FDF" w:rsidRPr="00C240B7">
        <w:rPr>
          <w:rFonts w:ascii="Times New Roman" w:hAnsi="Times New Roman" w:cs="Times New Roman"/>
          <w:sz w:val="24"/>
        </w:rPr>
        <w:t>(</w:t>
      </w:r>
      <w:proofErr w:type="gramEnd"/>
      <w:r w:rsidR="00CF6FDF" w:rsidRPr="00C240B7">
        <w:rPr>
          <w:rFonts w:ascii="Times New Roman" w:hAnsi="Times New Roman" w:cs="Times New Roman"/>
          <w:sz w:val="24"/>
        </w:rPr>
        <w:t>Trompenaars and Hampden-Turner, 2020; Lewis, 2006)</w:t>
      </w:r>
      <w:r w:rsidRPr="00C240B7">
        <w:rPr>
          <w:rFonts w:ascii="Times New Roman" w:hAnsi="Times New Roman" w:cs="Times New Roman"/>
          <w:sz w:val="24"/>
        </w:rPr>
        <w:t>.</w:t>
      </w:r>
    </w:p>
    <w:p w14:paraId="61C9C48F" w14:textId="77777777" w:rsidR="004713D5" w:rsidRPr="00C240B7" w:rsidRDefault="004713D5" w:rsidP="00C240B7">
      <w:pPr>
        <w:spacing w:line="480" w:lineRule="auto"/>
        <w:rPr>
          <w:rFonts w:ascii="Times New Roman" w:hAnsi="Times New Roman" w:cs="Times New Roman"/>
          <w:sz w:val="24"/>
        </w:rPr>
      </w:pPr>
    </w:p>
    <w:p w14:paraId="4D631AB9" w14:textId="591A3CEA" w:rsidR="00C240B7" w:rsidRPr="00C240B7" w:rsidRDefault="00C240B7" w:rsidP="00C240B7">
      <w:pPr>
        <w:spacing w:line="480" w:lineRule="auto"/>
        <w:rPr>
          <w:rFonts w:ascii="Times New Roman" w:hAnsi="Times New Roman" w:cs="Times New Roman"/>
          <w:b/>
          <w:bCs/>
          <w:sz w:val="28"/>
          <w:szCs w:val="28"/>
        </w:rPr>
      </w:pPr>
      <w:r w:rsidRPr="00C240B7">
        <w:rPr>
          <w:rFonts w:ascii="Times New Roman" w:hAnsi="Times New Roman" w:cs="Times New Roman"/>
          <w:b/>
          <w:bCs/>
          <w:sz w:val="28"/>
          <w:szCs w:val="28"/>
        </w:rPr>
        <w:t xml:space="preserve">Reflections on </w:t>
      </w:r>
      <w:r w:rsidRPr="00C240B7">
        <w:rPr>
          <w:rFonts w:ascii="Times New Roman" w:hAnsi="Times New Roman" w:cs="Times New Roman" w:hint="eastAsia"/>
          <w:b/>
          <w:bCs/>
          <w:sz w:val="28"/>
          <w:szCs w:val="28"/>
        </w:rPr>
        <w:t>m</w:t>
      </w:r>
      <w:r w:rsidRPr="00C240B7">
        <w:rPr>
          <w:rFonts w:ascii="Times New Roman" w:hAnsi="Times New Roman" w:cs="Times New Roman"/>
          <w:b/>
          <w:bCs/>
          <w:sz w:val="28"/>
          <w:szCs w:val="28"/>
        </w:rPr>
        <w:t xml:space="preserve">y </w:t>
      </w:r>
      <w:r w:rsidRPr="00C240B7">
        <w:rPr>
          <w:rFonts w:ascii="Times New Roman" w:hAnsi="Times New Roman" w:cs="Times New Roman" w:hint="eastAsia"/>
          <w:b/>
          <w:bCs/>
          <w:sz w:val="28"/>
          <w:szCs w:val="28"/>
        </w:rPr>
        <w:t>i</w:t>
      </w:r>
      <w:r w:rsidRPr="00C240B7">
        <w:rPr>
          <w:rFonts w:ascii="Times New Roman" w:hAnsi="Times New Roman" w:cs="Times New Roman"/>
          <w:b/>
          <w:bCs/>
          <w:sz w:val="28"/>
          <w:szCs w:val="28"/>
        </w:rPr>
        <w:t xml:space="preserve">nitial </w:t>
      </w:r>
      <w:r w:rsidRPr="00C240B7">
        <w:rPr>
          <w:rFonts w:ascii="Times New Roman" w:hAnsi="Times New Roman" w:cs="Times New Roman" w:hint="eastAsia"/>
          <w:b/>
          <w:bCs/>
          <w:sz w:val="28"/>
          <w:szCs w:val="28"/>
        </w:rPr>
        <w:t>r</w:t>
      </w:r>
      <w:r w:rsidRPr="00C240B7">
        <w:rPr>
          <w:rFonts w:ascii="Times New Roman" w:hAnsi="Times New Roman" w:cs="Times New Roman"/>
          <w:b/>
          <w:bCs/>
          <w:sz w:val="28"/>
          <w:szCs w:val="28"/>
        </w:rPr>
        <w:t>eactions</w:t>
      </w:r>
    </w:p>
    <w:p w14:paraId="64B7DFDF" w14:textId="63E46E2A" w:rsidR="004713D5" w:rsidRPr="00C240B7" w:rsidRDefault="004713D5" w:rsidP="00C240B7">
      <w:pPr>
        <w:spacing w:line="480" w:lineRule="auto"/>
        <w:rPr>
          <w:rFonts w:ascii="Times New Roman" w:hAnsi="Times New Roman" w:cs="Times New Roman"/>
          <w:sz w:val="24"/>
        </w:rPr>
      </w:pPr>
      <w:r w:rsidRPr="00C240B7">
        <w:rPr>
          <w:rFonts w:ascii="Times New Roman" w:hAnsi="Times New Roman" w:cs="Times New Roman"/>
          <w:sz w:val="24"/>
        </w:rPr>
        <w:t xml:space="preserve">In experiencing or analyzing the above cross-cultural business communication scenarios, my initial reactions were often accompanied by unease and confusion. I easily become anxious when faced with prolonged silences or ambiguous responses </w:t>
      </w:r>
      <w:r w:rsidRPr="00C240B7">
        <w:rPr>
          <w:rFonts w:ascii="Times New Roman" w:hAnsi="Times New Roman" w:cs="Times New Roman"/>
          <w:sz w:val="24"/>
        </w:rPr>
        <w:lastRenderedPageBreak/>
        <w:t xml:space="preserve">during communication, tending to interpret them as negative signals. In British communication culture, silence is often seen as a lack of preparation, interest, or communication breakdown, thus raising concerns about the effectiveness of the communication. Similarly, the indirect approach used by Japanese businesspeople when expressing differing opinions initially made it difficult for me to determine their true </w:t>
      </w:r>
      <w:proofErr w:type="gramStart"/>
      <w:r w:rsidRPr="00C240B7">
        <w:rPr>
          <w:rFonts w:ascii="Times New Roman" w:hAnsi="Times New Roman" w:cs="Times New Roman"/>
          <w:sz w:val="24"/>
        </w:rPr>
        <w:t>stance</w:t>
      </w:r>
      <w:r w:rsidR="00CF6FDF" w:rsidRPr="00C240B7">
        <w:rPr>
          <w:rFonts w:ascii="Times New Roman" w:hAnsi="Times New Roman" w:cs="Times New Roman"/>
          <w:sz w:val="24"/>
        </w:rPr>
        <w:t>(</w:t>
      </w:r>
      <w:proofErr w:type="gramEnd"/>
      <w:r w:rsidR="00CF6FDF" w:rsidRPr="00C240B7">
        <w:rPr>
          <w:rFonts w:ascii="Times New Roman" w:hAnsi="Times New Roman" w:cs="Times New Roman"/>
          <w:sz w:val="24"/>
        </w:rPr>
        <w:t>Hall, 1976)</w:t>
      </w:r>
      <w:r w:rsidRPr="00C240B7">
        <w:rPr>
          <w:rFonts w:ascii="Times New Roman" w:hAnsi="Times New Roman" w:cs="Times New Roman"/>
          <w:sz w:val="24"/>
        </w:rPr>
        <w:t>.</w:t>
      </w:r>
    </w:p>
    <w:p w14:paraId="1070ECB6" w14:textId="028DB619" w:rsidR="004713D5" w:rsidRPr="00C240B7" w:rsidRDefault="004713D5" w:rsidP="00C240B7">
      <w:pPr>
        <w:spacing w:line="480" w:lineRule="auto"/>
        <w:rPr>
          <w:rFonts w:ascii="Times New Roman" w:hAnsi="Times New Roman" w:cs="Times New Roman"/>
          <w:sz w:val="24"/>
        </w:rPr>
      </w:pPr>
      <w:r w:rsidRPr="00C240B7">
        <w:rPr>
          <w:rFonts w:ascii="Times New Roman" w:hAnsi="Times New Roman" w:cs="Times New Roman"/>
          <w:sz w:val="24"/>
        </w:rPr>
        <w:t>However, as I reflected more deeply on these experiences, I began to realize the cultural biases inherent in my own reactions. Unconsciously, I viewed the British low-context communication style as a standard of "efficiency" and "rationality," judging the communication behavior of Japanese companies accordingly. This judgment based on my own culture caused me to overlook the cultural rationale behind Japanese business communication. In fact, in Japanese culture, silence is often a highly accepted communication strategy, symbolizing respect for others' viewpoints and providing necessary space for collective thinking. Similarly, indirect language is not about deliberately avoiding issues, but rather a way of conveying information while avoiding direct conflict and maintaining organizational harmony.</w:t>
      </w:r>
    </w:p>
    <w:p w14:paraId="5735C613" w14:textId="77777777" w:rsidR="004713D5" w:rsidRPr="00C240B7" w:rsidRDefault="004713D5" w:rsidP="00C240B7">
      <w:pPr>
        <w:spacing w:line="480" w:lineRule="auto"/>
        <w:rPr>
          <w:rFonts w:ascii="Times New Roman" w:hAnsi="Times New Roman" w:cs="Times New Roman"/>
          <w:sz w:val="24"/>
        </w:rPr>
      </w:pPr>
      <w:r w:rsidRPr="00C240B7">
        <w:rPr>
          <w:rFonts w:ascii="Times New Roman" w:hAnsi="Times New Roman" w:cs="Times New Roman"/>
          <w:sz w:val="24"/>
        </w:rPr>
        <w:t xml:space="preserve">Through this period of reflection, I gradually realized that the difficulties in cross-cultural business communication largely stem not from the other party's behavior itself, but from the different understandings of "normal communication methods" between the communicating parties. Without a conscious awareness of this difference, British companies, when collaborating with Japanese companies, are highly susceptible to misunderstanding communication signals, leading to unnecessary </w:t>
      </w:r>
      <w:r w:rsidRPr="00C240B7">
        <w:rPr>
          <w:rFonts w:ascii="Times New Roman" w:hAnsi="Times New Roman" w:cs="Times New Roman"/>
          <w:sz w:val="24"/>
        </w:rPr>
        <w:lastRenderedPageBreak/>
        <w:t>psychological pressure and affecting the stability of the partnership. This realization laid the foundation for subsequent in-depth analysis and strategic evaluation.</w:t>
      </w:r>
    </w:p>
    <w:p w14:paraId="44FCBD70" w14:textId="77777777" w:rsidR="004713D5" w:rsidRPr="00C240B7" w:rsidRDefault="004713D5" w:rsidP="00C240B7">
      <w:pPr>
        <w:spacing w:line="480" w:lineRule="auto"/>
        <w:rPr>
          <w:rFonts w:ascii="Times New Roman" w:hAnsi="Times New Roman" w:cs="Times New Roman"/>
          <w:sz w:val="24"/>
        </w:rPr>
      </w:pPr>
    </w:p>
    <w:p w14:paraId="5E293D0C" w14:textId="77777777" w:rsidR="00D34D05" w:rsidRDefault="00D34D05" w:rsidP="00C240B7">
      <w:pPr>
        <w:spacing w:line="480" w:lineRule="auto"/>
        <w:rPr>
          <w:rFonts w:ascii="Times New Roman" w:hAnsi="Times New Roman" w:cs="Times New Roman"/>
          <w:b/>
          <w:bCs/>
          <w:sz w:val="28"/>
          <w:szCs w:val="28"/>
        </w:rPr>
      </w:pPr>
      <w:r w:rsidRPr="00D34D05">
        <w:rPr>
          <w:rFonts w:ascii="Times New Roman" w:hAnsi="Times New Roman" w:cs="Times New Roman"/>
          <w:b/>
          <w:bCs/>
          <w:sz w:val="28"/>
          <w:szCs w:val="28"/>
        </w:rPr>
        <w:t>Reflecting on Cultural Differences in Communication</w:t>
      </w:r>
    </w:p>
    <w:p w14:paraId="21F5742E" w14:textId="11FE26F5" w:rsidR="004713D5" w:rsidRPr="00C240B7" w:rsidRDefault="004713D5" w:rsidP="00C240B7">
      <w:pPr>
        <w:spacing w:line="480" w:lineRule="auto"/>
        <w:rPr>
          <w:rFonts w:ascii="Times New Roman" w:hAnsi="Times New Roman" w:cs="Times New Roman"/>
          <w:sz w:val="24"/>
        </w:rPr>
      </w:pPr>
      <w:r w:rsidRPr="00C240B7">
        <w:rPr>
          <w:rFonts w:ascii="Times New Roman" w:hAnsi="Times New Roman" w:cs="Times New Roman"/>
          <w:sz w:val="24"/>
        </w:rPr>
        <w:t xml:space="preserve">Further reflection on British and Japanese business communication practices revealed that personal experience alone cannot fully explain the underlying causes of communication difficulties. Therefore, </w:t>
      </w:r>
      <w:proofErr w:type="gramStart"/>
      <w:r w:rsidRPr="00C240B7">
        <w:rPr>
          <w:rFonts w:ascii="Times New Roman" w:hAnsi="Times New Roman" w:cs="Times New Roman"/>
          <w:sz w:val="24"/>
        </w:rPr>
        <w:t>a systematic</w:t>
      </w:r>
      <w:proofErr w:type="gramEnd"/>
      <w:r w:rsidRPr="00C240B7">
        <w:rPr>
          <w:rFonts w:ascii="Times New Roman" w:hAnsi="Times New Roman" w:cs="Times New Roman"/>
          <w:sz w:val="24"/>
        </w:rPr>
        <w:t xml:space="preserve"> analysis using cross-cultural communication theory is necessary. Firstly, Hall's high-context and low-context theory provides an important perspective for understanding the differences in </w:t>
      </w:r>
      <w:proofErr w:type="gramStart"/>
      <w:r w:rsidRPr="00C240B7">
        <w:rPr>
          <w:rFonts w:ascii="Times New Roman" w:hAnsi="Times New Roman" w:cs="Times New Roman"/>
          <w:sz w:val="24"/>
        </w:rPr>
        <w:t>British-Japanese</w:t>
      </w:r>
      <w:proofErr w:type="gramEnd"/>
      <w:r w:rsidRPr="00C240B7">
        <w:rPr>
          <w:rFonts w:ascii="Times New Roman" w:hAnsi="Times New Roman" w:cs="Times New Roman"/>
          <w:sz w:val="24"/>
        </w:rPr>
        <w:t xml:space="preserve"> </w:t>
      </w:r>
      <w:proofErr w:type="gramStart"/>
      <w:r w:rsidRPr="00C240B7">
        <w:rPr>
          <w:rFonts w:ascii="Times New Roman" w:hAnsi="Times New Roman" w:cs="Times New Roman"/>
          <w:sz w:val="24"/>
        </w:rPr>
        <w:t>communication</w:t>
      </w:r>
      <w:r w:rsidR="00E11D6D" w:rsidRPr="00C240B7">
        <w:rPr>
          <w:rFonts w:ascii="Times New Roman" w:hAnsi="Times New Roman" w:cs="Times New Roman"/>
          <w:sz w:val="24"/>
        </w:rPr>
        <w:t>(</w:t>
      </w:r>
      <w:proofErr w:type="gramEnd"/>
      <w:r w:rsidR="00E11D6D" w:rsidRPr="00C240B7">
        <w:rPr>
          <w:rFonts w:ascii="Times New Roman" w:hAnsi="Times New Roman" w:cs="Times New Roman"/>
          <w:sz w:val="24"/>
        </w:rPr>
        <w:t>Hall,</w:t>
      </w:r>
      <w:r w:rsidR="00C240B7">
        <w:rPr>
          <w:rFonts w:ascii="Times New Roman" w:hAnsi="Times New Roman" w:cs="Times New Roman" w:hint="eastAsia"/>
          <w:sz w:val="24"/>
        </w:rPr>
        <w:t xml:space="preserve"> </w:t>
      </w:r>
      <w:r w:rsidR="00E11D6D" w:rsidRPr="00C240B7">
        <w:rPr>
          <w:rFonts w:ascii="Times New Roman" w:hAnsi="Times New Roman" w:cs="Times New Roman"/>
          <w:sz w:val="24"/>
        </w:rPr>
        <w:t>1976)</w:t>
      </w:r>
      <w:r w:rsidRPr="00C240B7">
        <w:rPr>
          <w:rFonts w:ascii="Times New Roman" w:hAnsi="Times New Roman" w:cs="Times New Roman"/>
          <w:sz w:val="24"/>
        </w:rPr>
        <w:t>. Within this theoretical framework, Japan is generally considered a typical high-context culture, where information transmission heavily relies on context, relational background, and non-verbal cues, while language itself often possesses ambiguity and multiple meanings. In contrast, the British are considered a low-context culture, emphasizing clarity, directness, and explicit information delivery. This fundamental difference means that the same expression can be given completely different meanings in the two cultures, thus sowing the seeds of misunderstanding.</w:t>
      </w:r>
    </w:p>
    <w:p w14:paraId="48A23224" w14:textId="51258CA8" w:rsidR="004713D5" w:rsidRPr="00C240B7" w:rsidRDefault="004713D5" w:rsidP="00C240B7">
      <w:pPr>
        <w:spacing w:line="480" w:lineRule="auto"/>
        <w:rPr>
          <w:rFonts w:ascii="Times New Roman" w:hAnsi="Times New Roman" w:cs="Times New Roman"/>
          <w:sz w:val="24"/>
        </w:rPr>
      </w:pPr>
      <w:r w:rsidRPr="00C240B7">
        <w:rPr>
          <w:rFonts w:ascii="Times New Roman" w:hAnsi="Times New Roman" w:cs="Times New Roman"/>
          <w:sz w:val="24"/>
        </w:rPr>
        <w:t xml:space="preserve">In Japanese business communication, expressions such as "We need to discuss this further" or "It's quite difficult at the moment" are often not simply statements of information, but rather subtle hints of a cooperative </w:t>
      </w:r>
      <w:proofErr w:type="gramStart"/>
      <w:r w:rsidRPr="00C240B7">
        <w:rPr>
          <w:rFonts w:ascii="Times New Roman" w:hAnsi="Times New Roman" w:cs="Times New Roman"/>
          <w:sz w:val="24"/>
        </w:rPr>
        <w:t>attitude</w:t>
      </w:r>
      <w:r w:rsidR="00E11D6D" w:rsidRPr="00C240B7">
        <w:rPr>
          <w:rFonts w:ascii="Times New Roman" w:hAnsi="Times New Roman" w:cs="Times New Roman"/>
          <w:sz w:val="24"/>
        </w:rPr>
        <w:t>(</w:t>
      </w:r>
      <w:proofErr w:type="gramEnd"/>
      <w:r w:rsidR="00E11D6D" w:rsidRPr="00C240B7">
        <w:rPr>
          <w:rFonts w:ascii="Times New Roman" w:hAnsi="Times New Roman" w:cs="Times New Roman"/>
          <w:sz w:val="24"/>
        </w:rPr>
        <w:t>Hofstede et al.,2004)</w:t>
      </w:r>
      <w:r w:rsidRPr="00C240B7">
        <w:rPr>
          <w:rFonts w:ascii="Times New Roman" w:hAnsi="Times New Roman" w:cs="Times New Roman"/>
          <w:sz w:val="24"/>
        </w:rPr>
        <w:t xml:space="preserve">. Such expressions are widely accepted in high-context cultures, aiming to convey </w:t>
      </w:r>
      <w:r w:rsidRPr="00C240B7">
        <w:rPr>
          <w:rFonts w:ascii="Times New Roman" w:hAnsi="Times New Roman" w:cs="Times New Roman"/>
          <w:sz w:val="24"/>
        </w:rPr>
        <w:lastRenderedPageBreak/>
        <w:t>negativity or reservations without disrupting harmonious relationships. However, under the influence of a low-context culture, British companies tend to interpret such expressions as incomplete procedural steps, or even as potential positive feedback. This misalignment in contextual understanding is the starting point for many cross-cultural communication failures.</w:t>
      </w:r>
    </w:p>
    <w:p w14:paraId="39DA95F5" w14:textId="77AD5F14" w:rsidR="004713D5" w:rsidRPr="00C240B7" w:rsidRDefault="004713D5" w:rsidP="00C240B7">
      <w:pPr>
        <w:spacing w:line="480" w:lineRule="auto"/>
        <w:rPr>
          <w:rFonts w:ascii="Times New Roman" w:hAnsi="Times New Roman" w:cs="Times New Roman"/>
          <w:sz w:val="24"/>
        </w:rPr>
      </w:pPr>
      <w:r w:rsidRPr="00C240B7">
        <w:rPr>
          <w:rFonts w:ascii="Times New Roman" w:hAnsi="Times New Roman" w:cs="Times New Roman"/>
          <w:sz w:val="24"/>
        </w:rPr>
        <w:t>Further analyzing the differences at the level of cultural values, Hofstede's theory of cultural dimensions provides a more structural explanation. Japan's high score on the uncertainty aversion dimension reflects its society and organizations' high regard for risk control, rule adherence, and procedural legitimacy. This cultural tendency makes Japanese companies more inclined to repeatedly assess various possibilities in the decision-making process and reduce uncertainty through internal consensus. In contrast, British culture scores relatively low on this dimension, encouraging flexibility and a spirit of trial and error. This makes British companies prone to misinterpreting the cautious and slow decision-making style of Japanese companies as inefficiency or even a lack of innovation.</w:t>
      </w:r>
    </w:p>
    <w:p w14:paraId="4F95F87C" w14:textId="721DAE1C" w:rsidR="004713D5" w:rsidRPr="00C240B7" w:rsidRDefault="004713D5" w:rsidP="00C240B7">
      <w:pPr>
        <w:spacing w:line="480" w:lineRule="auto"/>
        <w:rPr>
          <w:rFonts w:ascii="Times New Roman" w:hAnsi="Times New Roman" w:cs="Times New Roman"/>
          <w:sz w:val="24"/>
        </w:rPr>
      </w:pPr>
      <w:r w:rsidRPr="00C240B7">
        <w:rPr>
          <w:rFonts w:ascii="Times New Roman" w:hAnsi="Times New Roman" w:cs="Times New Roman"/>
          <w:sz w:val="24"/>
        </w:rPr>
        <w:t xml:space="preserve">Furthermore, Japan's relatively </w:t>
      </w:r>
      <w:proofErr w:type="gramStart"/>
      <w:r w:rsidRPr="00C240B7">
        <w:rPr>
          <w:rFonts w:ascii="Times New Roman" w:hAnsi="Times New Roman" w:cs="Times New Roman"/>
          <w:sz w:val="24"/>
        </w:rPr>
        <w:t>high power</w:t>
      </w:r>
      <w:proofErr w:type="gramEnd"/>
      <w:r w:rsidRPr="00C240B7">
        <w:rPr>
          <w:rFonts w:ascii="Times New Roman" w:hAnsi="Times New Roman" w:cs="Times New Roman"/>
          <w:sz w:val="24"/>
        </w:rPr>
        <w:t xml:space="preserve"> distance also significantly impacts business communication. In Japanese companies, organizational hierarchy still largely influences communication styles, and subordinates expressing opinions differing from their superiors in public is often considered </w:t>
      </w:r>
      <w:proofErr w:type="gramStart"/>
      <w:r w:rsidRPr="00C240B7">
        <w:rPr>
          <w:rFonts w:ascii="Times New Roman" w:hAnsi="Times New Roman" w:cs="Times New Roman"/>
          <w:sz w:val="24"/>
        </w:rPr>
        <w:t>inappropriate</w:t>
      </w:r>
      <w:r w:rsidR="00E11D6D" w:rsidRPr="00C240B7">
        <w:rPr>
          <w:rFonts w:ascii="Times New Roman" w:hAnsi="Times New Roman" w:cs="Times New Roman"/>
          <w:sz w:val="24"/>
        </w:rPr>
        <w:t>(</w:t>
      </w:r>
      <w:proofErr w:type="gramEnd"/>
      <w:r w:rsidR="00E11D6D" w:rsidRPr="00C240B7">
        <w:rPr>
          <w:rFonts w:ascii="Times New Roman" w:hAnsi="Times New Roman" w:cs="Times New Roman"/>
          <w:sz w:val="24"/>
        </w:rPr>
        <w:t>Hofstede,1980; House et al.,2004)</w:t>
      </w:r>
      <w:r w:rsidRPr="00C240B7">
        <w:rPr>
          <w:rFonts w:ascii="Times New Roman" w:hAnsi="Times New Roman" w:cs="Times New Roman"/>
          <w:sz w:val="24"/>
        </w:rPr>
        <w:t xml:space="preserve">. This cultural characteristic reinforces a facade of consensus in meetings but does not necessarily imply a unified understanding of true opinions. If British companies fail to recognize this, they often overestimate the degree of apparent </w:t>
      </w:r>
      <w:r w:rsidRPr="00C240B7">
        <w:rPr>
          <w:rFonts w:ascii="Times New Roman" w:hAnsi="Times New Roman" w:cs="Times New Roman"/>
          <w:sz w:val="24"/>
        </w:rPr>
        <w:lastRenderedPageBreak/>
        <w:t>consensus, leading to surprise and disappointment in subsequent collaborations. Meanwhile, the collectivist tendencies in Japanese culture emphasize group interests and organizational harmony, while the British emphasize individual responsibility and autonomous decision-making. This difference can also easily cause communication friction in cross-cultural teamwork.</w:t>
      </w:r>
    </w:p>
    <w:p w14:paraId="08751327" w14:textId="0E6C76FE" w:rsidR="00EF3B73" w:rsidRPr="00C240B7" w:rsidRDefault="004713D5" w:rsidP="00C240B7">
      <w:pPr>
        <w:spacing w:line="480" w:lineRule="auto"/>
        <w:rPr>
          <w:rFonts w:ascii="Times New Roman" w:hAnsi="Times New Roman" w:cs="Times New Roman"/>
          <w:sz w:val="24"/>
        </w:rPr>
      </w:pPr>
      <w:r w:rsidRPr="00C240B7">
        <w:rPr>
          <w:rFonts w:ascii="Times New Roman" w:hAnsi="Times New Roman" w:cs="Times New Roman"/>
          <w:sz w:val="24"/>
        </w:rPr>
        <w:t xml:space="preserve">Based on Trompenaars' cultural model, we can further understand the different priorities of British and Japanese companies in the early stages of cooperation. Japan tends towards a particularist culture, highly valuing specific relationships, situational factors, and long-term mutual trust in business activities, while the British are closer to a universalist culture, emphasizing the universal applicability of rules, systems, and contractual </w:t>
      </w:r>
      <w:proofErr w:type="gramStart"/>
      <w:r w:rsidRPr="00C240B7">
        <w:rPr>
          <w:rFonts w:ascii="Times New Roman" w:hAnsi="Times New Roman" w:cs="Times New Roman"/>
          <w:sz w:val="24"/>
        </w:rPr>
        <w:t>terms</w:t>
      </w:r>
      <w:r w:rsidR="00E11D6D" w:rsidRPr="00C240B7">
        <w:rPr>
          <w:rFonts w:ascii="Times New Roman" w:hAnsi="Times New Roman" w:cs="Times New Roman"/>
          <w:sz w:val="24"/>
        </w:rPr>
        <w:t>(</w:t>
      </w:r>
      <w:proofErr w:type="gramEnd"/>
      <w:r w:rsidR="00E11D6D" w:rsidRPr="00C240B7">
        <w:rPr>
          <w:rFonts w:ascii="Times New Roman" w:hAnsi="Times New Roman" w:cs="Times New Roman"/>
          <w:sz w:val="24"/>
        </w:rPr>
        <w:t>Trompenaars and Hampden-Turner, 2012)</w:t>
      </w:r>
      <w:r w:rsidRPr="00C240B7">
        <w:rPr>
          <w:rFonts w:ascii="Times New Roman" w:hAnsi="Times New Roman" w:cs="Times New Roman"/>
          <w:sz w:val="24"/>
        </w:rPr>
        <w:t>. This difference leads British companies to focus too much on legal documents and explicit commitments in the early stages of cooperation, while Japanese companies focus more on establishing a sufficiently solid foundation for the relationship. In this process, if British companies fail to recognize the central role of relationships in Japanese business culture, their communication style may be interpreted as indifference or a lack of sincerity for long-term cooperation.</w:t>
      </w:r>
    </w:p>
    <w:p w14:paraId="360A0D5A" w14:textId="540043C8" w:rsidR="000660F6" w:rsidRPr="00C240B7" w:rsidRDefault="000660F6" w:rsidP="00C240B7">
      <w:pPr>
        <w:spacing w:line="480" w:lineRule="auto"/>
        <w:rPr>
          <w:rFonts w:ascii="Times New Roman" w:hAnsi="Times New Roman" w:cs="Times New Roman"/>
          <w:sz w:val="24"/>
        </w:rPr>
      </w:pPr>
      <w:r w:rsidRPr="00C240B7">
        <w:rPr>
          <w:rFonts w:ascii="Times New Roman" w:hAnsi="Times New Roman" w:cs="Times New Roman"/>
          <w:sz w:val="24"/>
        </w:rPr>
        <w:t xml:space="preserve">In further reflecting on the differences in business communication between the UK and Japan, I gradually realized that, in addition to the macro-cultural dimension, differences in time perception and trust-building methods are also important factors affecting communication effectiveness. In British business culture, time is usually seen as a resource that can be precisely planned and managed; efficiency and progress </w:t>
      </w:r>
      <w:r w:rsidRPr="00C240B7">
        <w:rPr>
          <w:rFonts w:ascii="Times New Roman" w:hAnsi="Times New Roman" w:cs="Times New Roman"/>
          <w:sz w:val="24"/>
        </w:rPr>
        <w:lastRenderedPageBreak/>
        <w:t xml:space="preserve">are highly valued, and delays are often interpreted as mismanagement or a lack of commitment. However, in Japanese business culture, time is more often seen as a tool serving relationships and processes. Japanese companies generally believe that actions only have real value after a full understanding of the context, the establishment of trust, and the achievement of consensus among all parties. Therefore, from a Japanese cultural perspective, investing more time upfront is not a sign of inefficiency, but a rational choice to reduce long-term risks and ensure the quality of </w:t>
      </w:r>
      <w:proofErr w:type="gramStart"/>
      <w:r w:rsidRPr="00C240B7">
        <w:rPr>
          <w:rFonts w:ascii="Times New Roman" w:hAnsi="Times New Roman" w:cs="Times New Roman"/>
          <w:sz w:val="24"/>
        </w:rPr>
        <w:t>cooperation</w:t>
      </w:r>
      <w:r w:rsidR="00E11D6D" w:rsidRPr="00C240B7">
        <w:rPr>
          <w:rFonts w:ascii="Times New Roman" w:hAnsi="Times New Roman" w:cs="Times New Roman"/>
          <w:sz w:val="24"/>
        </w:rPr>
        <w:t>(</w:t>
      </w:r>
      <w:proofErr w:type="gramEnd"/>
      <w:r w:rsidR="00E11D6D" w:rsidRPr="00C240B7">
        <w:rPr>
          <w:rFonts w:ascii="Times New Roman" w:hAnsi="Times New Roman" w:cs="Times New Roman"/>
          <w:sz w:val="24"/>
        </w:rPr>
        <w:t>Lewis, 2006)</w:t>
      </w:r>
      <w:r w:rsidRPr="00C240B7">
        <w:rPr>
          <w:rFonts w:ascii="Times New Roman" w:hAnsi="Times New Roman" w:cs="Times New Roman"/>
          <w:sz w:val="24"/>
        </w:rPr>
        <w:t>.</w:t>
      </w:r>
    </w:p>
    <w:p w14:paraId="64D1FC08" w14:textId="1E418E64" w:rsidR="000660F6" w:rsidRPr="00C240B7" w:rsidRDefault="000660F6" w:rsidP="00C240B7">
      <w:pPr>
        <w:spacing w:line="480" w:lineRule="auto"/>
        <w:rPr>
          <w:rFonts w:ascii="Times New Roman" w:hAnsi="Times New Roman" w:cs="Times New Roman"/>
          <w:sz w:val="24"/>
        </w:rPr>
      </w:pPr>
      <w:r w:rsidRPr="00C240B7">
        <w:rPr>
          <w:rFonts w:ascii="Times New Roman" w:hAnsi="Times New Roman" w:cs="Times New Roman"/>
          <w:sz w:val="24"/>
        </w:rPr>
        <w:t xml:space="preserve">This difference in time perception is often overlooked in cross-cultural communication, yet it has a profound impact on the experience of British companies in the Japanese market. If British managers use their own understanding of time and efficiency as the sole criterion for measuring the progress of cooperation, they are prone to unnecessary anxiety about the cautious attitude of Japanese </w:t>
      </w:r>
      <w:proofErr w:type="gramStart"/>
      <w:r w:rsidRPr="00C240B7">
        <w:rPr>
          <w:rFonts w:ascii="Times New Roman" w:hAnsi="Times New Roman" w:cs="Times New Roman"/>
          <w:sz w:val="24"/>
        </w:rPr>
        <w:t>companies, and</w:t>
      </w:r>
      <w:proofErr w:type="gramEnd"/>
      <w:r w:rsidRPr="00C240B7">
        <w:rPr>
          <w:rFonts w:ascii="Times New Roman" w:hAnsi="Times New Roman" w:cs="Times New Roman"/>
          <w:sz w:val="24"/>
        </w:rPr>
        <w:t xml:space="preserve"> may even mistakenly believe that the other party lacks the will to act. Conversely, if British companies recognize that Japanese business culture prioritizes "doing the right thing at the right time" rather than "completing tasks quickly," they can more easily adjust their expectations and build more trusting communication relationships with their Japanese </w:t>
      </w:r>
      <w:proofErr w:type="gramStart"/>
      <w:r w:rsidRPr="00C240B7">
        <w:rPr>
          <w:rFonts w:ascii="Times New Roman" w:hAnsi="Times New Roman" w:cs="Times New Roman"/>
          <w:sz w:val="24"/>
        </w:rPr>
        <w:t>partners</w:t>
      </w:r>
      <w:r w:rsidR="00E11D6D" w:rsidRPr="00C240B7">
        <w:rPr>
          <w:rFonts w:ascii="Times New Roman" w:hAnsi="Times New Roman" w:cs="Times New Roman"/>
          <w:sz w:val="24"/>
        </w:rPr>
        <w:t>(</w:t>
      </w:r>
      <w:proofErr w:type="gramEnd"/>
      <w:r w:rsidR="00E11D6D" w:rsidRPr="00C240B7">
        <w:rPr>
          <w:rFonts w:ascii="Times New Roman" w:hAnsi="Times New Roman" w:cs="Times New Roman"/>
          <w:sz w:val="24"/>
        </w:rPr>
        <w:t xml:space="preserve">Mayer et al., 1995; </w:t>
      </w:r>
      <w:r w:rsidR="00CF6FDF" w:rsidRPr="00C240B7">
        <w:rPr>
          <w:rFonts w:ascii="Times New Roman" w:hAnsi="Times New Roman" w:cs="Times New Roman"/>
          <w:sz w:val="24"/>
        </w:rPr>
        <w:t>Doney et al., 1998)</w:t>
      </w:r>
      <w:r w:rsidRPr="00C240B7">
        <w:rPr>
          <w:rFonts w:ascii="Times New Roman" w:hAnsi="Times New Roman" w:cs="Times New Roman"/>
          <w:sz w:val="24"/>
        </w:rPr>
        <w:t>.</w:t>
      </w:r>
    </w:p>
    <w:p w14:paraId="3BF346A9" w14:textId="66FF3609" w:rsidR="000660F6" w:rsidRPr="00C240B7" w:rsidRDefault="000660F6" w:rsidP="00C240B7">
      <w:pPr>
        <w:spacing w:line="480" w:lineRule="auto"/>
        <w:rPr>
          <w:rFonts w:ascii="Times New Roman" w:hAnsi="Times New Roman" w:cs="Times New Roman"/>
          <w:sz w:val="24"/>
        </w:rPr>
      </w:pPr>
      <w:r w:rsidRPr="00C240B7">
        <w:rPr>
          <w:rFonts w:ascii="Times New Roman" w:hAnsi="Times New Roman" w:cs="Times New Roman"/>
          <w:sz w:val="24"/>
        </w:rPr>
        <w:t xml:space="preserve">Furthermore, the ways in which trust is formed differ significantly in Anglo-Japanese business communication. British companies tend to build trust through systems, contracts, and professional competence, believing that once contractual terms are clear, the partnership is sufficiently secure. In contrast, Japanese companies </w:t>
      </w:r>
      <w:r w:rsidRPr="00C240B7">
        <w:rPr>
          <w:rFonts w:ascii="Times New Roman" w:hAnsi="Times New Roman" w:cs="Times New Roman"/>
          <w:sz w:val="24"/>
        </w:rPr>
        <w:lastRenderedPageBreak/>
        <w:t xml:space="preserve">emphasize gradually building trust through long-term interaction, consistency of behavior, and the continuous fulfillment of mutual commitments. In Japanese culture, trust is not automatically generated </w:t>
      </w:r>
      <w:proofErr w:type="gramStart"/>
      <w:r w:rsidRPr="00C240B7">
        <w:rPr>
          <w:rFonts w:ascii="Times New Roman" w:hAnsi="Times New Roman" w:cs="Times New Roman"/>
          <w:sz w:val="24"/>
        </w:rPr>
        <w:t>at the moment</w:t>
      </w:r>
      <w:proofErr w:type="gramEnd"/>
      <w:r w:rsidRPr="00C240B7">
        <w:rPr>
          <w:rFonts w:ascii="Times New Roman" w:hAnsi="Times New Roman" w:cs="Times New Roman"/>
          <w:sz w:val="24"/>
        </w:rPr>
        <w:t xml:space="preserve"> a contract is signed, but rather is the result of continuous verification through multiple interactions and practices. This difference means that if British companies rely too heavily on legal documents in the early stages of cooperation and neglect the importance of maintaining the relationship, they may inadvertently undermine the trust of their Japanese partners.</w:t>
      </w:r>
    </w:p>
    <w:p w14:paraId="7B4F47A4" w14:textId="7EEA84C0" w:rsidR="000660F6" w:rsidRPr="00C240B7" w:rsidRDefault="000660F6" w:rsidP="00C240B7">
      <w:pPr>
        <w:spacing w:line="480" w:lineRule="auto"/>
        <w:rPr>
          <w:rFonts w:ascii="Times New Roman" w:hAnsi="Times New Roman" w:cs="Times New Roman"/>
          <w:sz w:val="24"/>
        </w:rPr>
      </w:pPr>
      <w:r w:rsidRPr="00C240B7">
        <w:rPr>
          <w:rFonts w:ascii="Times New Roman" w:hAnsi="Times New Roman" w:cs="Times New Roman"/>
          <w:sz w:val="24"/>
        </w:rPr>
        <w:t xml:space="preserve">From a reflective perspective, these differences further highlight the importance of "cultural awareness" in cross-cultural business communication. Only when British companies realize that their understanding of time, efficiency, and trust is not a universally applicable standard can they avoid misinterpreting cultural differences as individual or organizational deficiencies. This understanding not only helps explain the friction that occurred in past </w:t>
      </w:r>
      <w:proofErr w:type="gramStart"/>
      <w:r w:rsidRPr="00C240B7">
        <w:rPr>
          <w:rFonts w:ascii="Times New Roman" w:hAnsi="Times New Roman" w:cs="Times New Roman"/>
          <w:sz w:val="24"/>
        </w:rPr>
        <w:t>communications, but</w:t>
      </w:r>
      <w:proofErr w:type="gramEnd"/>
      <w:r w:rsidRPr="00C240B7">
        <w:rPr>
          <w:rFonts w:ascii="Times New Roman" w:hAnsi="Times New Roman" w:cs="Times New Roman"/>
          <w:sz w:val="24"/>
        </w:rPr>
        <w:t xml:space="preserve"> also provides a more targeted basis for subsequent strategy selection.</w:t>
      </w:r>
    </w:p>
    <w:p w14:paraId="5578B153" w14:textId="77777777" w:rsidR="004713D5" w:rsidRPr="00C240B7" w:rsidRDefault="004713D5" w:rsidP="00C240B7">
      <w:pPr>
        <w:spacing w:line="480" w:lineRule="auto"/>
        <w:rPr>
          <w:rFonts w:ascii="Times New Roman" w:hAnsi="Times New Roman" w:cs="Times New Roman"/>
          <w:sz w:val="24"/>
        </w:rPr>
      </w:pPr>
    </w:p>
    <w:p w14:paraId="333C4274" w14:textId="77777777" w:rsidR="00D34D05" w:rsidRPr="00D34D05" w:rsidRDefault="00D34D05" w:rsidP="00C240B7">
      <w:pPr>
        <w:spacing w:line="480" w:lineRule="auto"/>
        <w:rPr>
          <w:rFonts w:ascii="Times New Roman" w:hAnsi="Times New Roman" w:cs="Times New Roman"/>
          <w:b/>
          <w:bCs/>
          <w:sz w:val="28"/>
          <w:szCs w:val="28"/>
        </w:rPr>
      </w:pPr>
      <w:r w:rsidRPr="00D34D05">
        <w:rPr>
          <w:rFonts w:ascii="Times New Roman" w:hAnsi="Times New Roman" w:cs="Times New Roman"/>
          <w:b/>
          <w:bCs/>
          <w:sz w:val="28"/>
          <w:szCs w:val="28"/>
        </w:rPr>
        <w:t>Thinking Through Ways to Improve Communication</w:t>
      </w:r>
    </w:p>
    <w:p w14:paraId="79C82DFD" w14:textId="7CAA7AF7" w:rsidR="004713D5" w:rsidRPr="00C240B7" w:rsidRDefault="004713D5" w:rsidP="00C240B7">
      <w:pPr>
        <w:spacing w:line="480" w:lineRule="auto"/>
        <w:rPr>
          <w:rFonts w:ascii="Times New Roman" w:hAnsi="Times New Roman" w:cs="Times New Roman"/>
          <w:sz w:val="24"/>
        </w:rPr>
      </w:pPr>
      <w:r w:rsidRPr="00C240B7">
        <w:rPr>
          <w:rFonts w:ascii="Times New Roman" w:hAnsi="Times New Roman" w:cs="Times New Roman"/>
          <w:sz w:val="24"/>
        </w:rPr>
        <w:t xml:space="preserve">Having fully understood these cultural differences, I began to more critically evaluate the coping strategies that British companies could adopt in the Japanese business environment. Cross-cultural training is widely regarded as an important way to improve communication skills, helping British managers understand the basic logic of Japanese business communication from a cognitive perspective, thereby reducing </w:t>
      </w:r>
      <w:r w:rsidRPr="00C240B7">
        <w:rPr>
          <w:rFonts w:ascii="Times New Roman" w:hAnsi="Times New Roman" w:cs="Times New Roman"/>
          <w:sz w:val="24"/>
        </w:rPr>
        <w:lastRenderedPageBreak/>
        <w:t xml:space="preserve">unconscious cultural clashes. However, relying solely on one-off training is often insufficient to fundamentally change long-established communication habits; its effectiveness largely depends on the individual's willingness to continuously reflect and </w:t>
      </w:r>
      <w:proofErr w:type="gramStart"/>
      <w:r w:rsidRPr="00C240B7">
        <w:rPr>
          <w:rFonts w:ascii="Times New Roman" w:hAnsi="Times New Roman" w:cs="Times New Roman"/>
          <w:sz w:val="24"/>
        </w:rPr>
        <w:t>practice</w:t>
      </w:r>
      <w:r w:rsidR="00CF6FDF" w:rsidRPr="00C240B7">
        <w:rPr>
          <w:rFonts w:ascii="Times New Roman" w:hAnsi="Times New Roman" w:cs="Times New Roman"/>
          <w:sz w:val="24"/>
        </w:rPr>
        <w:t>(</w:t>
      </w:r>
      <w:proofErr w:type="gramEnd"/>
      <w:r w:rsidR="00CF6FDF" w:rsidRPr="00C240B7">
        <w:rPr>
          <w:rFonts w:ascii="Times New Roman" w:hAnsi="Times New Roman" w:cs="Times New Roman"/>
          <w:sz w:val="24"/>
        </w:rPr>
        <w:t>Earley and Ang, 2003)</w:t>
      </w:r>
      <w:r w:rsidRPr="00C240B7">
        <w:rPr>
          <w:rFonts w:ascii="Times New Roman" w:hAnsi="Times New Roman" w:cs="Times New Roman"/>
          <w:sz w:val="24"/>
        </w:rPr>
        <w:t>.</w:t>
      </w:r>
    </w:p>
    <w:p w14:paraId="0243C8CE" w14:textId="315D0192" w:rsidR="004713D5" w:rsidRPr="00C240B7" w:rsidRDefault="004713D5" w:rsidP="00C240B7">
      <w:pPr>
        <w:spacing w:line="480" w:lineRule="auto"/>
        <w:rPr>
          <w:rFonts w:ascii="Times New Roman" w:hAnsi="Times New Roman" w:cs="Times New Roman"/>
          <w:sz w:val="24"/>
        </w:rPr>
      </w:pPr>
      <w:r w:rsidRPr="00C240B7">
        <w:rPr>
          <w:rFonts w:ascii="Times New Roman" w:hAnsi="Times New Roman" w:cs="Times New Roman"/>
          <w:sz w:val="24"/>
        </w:rPr>
        <w:t>In contrast, hiring managers or local consultants with bicultural backgrounds has shown more direct effectiveness at the practical level. These roles not only help British companies understand the cultural implications behind Japanese business behavior but also act as a buffer and coordinator in communication between the two parties. However, this strategy also faces challenges in terms of cost, role positioning, and trust building. If mismanaged, it may even exacerbate communication complexity within the organization.</w:t>
      </w:r>
    </w:p>
    <w:p w14:paraId="7C22791A" w14:textId="58121601" w:rsidR="004713D5" w:rsidRPr="00C240B7" w:rsidRDefault="004713D5" w:rsidP="00C240B7">
      <w:pPr>
        <w:spacing w:line="480" w:lineRule="auto"/>
        <w:rPr>
          <w:rFonts w:ascii="Times New Roman" w:hAnsi="Times New Roman" w:cs="Times New Roman"/>
          <w:sz w:val="24"/>
        </w:rPr>
      </w:pPr>
      <w:r w:rsidRPr="00C240B7">
        <w:rPr>
          <w:rFonts w:ascii="Times New Roman" w:hAnsi="Times New Roman" w:cs="Times New Roman"/>
          <w:sz w:val="24"/>
        </w:rPr>
        <w:t>Furthermore, adjusting their own communication practices in daily operations is a crucial strategy for overcoming cross-cultural barriers. For example, providing detailed written materials before meetings helps Japanese teams prepare thoroughly; confirming key discussion points in writing after meetings reduces misunderstandings caused by ambiguity in verbal communication; and allowing ample internal discussion time for Japanese partners during decision-making demonstrates respect for their cultural habits. While these strategies do not require additional institutional costs, they demand a higher level of cultural sensitivity and patience from British managers.</w:t>
      </w:r>
    </w:p>
    <w:p w14:paraId="251CD380" w14:textId="77777777" w:rsidR="004713D5" w:rsidRPr="00C240B7" w:rsidRDefault="004713D5" w:rsidP="00C240B7">
      <w:pPr>
        <w:spacing w:line="480" w:lineRule="auto"/>
        <w:rPr>
          <w:rFonts w:ascii="Times New Roman" w:hAnsi="Times New Roman" w:cs="Times New Roman"/>
          <w:sz w:val="24"/>
        </w:rPr>
      </w:pPr>
    </w:p>
    <w:p w14:paraId="60B8647B" w14:textId="77777777" w:rsidR="000660F6" w:rsidRPr="00D34D05" w:rsidRDefault="004713D5" w:rsidP="00C240B7">
      <w:pPr>
        <w:spacing w:line="480" w:lineRule="auto"/>
        <w:rPr>
          <w:rFonts w:ascii="Times New Roman" w:hAnsi="Times New Roman" w:cs="Times New Roman"/>
          <w:b/>
          <w:bCs/>
          <w:sz w:val="28"/>
          <w:szCs w:val="28"/>
        </w:rPr>
      </w:pPr>
      <w:r w:rsidRPr="00D34D05">
        <w:rPr>
          <w:rFonts w:ascii="Times New Roman" w:hAnsi="Times New Roman" w:cs="Times New Roman"/>
          <w:b/>
          <w:bCs/>
          <w:sz w:val="28"/>
          <w:szCs w:val="28"/>
        </w:rPr>
        <w:lastRenderedPageBreak/>
        <w:t>Conclusion</w:t>
      </w:r>
    </w:p>
    <w:p w14:paraId="5DEA9915" w14:textId="1B6D661B" w:rsidR="004713D5" w:rsidRPr="00C240B7" w:rsidRDefault="004713D5" w:rsidP="00C240B7">
      <w:pPr>
        <w:spacing w:line="480" w:lineRule="auto"/>
        <w:rPr>
          <w:rFonts w:ascii="Times New Roman" w:hAnsi="Times New Roman" w:cs="Times New Roman"/>
          <w:sz w:val="24"/>
        </w:rPr>
      </w:pPr>
      <w:r w:rsidRPr="00C240B7">
        <w:rPr>
          <w:rFonts w:ascii="Times New Roman" w:hAnsi="Times New Roman" w:cs="Times New Roman"/>
          <w:sz w:val="24"/>
        </w:rPr>
        <w:t xml:space="preserve">Through a systematic reflection on the cross-cultural challenges faced by British companies in business communication with Japan, I have gradually come to realize that the root of communication problems lies not in the inadequacy of one party, but in the different communication logics shaped by cultural differences. If British companies fail to recognize the cultural limitations of their own communication methods, they are prone to misjudgments in cross-cultural interactions, thereby affecting the quality and sustainability of cooperative relationships. The core of cross-cultural communication is not seeking a single best </w:t>
      </w:r>
      <w:proofErr w:type="gramStart"/>
      <w:r w:rsidRPr="00C240B7">
        <w:rPr>
          <w:rFonts w:ascii="Times New Roman" w:hAnsi="Times New Roman" w:cs="Times New Roman"/>
          <w:sz w:val="24"/>
        </w:rPr>
        <w:t>practice, but</w:t>
      </w:r>
      <w:proofErr w:type="gramEnd"/>
      <w:r w:rsidRPr="00C240B7">
        <w:rPr>
          <w:rFonts w:ascii="Times New Roman" w:hAnsi="Times New Roman" w:cs="Times New Roman"/>
          <w:sz w:val="24"/>
        </w:rPr>
        <w:t xml:space="preserve"> rather achieving flexible adjustments and mutual adaptation based on an understanding of </w:t>
      </w:r>
      <w:proofErr w:type="gramStart"/>
      <w:r w:rsidRPr="00C240B7">
        <w:rPr>
          <w:rFonts w:ascii="Times New Roman" w:hAnsi="Times New Roman" w:cs="Times New Roman"/>
          <w:sz w:val="24"/>
        </w:rPr>
        <w:t>differences</w:t>
      </w:r>
      <w:r w:rsidR="00CF6FDF" w:rsidRPr="00C240B7">
        <w:rPr>
          <w:rFonts w:ascii="Times New Roman" w:hAnsi="Times New Roman" w:cs="Times New Roman"/>
          <w:sz w:val="24"/>
        </w:rPr>
        <w:t>(</w:t>
      </w:r>
      <w:proofErr w:type="gramEnd"/>
      <w:r w:rsidR="00CF6FDF" w:rsidRPr="00C240B7">
        <w:rPr>
          <w:rFonts w:ascii="Times New Roman" w:hAnsi="Times New Roman" w:cs="Times New Roman"/>
          <w:sz w:val="24"/>
        </w:rPr>
        <w:t>Adler and Gundersen, 2008)</w:t>
      </w:r>
      <w:r w:rsidRPr="00C240B7">
        <w:rPr>
          <w:rFonts w:ascii="Times New Roman" w:hAnsi="Times New Roman" w:cs="Times New Roman"/>
          <w:sz w:val="24"/>
        </w:rPr>
        <w:t>.</w:t>
      </w:r>
    </w:p>
    <w:p w14:paraId="0BFFB4B1" w14:textId="77777777" w:rsidR="004713D5" w:rsidRPr="00C240B7" w:rsidRDefault="004713D5" w:rsidP="00C240B7">
      <w:pPr>
        <w:spacing w:line="480" w:lineRule="auto"/>
        <w:rPr>
          <w:rFonts w:ascii="Times New Roman" w:hAnsi="Times New Roman" w:cs="Times New Roman"/>
          <w:sz w:val="24"/>
        </w:rPr>
      </w:pPr>
    </w:p>
    <w:p w14:paraId="49EA9414" w14:textId="08CD5B33" w:rsidR="004713D5" w:rsidRPr="00D34D05" w:rsidRDefault="004713D5" w:rsidP="00C240B7">
      <w:pPr>
        <w:spacing w:line="480" w:lineRule="auto"/>
        <w:rPr>
          <w:rFonts w:ascii="Times New Roman" w:hAnsi="Times New Roman" w:cs="Times New Roman"/>
          <w:b/>
          <w:bCs/>
          <w:sz w:val="28"/>
          <w:szCs w:val="28"/>
        </w:rPr>
      </w:pPr>
      <w:r w:rsidRPr="00D34D05">
        <w:rPr>
          <w:rFonts w:ascii="Times New Roman" w:hAnsi="Times New Roman" w:cs="Times New Roman"/>
          <w:b/>
          <w:bCs/>
          <w:sz w:val="28"/>
          <w:szCs w:val="28"/>
        </w:rPr>
        <w:t>Plan and Recommendations</w:t>
      </w:r>
    </w:p>
    <w:p w14:paraId="6F400441" w14:textId="473F9935" w:rsidR="004713D5" w:rsidRPr="00C240B7" w:rsidRDefault="004713D5" w:rsidP="00C240B7">
      <w:pPr>
        <w:spacing w:line="480" w:lineRule="auto"/>
        <w:rPr>
          <w:rFonts w:ascii="Times New Roman" w:hAnsi="Times New Roman" w:cs="Times New Roman"/>
          <w:sz w:val="24"/>
        </w:rPr>
      </w:pPr>
      <w:r w:rsidRPr="00C240B7">
        <w:rPr>
          <w:rFonts w:ascii="Times New Roman" w:hAnsi="Times New Roman" w:cs="Times New Roman"/>
          <w:sz w:val="24"/>
        </w:rPr>
        <w:t xml:space="preserve">Based on this reflection, I believe that British companies should systematically improve their cross-cultural communication capabilities at both the organizational and individual levels when collaborating with Japanese companies in the future. At the organizational level, integrating cross-cultural training into long-term development strategies, establishing more relationship-oriented cooperation models, and appropriately recruiting bicultural talent will help reduce cross-cultural communication risks. At the individual level, continuously reflecting on one's own cultural preconceptions, enhancing sensitivity to nonverbal communication cues, and </w:t>
      </w:r>
      <w:r w:rsidRPr="00C240B7">
        <w:rPr>
          <w:rFonts w:ascii="Times New Roman" w:hAnsi="Times New Roman" w:cs="Times New Roman"/>
          <w:sz w:val="24"/>
        </w:rPr>
        <w:lastRenderedPageBreak/>
        <w:t>cultivating cultural humility in practice are key to improving the effectiveness of cross-cultural communication. Through these efforts, British companies will be more likely to establish stable, trusting, and sustainable business partnerships in the Japanese market.</w:t>
      </w:r>
    </w:p>
    <w:p w14:paraId="7BD2789D" w14:textId="75159DA7" w:rsidR="00C240B7" w:rsidRDefault="00C240B7">
      <w:pPr>
        <w:widowControl/>
      </w:pPr>
      <w:r>
        <w:br w:type="page"/>
      </w:r>
    </w:p>
    <w:p w14:paraId="594DF7F8" w14:textId="65C1A284" w:rsidR="000660F6" w:rsidRPr="00C240B7" w:rsidRDefault="00C240B7">
      <w:pPr>
        <w:rPr>
          <w:rFonts w:ascii="Times New Roman" w:hAnsi="Times New Roman" w:cs="Times New Roman"/>
          <w:b/>
          <w:bCs/>
          <w:sz w:val="28"/>
          <w:szCs w:val="28"/>
        </w:rPr>
      </w:pPr>
      <w:r w:rsidRPr="00C240B7">
        <w:rPr>
          <w:rFonts w:ascii="Times New Roman" w:hAnsi="Times New Roman" w:cs="Times New Roman"/>
          <w:b/>
          <w:bCs/>
          <w:sz w:val="28"/>
          <w:szCs w:val="28"/>
        </w:rPr>
        <w:lastRenderedPageBreak/>
        <w:t>References</w:t>
      </w:r>
    </w:p>
    <w:p w14:paraId="43982BB7" w14:textId="77777777" w:rsidR="00C240B7" w:rsidRPr="00C240B7" w:rsidRDefault="00C240B7" w:rsidP="00C240B7">
      <w:r w:rsidRPr="00C240B7">
        <w:t xml:space="preserve">Adler, N.J. and Gundersen, A. (2008) </w:t>
      </w:r>
      <w:r w:rsidRPr="00C240B7">
        <w:rPr>
          <w:i/>
          <w:iCs/>
        </w:rPr>
        <w:t>International Dimensions of Organizational Behavior</w:t>
      </w:r>
      <w:r w:rsidRPr="00C240B7">
        <w:t xml:space="preserve">. 5th </w:t>
      </w:r>
      <w:proofErr w:type="spellStart"/>
      <w:proofErr w:type="gramStart"/>
      <w:r w:rsidRPr="00C240B7">
        <w:t>edn</w:t>
      </w:r>
      <w:proofErr w:type="spellEnd"/>
      <w:proofErr w:type="gramEnd"/>
      <w:r w:rsidRPr="00C240B7">
        <w:t>. Mason, OH: South-Western Cengage Learning.</w:t>
      </w:r>
    </w:p>
    <w:p w14:paraId="3FD1D283" w14:textId="77777777" w:rsidR="00C240B7" w:rsidRPr="00C240B7" w:rsidRDefault="00C240B7" w:rsidP="00C240B7">
      <w:r w:rsidRPr="00C240B7">
        <w:t xml:space="preserve">Beamer, L. and Varner, I. (2008) </w:t>
      </w:r>
      <w:r w:rsidRPr="00C240B7">
        <w:rPr>
          <w:i/>
          <w:iCs/>
        </w:rPr>
        <w:t>Intercultural Communication in the Global Workplace</w:t>
      </w:r>
      <w:r w:rsidRPr="00C240B7">
        <w:t xml:space="preserve">. 4th </w:t>
      </w:r>
      <w:proofErr w:type="spellStart"/>
      <w:proofErr w:type="gramStart"/>
      <w:r w:rsidRPr="00C240B7">
        <w:t>edn</w:t>
      </w:r>
      <w:proofErr w:type="spellEnd"/>
      <w:proofErr w:type="gramEnd"/>
      <w:r w:rsidRPr="00C240B7">
        <w:t>. Boston: McGraw-Hill.</w:t>
      </w:r>
    </w:p>
    <w:p w14:paraId="6F85CCEB" w14:textId="77777777" w:rsidR="00C240B7" w:rsidRPr="00C240B7" w:rsidRDefault="00C240B7" w:rsidP="00C240B7">
      <w:r w:rsidRPr="00C240B7">
        <w:t xml:space="preserve">Brake, T. (1996) </w:t>
      </w:r>
      <w:r w:rsidRPr="00C240B7">
        <w:rPr>
          <w:i/>
          <w:iCs/>
        </w:rPr>
        <w:t>The Global Leader: Critical Factors for Creating the World Class Organization</w:t>
      </w:r>
      <w:r w:rsidRPr="00C240B7">
        <w:t>. Chicago: Irwin.</w:t>
      </w:r>
    </w:p>
    <w:p w14:paraId="7B1351B2" w14:textId="77777777" w:rsidR="00C240B7" w:rsidRPr="00C240B7" w:rsidRDefault="00C240B7" w:rsidP="00C240B7">
      <w:proofErr w:type="spellStart"/>
      <w:r w:rsidRPr="00C240B7">
        <w:t>Browaeys</w:t>
      </w:r>
      <w:proofErr w:type="spellEnd"/>
      <w:r w:rsidRPr="00C240B7">
        <w:t xml:space="preserve">, M.J. and Price, R. (2015) </w:t>
      </w:r>
      <w:r w:rsidRPr="00C240B7">
        <w:rPr>
          <w:i/>
          <w:iCs/>
        </w:rPr>
        <w:t>Understanding Cross-Cultural Management</w:t>
      </w:r>
      <w:r w:rsidRPr="00C240B7">
        <w:t xml:space="preserve">. 3rd </w:t>
      </w:r>
      <w:proofErr w:type="spellStart"/>
      <w:proofErr w:type="gramStart"/>
      <w:r w:rsidRPr="00C240B7">
        <w:t>edn</w:t>
      </w:r>
      <w:proofErr w:type="spellEnd"/>
      <w:proofErr w:type="gramEnd"/>
      <w:r w:rsidRPr="00C240B7">
        <w:t>. Harlow: Pearson Education.</w:t>
      </w:r>
    </w:p>
    <w:p w14:paraId="2F322375" w14:textId="77777777" w:rsidR="00C240B7" w:rsidRPr="00C240B7" w:rsidRDefault="00C240B7" w:rsidP="00C240B7">
      <w:r w:rsidRPr="00C240B7">
        <w:t xml:space="preserve">Doney, P.M., Cannon, J.P. and Mullen, M.R. (1998) ‘Understanding the influence of national culture on the development of trust’, </w:t>
      </w:r>
      <w:r w:rsidRPr="00C240B7">
        <w:rPr>
          <w:i/>
          <w:iCs/>
        </w:rPr>
        <w:t>Academy of Management Review</w:t>
      </w:r>
      <w:r w:rsidRPr="00C240B7">
        <w:t>, 23(3), pp. 601–620.</w:t>
      </w:r>
    </w:p>
    <w:p w14:paraId="31871AD8" w14:textId="77777777" w:rsidR="00C240B7" w:rsidRPr="00C240B7" w:rsidRDefault="00C240B7" w:rsidP="00C240B7">
      <w:r w:rsidRPr="00C240B7">
        <w:t xml:space="preserve">Earley, P.C. and Ang, S. (2003) </w:t>
      </w:r>
      <w:r w:rsidRPr="00C240B7">
        <w:rPr>
          <w:i/>
          <w:iCs/>
        </w:rPr>
        <w:t>Cultural Intelligence: Individual Interactions Across Cultures</w:t>
      </w:r>
      <w:r w:rsidRPr="00C240B7">
        <w:t>. Stanford, CA: Stanford University Press.</w:t>
      </w:r>
    </w:p>
    <w:p w14:paraId="271D940E" w14:textId="77777777" w:rsidR="00C240B7" w:rsidRPr="00C240B7" w:rsidRDefault="00C240B7" w:rsidP="00C240B7">
      <w:r w:rsidRPr="00C240B7">
        <w:t xml:space="preserve">Hall, E.T. (1976) </w:t>
      </w:r>
      <w:r w:rsidRPr="00C240B7">
        <w:rPr>
          <w:i/>
          <w:iCs/>
        </w:rPr>
        <w:t>Beyond Culture</w:t>
      </w:r>
      <w:r w:rsidRPr="00C240B7">
        <w:t>. New York: Anchor Books.</w:t>
      </w:r>
    </w:p>
    <w:p w14:paraId="34C5B0C8" w14:textId="77777777" w:rsidR="00C240B7" w:rsidRPr="00C240B7" w:rsidRDefault="00C240B7" w:rsidP="00C240B7">
      <w:r w:rsidRPr="00C240B7">
        <w:t xml:space="preserve">Hall, E.T. and Hall, M.R. (1990) </w:t>
      </w:r>
      <w:r w:rsidRPr="00C240B7">
        <w:rPr>
          <w:i/>
          <w:iCs/>
        </w:rPr>
        <w:t>Understanding Cultural Differences: Germans, French and Americans</w:t>
      </w:r>
      <w:r w:rsidRPr="00C240B7">
        <w:t>. Yarmouth, ME: Intercultural Press.</w:t>
      </w:r>
    </w:p>
    <w:p w14:paraId="1F1BBE60" w14:textId="77777777" w:rsidR="00C240B7" w:rsidRPr="00C240B7" w:rsidRDefault="00C240B7" w:rsidP="00C240B7">
      <w:r w:rsidRPr="00C240B7">
        <w:t xml:space="preserve">Hampden-Turner, C. and Trompenaars, F. (2020) </w:t>
      </w:r>
      <w:r w:rsidRPr="00C240B7">
        <w:rPr>
          <w:i/>
          <w:iCs/>
        </w:rPr>
        <w:t>Riding the Waves of Culture: Understanding Diversity in Global Business</w:t>
      </w:r>
      <w:r w:rsidRPr="00C240B7">
        <w:t xml:space="preserve">. 4th </w:t>
      </w:r>
      <w:proofErr w:type="spellStart"/>
      <w:proofErr w:type="gramStart"/>
      <w:r w:rsidRPr="00C240B7">
        <w:t>edn</w:t>
      </w:r>
      <w:proofErr w:type="spellEnd"/>
      <w:proofErr w:type="gramEnd"/>
      <w:r w:rsidRPr="00C240B7">
        <w:t>. London: Nicholas Brealey.</w:t>
      </w:r>
    </w:p>
    <w:p w14:paraId="06633AED" w14:textId="77777777" w:rsidR="00C240B7" w:rsidRPr="00C240B7" w:rsidRDefault="00C240B7" w:rsidP="00C240B7">
      <w:r w:rsidRPr="00C240B7">
        <w:t xml:space="preserve">Hofstede, G. (1980) </w:t>
      </w:r>
      <w:r w:rsidRPr="00C240B7">
        <w:rPr>
          <w:i/>
          <w:iCs/>
        </w:rPr>
        <w:t>Culture’s Consequences: International Differences in Work-Related Values</w:t>
      </w:r>
      <w:r w:rsidRPr="00C240B7">
        <w:t>. Beverly Hills, CA: Sage.</w:t>
      </w:r>
    </w:p>
    <w:p w14:paraId="27D8459B" w14:textId="77777777" w:rsidR="00C240B7" w:rsidRPr="00C240B7" w:rsidRDefault="00C240B7" w:rsidP="00C240B7">
      <w:r w:rsidRPr="00C240B7">
        <w:t xml:space="preserve">Hofstede, G., Hofstede, G.J. and Minkov, M. (2010) </w:t>
      </w:r>
      <w:r w:rsidRPr="00C240B7">
        <w:rPr>
          <w:i/>
          <w:iCs/>
        </w:rPr>
        <w:t>Cultures and Organizations: Software of the Mind</w:t>
      </w:r>
      <w:r w:rsidRPr="00C240B7">
        <w:t xml:space="preserve">. 3rd </w:t>
      </w:r>
      <w:proofErr w:type="spellStart"/>
      <w:proofErr w:type="gramStart"/>
      <w:r w:rsidRPr="00C240B7">
        <w:t>edn</w:t>
      </w:r>
      <w:proofErr w:type="spellEnd"/>
      <w:proofErr w:type="gramEnd"/>
      <w:r w:rsidRPr="00C240B7">
        <w:t>. New York: McGraw-Hill.</w:t>
      </w:r>
    </w:p>
    <w:p w14:paraId="2EF304EE" w14:textId="77777777" w:rsidR="00C240B7" w:rsidRPr="00C240B7" w:rsidRDefault="00C240B7" w:rsidP="00C240B7">
      <w:r w:rsidRPr="00C240B7">
        <w:t xml:space="preserve">House, R.J., Hanges, P.J., Javidan, M., Dorfman, P.W. and Gupta, V. (2004) </w:t>
      </w:r>
      <w:r w:rsidRPr="00C240B7">
        <w:rPr>
          <w:i/>
          <w:iCs/>
        </w:rPr>
        <w:t>Culture, Leadership, and Organizations: The GLOBE Study of 62 Societies</w:t>
      </w:r>
      <w:r w:rsidRPr="00C240B7">
        <w:t>. Thousand Oaks, CA: Sage.</w:t>
      </w:r>
    </w:p>
    <w:p w14:paraId="3C10EC16" w14:textId="77777777" w:rsidR="00C240B7" w:rsidRPr="00C240B7" w:rsidRDefault="00C240B7" w:rsidP="00C240B7">
      <w:r w:rsidRPr="00C240B7">
        <w:t xml:space="preserve">Lewis, R.D. (2006) </w:t>
      </w:r>
      <w:r w:rsidRPr="00C240B7">
        <w:rPr>
          <w:i/>
          <w:iCs/>
        </w:rPr>
        <w:t>When Cultures Collide: Leading Across Cultures</w:t>
      </w:r>
      <w:r w:rsidRPr="00C240B7">
        <w:t xml:space="preserve">. 3rd </w:t>
      </w:r>
      <w:proofErr w:type="spellStart"/>
      <w:proofErr w:type="gramStart"/>
      <w:r w:rsidRPr="00C240B7">
        <w:t>edn</w:t>
      </w:r>
      <w:proofErr w:type="spellEnd"/>
      <w:proofErr w:type="gramEnd"/>
      <w:r w:rsidRPr="00C240B7">
        <w:t>. London: Nicholas Brealey.</w:t>
      </w:r>
    </w:p>
    <w:p w14:paraId="703DE8B9" w14:textId="77777777" w:rsidR="00C240B7" w:rsidRPr="00C240B7" w:rsidRDefault="00C240B7" w:rsidP="00C240B7">
      <w:r w:rsidRPr="00C240B7">
        <w:t xml:space="preserve">Mayer, R.C., Davis, J.H. and </w:t>
      </w:r>
      <w:proofErr w:type="spellStart"/>
      <w:r w:rsidRPr="00C240B7">
        <w:t>Schoorman</w:t>
      </w:r>
      <w:proofErr w:type="spellEnd"/>
      <w:r w:rsidRPr="00C240B7">
        <w:t xml:space="preserve">, F.D. (1995) ‘An integrative model of organizational trust’, </w:t>
      </w:r>
      <w:r w:rsidRPr="00C240B7">
        <w:rPr>
          <w:i/>
          <w:iCs/>
        </w:rPr>
        <w:t>Academy of Management Review</w:t>
      </w:r>
      <w:r w:rsidRPr="00C240B7">
        <w:t>, 20(3), pp. 709–734.</w:t>
      </w:r>
    </w:p>
    <w:p w14:paraId="1215EE28" w14:textId="77777777" w:rsidR="00C240B7" w:rsidRPr="00C240B7" w:rsidRDefault="00C240B7" w:rsidP="00C240B7">
      <w:r w:rsidRPr="00C240B7">
        <w:t xml:space="preserve">Meyer, E. (2014) </w:t>
      </w:r>
      <w:r w:rsidRPr="00C240B7">
        <w:rPr>
          <w:i/>
          <w:iCs/>
        </w:rPr>
        <w:t xml:space="preserve">The Culture Map: Breaking Through the Invisible Boundaries of Global </w:t>
      </w:r>
      <w:r w:rsidRPr="00C240B7">
        <w:rPr>
          <w:i/>
          <w:iCs/>
        </w:rPr>
        <w:lastRenderedPageBreak/>
        <w:t>Business</w:t>
      </w:r>
      <w:r w:rsidRPr="00C240B7">
        <w:t>. New York: PublicAffairs.</w:t>
      </w:r>
    </w:p>
    <w:p w14:paraId="6E5E2C33" w14:textId="77777777" w:rsidR="00C240B7" w:rsidRPr="00C240B7" w:rsidRDefault="00C240B7" w:rsidP="00C240B7">
      <w:r w:rsidRPr="00C240B7">
        <w:t xml:space="preserve">Nakane, C. (1970) </w:t>
      </w:r>
      <w:r w:rsidRPr="00C240B7">
        <w:rPr>
          <w:i/>
          <w:iCs/>
        </w:rPr>
        <w:t>Japanese Society</w:t>
      </w:r>
      <w:r w:rsidRPr="00C240B7">
        <w:t>. Berkeley: University of California Press.</w:t>
      </w:r>
    </w:p>
    <w:p w14:paraId="2DD29F28" w14:textId="77777777" w:rsidR="00C240B7" w:rsidRPr="00C240B7" w:rsidRDefault="00C240B7" w:rsidP="00C240B7">
      <w:r w:rsidRPr="00C240B7">
        <w:t xml:space="preserve">Neuliep, J.W. (2020) </w:t>
      </w:r>
      <w:r w:rsidRPr="00C240B7">
        <w:rPr>
          <w:i/>
          <w:iCs/>
        </w:rPr>
        <w:t>Intercultural Communication: A Contextual Approach</w:t>
      </w:r>
      <w:r w:rsidRPr="00C240B7">
        <w:t xml:space="preserve">. 8th </w:t>
      </w:r>
      <w:proofErr w:type="spellStart"/>
      <w:proofErr w:type="gramStart"/>
      <w:r w:rsidRPr="00C240B7">
        <w:t>edn</w:t>
      </w:r>
      <w:proofErr w:type="spellEnd"/>
      <w:proofErr w:type="gramEnd"/>
      <w:r w:rsidRPr="00C240B7">
        <w:t>. Thousand Oaks, CA: Sage.</w:t>
      </w:r>
    </w:p>
    <w:p w14:paraId="04309A7A" w14:textId="77777777" w:rsidR="00C240B7" w:rsidRPr="00C240B7" w:rsidRDefault="00C240B7" w:rsidP="00C240B7">
      <w:r w:rsidRPr="00C240B7">
        <w:t xml:space="preserve">Samovar, L.A., Porter, R.E., McDaniel, E.R. and Roy, C.S. (2017) </w:t>
      </w:r>
      <w:r w:rsidRPr="00C240B7">
        <w:rPr>
          <w:i/>
          <w:iCs/>
        </w:rPr>
        <w:t>Communication Between Cultures</w:t>
      </w:r>
      <w:r w:rsidRPr="00C240B7">
        <w:t xml:space="preserve">. 9th </w:t>
      </w:r>
      <w:proofErr w:type="spellStart"/>
      <w:proofErr w:type="gramStart"/>
      <w:r w:rsidRPr="00C240B7">
        <w:t>edn</w:t>
      </w:r>
      <w:proofErr w:type="spellEnd"/>
      <w:proofErr w:type="gramEnd"/>
      <w:r w:rsidRPr="00C240B7">
        <w:t>. Boston: Cengage Learning.</w:t>
      </w:r>
    </w:p>
    <w:p w14:paraId="57A2DEBC" w14:textId="77777777" w:rsidR="00C240B7" w:rsidRPr="00C240B7" w:rsidRDefault="00C240B7" w:rsidP="00C240B7">
      <w:r w:rsidRPr="00C240B7">
        <w:t xml:space="preserve">Schein, E.H. (2010) </w:t>
      </w:r>
      <w:r w:rsidRPr="00C240B7">
        <w:rPr>
          <w:i/>
          <w:iCs/>
        </w:rPr>
        <w:t>Organizational Culture and Leadership</w:t>
      </w:r>
      <w:r w:rsidRPr="00C240B7">
        <w:t xml:space="preserve">. 4th </w:t>
      </w:r>
      <w:proofErr w:type="spellStart"/>
      <w:proofErr w:type="gramStart"/>
      <w:r w:rsidRPr="00C240B7">
        <w:t>edn</w:t>
      </w:r>
      <w:proofErr w:type="spellEnd"/>
      <w:proofErr w:type="gramEnd"/>
      <w:r w:rsidRPr="00C240B7">
        <w:t>. San Francisco: Jossey-Bass.</w:t>
      </w:r>
    </w:p>
    <w:p w14:paraId="1E47B6C7" w14:textId="77777777" w:rsidR="00C240B7" w:rsidRPr="00C240B7" w:rsidRDefault="00C240B7" w:rsidP="00C240B7">
      <w:r w:rsidRPr="00C240B7">
        <w:t xml:space="preserve">Trompenaars, F. and Hampden-Turner, C. (2012) </w:t>
      </w:r>
      <w:r w:rsidRPr="00C240B7">
        <w:rPr>
          <w:i/>
          <w:iCs/>
        </w:rPr>
        <w:t>Managing People Across Cultures</w:t>
      </w:r>
      <w:r w:rsidRPr="00C240B7">
        <w:t xml:space="preserve">. 2nd </w:t>
      </w:r>
      <w:proofErr w:type="spellStart"/>
      <w:proofErr w:type="gramStart"/>
      <w:r w:rsidRPr="00C240B7">
        <w:t>edn</w:t>
      </w:r>
      <w:proofErr w:type="spellEnd"/>
      <w:proofErr w:type="gramEnd"/>
      <w:r w:rsidRPr="00C240B7">
        <w:t>. Oxford: Capstone.</w:t>
      </w:r>
    </w:p>
    <w:p w14:paraId="403BBA06" w14:textId="77777777" w:rsidR="00C240B7" w:rsidRPr="00C240B7" w:rsidRDefault="00C240B7" w:rsidP="00C240B7">
      <w:proofErr w:type="spellStart"/>
      <w:r w:rsidRPr="00C240B7">
        <w:t>Usunier</w:t>
      </w:r>
      <w:proofErr w:type="spellEnd"/>
      <w:r w:rsidRPr="00C240B7">
        <w:t xml:space="preserve">, J.-C. and </w:t>
      </w:r>
      <w:proofErr w:type="spellStart"/>
      <w:r w:rsidRPr="00C240B7">
        <w:t>Roulin</w:t>
      </w:r>
      <w:proofErr w:type="spellEnd"/>
      <w:r w:rsidRPr="00C240B7">
        <w:t xml:space="preserve">, N. (2010) ‘The influence of cultural value orientations on trust’, </w:t>
      </w:r>
      <w:r w:rsidRPr="00C240B7">
        <w:rPr>
          <w:i/>
          <w:iCs/>
        </w:rPr>
        <w:t>Journal of International Business Studies</w:t>
      </w:r>
      <w:r w:rsidRPr="00C240B7">
        <w:t>, 41(8), pp. 1224–1241.</w:t>
      </w:r>
    </w:p>
    <w:p w14:paraId="4E5C47D4" w14:textId="77777777" w:rsidR="00C240B7" w:rsidRPr="00C240B7" w:rsidRDefault="00C240B7" w:rsidP="00C240B7">
      <w:r w:rsidRPr="00C240B7">
        <w:t xml:space="preserve">Varner, I. and Palmer, T. (2005) ‘Role of cultural self-knowledge in international business communication’, </w:t>
      </w:r>
      <w:r w:rsidRPr="00C240B7">
        <w:rPr>
          <w:i/>
          <w:iCs/>
        </w:rPr>
        <w:t>Journal of Business Communication</w:t>
      </w:r>
      <w:r w:rsidRPr="00C240B7">
        <w:t>, 42(3), pp. 245–261.</w:t>
      </w:r>
    </w:p>
    <w:p w14:paraId="453C6D14" w14:textId="77777777" w:rsidR="00C240B7" w:rsidRPr="00C240B7" w:rsidRDefault="00C240B7" w:rsidP="00C240B7">
      <w:r w:rsidRPr="00C240B7">
        <w:t xml:space="preserve">Yum, J.O. (1988) ‘The impact of Confucianism on interpersonal relationships and communication patterns in East Asia’, </w:t>
      </w:r>
      <w:r w:rsidRPr="00C240B7">
        <w:rPr>
          <w:i/>
          <w:iCs/>
        </w:rPr>
        <w:t>Communication Monographs</w:t>
      </w:r>
      <w:r w:rsidRPr="00C240B7">
        <w:t>, 55(4), pp. 374–388.</w:t>
      </w:r>
    </w:p>
    <w:p w14:paraId="3A3162AC" w14:textId="77777777" w:rsidR="00C240B7" w:rsidRPr="00C240B7" w:rsidRDefault="00C240B7" w:rsidP="00C240B7">
      <w:r w:rsidRPr="00C240B7">
        <w:t xml:space="preserve">Yates, J. and Orlikowski, W.J. (2002) ‘Genre systems: Structuring interaction through communicative norms’, </w:t>
      </w:r>
      <w:r w:rsidRPr="00C240B7">
        <w:rPr>
          <w:i/>
          <w:iCs/>
        </w:rPr>
        <w:t>Journal of Business Communication</w:t>
      </w:r>
      <w:r w:rsidRPr="00C240B7">
        <w:t>, 39(1), pp. 13–38.</w:t>
      </w:r>
    </w:p>
    <w:p w14:paraId="069F0023" w14:textId="77777777" w:rsidR="00C240B7" w:rsidRPr="00C240B7" w:rsidRDefault="00C240B7">
      <w:pPr>
        <w:rPr>
          <w:rFonts w:hint="eastAsia"/>
        </w:rPr>
      </w:pPr>
    </w:p>
    <w:sectPr w:rsidR="00C240B7" w:rsidRPr="00C240B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F84E16"/>
    <w:multiLevelType w:val="hybridMultilevel"/>
    <w:tmpl w:val="D8B67736"/>
    <w:lvl w:ilvl="0" w:tplc="BB683468">
      <w:start w:val="1"/>
      <w:numFmt w:val="bullet"/>
      <w:lvlText w:val="•"/>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DF8EE50C">
      <w:start w:val="1"/>
      <w:numFmt w:val="bullet"/>
      <w:lvlText w:val="o"/>
      <w:lvlJc w:val="left"/>
      <w:pPr>
        <w:ind w:left="154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86724518">
      <w:start w:val="1"/>
      <w:numFmt w:val="bullet"/>
      <w:lvlText w:val="▪"/>
      <w:lvlJc w:val="left"/>
      <w:pPr>
        <w:ind w:left="226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2426390E">
      <w:start w:val="1"/>
      <w:numFmt w:val="bullet"/>
      <w:lvlText w:val="•"/>
      <w:lvlJc w:val="left"/>
      <w:pPr>
        <w:ind w:left="298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1BC23B6C">
      <w:start w:val="1"/>
      <w:numFmt w:val="bullet"/>
      <w:lvlText w:val="o"/>
      <w:lvlJc w:val="left"/>
      <w:pPr>
        <w:ind w:left="370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15D28AB4">
      <w:start w:val="1"/>
      <w:numFmt w:val="bullet"/>
      <w:lvlText w:val="▪"/>
      <w:lvlJc w:val="left"/>
      <w:pPr>
        <w:ind w:left="442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A6B4D8BE">
      <w:start w:val="1"/>
      <w:numFmt w:val="bullet"/>
      <w:lvlText w:val="•"/>
      <w:lvlJc w:val="left"/>
      <w:pPr>
        <w:ind w:left="514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7428B8E2">
      <w:start w:val="1"/>
      <w:numFmt w:val="bullet"/>
      <w:lvlText w:val="o"/>
      <w:lvlJc w:val="left"/>
      <w:pPr>
        <w:ind w:left="586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2676DC64">
      <w:start w:val="1"/>
      <w:numFmt w:val="bullet"/>
      <w:lvlText w:val="▪"/>
      <w:lvlJc w:val="left"/>
      <w:pPr>
        <w:ind w:left="658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num w:numId="1" w16cid:durableId="1465585915">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3D5"/>
    <w:rsid w:val="000660F6"/>
    <w:rsid w:val="004713D5"/>
    <w:rsid w:val="006E415A"/>
    <w:rsid w:val="00761205"/>
    <w:rsid w:val="00C240B7"/>
    <w:rsid w:val="00CD578F"/>
    <w:rsid w:val="00CF6FDF"/>
    <w:rsid w:val="00D34D05"/>
    <w:rsid w:val="00E11D6D"/>
    <w:rsid w:val="00EF3B73"/>
    <w:rsid w:val="00FB32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DB1BA"/>
  <w15:chartTrackingRefBased/>
  <w15:docId w15:val="{DB95841F-D9B8-4E18-A8DB-136E26E5B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4713D5"/>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4713D5"/>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4713D5"/>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4713D5"/>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4713D5"/>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4713D5"/>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4713D5"/>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713D5"/>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4713D5"/>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713D5"/>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4713D5"/>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4713D5"/>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4713D5"/>
    <w:rPr>
      <w:rFonts w:cstheme="majorBidi"/>
      <w:color w:val="0F4761" w:themeColor="accent1" w:themeShade="BF"/>
      <w:sz w:val="28"/>
      <w:szCs w:val="28"/>
    </w:rPr>
  </w:style>
  <w:style w:type="character" w:customStyle="1" w:styleId="50">
    <w:name w:val="标题 5 字符"/>
    <w:basedOn w:val="a0"/>
    <w:link w:val="5"/>
    <w:uiPriority w:val="9"/>
    <w:semiHidden/>
    <w:rsid w:val="004713D5"/>
    <w:rPr>
      <w:rFonts w:cstheme="majorBidi"/>
      <w:color w:val="0F4761" w:themeColor="accent1" w:themeShade="BF"/>
      <w:sz w:val="24"/>
    </w:rPr>
  </w:style>
  <w:style w:type="character" w:customStyle="1" w:styleId="60">
    <w:name w:val="标题 6 字符"/>
    <w:basedOn w:val="a0"/>
    <w:link w:val="6"/>
    <w:uiPriority w:val="9"/>
    <w:semiHidden/>
    <w:rsid w:val="004713D5"/>
    <w:rPr>
      <w:rFonts w:cstheme="majorBidi"/>
      <w:b/>
      <w:bCs/>
      <w:color w:val="0F4761" w:themeColor="accent1" w:themeShade="BF"/>
    </w:rPr>
  </w:style>
  <w:style w:type="character" w:customStyle="1" w:styleId="70">
    <w:name w:val="标题 7 字符"/>
    <w:basedOn w:val="a0"/>
    <w:link w:val="7"/>
    <w:uiPriority w:val="9"/>
    <w:semiHidden/>
    <w:rsid w:val="004713D5"/>
    <w:rPr>
      <w:rFonts w:cstheme="majorBidi"/>
      <w:b/>
      <w:bCs/>
      <w:color w:val="595959" w:themeColor="text1" w:themeTint="A6"/>
    </w:rPr>
  </w:style>
  <w:style w:type="character" w:customStyle="1" w:styleId="80">
    <w:name w:val="标题 8 字符"/>
    <w:basedOn w:val="a0"/>
    <w:link w:val="8"/>
    <w:uiPriority w:val="9"/>
    <w:semiHidden/>
    <w:rsid w:val="004713D5"/>
    <w:rPr>
      <w:rFonts w:cstheme="majorBidi"/>
      <w:color w:val="595959" w:themeColor="text1" w:themeTint="A6"/>
    </w:rPr>
  </w:style>
  <w:style w:type="character" w:customStyle="1" w:styleId="90">
    <w:name w:val="标题 9 字符"/>
    <w:basedOn w:val="a0"/>
    <w:link w:val="9"/>
    <w:uiPriority w:val="9"/>
    <w:semiHidden/>
    <w:rsid w:val="004713D5"/>
    <w:rPr>
      <w:rFonts w:eastAsiaTheme="majorEastAsia" w:cstheme="majorBidi"/>
      <w:color w:val="595959" w:themeColor="text1" w:themeTint="A6"/>
    </w:rPr>
  </w:style>
  <w:style w:type="paragraph" w:styleId="a3">
    <w:name w:val="Title"/>
    <w:basedOn w:val="a"/>
    <w:next w:val="a"/>
    <w:link w:val="a4"/>
    <w:uiPriority w:val="10"/>
    <w:qFormat/>
    <w:rsid w:val="004713D5"/>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713D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713D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713D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713D5"/>
    <w:pPr>
      <w:spacing w:before="160"/>
      <w:jc w:val="center"/>
    </w:pPr>
    <w:rPr>
      <w:i/>
      <w:iCs/>
      <w:color w:val="404040" w:themeColor="text1" w:themeTint="BF"/>
    </w:rPr>
  </w:style>
  <w:style w:type="character" w:customStyle="1" w:styleId="a8">
    <w:name w:val="引用 字符"/>
    <w:basedOn w:val="a0"/>
    <w:link w:val="a7"/>
    <w:uiPriority w:val="29"/>
    <w:rsid w:val="004713D5"/>
    <w:rPr>
      <w:i/>
      <w:iCs/>
      <w:color w:val="404040" w:themeColor="text1" w:themeTint="BF"/>
    </w:rPr>
  </w:style>
  <w:style w:type="paragraph" w:styleId="a9">
    <w:name w:val="List Paragraph"/>
    <w:basedOn w:val="a"/>
    <w:uiPriority w:val="34"/>
    <w:qFormat/>
    <w:rsid w:val="004713D5"/>
    <w:pPr>
      <w:ind w:left="720"/>
      <w:contextualSpacing/>
    </w:pPr>
  </w:style>
  <w:style w:type="character" w:styleId="aa">
    <w:name w:val="Intense Emphasis"/>
    <w:basedOn w:val="a0"/>
    <w:uiPriority w:val="21"/>
    <w:qFormat/>
    <w:rsid w:val="004713D5"/>
    <w:rPr>
      <w:i/>
      <w:iCs/>
      <w:color w:val="0F4761" w:themeColor="accent1" w:themeShade="BF"/>
    </w:rPr>
  </w:style>
  <w:style w:type="paragraph" w:styleId="ab">
    <w:name w:val="Intense Quote"/>
    <w:basedOn w:val="a"/>
    <w:next w:val="a"/>
    <w:link w:val="ac"/>
    <w:uiPriority w:val="30"/>
    <w:qFormat/>
    <w:rsid w:val="004713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4713D5"/>
    <w:rPr>
      <w:i/>
      <w:iCs/>
      <w:color w:val="0F4761" w:themeColor="accent1" w:themeShade="BF"/>
    </w:rPr>
  </w:style>
  <w:style w:type="character" w:styleId="ad">
    <w:name w:val="Intense Reference"/>
    <w:basedOn w:val="a0"/>
    <w:uiPriority w:val="32"/>
    <w:qFormat/>
    <w:rsid w:val="004713D5"/>
    <w:rPr>
      <w:b/>
      <w:bCs/>
      <w:smallCaps/>
      <w:color w:val="0F4761" w:themeColor="accent1" w:themeShade="BF"/>
      <w:spacing w:val="5"/>
    </w:rPr>
  </w:style>
  <w:style w:type="paragraph" w:styleId="ae">
    <w:name w:val="Body Text"/>
    <w:basedOn w:val="a"/>
    <w:link w:val="af"/>
    <w:semiHidden/>
    <w:qFormat/>
    <w:rsid w:val="00D34D05"/>
    <w:rPr>
      <w:rFonts w:ascii="Arial" w:eastAsia="Arial" w:hAnsi="Arial" w:cs="Arial"/>
      <w:sz w:val="70"/>
      <w:szCs w:val="70"/>
      <w:lang w:eastAsia="en-US"/>
    </w:rPr>
  </w:style>
  <w:style w:type="character" w:customStyle="1" w:styleId="af">
    <w:name w:val="正文文本 字符"/>
    <w:basedOn w:val="a0"/>
    <w:link w:val="ae"/>
    <w:semiHidden/>
    <w:rsid w:val="00D34D05"/>
    <w:rPr>
      <w:rFonts w:ascii="Arial" w:eastAsia="Arial" w:hAnsi="Arial" w:cs="Arial"/>
      <w:sz w:val="70"/>
      <w:szCs w:val="70"/>
      <w:lang w:eastAsia="en-US"/>
    </w:rPr>
  </w:style>
  <w:style w:type="paragraph" w:customStyle="1" w:styleId="TableText">
    <w:name w:val="Table Text"/>
    <w:basedOn w:val="a"/>
    <w:semiHidden/>
    <w:qFormat/>
    <w:rsid w:val="00D34D05"/>
    <w:rPr>
      <w:rFonts w:ascii="Arial" w:eastAsia="Arial" w:hAnsi="Arial" w:cs="Arial"/>
      <w:szCs w:val="22"/>
      <w:lang w:eastAsia="en-US"/>
    </w:rPr>
  </w:style>
  <w:style w:type="table" w:customStyle="1" w:styleId="TableNormal">
    <w:name w:val="Table Normal"/>
    <w:semiHidden/>
    <w:unhideWhenUsed/>
    <w:qFormat/>
    <w:rsid w:val="00D34D05"/>
    <w:pPr>
      <w:spacing w:after="0" w:line="240" w:lineRule="auto"/>
    </w:pPr>
    <w:rPr>
      <w:rFonts w:ascii="Times New Roman" w:eastAsia="宋体" w:hAnsi="Times New Roman" w:cs="Times New Roman"/>
      <w:kern w:val="0"/>
      <w:sz w:val="20"/>
      <w:szCs w:val="20"/>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242</TotalTime>
  <Pages>16</Pages>
  <Words>3265</Words>
  <Characters>19790</Characters>
  <Application>Microsoft Office Word</Application>
  <DocSecurity>0</DocSecurity>
  <Lines>388</Lines>
  <Paragraphs>113</Paragraphs>
  <ScaleCrop>false</ScaleCrop>
  <Company/>
  <LinksUpToDate>false</LinksUpToDate>
  <CharactersWithSpaces>22942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Xiaoyu Sun (2503344)</dc:creator>
  <cp:keywords/>
  <dc:description/>
  <cp:lastModifiedBy>Xiaoyu Sun (2503344)</cp:lastModifiedBy>
  <cp:revision>2</cp:revision>
  <dcterms:created xsi:type="dcterms:W3CDTF">2025-12-10T01:41:00Z</dcterms:created>
  <dcterms:modified xsi:type="dcterms:W3CDTF">2025-12-10T05:44:00Z</dcterms:modified>
</cp:coreProperties>
</file>