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53E12" w14:textId="77777777" w:rsidR="00F16147" w:rsidRPr="00632DCF" w:rsidRDefault="00F16147" w:rsidP="00632DCF">
      <w:pPr>
        <w:spacing w:after="0" w:afterAutospacing="0" w:line="360" w:lineRule="auto"/>
        <w:ind w:firstLine="0"/>
        <w:contextualSpacing/>
        <w:rPr>
          <w:rFonts w:ascii="Arial" w:hAnsi="Arial" w:cs="Arial"/>
          <w:sz w:val="24"/>
          <w:szCs w:val="24"/>
        </w:rPr>
      </w:pPr>
    </w:p>
    <w:p w14:paraId="452B252F" w14:textId="77777777" w:rsidR="00167DAB" w:rsidRDefault="00167DAB" w:rsidP="00632DCF">
      <w:pPr>
        <w:spacing w:after="0" w:afterAutospacing="0" w:line="360" w:lineRule="auto"/>
        <w:ind w:firstLine="0"/>
        <w:contextualSpacing/>
        <w:rPr>
          <w:rFonts w:ascii="Arial" w:hAnsi="Arial" w:cs="Arial"/>
          <w:sz w:val="24"/>
          <w:szCs w:val="24"/>
        </w:rPr>
      </w:pPr>
    </w:p>
    <w:p w14:paraId="0B9DA008" w14:textId="77777777" w:rsidR="00632DCF" w:rsidRDefault="00632DCF" w:rsidP="00632DCF">
      <w:pPr>
        <w:spacing w:after="0" w:afterAutospacing="0" w:line="360" w:lineRule="auto"/>
        <w:ind w:firstLine="0"/>
        <w:contextualSpacing/>
        <w:rPr>
          <w:rFonts w:ascii="Arial" w:hAnsi="Arial" w:cs="Arial"/>
          <w:sz w:val="24"/>
          <w:szCs w:val="24"/>
        </w:rPr>
      </w:pPr>
    </w:p>
    <w:p w14:paraId="5C51593B" w14:textId="77777777" w:rsidR="00632DCF" w:rsidRDefault="00632DCF" w:rsidP="00632DCF">
      <w:pPr>
        <w:spacing w:after="0" w:afterAutospacing="0" w:line="360" w:lineRule="auto"/>
        <w:ind w:firstLine="0"/>
        <w:contextualSpacing/>
        <w:rPr>
          <w:rFonts w:ascii="Arial" w:hAnsi="Arial" w:cs="Arial"/>
          <w:sz w:val="24"/>
          <w:szCs w:val="24"/>
        </w:rPr>
      </w:pPr>
    </w:p>
    <w:p w14:paraId="1D50CBE7" w14:textId="77777777" w:rsidR="00632DCF" w:rsidRPr="00632DCF" w:rsidRDefault="00632DCF" w:rsidP="00632DCF">
      <w:pPr>
        <w:spacing w:after="0" w:afterAutospacing="0" w:line="360" w:lineRule="auto"/>
        <w:ind w:firstLine="0"/>
        <w:contextualSpacing/>
        <w:rPr>
          <w:rFonts w:ascii="Arial" w:hAnsi="Arial" w:cs="Arial"/>
          <w:sz w:val="24"/>
          <w:szCs w:val="24"/>
        </w:rPr>
      </w:pPr>
    </w:p>
    <w:p w14:paraId="233E6474" w14:textId="77777777" w:rsidR="00606625" w:rsidRPr="00632DCF" w:rsidRDefault="00606625" w:rsidP="00632DCF">
      <w:pPr>
        <w:spacing w:after="0" w:afterAutospacing="0" w:line="360" w:lineRule="auto"/>
        <w:ind w:firstLine="0"/>
        <w:contextualSpacing/>
        <w:rPr>
          <w:rFonts w:ascii="Arial" w:hAnsi="Arial" w:cs="Arial"/>
          <w:sz w:val="24"/>
          <w:szCs w:val="24"/>
        </w:rPr>
      </w:pPr>
    </w:p>
    <w:p w14:paraId="2BA06A98" w14:textId="77777777" w:rsidR="00606625" w:rsidRPr="00632DCF" w:rsidRDefault="00606625" w:rsidP="00632DCF">
      <w:pPr>
        <w:spacing w:after="0" w:afterAutospacing="0" w:line="360" w:lineRule="auto"/>
        <w:ind w:firstLine="0"/>
        <w:contextualSpacing/>
        <w:rPr>
          <w:rFonts w:ascii="Arial" w:hAnsi="Arial" w:cs="Arial"/>
          <w:sz w:val="24"/>
          <w:szCs w:val="24"/>
        </w:rPr>
      </w:pPr>
    </w:p>
    <w:p w14:paraId="44260264" w14:textId="77777777" w:rsidR="00606625" w:rsidRPr="00632DCF" w:rsidRDefault="00606625" w:rsidP="00632DCF">
      <w:pPr>
        <w:spacing w:after="0" w:afterAutospacing="0" w:line="360" w:lineRule="auto"/>
        <w:ind w:firstLine="0"/>
        <w:contextualSpacing/>
        <w:rPr>
          <w:rFonts w:ascii="Arial" w:hAnsi="Arial" w:cs="Arial"/>
          <w:sz w:val="24"/>
          <w:szCs w:val="24"/>
        </w:rPr>
      </w:pPr>
    </w:p>
    <w:p w14:paraId="322215A3" w14:textId="77777777" w:rsidR="0003453C" w:rsidRDefault="0003453C" w:rsidP="00632DCF">
      <w:pPr>
        <w:spacing w:after="0" w:afterAutospacing="0" w:line="360" w:lineRule="auto"/>
        <w:ind w:firstLine="0"/>
        <w:contextualSpacing/>
        <w:jc w:val="center"/>
        <w:rPr>
          <w:rFonts w:ascii="Arial" w:hAnsi="Arial" w:cs="Arial"/>
          <w:b/>
          <w:bCs/>
          <w:sz w:val="24"/>
          <w:szCs w:val="24"/>
        </w:rPr>
      </w:pPr>
      <w:r>
        <w:rPr>
          <w:rFonts w:ascii="Arial" w:hAnsi="Arial" w:cs="Arial"/>
          <w:b/>
          <w:bCs/>
          <w:sz w:val="24"/>
          <w:szCs w:val="24"/>
        </w:rPr>
        <w:t>Report</w:t>
      </w:r>
    </w:p>
    <w:p w14:paraId="01368083" w14:textId="227D0B2A" w:rsidR="00606625" w:rsidRPr="00632DCF" w:rsidRDefault="0003453C" w:rsidP="00632DCF">
      <w:pPr>
        <w:spacing w:after="0" w:afterAutospacing="0" w:line="360" w:lineRule="auto"/>
        <w:ind w:firstLine="0"/>
        <w:contextualSpacing/>
        <w:jc w:val="center"/>
        <w:rPr>
          <w:rFonts w:ascii="Arial" w:hAnsi="Arial" w:cs="Arial"/>
          <w:b/>
          <w:bCs/>
          <w:sz w:val="24"/>
          <w:szCs w:val="24"/>
        </w:rPr>
      </w:pPr>
      <w:r>
        <w:rPr>
          <w:rFonts w:ascii="Arial" w:hAnsi="Arial" w:cs="Arial"/>
          <w:b/>
          <w:bCs/>
          <w:sz w:val="24"/>
          <w:szCs w:val="24"/>
        </w:rPr>
        <w:t xml:space="preserve"> </w:t>
      </w:r>
      <w:r w:rsidR="00000000" w:rsidRPr="00632DCF">
        <w:rPr>
          <w:rFonts w:ascii="Arial" w:hAnsi="Arial" w:cs="Arial"/>
          <w:b/>
          <w:bCs/>
          <w:sz w:val="24"/>
          <w:szCs w:val="24"/>
        </w:rPr>
        <w:t>Sustainable Practices in the Hotel Industry: A Case Study on Hilton Garden Inn London Heathrow</w:t>
      </w:r>
    </w:p>
    <w:p w14:paraId="22ECCE53" w14:textId="77777777" w:rsidR="003571E3" w:rsidRPr="00632DCF" w:rsidRDefault="003571E3" w:rsidP="00632DCF">
      <w:pPr>
        <w:spacing w:after="0" w:afterAutospacing="0" w:line="360" w:lineRule="auto"/>
        <w:ind w:firstLine="0"/>
        <w:contextualSpacing/>
        <w:jc w:val="center"/>
        <w:rPr>
          <w:rFonts w:ascii="Arial" w:hAnsi="Arial" w:cs="Arial"/>
          <w:b/>
          <w:bCs/>
          <w:sz w:val="24"/>
          <w:szCs w:val="24"/>
        </w:rPr>
      </w:pPr>
    </w:p>
    <w:p w14:paraId="71B40A7C" w14:textId="0B0EF6EF" w:rsidR="003571E3" w:rsidRDefault="00000000" w:rsidP="00632DCF">
      <w:pPr>
        <w:spacing w:after="0" w:afterAutospacing="0" w:line="360" w:lineRule="auto"/>
        <w:ind w:firstLine="0"/>
        <w:contextualSpacing/>
        <w:jc w:val="center"/>
        <w:rPr>
          <w:rFonts w:ascii="Arial" w:hAnsi="Arial" w:cs="Arial"/>
          <w:sz w:val="24"/>
          <w:szCs w:val="24"/>
        </w:rPr>
      </w:pPr>
      <w:r w:rsidRPr="00632DCF">
        <w:rPr>
          <w:rFonts w:ascii="Arial" w:hAnsi="Arial" w:cs="Arial"/>
          <w:sz w:val="24"/>
          <w:szCs w:val="24"/>
        </w:rPr>
        <w:t>Studen</w:t>
      </w:r>
      <w:r w:rsidR="0003453C">
        <w:rPr>
          <w:rFonts w:ascii="Arial" w:hAnsi="Arial" w:cs="Arial"/>
          <w:sz w:val="24"/>
          <w:szCs w:val="24"/>
        </w:rPr>
        <w:t xml:space="preserve">t </w:t>
      </w:r>
      <w:r w:rsidRPr="00632DCF">
        <w:rPr>
          <w:rFonts w:ascii="Arial" w:hAnsi="Arial" w:cs="Arial"/>
          <w:sz w:val="24"/>
          <w:szCs w:val="24"/>
        </w:rPr>
        <w:t>Name</w:t>
      </w:r>
      <w:r w:rsidR="0003453C">
        <w:rPr>
          <w:rFonts w:ascii="Arial" w:hAnsi="Arial" w:cs="Arial"/>
          <w:sz w:val="24"/>
          <w:szCs w:val="24"/>
        </w:rPr>
        <w:t xml:space="preserve">: Silviu </w:t>
      </w:r>
      <w:proofErr w:type="spellStart"/>
      <w:r w:rsidR="0003453C">
        <w:rPr>
          <w:rFonts w:ascii="Arial" w:hAnsi="Arial" w:cs="Arial"/>
          <w:sz w:val="24"/>
          <w:szCs w:val="24"/>
        </w:rPr>
        <w:t>Cilica</w:t>
      </w:r>
      <w:proofErr w:type="spellEnd"/>
    </w:p>
    <w:p w14:paraId="444746F0" w14:textId="3B2D9B29" w:rsidR="0003453C" w:rsidRPr="00632DCF" w:rsidRDefault="0003453C" w:rsidP="00632DCF">
      <w:pPr>
        <w:spacing w:after="0" w:afterAutospacing="0" w:line="360" w:lineRule="auto"/>
        <w:ind w:firstLine="0"/>
        <w:contextualSpacing/>
        <w:jc w:val="center"/>
        <w:rPr>
          <w:rFonts w:ascii="Arial" w:hAnsi="Arial" w:cs="Arial"/>
          <w:sz w:val="24"/>
          <w:szCs w:val="24"/>
        </w:rPr>
      </w:pPr>
      <w:r>
        <w:rPr>
          <w:rFonts w:ascii="Arial" w:hAnsi="Arial" w:cs="Arial"/>
          <w:sz w:val="24"/>
          <w:szCs w:val="24"/>
        </w:rPr>
        <w:t>Student number: 2225055</w:t>
      </w:r>
    </w:p>
    <w:p w14:paraId="23033591" w14:textId="5CB659C2" w:rsidR="003571E3" w:rsidRPr="00632DCF" w:rsidRDefault="0003453C" w:rsidP="00632DCF">
      <w:pPr>
        <w:spacing w:after="0" w:afterAutospacing="0" w:line="360" w:lineRule="auto"/>
        <w:ind w:firstLine="0"/>
        <w:contextualSpacing/>
        <w:jc w:val="center"/>
        <w:rPr>
          <w:rFonts w:ascii="Arial" w:hAnsi="Arial" w:cs="Arial"/>
          <w:sz w:val="24"/>
          <w:szCs w:val="24"/>
        </w:rPr>
      </w:pPr>
      <w:r>
        <w:rPr>
          <w:rFonts w:ascii="Arial" w:hAnsi="Arial" w:cs="Arial"/>
          <w:sz w:val="24"/>
          <w:szCs w:val="24"/>
        </w:rPr>
        <w:t xml:space="preserve">Module Title: </w:t>
      </w:r>
      <w:r w:rsidR="003A1840">
        <w:rPr>
          <w:rFonts w:ascii="Arial" w:hAnsi="Arial" w:cs="Arial"/>
          <w:sz w:val="24"/>
          <w:szCs w:val="24"/>
        </w:rPr>
        <w:t>Sustainable Hospitality &amp; Tourism Management</w:t>
      </w:r>
    </w:p>
    <w:p w14:paraId="4D2AB6F2" w14:textId="5D17DFBF" w:rsidR="003571E3" w:rsidRPr="00632DCF" w:rsidRDefault="003A1840" w:rsidP="00632DCF">
      <w:pPr>
        <w:spacing w:after="0" w:afterAutospacing="0" w:line="360" w:lineRule="auto"/>
        <w:ind w:firstLine="0"/>
        <w:contextualSpacing/>
        <w:jc w:val="center"/>
        <w:rPr>
          <w:rFonts w:ascii="Arial" w:hAnsi="Arial" w:cs="Arial"/>
          <w:sz w:val="24"/>
          <w:szCs w:val="24"/>
        </w:rPr>
      </w:pPr>
      <w:r>
        <w:rPr>
          <w:rFonts w:ascii="Arial" w:hAnsi="Arial" w:cs="Arial"/>
          <w:sz w:val="24"/>
          <w:szCs w:val="24"/>
        </w:rPr>
        <w:t>Module Cod: BMIH 5006</w:t>
      </w:r>
    </w:p>
    <w:p w14:paraId="7AB92F63" w14:textId="03C2283E" w:rsidR="003571E3" w:rsidRPr="00632DCF" w:rsidRDefault="003A1840" w:rsidP="00632DCF">
      <w:pPr>
        <w:spacing w:after="0" w:afterAutospacing="0" w:line="360" w:lineRule="auto"/>
        <w:ind w:firstLine="0"/>
        <w:contextualSpacing/>
        <w:jc w:val="center"/>
        <w:rPr>
          <w:rFonts w:ascii="Arial" w:hAnsi="Arial" w:cs="Arial"/>
          <w:sz w:val="24"/>
          <w:szCs w:val="24"/>
        </w:rPr>
      </w:pPr>
      <w:r>
        <w:rPr>
          <w:rFonts w:ascii="Arial" w:hAnsi="Arial" w:cs="Arial"/>
          <w:sz w:val="24"/>
          <w:szCs w:val="24"/>
        </w:rPr>
        <w:t xml:space="preserve">Lecturer: Giulia </w:t>
      </w:r>
      <w:proofErr w:type="spellStart"/>
      <w:r>
        <w:rPr>
          <w:rFonts w:ascii="Arial" w:hAnsi="Arial" w:cs="Arial"/>
          <w:sz w:val="24"/>
          <w:szCs w:val="24"/>
        </w:rPr>
        <w:t>Chifari</w:t>
      </w:r>
      <w:proofErr w:type="spellEnd"/>
    </w:p>
    <w:p w14:paraId="2D5BE220" w14:textId="50634557" w:rsidR="003571E3" w:rsidRPr="00632DCF" w:rsidRDefault="003571E3" w:rsidP="00632DCF">
      <w:pPr>
        <w:spacing w:after="0" w:afterAutospacing="0" w:line="360" w:lineRule="auto"/>
        <w:ind w:firstLine="0"/>
        <w:contextualSpacing/>
        <w:jc w:val="center"/>
        <w:rPr>
          <w:rFonts w:ascii="Arial" w:hAnsi="Arial" w:cs="Arial"/>
          <w:sz w:val="24"/>
          <w:szCs w:val="24"/>
        </w:rPr>
      </w:pPr>
    </w:p>
    <w:p w14:paraId="38FEB486" w14:textId="77777777" w:rsidR="003571E3" w:rsidRPr="00632DCF" w:rsidRDefault="003571E3" w:rsidP="00632DCF">
      <w:pPr>
        <w:spacing w:after="0" w:afterAutospacing="0" w:line="360" w:lineRule="auto"/>
        <w:ind w:firstLine="0"/>
        <w:contextualSpacing/>
        <w:jc w:val="center"/>
        <w:rPr>
          <w:rFonts w:ascii="Arial" w:hAnsi="Arial" w:cs="Arial"/>
          <w:sz w:val="24"/>
          <w:szCs w:val="24"/>
        </w:rPr>
      </w:pPr>
    </w:p>
    <w:p w14:paraId="1E605CC9" w14:textId="77777777" w:rsidR="003571E3" w:rsidRPr="00632DCF" w:rsidRDefault="003571E3" w:rsidP="00632DCF">
      <w:pPr>
        <w:spacing w:after="0" w:afterAutospacing="0" w:line="360" w:lineRule="auto"/>
        <w:ind w:firstLine="0"/>
        <w:contextualSpacing/>
        <w:jc w:val="center"/>
        <w:rPr>
          <w:rFonts w:ascii="Arial" w:hAnsi="Arial" w:cs="Arial"/>
          <w:sz w:val="24"/>
          <w:szCs w:val="24"/>
        </w:rPr>
      </w:pPr>
    </w:p>
    <w:p w14:paraId="71D45845" w14:textId="77777777" w:rsidR="003571E3" w:rsidRPr="00632DCF" w:rsidRDefault="003571E3" w:rsidP="00632DCF">
      <w:pPr>
        <w:spacing w:after="0" w:afterAutospacing="0" w:line="360" w:lineRule="auto"/>
        <w:ind w:firstLine="0"/>
        <w:contextualSpacing/>
        <w:jc w:val="center"/>
        <w:rPr>
          <w:rFonts w:ascii="Arial" w:hAnsi="Arial" w:cs="Arial"/>
          <w:sz w:val="24"/>
          <w:szCs w:val="24"/>
        </w:rPr>
      </w:pPr>
    </w:p>
    <w:p w14:paraId="7A4B3351" w14:textId="77777777" w:rsidR="003571E3" w:rsidRPr="00632DCF" w:rsidRDefault="003571E3" w:rsidP="00632DCF">
      <w:pPr>
        <w:spacing w:after="0" w:afterAutospacing="0" w:line="360" w:lineRule="auto"/>
        <w:ind w:firstLine="0"/>
        <w:contextualSpacing/>
        <w:jc w:val="center"/>
        <w:rPr>
          <w:rFonts w:ascii="Arial" w:hAnsi="Arial" w:cs="Arial"/>
          <w:sz w:val="24"/>
          <w:szCs w:val="24"/>
        </w:rPr>
      </w:pPr>
    </w:p>
    <w:p w14:paraId="31FCAC21" w14:textId="77777777" w:rsidR="003571E3" w:rsidRPr="00632DCF" w:rsidRDefault="003571E3" w:rsidP="00632DCF">
      <w:pPr>
        <w:spacing w:after="0" w:afterAutospacing="0" w:line="360" w:lineRule="auto"/>
        <w:ind w:firstLine="0"/>
        <w:contextualSpacing/>
        <w:jc w:val="center"/>
        <w:rPr>
          <w:rFonts w:ascii="Arial" w:hAnsi="Arial" w:cs="Arial"/>
          <w:sz w:val="24"/>
          <w:szCs w:val="24"/>
        </w:rPr>
      </w:pPr>
    </w:p>
    <w:p w14:paraId="456431A6" w14:textId="77777777" w:rsidR="003571E3" w:rsidRPr="00632DCF" w:rsidRDefault="003571E3" w:rsidP="00632DCF">
      <w:pPr>
        <w:spacing w:after="0" w:afterAutospacing="0" w:line="360" w:lineRule="auto"/>
        <w:ind w:firstLine="0"/>
        <w:contextualSpacing/>
        <w:jc w:val="center"/>
        <w:rPr>
          <w:rFonts w:ascii="Arial" w:hAnsi="Arial" w:cs="Arial"/>
          <w:sz w:val="24"/>
          <w:szCs w:val="24"/>
        </w:rPr>
      </w:pPr>
    </w:p>
    <w:p w14:paraId="2FD187F8" w14:textId="77777777" w:rsidR="003571E3" w:rsidRPr="00632DCF" w:rsidRDefault="003571E3" w:rsidP="00632DCF">
      <w:pPr>
        <w:spacing w:after="0" w:afterAutospacing="0" w:line="360" w:lineRule="auto"/>
        <w:ind w:firstLine="0"/>
        <w:contextualSpacing/>
        <w:jc w:val="center"/>
        <w:rPr>
          <w:rFonts w:ascii="Arial" w:hAnsi="Arial" w:cs="Arial"/>
          <w:sz w:val="24"/>
          <w:szCs w:val="24"/>
        </w:rPr>
      </w:pPr>
    </w:p>
    <w:p w14:paraId="145A06B2" w14:textId="77777777" w:rsidR="00606625" w:rsidRPr="00632DCF" w:rsidRDefault="00000000" w:rsidP="00632DCF">
      <w:pPr>
        <w:spacing w:after="0" w:afterAutospacing="0" w:line="360" w:lineRule="auto"/>
        <w:contextualSpacing/>
        <w:rPr>
          <w:rFonts w:ascii="Arial" w:hAnsi="Arial" w:cs="Arial"/>
          <w:sz w:val="24"/>
          <w:szCs w:val="24"/>
        </w:rPr>
      </w:pPr>
      <w:r w:rsidRPr="00632DCF">
        <w:rPr>
          <w:rFonts w:ascii="Arial" w:hAnsi="Arial" w:cs="Arial"/>
          <w:sz w:val="24"/>
          <w:szCs w:val="24"/>
        </w:rPr>
        <w:br w:type="page"/>
      </w:r>
    </w:p>
    <w:p w14:paraId="5CBF86B8" w14:textId="77777777" w:rsidR="003571E3" w:rsidRPr="00632DCF" w:rsidRDefault="00000000" w:rsidP="00632DCF">
      <w:pPr>
        <w:pStyle w:val="Heading1"/>
        <w:spacing w:before="0" w:afterAutospacing="0" w:line="360" w:lineRule="auto"/>
        <w:ind w:firstLine="0"/>
        <w:contextualSpacing/>
        <w:jc w:val="center"/>
        <w:rPr>
          <w:rFonts w:ascii="Arial" w:hAnsi="Arial" w:cs="Arial"/>
          <w:b/>
          <w:bCs/>
          <w:color w:val="auto"/>
          <w:sz w:val="24"/>
          <w:szCs w:val="24"/>
        </w:rPr>
      </w:pPr>
      <w:bookmarkStart w:id="0" w:name="_Toc182091750"/>
      <w:r w:rsidRPr="00632DCF">
        <w:rPr>
          <w:rFonts w:ascii="Arial" w:hAnsi="Arial" w:cs="Arial"/>
          <w:b/>
          <w:bCs/>
          <w:color w:val="auto"/>
          <w:sz w:val="24"/>
          <w:szCs w:val="24"/>
        </w:rPr>
        <w:lastRenderedPageBreak/>
        <w:t>Acknowledgment</w:t>
      </w:r>
      <w:bookmarkEnd w:id="0"/>
    </w:p>
    <w:p w14:paraId="3AA0398E" w14:textId="77777777" w:rsidR="003571E3" w:rsidRPr="00632DCF" w:rsidRDefault="00000000" w:rsidP="00632DCF">
      <w:pPr>
        <w:spacing w:after="0" w:afterAutospacing="0" w:line="360" w:lineRule="auto"/>
        <w:ind w:firstLine="0"/>
        <w:contextualSpacing/>
        <w:rPr>
          <w:rFonts w:ascii="Arial" w:hAnsi="Arial" w:cs="Arial"/>
          <w:sz w:val="24"/>
          <w:szCs w:val="24"/>
        </w:rPr>
      </w:pPr>
      <w:r w:rsidRPr="00632DCF">
        <w:rPr>
          <w:rFonts w:ascii="Arial" w:hAnsi="Arial" w:cs="Arial"/>
          <w:sz w:val="24"/>
          <w:szCs w:val="24"/>
        </w:rPr>
        <w:tab/>
        <w:t>I confirm that I have not used any AI tools in the research and creation of this assignment. I confirm that I have not presented any AI-generated materials as my work. I confirm that I have copies of my drafts, notes, and other resources I used, which I may be asked to provide in evidence.</w:t>
      </w:r>
    </w:p>
    <w:p w14:paraId="2FCCC7F7"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5E201E3A"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11348C90"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28011C99"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4DB2DA78"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617412F8"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3D08AB15"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10980931"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33A557FF"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692D9824"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15329A5C"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515889DF"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4CAE10AB"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4CC25619"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566DDF16"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50143F4F"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33CD9E41" w14:textId="77777777" w:rsidR="003571E3" w:rsidRPr="00632DCF" w:rsidRDefault="00000000" w:rsidP="00632DCF">
      <w:pPr>
        <w:spacing w:after="0" w:afterAutospacing="0" w:line="360" w:lineRule="auto"/>
        <w:contextualSpacing/>
        <w:rPr>
          <w:rFonts w:ascii="Arial" w:hAnsi="Arial" w:cs="Arial"/>
          <w:sz w:val="24"/>
          <w:szCs w:val="24"/>
        </w:rPr>
      </w:pPr>
      <w:r w:rsidRPr="00632DCF">
        <w:rPr>
          <w:rFonts w:ascii="Arial" w:hAnsi="Arial" w:cs="Arial"/>
          <w:sz w:val="24"/>
          <w:szCs w:val="24"/>
        </w:rPr>
        <w:br w:type="page"/>
      </w:r>
    </w:p>
    <w:p w14:paraId="723CF44F" w14:textId="77777777" w:rsidR="00606625" w:rsidRPr="00632DCF" w:rsidRDefault="00000000" w:rsidP="00632DCF">
      <w:pPr>
        <w:pStyle w:val="Heading1"/>
        <w:spacing w:before="0" w:afterAutospacing="0" w:line="360" w:lineRule="auto"/>
        <w:ind w:firstLine="0"/>
        <w:contextualSpacing/>
        <w:jc w:val="center"/>
        <w:rPr>
          <w:rFonts w:ascii="Arial" w:hAnsi="Arial" w:cs="Arial"/>
          <w:b/>
          <w:bCs/>
          <w:color w:val="auto"/>
          <w:sz w:val="24"/>
          <w:szCs w:val="24"/>
        </w:rPr>
      </w:pPr>
      <w:bookmarkStart w:id="1" w:name="_Toc182091751"/>
      <w:r w:rsidRPr="00632DCF">
        <w:rPr>
          <w:rFonts w:ascii="Arial" w:hAnsi="Arial" w:cs="Arial"/>
          <w:b/>
          <w:bCs/>
          <w:color w:val="auto"/>
          <w:sz w:val="24"/>
          <w:szCs w:val="24"/>
        </w:rPr>
        <w:lastRenderedPageBreak/>
        <w:t>Executive Summary</w:t>
      </w:r>
      <w:bookmarkEnd w:id="1"/>
    </w:p>
    <w:p w14:paraId="27756C98" w14:textId="77777777" w:rsidR="003571E3" w:rsidRPr="00632DCF" w:rsidRDefault="00000000" w:rsidP="00632DCF">
      <w:pPr>
        <w:spacing w:after="0" w:afterAutospacing="0" w:line="360" w:lineRule="auto"/>
        <w:contextualSpacing/>
        <w:rPr>
          <w:rFonts w:ascii="Arial" w:hAnsi="Arial" w:cs="Arial"/>
          <w:sz w:val="24"/>
          <w:szCs w:val="24"/>
        </w:rPr>
      </w:pPr>
      <w:r w:rsidRPr="00632DCF">
        <w:rPr>
          <w:rFonts w:ascii="Arial" w:hAnsi="Arial" w:cs="Arial"/>
          <w:sz w:val="24"/>
          <w:szCs w:val="24"/>
        </w:rPr>
        <w:t>This paper aims to analyze sustainability within the context of the hotel sector in general, concerning the Hilton Garden Inn London Heathrow. Hilton Garden Inn, a Green Key-certified hotel and restaurant, has already embraced energy efficiency by deploying sunlight and water-energy conservation devices, particularly in areas where water consumption is high, like dishwashing. However, there is still significant room for improvement in reducing the hotel's environmental impact, particularly in water efficiency. Among these, the most strategic interventions include gray water recycling, the water used in sinks, showers, and washing machines for purposes other than drinking. The practice supports water-saving efforts and the worldwide trend of environmental manufacturing in the hotel industry. This research indicates that implementing a greywater recycling system would increase the ecological stewardship of the hotel and optimize performance. Additionally, it would strengthen Hilton Garden Inn's strategy to attract environmentally conscious consumers who prioritize ecologically friendly products and services. This report's research analyzes the risks and opportunities of implementing greywater recycling, providing specific recommendations on how this hotel can enhance sustainability and its brand.</w:t>
      </w:r>
    </w:p>
    <w:p w14:paraId="5ED3BA4A" w14:textId="77777777" w:rsidR="003571E3" w:rsidRPr="00632DCF" w:rsidRDefault="00000000" w:rsidP="00632DCF">
      <w:pPr>
        <w:spacing w:after="0" w:afterAutospacing="0" w:line="360" w:lineRule="auto"/>
        <w:ind w:firstLine="0"/>
        <w:contextualSpacing/>
        <w:rPr>
          <w:rFonts w:ascii="Arial" w:hAnsi="Arial" w:cs="Arial"/>
          <w:sz w:val="24"/>
          <w:szCs w:val="24"/>
        </w:rPr>
      </w:pPr>
      <w:r w:rsidRPr="00632DCF">
        <w:rPr>
          <w:rFonts w:ascii="Arial" w:hAnsi="Arial" w:cs="Arial"/>
          <w:sz w:val="24"/>
          <w:szCs w:val="24"/>
        </w:rPr>
        <w:t> </w:t>
      </w:r>
    </w:p>
    <w:p w14:paraId="7B9E9620" w14:textId="77777777" w:rsidR="003571E3" w:rsidRPr="00632DCF" w:rsidRDefault="00000000" w:rsidP="00632DCF">
      <w:pPr>
        <w:spacing w:after="0" w:afterAutospacing="0" w:line="360" w:lineRule="auto"/>
        <w:ind w:firstLine="0"/>
        <w:contextualSpacing/>
        <w:rPr>
          <w:rFonts w:ascii="Arial" w:hAnsi="Arial" w:cs="Arial"/>
          <w:sz w:val="24"/>
          <w:szCs w:val="24"/>
        </w:rPr>
      </w:pPr>
      <w:r w:rsidRPr="00632DCF">
        <w:rPr>
          <w:rFonts w:ascii="Arial" w:hAnsi="Arial" w:cs="Arial"/>
          <w:sz w:val="24"/>
          <w:szCs w:val="24"/>
        </w:rPr>
        <w:t> </w:t>
      </w:r>
    </w:p>
    <w:p w14:paraId="0DF24363"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220FE6E3"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57195599"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01F5C533" w14:textId="77777777" w:rsidR="003571E3" w:rsidRPr="00632DCF" w:rsidRDefault="00000000" w:rsidP="00632DCF">
      <w:pPr>
        <w:spacing w:after="0" w:afterAutospacing="0" w:line="360" w:lineRule="auto"/>
        <w:contextualSpacing/>
        <w:rPr>
          <w:rFonts w:ascii="Arial" w:hAnsi="Arial" w:cs="Arial"/>
          <w:sz w:val="24"/>
          <w:szCs w:val="24"/>
        </w:rPr>
      </w:pPr>
      <w:r w:rsidRPr="00632DCF">
        <w:rPr>
          <w:rFonts w:ascii="Arial" w:hAnsi="Arial" w:cs="Arial"/>
          <w:sz w:val="24"/>
          <w:szCs w:val="24"/>
        </w:rPr>
        <w:br w:type="page"/>
      </w:r>
    </w:p>
    <w:sdt>
      <w:sdtPr>
        <w:rPr>
          <w:rFonts w:ascii="Arial" w:eastAsiaTheme="minorHAnsi" w:hAnsi="Arial" w:cs="Arial"/>
          <w:color w:val="auto"/>
          <w:kern w:val="2"/>
          <w:sz w:val="24"/>
          <w:szCs w:val="24"/>
          <w14:ligatures w14:val="standardContextual"/>
        </w:rPr>
        <w:id w:val="886846016"/>
        <w:docPartObj>
          <w:docPartGallery w:val="Table of Contents"/>
          <w:docPartUnique/>
        </w:docPartObj>
      </w:sdtPr>
      <w:sdtEndPr>
        <w:rPr>
          <w:noProof/>
        </w:rPr>
      </w:sdtEndPr>
      <w:sdtContent>
        <w:p w14:paraId="4C9AD73F" w14:textId="77777777" w:rsidR="003571E3" w:rsidRPr="00632DCF" w:rsidRDefault="00000000" w:rsidP="00632DCF">
          <w:pPr>
            <w:pStyle w:val="TOCHeading"/>
            <w:spacing w:before="0" w:line="360" w:lineRule="auto"/>
            <w:contextualSpacing/>
            <w:jc w:val="center"/>
            <w:rPr>
              <w:rFonts w:ascii="Arial" w:hAnsi="Arial" w:cs="Arial"/>
              <w:b/>
              <w:bCs/>
              <w:color w:val="auto"/>
              <w:sz w:val="24"/>
              <w:szCs w:val="24"/>
            </w:rPr>
          </w:pPr>
          <w:r w:rsidRPr="00632DCF">
            <w:rPr>
              <w:rFonts w:ascii="Arial" w:hAnsi="Arial" w:cs="Arial"/>
              <w:b/>
              <w:bCs/>
              <w:color w:val="auto"/>
              <w:sz w:val="24"/>
              <w:szCs w:val="24"/>
            </w:rPr>
            <w:t>Table of Contents</w:t>
          </w:r>
        </w:p>
        <w:p w14:paraId="6B405BAF" w14:textId="78A4B417" w:rsidR="003571E3" w:rsidRPr="00632DCF" w:rsidRDefault="00000000" w:rsidP="00632DCF">
          <w:pPr>
            <w:pStyle w:val="TOC1"/>
            <w:tabs>
              <w:tab w:val="right" w:leader="dot" w:pos="9350"/>
            </w:tabs>
            <w:spacing w:after="0" w:afterAutospacing="0" w:line="360" w:lineRule="auto"/>
            <w:ind w:firstLine="0"/>
            <w:contextualSpacing/>
            <w:rPr>
              <w:rFonts w:ascii="Arial" w:eastAsiaTheme="minorEastAsia" w:hAnsi="Arial" w:cs="Arial"/>
              <w:noProof/>
              <w:sz w:val="24"/>
              <w:szCs w:val="24"/>
            </w:rPr>
          </w:pPr>
          <w:r w:rsidRPr="00632DCF">
            <w:rPr>
              <w:rFonts w:ascii="Arial" w:hAnsi="Arial" w:cs="Arial"/>
              <w:sz w:val="24"/>
              <w:szCs w:val="24"/>
            </w:rPr>
            <w:fldChar w:fldCharType="begin"/>
          </w:r>
          <w:r w:rsidRPr="00632DCF">
            <w:rPr>
              <w:rFonts w:ascii="Arial" w:hAnsi="Arial" w:cs="Arial"/>
              <w:sz w:val="24"/>
              <w:szCs w:val="24"/>
            </w:rPr>
            <w:instrText xml:space="preserve"> TOC \o "1-3" \h \z \u </w:instrText>
          </w:r>
          <w:r w:rsidRPr="00632DCF">
            <w:rPr>
              <w:rFonts w:ascii="Arial" w:hAnsi="Arial" w:cs="Arial"/>
              <w:sz w:val="24"/>
              <w:szCs w:val="24"/>
            </w:rPr>
            <w:fldChar w:fldCharType="separate"/>
          </w:r>
          <w:hyperlink w:anchor="_Toc182091750" w:history="1">
            <w:r w:rsidR="003571E3" w:rsidRPr="00632DCF">
              <w:rPr>
                <w:rStyle w:val="Hyperlink"/>
                <w:rFonts w:ascii="Arial" w:hAnsi="Arial" w:cs="Arial"/>
                <w:noProof/>
                <w:color w:val="auto"/>
                <w:sz w:val="24"/>
                <w:szCs w:val="24"/>
              </w:rPr>
              <w:t>Acknowledgement</w:t>
            </w:r>
            <w:r w:rsidR="003571E3" w:rsidRPr="00632DCF">
              <w:rPr>
                <w:rFonts w:ascii="Arial" w:hAnsi="Arial" w:cs="Arial"/>
                <w:noProof/>
                <w:webHidden/>
                <w:sz w:val="24"/>
                <w:szCs w:val="24"/>
              </w:rPr>
              <w:tab/>
            </w:r>
            <w:r w:rsidR="003571E3" w:rsidRPr="00632DCF">
              <w:rPr>
                <w:rFonts w:ascii="Arial" w:hAnsi="Arial" w:cs="Arial"/>
                <w:noProof/>
                <w:webHidden/>
                <w:sz w:val="24"/>
                <w:szCs w:val="24"/>
              </w:rPr>
              <w:fldChar w:fldCharType="begin"/>
            </w:r>
            <w:r w:rsidR="003571E3" w:rsidRPr="00632DCF">
              <w:rPr>
                <w:rFonts w:ascii="Arial" w:hAnsi="Arial" w:cs="Arial"/>
                <w:noProof/>
                <w:webHidden/>
                <w:sz w:val="24"/>
                <w:szCs w:val="24"/>
              </w:rPr>
              <w:instrText xml:space="preserve"> PAGEREF _Toc182091750 \h </w:instrText>
            </w:r>
            <w:r w:rsidR="003571E3" w:rsidRPr="00632DCF">
              <w:rPr>
                <w:rFonts w:ascii="Arial" w:hAnsi="Arial" w:cs="Arial"/>
                <w:noProof/>
                <w:webHidden/>
                <w:sz w:val="24"/>
                <w:szCs w:val="24"/>
              </w:rPr>
            </w:r>
            <w:r w:rsidR="003571E3" w:rsidRPr="00632DCF">
              <w:rPr>
                <w:rFonts w:ascii="Arial" w:hAnsi="Arial" w:cs="Arial"/>
                <w:noProof/>
                <w:webHidden/>
                <w:sz w:val="24"/>
                <w:szCs w:val="24"/>
              </w:rPr>
              <w:fldChar w:fldCharType="separate"/>
            </w:r>
            <w:r w:rsidR="001D779C">
              <w:rPr>
                <w:rFonts w:ascii="Arial" w:hAnsi="Arial" w:cs="Arial"/>
                <w:noProof/>
                <w:webHidden/>
                <w:sz w:val="24"/>
                <w:szCs w:val="24"/>
              </w:rPr>
              <w:t>2</w:t>
            </w:r>
            <w:r w:rsidR="003571E3" w:rsidRPr="00632DCF">
              <w:rPr>
                <w:rFonts w:ascii="Arial" w:hAnsi="Arial" w:cs="Arial"/>
                <w:noProof/>
                <w:webHidden/>
                <w:sz w:val="24"/>
                <w:szCs w:val="24"/>
              </w:rPr>
              <w:fldChar w:fldCharType="end"/>
            </w:r>
          </w:hyperlink>
        </w:p>
        <w:p w14:paraId="1F0A4A94" w14:textId="7FC6F77C" w:rsidR="003571E3" w:rsidRPr="00632DCF" w:rsidRDefault="003571E3" w:rsidP="00632DCF">
          <w:pPr>
            <w:pStyle w:val="TOC1"/>
            <w:tabs>
              <w:tab w:val="right" w:leader="dot" w:pos="9350"/>
            </w:tabs>
            <w:spacing w:after="0" w:afterAutospacing="0" w:line="360" w:lineRule="auto"/>
            <w:ind w:firstLine="0"/>
            <w:contextualSpacing/>
            <w:rPr>
              <w:rFonts w:ascii="Arial" w:eastAsiaTheme="minorEastAsia" w:hAnsi="Arial" w:cs="Arial"/>
              <w:noProof/>
              <w:sz w:val="24"/>
              <w:szCs w:val="24"/>
            </w:rPr>
          </w:pPr>
          <w:hyperlink w:anchor="_Toc182091751" w:history="1">
            <w:r w:rsidRPr="00632DCF">
              <w:rPr>
                <w:rStyle w:val="Hyperlink"/>
                <w:rFonts w:ascii="Arial" w:hAnsi="Arial" w:cs="Arial"/>
                <w:noProof/>
                <w:color w:val="auto"/>
                <w:sz w:val="24"/>
                <w:szCs w:val="24"/>
              </w:rPr>
              <w:t>Executive Summary</w:t>
            </w:r>
            <w:r w:rsidRPr="00632DCF">
              <w:rPr>
                <w:rFonts w:ascii="Arial" w:hAnsi="Arial" w:cs="Arial"/>
                <w:noProof/>
                <w:webHidden/>
                <w:sz w:val="24"/>
                <w:szCs w:val="24"/>
              </w:rPr>
              <w:tab/>
            </w:r>
            <w:r w:rsidRPr="00632DCF">
              <w:rPr>
                <w:rFonts w:ascii="Arial" w:hAnsi="Arial" w:cs="Arial"/>
                <w:noProof/>
                <w:webHidden/>
                <w:sz w:val="24"/>
                <w:szCs w:val="24"/>
              </w:rPr>
              <w:fldChar w:fldCharType="begin"/>
            </w:r>
            <w:r w:rsidRPr="00632DCF">
              <w:rPr>
                <w:rFonts w:ascii="Arial" w:hAnsi="Arial" w:cs="Arial"/>
                <w:noProof/>
                <w:webHidden/>
                <w:sz w:val="24"/>
                <w:szCs w:val="24"/>
              </w:rPr>
              <w:instrText xml:space="preserve"> PAGEREF _Toc182091751 \h </w:instrText>
            </w:r>
            <w:r w:rsidRPr="00632DCF">
              <w:rPr>
                <w:rFonts w:ascii="Arial" w:hAnsi="Arial" w:cs="Arial"/>
                <w:noProof/>
                <w:webHidden/>
                <w:sz w:val="24"/>
                <w:szCs w:val="24"/>
              </w:rPr>
            </w:r>
            <w:r w:rsidRPr="00632DCF">
              <w:rPr>
                <w:rFonts w:ascii="Arial" w:hAnsi="Arial" w:cs="Arial"/>
                <w:noProof/>
                <w:webHidden/>
                <w:sz w:val="24"/>
                <w:szCs w:val="24"/>
              </w:rPr>
              <w:fldChar w:fldCharType="separate"/>
            </w:r>
            <w:r w:rsidR="001D779C">
              <w:rPr>
                <w:rFonts w:ascii="Arial" w:hAnsi="Arial" w:cs="Arial"/>
                <w:noProof/>
                <w:webHidden/>
                <w:sz w:val="24"/>
                <w:szCs w:val="24"/>
              </w:rPr>
              <w:t>3</w:t>
            </w:r>
            <w:r w:rsidRPr="00632DCF">
              <w:rPr>
                <w:rFonts w:ascii="Arial" w:hAnsi="Arial" w:cs="Arial"/>
                <w:noProof/>
                <w:webHidden/>
                <w:sz w:val="24"/>
                <w:szCs w:val="24"/>
              </w:rPr>
              <w:fldChar w:fldCharType="end"/>
            </w:r>
          </w:hyperlink>
        </w:p>
        <w:p w14:paraId="68DBC8EF" w14:textId="2654982B" w:rsidR="003571E3" w:rsidRPr="00632DCF" w:rsidRDefault="003571E3" w:rsidP="00632DCF">
          <w:pPr>
            <w:pStyle w:val="TOC1"/>
            <w:tabs>
              <w:tab w:val="right" w:leader="dot" w:pos="9350"/>
            </w:tabs>
            <w:spacing w:after="0" w:afterAutospacing="0" w:line="360" w:lineRule="auto"/>
            <w:ind w:firstLine="0"/>
            <w:contextualSpacing/>
            <w:rPr>
              <w:rFonts w:ascii="Arial" w:eastAsiaTheme="minorEastAsia" w:hAnsi="Arial" w:cs="Arial"/>
              <w:noProof/>
              <w:sz w:val="24"/>
              <w:szCs w:val="24"/>
            </w:rPr>
          </w:pPr>
          <w:hyperlink w:anchor="_Toc182091752" w:history="1">
            <w:r w:rsidRPr="00632DCF">
              <w:rPr>
                <w:rStyle w:val="Hyperlink"/>
                <w:rFonts w:ascii="Arial" w:hAnsi="Arial" w:cs="Arial"/>
                <w:noProof/>
                <w:color w:val="auto"/>
                <w:sz w:val="24"/>
                <w:szCs w:val="24"/>
              </w:rPr>
              <w:t>Introduction</w:t>
            </w:r>
            <w:r w:rsidRPr="00632DCF">
              <w:rPr>
                <w:rFonts w:ascii="Arial" w:hAnsi="Arial" w:cs="Arial"/>
                <w:noProof/>
                <w:webHidden/>
                <w:sz w:val="24"/>
                <w:szCs w:val="24"/>
              </w:rPr>
              <w:tab/>
            </w:r>
            <w:r w:rsidRPr="00632DCF">
              <w:rPr>
                <w:rFonts w:ascii="Arial" w:hAnsi="Arial" w:cs="Arial"/>
                <w:noProof/>
                <w:webHidden/>
                <w:sz w:val="24"/>
                <w:szCs w:val="24"/>
              </w:rPr>
              <w:fldChar w:fldCharType="begin"/>
            </w:r>
            <w:r w:rsidRPr="00632DCF">
              <w:rPr>
                <w:rFonts w:ascii="Arial" w:hAnsi="Arial" w:cs="Arial"/>
                <w:noProof/>
                <w:webHidden/>
                <w:sz w:val="24"/>
                <w:szCs w:val="24"/>
              </w:rPr>
              <w:instrText xml:space="preserve"> PAGEREF _Toc182091752 \h </w:instrText>
            </w:r>
            <w:r w:rsidRPr="00632DCF">
              <w:rPr>
                <w:rFonts w:ascii="Arial" w:hAnsi="Arial" w:cs="Arial"/>
                <w:noProof/>
                <w:webHidden/>
                <w:sz w:val="24"/>
                <w:szCs w:val="24"/>
              </w:rPr>
            </w:r>
            <w:r w:rsidRPr="00632DCF">
              <w:rPr>
                <w:rFonts w:ascii="Arial" w:hAnsi="Arial" w:cs="Arial"/>
                <w:noProof/>
                <w:webHidden/>
                <w:sz w:val="24"/>
                <w:szCs w:val="24"/>
              </w:rPr>
              <w:fldChar w:fldCharType="separate"/>
            </w:r>
            <w:r w:rsidR="001D779C">
              <w:rPr>
                <w:rFonts w:ascii="Arial" w:hAnsi="Arial" w:cs="Arial"/>
                <w:noProof/>
                <w:webHidden/>
                <w:sz w:val="24"/>
                <w:szCs w:val="24"/>
              </w:rPr>
              <w:t>5</w:t>
            </w:r>
            <w:r w:rsidRPr="00632DCF">
              <w:rPr>
                <w:rFonts w:ascii="Arial" w:hAnsi="Arial" w:cs="Arial"/>
                <w:noProof/>
                <w:webHidden/>
                <w:sz w:val="24"/>
                <w:szCs w:val="24"/>
              </w:rPr>
              <w:fldChar w:fldCharType="end"/>
            </w:r>
          </w:hyperlink>
        </w:p>
        <w:p w14:paraId="52B8695E" w14:textId="4098D20D" w:rsidR="003571E3" w:rsidRPr="00632DCF" w:rsidRDefault="003571E3" w:rsidP="00632DCF">
          <w:pPr>
            <w:pStyle w:val="TOC1"/>
            <w:tabs>
              <w:tab w:val="right" w:leader="dot" w:pos="9350"/>
            </w:tabs>
            <w:spacing w:after="0" w:afterAutospacing="0" w:line="360" w:lineRule="auto"/>
            <w:ind w:firstLine="0"/>
            <w:contextualSpacing/>
            <w:rPr>
              <w:rFonts w:ascii="Arial" w:eastAsiaTheme="minorEastAsia" w:hAnsi="Arial" w:cs="Arial"/>
              <w:noProof/>
              <w:sz w:val="24"/>
              <w:szCs w:val="24"/>
            </w:rPr>
          </w:pPr>
          <w:hyperlink w:anchor="_Toc182091753" w:history="1">
            <w:r w:rsidRPr="00632DCF">
              <w:rPr>
                <w:rStyle w:val="Hyperlink"/>
                <w:rFonts w:ascii="Arial" w:hAnsi="Arial" w:cs="Arial"/>
                <w:noProof/>
                <w:color w:val="auto"/>
                <w:sz w:val="24"/>
                <w:szCs w:val="24"/>
              </w:rPr>
              <w:t>Main Findings</w:t>
            </w:r>
            <w:r w:rsidRPr="00632DCF">
              <w:rPr>
                <w:rFonts w:ascii="Arial" w:hAnsi="Arial" w:cs="Arial"/>
                <w:noProof/>
                <w:webHidden/>
                <w:sz w:val="24"/>
                <w:szCs w:val="24"/>
              </w:rPr>
              <w:tab/>
            </w:r>
            <w:r w:rsidRPr="00632DCF">
              <w:rPr>
                <w:rFonts w:ascii="Arial" w:hAnsi="Arial" w:cs="Arial"/>
                <w:noProof/>
                <w:webHidden/>
                <w:sz w:val="24"/>
                <w:szCs w:val="24"/>
              </w:rPr>
              <w:fldChar w:fldCharType="begin"/>
            </w:r>
            <w:r w:rsidRPr="00632DCF">
              <w:rPr>
                <w:rFonts w:ascii="Arial" w:hAnsi="Arial" w:cs="Arial"/>
                <w:noProof/>
                <w:webHidden/>
                <w:sz w:val="24"/>
                <w:szCs w:val="24"/>
              </w:rPr>
              <w:instrText xml:space="preserve"> PAGEREF _Toc182091753 \h </w:instrText>
            </w:r>
            <w:r w:rsidRPr="00632DCF">
              <w:rPr>
                <w:rFonts w:ascii="Arial" w:hAnsi="Arial" w:cs="Arial"/>
                <w:noProof/>
                <w:webHidden/>
                <w:sz w:val="24"/>
                <w:szCs w:val="24"/>
              </w:rPr>
            </w:r>
            <w:r w:rsidRPr="00632DCF">
              <w:rPr>
                <w:rFonts w:ascii="Arial" w:hAnsi="Arial" w:cs="Arial"/>
                <w:noProof/>
                <w:webHidden/>
                <w:sz w:val="24"/>
                <w:szCs w:val="24"/>
              </w:rPr>
              <w:fldChar w:fldCharType="separate"/>
            </w:r>
            <w:r w:rsidR="001D779C">
              <w:rPr>
                <w:rFonts w:ascii="Arial" w:hAnsi="Arial" w:cs="Arial"/>
                <w:noProof/>
                <w:webHidden/>
                <w:sz w:val="24"/>
                <w:szCs w:val="24"/>
              </w:rPr>
              <w:t>5</w:t>
            </w:r>
            <w:r w:rsidRPr="00632DCF">
              <w:rPr>
                <w:rFonts w:ascii="Arial" w:hAnsi="Arial" w:cs="Arial"/>
                <w:noProof/>
                <w:webHidden/>
                <w:sz w:val="24"/>
                <w:szCs w:val="24"/>
              </w:rPr>
              <w:fldChar w:fldCharType="end"/>
            </w:r>
          </w:hyperlink>
        </w:p>
        <w:p w14:paraId="07AF0E3F" w14:textId="5ADFC356" w:rsidR="003571E3" w:rsidRPr="00632DCF" w:rsidRDefault="003571E3" w:rsidP="00632DCF">
          <w:pPr>
            <w:pStyle w:val="TOC2"/>
            <w:tabs>
              <w:tab w:val="right" w:leader="dot" w:pos="9350"/>
            </w:tabs>
            <w:spacing w:after="0" w:afterAutospacing="0" w:line="360" w:lineRule="auto"/>
            <w:ind w:firstLine="0"/>
            <w:contextualSpacing/>
            <w:rPr>
              <w:rFonts w:ascii="Arial" w:eastAsiaTheme="minorEastAsia" w:hAnsi="Arial" w:cs="Arial"/>
              <w:noProof/>
              <w:sz w:val="24"/>
              <w:szCs w:val="24"/>
            </w:rPr>
          </w:pPr>
          <w:hyperlink w:anchor="_Toc182091754" w:history="1">
            <w:r w:rsidRPr="00632DCF">
              <w:rPr>
                <w:rStyle w:val="Hyperlink"/>
                <w:rFonts w:ascii="Arial" w:hAnsi="Arial" w:cs="Arial"/>
                <w:noProof/>
                <w:color w:val="auto"/>
                <w:sz w:val="24"/>
                <w:szCs w:val="24"/>
              </w:rPr>
              <w:t>Overview of Greener Practices in Hospitality</w:t>
            </w:r>
            <w:r w:rsidRPr="00632DCF">
              <w:rPr>
                <w:rFonts w:ascii="Arial" w:hAnsi="Arial" w:cs="Arial"/>
                <w:noProof/>
                <w:webHidden/>
                <w:sz w:val="24"/>
                <w:szCs w:val="24"/>
              </w:rPr>
              <w:tab/>
            </w:r>
            <w:r w:rsidRPr="00632DCF">
              <w:rPr>
                <w:rFonts w:ascii="Arial" w:hAnsi="Arial" w:cs="Arial"/>
                <w:noProof/>
                <w:webHidden/>
                <w:sz w:val="24"/>
                <w:szCs w:val="24"/>
              </w:rPr>
              <w:fldChar w:fldCharType="begin"/>
            </w:r>
            <w:r w:rsidRPr="00632DCF">
              <w:rPr>
                <w:rFonts w:ascii="Arial" w:hAnsi="Arial" w:cs="Arial"/>
                <w:noProof/>
                <w:webHidden/>
                <w:sz w:val="24"/>
                <w:szCs w:val="24"/>
              </w:rPr>
              <w:instrText xml:space="preserve"> PAGEREF _Toc182091754 \h </w:instrText>
            </w:r>
            <w:r w:rsidRPr="00632DCF">
              <w:rPr>
                <w:rFonts w:ascii="Arial" w:hAnsi="Arial" w:cs="Arial"/>
                <w:noProof/>
                <w:webHidden/>
                <w:sz w:val="24"/>
                <w:szCs w:val="24"/>
              </w:rPr>
            </w:r>
            <w:r w:rsidRPr="00632DCF">
              <w:rPr>
                <w:rFonts w:ascii="Arial" w:hAnsi="Arial" w:cs="Arial"/>
                <w:noProof/>
                <w:webHidden/>
                <w:sz w:val="24"/>
                <w:szCs w:val="24"/>
              </w:rPr>
              <w:fldChar w:fldCharType="separate"/>
            </w:r>
            <w:r w:rsidR="001D779C">
              <w:rPr>
                <w:rFonts w:ascii="Arial" w:hAnsi="Arial" w:cs="Arial"/>
                <w:noProof/>
                <w:webHidden/>
                <w:sz w:val="24"/>
                <w:szCs w:val="24"/>
              </w:rPr>
              <w:t>5</w:t>
            </w:r>
            <w:r w:rsidRPr="00632DCF">
              <w:rPr>
                <w:rFonts w:ascii="Arial" w:hAnsi="Arial" w:cs="Arial"/>
                <w:noProof/>
                <w:webHidden/>
                <w:sz w:val="24"/>
                <w:szCs w:val="24"/>
              </w:rPr>
              <w:fldChar w:fldCharType="end"/>
            </w:r>
          </w:hyperlink>
        </w:p>
        <w:p w14:paraId="61C24B38" w14:textId="51B6BD6D" w:rsidR="003571E3" w:rsidRPr="00632DCF" w:rsidRDefault="003571E3" w:rsidP="00632DCF">
          <w:pPr>
            <w:pStyle w:val="TOC2"/>
            <w:tabs>
              <w:tab w:val="right" w:leader="dot" w:pos="9350"/>
            </w:tabs>
            <w:spacing w:after="0" w:afterAutospacing="0" w:line="360" w:lineRule="auto"/>
            <w:ind w:firstLine="0"/>
            <w:contextualSpacing/>
            <w:rPr>
              <w:rFonts w:ascii="Arial" w:eastAsiaTheme="minorEastAsia" w:hAnsi="Arial" w:cs="Arial"/>
              <w:noProof/>
              <w:sz w:val="24"/>
              <w:szCs w:val="24"/>
            </w:rPr>
          </w:pPr>
          <w:hyperlink w:anchor="_Toc182091755" w:history="1">
            <w:r w:rsidRPr="00632DCF">
              <w:rPr>
                <w:rStyle w:val="Hyperlink"/>
                <w:rFonts w:ascii="Arial" w:hAnsi="Arial" w:cs="Arial"/>
                <w:noProof/>
                <w:color w:val="auto"/>
                <w:sz w:val="24"/>
                <w:szCs w:val="24"/>
              </w:rPr>
              <w:t>Benefits of Integrating Sustainable Practices</w:t>
            </w:r>
            <w:r w:rsidRPr="00632DCF">
              <w:rPr>
                <w:rFonts w:ascii="Arial" w:hAnsi="Arial" w:cs="Arial"/>
                <w:noProof/>
                <w:webHidden/>
                <w:sz w:val="24"/>
                <w:szCs w:val="24"/>
              </w:rPr>
              <w:tab/>
            </w:r>
            <w:r w:rsidRPr="00632DCF">
              <w:rPr>
                <w:rFonts w:ascii="Arial" w:hAnsi="Arial" w:cs="Arial"/>
                <w:noProof/>
                <w:webHidden/>
                <w:sz w:val="24"/>
                <w:szCs w:val="24"/>
              </w:rPr>
              <w:fldChar w:fldCharType="begin"/>
            </w:r>
            <w:r w:rsidRPr="00632DCF">
              <w:rPr>
                <w:rFonts w:ascii="Arial" w:hAnsi="Arial" w:cs="Arial"/>
                <w:noProof/>
                <w:webHidden/>
                <w:sz w:val="24"/>
                <w:szCs w:val="24"/>
              </w:rPr>
              <w:instrText xml:space="preserve"> PAGEREF _Toc182091755 \h </w:instrText>
            </w:r>
            <w:r w:rsidRPr="00632DCF">
              <w:rPr>
                <w:rFonts w:ascii="Arial" w:hAnsi="Arial" w:cs="Arial"/>
                <w:noProof/>
                <w:webHidden/>
                <w:sz w:val="24"/>
                <w:szCs w:val="24"/>
              </w:rPr>
            </w:r>
            <w:r w:rsidRPr="00632DCF">
              <w:rPr>
                <w:rFonts w:ascii="Arial" w:hAnsi="Arial" w:cs="Arial"/>
                <w:noProof/>
                <w:webHidden/>
                <w:sz w:val="24"/>
                <w:szCs w:val="24"/>
              </w:rPr>
              <w:fldChar w:fldCharType="separate"/>
            </w:r>
            <w:r w:rsidR="001D779C">
              <w:rPr>
                <w:rFonts w:ascii="Arial" w:hAnsi="Arial" w:cs="Arial"/>
                <w:noProof/>
                <w:webHidden/>
                <w:sz w:val="24"/>
                <w:szCs w:val="24"/>
              </w:rPr>
              <w:t>7</w:t>
            </w:r>
            <w:r w:rsidRPr="00632DCF">
              <w:rPr>
                <w:rFonts w:ascii="Arial" w:hAnsi="Arial" w:cs="Arial"/>
                <w:noProof/>
                <w:webHidden/>
                <w:sz w:val="24"/>
                <w:szCs w:val="24"/>
              </w:rPr>
              <w:fldChar w:fldCharType="end"/>
            </w:r>
          </w:hyperlink>
        </w:p>
        <w:p w14:paraId="75CC965B" w14:textId="5FB4E6D9" w:rsidR="003571E3" w:rsidRPr="00632DCF" w:rsidRDefault="003571E3" w:rsidP="00632DCF">
          <w:pPr>
            <w:pStyle w:val="TOC2"/>
            <w:tabs>
              <w:tab w:val="right" w:leader="dot" w:pos="9350"/>
            </w:tabs>
            <w:spacing w:after="0" w:afterAutospacing="0" w:line="360" w:lineRule="auto"/>
            <w:ind w:firstLine="0"/>
            <w:contextualSpacing/>
            <w:rPr>
              <w:rFonts w:ascii="Arial" w:eastAsiaTheme="minorEastAsia" w:hAnsi="Arial" w:cs="Arial"/>
              <w:noProof/>
              <w:sz w:val="24"/>
              <w:szCs w:val="24"/>
            </w:rPr>
          </w:pPr>
          <w:hyperlink w:anchor="_Toc182091756" w:history="1">
            <w:r w:rsidRPr="00632DCF">
              <w:rPr>
                <w:rStyle w:val="Hyperlink"/>
                <w:rFonts w:ascii="Arial" w:hAnsi="Arial" w:cs="Arial"/>
                <w:noProof/>
                <w:color w:val="auto"/>
                <w:sz w:val="24"/>
                <w:szCs w:val="24"/>
              </w:rPr>
              <w:t>Challenges of Implementing Sustainable Initiatives</w:t>
            </w:r>
            <w:r w:rsidRPr="00632DCF">
              <w:rPr>
                <w:rFonts w:ascii="Arial" w:hAnsi="Arial" w:cs="Arial"/>
                <w:noProof/>
                <w:webHidden/>
                <w:sz w:val="24"/>
                <w:szCs w:val="24"/>
              </w:rPr>
              <w:tab/>
            </w:r>
            <w:r w:rsidRPr="00632DCF">
              <w:rPr>
                <w:rFonts w:ascii="Arial" w:hAnsi="Arial" w:cs="Arial"/>
                <w:noProof/>
                <w:webHidden/>
                <w:sz w:val="24"/>
                <w:szCs w:val="24"/>
              </w:rPr>
              <w:fldChar w:fldCharType="begin"/>
            </w:r>
            <w:r w:rsidRPr="00632DCF">
              <w:rPr>
                <w:rFonts w:ascii="Arial" w:hAnsi="Arial" w:cs="Arial"/>
                <w:noProof/>
                <w:webHidden/>
                <w:sz w:val="24"/>
                <w:szCs w:val="24"/>
              </w:rPr>
              <w:instrText xml:space="preserve"> PAGEREF _Toc182091756 \h </w:instrText>
            </w:r>
            <w:r w:rsidRPr="00632DCF">
              <w:rPr>
                <w:rFonts w:ascii="Arial" w:hAnsi="Arial" w:cs="Arial"/>
                <w:noProof/>
                <w:webHidden/>
                <w:sz w:val="24"/>
                <w:szCs w:val="24"/>
              </w:rPr>
            </w:r>
            <w:r w:rsidRPr="00632DCF">
              <w:rPr>
                <w:rFonts w:ascii="Arial" w:hAnsi="Arial" w:cs="Arial"/>
                <w:noProof/>
                <w:webHidden/>
                <w:sz w:val="24"/>
                <w:szCs w:val="24"/>
              </w:rPr>
              <w:fldChar w:fldCharType="separate"/>
            </w:r>
            <w:r w:rsidR="001D779C">
              <w:rPr>
                <w:rFonts w:ascii="Arial" w:hAnsi="Arial" w:cs="Arial"/>
                <w:noProof/>
                <w:webHidden/>
                <w:sz w:val="24"/>
                <w:szCs w:val="24"/>
              </w:rPr>
              <w:t>7</w:t>
            </w:r>
            <w:r w:rsidRPr="00632DCF">
              <w:rPr>
                <w:rFonts w:ascii="Arial" w:hAnsi="Arial" w:cs="Arial"/>
                <w:noProof/>
                <w:webHidden/>
                <w:sz w:val="24"/>
                <w:szCs w:val="24"/>
              </w:rPr>
              <w:fldChar w:fldCharType="end"/>
            </w:r>
          </w:hyperlink>
        </w:p>
        <w:p w14:paraId="44B11A4B" w14:textId="05E1D7D6" w:rsidR="003571E3" w:rsidRPr="00632DCF" w:rsidRDefault="003571E3" w:rsidP="00632DCF">
          <w:pPr>
            <w:pStyle w:val="TOC2"/>
            <w:tabs>
              <w:tab w:val="right" w:leader="dot" w:pos="9350"/>
            </w:tabs>
            <w:spacing w:after="0" w:afterAutospacing="0" w:line="360" w:lineRule="auto"/>
            <w:ind w:firstLine="0"/>
            <w:contextualSpacing/>
            <w:rPr>
              <w:rFonts w:ascii="Arial" w:eastAsiaTheme="minorEastAsia" w:hAnsi="Arial" w:cs="Arial"/>
              <w:noProof/>
              <w:sz w:val="24"/>
              <w:szCs w:val="24"/>
            </w:rPr>
          </w:pPr>
          <w:hyperlink w:anchor="_Toc182091757" w:history="1">
            <w:r w:rsidRPr="00632DCF">
              <w:rPr>
                <w:rStyle w:val="Hyperlink"/>
                <w:rFonts w:ascii="Arial" w:hAnsi="Arial" w:cs="Arial"/>
                <w:noProof/>
                <w:color w:val="auto"/>
                <w:sz w:val="24"/>
                <w:szCs w:val="24"/>
              </w:rPr>
              <w:t>Analysis of Greywater Recycling Systems</w:t>
            </w:r>
            <w:r w:rsidRPr="00632DCF">
              <w:rPr>
                <w:rFonts w:ascii="Arial" w:hAnsi="Arial" w:cs="Arial"/>
                <w:noProof/>
                <w:webHidden/>
                <w:sz w:val="24"/>
                <w:szCs w:val="24"/>
              </w:rPr>
              <w:tab/>
            </w:r>
            <w:r w:rsidRPr="00632DCF">
              <w:rPr>
                <w:rFonts w:ascii="Arial" w:hAnsi="Arial" w:cs="Arial"/>
                <w:noProof/>
                <w:webHidden/>
                <w:sz w:val="24"/>
                <w:szCs w:val="24"/>
              </w:rPr>
              <w:fldChar w:fldCharType="begin"/>
            </w:r>
            <w:r w:rsidRPr="00632DCF">
              <w:rPr>
                <w:rFonts w:ascii="Arial" w:hAnsi="Arial" w:cs="Arial"/>
                <w:noProof/>
                <w:webHidden/>
                <w:sz w:val="24"/>
                <w:szCs w:val="24"/>
              </w:rPr>
              <w:instrText xml:space="preserve"> PAGEREF _Toc182091757 \h </w:instrText>
            </w:r>
            <w:r w:rsidRPr="00632DCF">
              <w:rPr>
                <w:rFonts w:ascii="Arial" w:hAnsi="Arial" w:cs="Arial"/>
                <w:noProof/>
                <w:webHidden/>
                <w:sz w:val="24"/>
                <w:szCs w:val="24"/>
              </w:rPr>
            </w:r>
            <w:r w:rsidRPr="00632DCF">
              <w:rPr>
                <w:rFonts w:ascii="Arial" w:hAnsi="Arial" w:cs="Arial"/>
                <w:noProof/>
                <w:webHidden/>
                <w:sz w:val="24"/>
                <w:szCs w:val="24"/>
              </w:rPr>
              <w:fldChar w:fldCharType="separate"/>
            </w:r>
            <w:r w:rsidR="001D779C">
              <w:rPr>
                <w:rFonts w:ascii="Arial" w:hAnsi="Arial" w:cs="Arial"/>
                <w:noProof/>
                <w:webHidden/>
                <w:sz w:val="24"/>
                <w:szCs w:val="24"/>
              </w:rPr>
              <w:t>8</w:t>
            </w:r>
            <w:r w:rsidRPr="00632DCF">
              <w:rPr>
                <w:rFonts w:ascii="Arial" w:hAnsi="Arial" w:cs="Arial"/>
                <w:noProof/>
                <w:webHidden/>
                <w:sz w:val="24"/>
                <w:szCs w:val="24"/>
              </w:rPr>
              <w:fldChar w:fldCharType="end"/>
            </w:r>
          </w:hyperlink>
        </w:p>
        <w:p w14:paraId="594A8530" w14:textId="654CD75D" w:rsidR="003571E3" w:rsidRPr="00632DCF" w:rsidRDefault="003571E3" w:rsidP="00632DCF">
          <w:pPr>
            <w:pStyle w:val="TOC2"/>
            <w:tabs>
              <w:tab w:val="right" w:leader="dot" w:pos="9350"/>
            </w:tabs>
            <w:spacing w:after="0" w:afterAutospacing="0" w:line="360" w:lineRule="auto"/>
            <w:ind w:firstLine="0"/>
            <w:contextualSpacing/>
            <w:rPr>
              <w:rFonts w:ascii="Arial" w:eastAsiaTheme="minorEastAsia" w:hAnsi="Arial" w:cs="Arial"/>
              <w:noProof/>
              <w:sz w:val="24"/>
              <w:szCs w:val="24"/>
            </w:rPr>
          </w:pPr>
          <w:hyperlink w:anchor="_Toc182091758" w:history="1">
            <w:r w:rsidRPr="00632DCF">
              <w:rPr>
                <w:rStyle w:val="Hyperlink"/>
                <w:rFonts w:ascii="Arial" w:hAnsi="Arial" w:cs="Arial"/>
                <w:noProof/>
                <w:color w:val="auto"/>
                <w:sz w:val="24"/>
                <w:szCs w:val="24"/>
              </w:rPr>
              <w:t>Suitability for Hilton Garden Inn London Heathrow</w:t>
            </w:r>
            <w:r w:rsidRPr="00632DCF">
              <w:rPr>
                <w:rFonts w:ascii="Arial" w:hAnsi="Arial" w:cs="Arial"/>
                <w:noProof/>
                <w:webHidden/>
                <w:sz w:val="24"/>
                <w:szCs w:val="24"/>
              </w:rPr>
              <w:tab/>
            </w:r>
            <w:r w:rsidRPr="00632DCF">
              <w:rPr>
                <w:rFonts w:ascii="Arial" w:hAnsi="Arial" w:cs="Arial"/>
                <w:noProof/>
                <w:webHidden/>
                <w:sz w:val="24"/>
                <w:szCs w:val="24"/>
              </w:rPr>
              <w:fldChar w:fldCharType="begin"/>
            </w:r>
            <w:r w:rsidRPr="00632DCF">
              <w:rPr>
                <w:rFonts w:ascii="Arial" w:hAnsi="Arial" w:cs="Arial"/>
                <w:noProof/>
                <w:webHidden/>
                <w:sz w:val="24"/>
                <w:szCs w:val="24"/>
              </w:rPr>
              <w:instrText xml:space="preserve"> PAGEREF _Toc182091758 \h </w:instrText>
            </w:r>
            <w:r w:rsidRPr="00632DCF">
              <w:rPr>
                <w:rFonts w:ascii="Arial" w:hAnsi="Arial" w:cs="Arial"/>
                <w:noProof/>
                <w:webHidden/>
                <w:sz w:val="24"/>
                <w:szCs w:val="24"/>
              </w:rPr>
            </w:r>
            <w:r w:rsidRPr="00632DCF">
              <w:rPr>
                <w:rFonts w:ascii="Arial" w:hAnsi="Arial" w:cs="Arial"/>
                <w:noProof/>
                <w:webHidden/>
                <w:sz w:val="24"/>
                <w:szCs w:val="24"/>
              </w:rPr>
              <w:fldChar w:fldCharType="separate"/>
            </w:r>
            <w:r w:rsidR="001D779C">
              <w:rPr>
                <w:rFonts w:ascii="Arial" w:hAnsi="Arial" w:cs="Arial"/>
                <w:noProof/>
                <w:webHidden/>
                <w:sz w:val="24"/>
                <w:szCs w:val="24"/>
              </w:rPr>
              <w:t>9</w:t>
            </w:r>
            <w:r w:rsidRPr="00632DCF">
              <w:rPr>
                <w:rFonts w:ascii="Arial" w:hAnsi="Arial" w:cs="Arial"/>
                <w:noProof/>
                <w:webHidden/>
                <w:sz w:val="24"/>
                <w:szCs w:val="24"/>
              </w:rPr>
              <w:fldChar w:fldCharType="end"/>
            </w:r>
          </w:hyperlink>
        </w:p>
        <w:p w14:paraId="1AE46964" w14:textId="1DD09CC0" w:rsidR="003571E3" w:rsidRPr="00632DCF" w:rsidRDefault="003571E3" w:rsidP="00632DCF">
          <w:pPr>
            <w:pStyle w:val="TOC1"/>
            <w:tabs>
              <w:tab w:val="right" w:leader="dot" w:pos="9350"/>
            </w:tabs>
            <w:spacing w:after="0" w:afterAutospacing="0" w:line="360" w:lineRule="auto"/>
            <w:ind w:firstLine="0"/>
            <w:contextualSpacing/>
            <w:rPr>
              <w:rFonts w:ascii="Arial" w:eastAsiaTheme="minorEastAsia" w:hAnsi="Arial" w:cs="Arial"/>
              <w:noProof/>
              <w:sz w:val="24"/>
              <w:szCs w:val="24"/>
            </w:rPr>
          </w:pPr>
          <w:hyperlink w:anchor="_Toc182091759" w:history="1">
            <w:r w:rsidRPr="00632DCF">
              <w:rPr>
                <w:rStyle w:val="Hyperlink"/>
                <w:rFonts w:ascii="Arial" w:hAnsi="Arial" w:cs="Arial"/>
                <w:noProof/>
                <w:color w:val="auto"/>
                <w:sz w:val="24"/>
                <w:szCs w:val="24"/>
              </w:rPr>
              <w:t>Conclusion and Recommendations</w:t>
            </w:r>
            <w:r w:rsidRPr="00632DCF">
              <w:rPr>
                <w:rFonts w:ascii="Arial" w:hAnsi="Arial" w:cs="Arial"/>
                <w:noProof/>
                <w:webHidden/>
                <w:sz w:val="24"/>
                <w:szCs w:val="24"/>
              </w:rPr>
              <w:tab/>
            </w:r>
            <w:r w:rsidRPr="00632DCF">
              <w:rPr>
                <w:rFonts w:ascii="Arial" w:hAnsi="Arial" w:cs="Arial"/>
                <w:noProof/>
                <w:webHidden/>
                <w:sz w:val="24"/>
                <w:szCs w:val="24"/>
              </w:rPr>
              <w:fldChar w:fldCharType="begin"/>
            </w:r>
            <w:r w:rsidRPr="00632DCF">
              <w:rPr>
                <w:rFonts w:ascii="Arial" w:hAnsi="Arial" w:cs="Arial"/>
                <w:noProof/>
                <w:webHidden/>
                <w:sz w:val="24"/>
                <w:szCs w:val="24"/>
              </w:rPr>
              <w:instrText xml:space="preserve"> PAGEREF _Toc182091759 \h </w:instrText>
            </w:r>
            <w:r w:rsidRPr="00632DCF">
              <w:rPr>
                <w:rFonts w:ascii="Arial" w:hAnsi="Arial" w:cs="Arial"/>
                <w:noProof/>
                <w:webHidden/>
                <w:sz w:val="24"/>
                <w:szCs w:val="24"/>
              </w:rPr>
            </w:r>
            <w:r w:rsidRPr="00632DCF">
              <w:rPr>
                <w:rFonts w:ascii="Arial" w:hAnsi="Arial" w:cs="Arial"/>
                <w:noProof/>
                <w:webHidden/>
                <w:sz w:val="24"/>
                <w:szCs w:val="24"/>
              </w:rPr>
              <w:fldChar w:fldCharType="separate"/>
            </w:r>
            <w:r w:rsidR="001D779C">
              <w:rPr>
                <w:rFonts w:ascii="Arial" w:hAnsi="Arial" w:cs="Arial"/>
                <w:noProof/>
                <w:webHidden/>
                <w:sz w:val="24"/>
                <w:szCs w:val="24"/>
              </w:rPr>
              <w:t>9</w:t>
            </w:r>
            <w:r w:rsidRPr="00632DCF">
              <w:rPr>
                <w:rFonts w:ascii="Arial" w:hAnsi="Arial" w:cs="Arial"/>
                <w:noProof/>
                <w:webHidden/>
                <w:sz w:val="24"/>
                <w:szCs w:val="24"/>
              </w:rPr>
              <w:fldChar w:fldCharType="end"/>
            </w:r>
          </w:hyperlink>
        </w:p>
        <w:p w14:paraId="47ABEAD5" w14:textId="761D99AC" w:rsidR="003571E3" w:rsidRPr="00632DCF" w:rsidRDefault="003571E3" w:rsidP="00632DCF">
          <w:pPr>
            <w:pStyle w:val="TOC1"/>
            <w:tabs>
              <w:tab w:val="right" w:leader="dot" w:pos="9350"/>
            </w:tabs>
            <w:spacing w:after="0" w:afterAutospacing="0" w:line="360" w:lineRule="auto"/>
            <w:ind w:firstLine="0"/>
            <w:contextualSpacing/>
            <w:rPr>
              <w:rFonts w:ascii="Arial" w:eastAsiaTheme="minorEastAsia" w:hAnsi="Arial" w:cs="Arial"/>
              <w:noProof/>
              <w:sz w:val="24"/>
              <w:szCs w:val="24"/>
            </w:rPr>
          </w:pPr>
          <w:hyperlink w:anchor="_Toc182091760" w:history="1">
            <w:r w:rsidRPr="00632DCF">
              <w:rPr>
                <w:rStyle w:val="Hyperlink"/>
                <w:rFonts w:ascii="Arial" w:hAnsi="Arial" w:cs="Arial"/>
                <w:noProof/>
                <w:color w:val="auto"/>
                <w:sz w:val="24"/>
                <w:szCs w:val="24"/>
              </w:rPr>
              <w:t>References</w:t>
            </w:r>
            <w:r w:rsidRPr="00632DCF">
              <w:rPr>
                <w:rFonts w:ascii="Arial" w:hAnsi="Arial" w:cs="Arial"/>
                <w:noProof/>
                <w:webHidden/>
                <w:sz w:val="24"/>
                <w:szCs w:val="24"/>
              </w:rPr>
              <w:tab/>
            </w:r>
            <w:r w:rsidRPr="00632DCF">
              <w:rPr>
                <w:rFonts w:ascii="Arial" w:hAnsi="Arial" w:cs="Arial"/>
                <w:noProof/>
                <w:webHidden/>
                <w:sz w:val="24"/>
                <w:szCs w:val="24"/>
              </w:rPr>
              <w:fldChar w:fldCharType="begin"/>
            </w:r>
            <w:r w:rsidRPr="00632DCF">
              <w:rPr>
                <w:rFonts w:ascii="Arial" w:hAnsi="Arial" w:cs="Arial"/>
                <w:noProof/>
                <w:webHidden/>
                <w:sz w:val="24"/>
                <w:szCs w:val="24"/>
              </w:rPr>
              <w:instrText xml:space="preserve"> PAGEREF _Toc182091760 \h </w:instrText>
            </w:r>
            <w:r w:rsidRPr="00632DCF">
              <w:rPr>
                <w:rFonts w:ascii="Arial" w:hAnsi="Arial" w:cs="Arial"/>
                <w:noProof/>
                <w:webHidden/>
                <w:sz w:val="24"/>
                <w:szCs w:val="24"/>
              </w:rPr>
            </w:r>
            <w:r w:rsidRPr="00632DCF">
              <w:rPr>
                <w:rFonts w:ascii="Arial" w:hAnsi="Arial" w:cs="Arial"/>
                <w:noProof/>
                <w:webHidden/>
                <w:sz w:val="24"/>
                <w:szCs w:val="24"/>
              </w:rPr>
              <w:fldChar w:fldCharType="separate"/>
            </w:r>
            <w:r w:rsidR="001D779C">
              <w:rPr>
                <w:rFonts w:ascii="Arial" w:hAnsi="Arial" w:cs="Arial"/>
                <w:noProof/>
                <w:webHidden/>
                <w:sz w:val="24"/>
                <w:szCs w:val="24"/>
              </w:rPr>
              <w:t>11</w:t>
            </w:r>
            <w:r w:rsidRPr="00632DCF">
              <w:rPr>
                <w:rFonts w:ascii="Arial" w:hAnsi="Arial" w:cs="Arial"/>
                <w:noProof/>
                <w:webHidden/>
                <w:sz w:val="24"/>
                <w:szCs w:val="24"/>
              </w:rPr>
              <w:fldChar w:fldCharType="end"/>
            </w:r>
          </w:hyperlink>
        </w:p>
        <w:p w14:paraId="295CCE7D" w14:textId="77777777" w:rsidR="003571E3" w:rsidRPr="00632DCF" w:rsidRDefault="00000000" w:rsidP="00632DCF">
          <w:pPr>
            <w:spacing w:after="0" w:afterAutospacing="0" w:line="360" w:lineRule="auto"/>
            <w:contextualSpacing/>
            <w:rPr>
              <w:rFonts w:ascii="Arial" w:hAnsi="Arial" w:cs="Arial"/>
              <w:sz w:val="24"/>
              <w:szCs w:val="24"/>
            </w:rPr>
          </w:pPr>
          <w:r w:rsidRPr="00632DCF">
            <w:rPr>
              <w:rFonts w:ascii="Arial" w:hAnsi="Arial" w:cs="Arial"/>
              <w:noProof/>
              <w:sz w:val="24"/>
              <w:szCs w:val="24"/>
            </w:rPr>
            <w:fldChar w:fldCharType="end"/>
          </w:r>
        </w:p>
      </w:sdtContent>
    </w:sdt>
    <w:p w14:paraId="686A5478"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52376F3C"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33B3435D"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7F2C1635"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595CDDC6"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5AB4CBC5"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64FA3269"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6D6CCAEC"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01B1A557" w14:textId="77777777" w:rsidR="003571E3" w:rsidRPr="00632DCF" w:rsidRDefault="00000000" w:rsidP="00632DCF">
      <w:pPr>
        <w:spacing w:after="0" w:afterAutospacing="0" w:line="360" w:lineRule="auto"/>
        <w:contextualSpacing/>
        <w:rPr>
          <w:rFonts w:ascii="Arial" w:hAnsi="Arial" w:cs="Arial"/>
          <w:sz w:val="24"/>
          <w:szCs w:val="24"/>
        </w:rPr>
      </w:pPr>
      <w:r w:rsidRPr="00632DCF">
        <w:rPr>
          <w:rFonts w:ascii="Arial" w:hAnsi="Arial" w:cs="Arial"/>
          <w:sz w:val="24"/>
          <w:szCs w:val="24"/>
        </w:rPr>
        <w:br w:type="page"/>
      </w:r>
    </w:p>
    <w:p w14:paraId="1720B9C6" w14:textId="77777777" w:rsidR="00606625" w:rsidRPr="00632DCF" w:rsidRDefault="00000000" w:rsidP="00632DCF">
      <w:pPr>
        <w:pStyle w:val="Heading1"/>
        <w:spacing w:before="0" w:afterAutospacing="0" w:line="360" w:lineRule="auto"/>
        <w:ind w:firstLine="0"/>
        <w:contextualSpacing/>
        <w:jc w:val="center"/>
        <w:rPr>
          <w:rFonts w:ascii="Arial" w:hAnsi="Arial" w:cs="Arial"/>
          <w:b/>
          <w:bCs/>
          <w:color w:val="auto"/>
          <w:sz w:val="24"/>
          <w:szCs w:val="24"/>
        </w:rPr>
      </w:pPr>
      <w:bookmarkStart w:id="2" w:name="_Toc182091752"/>
      <w:r w:rsidRPr="00632DCF">
        <w:rPr>
          <w:rFonts w:ascii="Arial" w:hAnsi="Arial" w:cs="Arial"/>
          <w:b/>
          <w:bCs/>
          <w:color w:val="auto"/>
          <w:sz w:val="24"/>
          <w:szCs w:val="24"/>
        </w:rPr>
        <w:lastRenderedPageBreak/>
        <w:t>Introduction</w:t>
      </w:r>
      <w:bookmarkEnd w:id="2"/>
    </w:p>
    <w:p w14:paraId="5D839920" w14:textId="223D3A02" w:rsidR="006000D0" w:rsidRPr="00632DCF" w:rsidRDefault="00000000" w:rsidP="00632DCF">
      <w:pPr>
        <w:spacing w:after="0" w:afterAutospacing="0" w:line="360" w:lineRule="auto"/>
        <w:ind w:firstLine="0"/>
        <w:contextualSpacing/>
        <w:rPr>
          <w:rFonts w:ascii="Arial" w:hAnsi="Arial" w:cs="Arial"/>
          <w:sz w:val="24"/>
          <w:szCs w:val="24"/>
        </w:rPr>
      </w:pPr>
      <w:r w:rsidRPr="00632DCF">
        <w:rPr>
          <w:rFonts w:ascii="Arial" w:hAnsi="Arial" w:cs="Arial"/>
          <w:sz w:val="24"/>
          <w:szCs w:val="24"/>
        </w:rPr>
        <w:tab/>
        <w:t>The hotel industry has adopted an ecological approach, prioritizing resource utilization, minimizing pollution, and enhancing operational efficiency to reduce environmental impacts (Shrestha et al., 2021). Hotel companies employ various strategies to reduce waste, reduce energy consumption, and implement water-efficient methods, thereby reducing or eliminating negative environmental impacts. Additionally, customers tend to favor businesses that adopt sustainable practices</w:t>
      </w:r>
      <w:r w:rsidR="00D1644C">
        <w:rPr>
          <w:rFonts w:ascii="Arial" w:hAnsi="Arial" w:cs="Arial"/>
          <w:sz w:val="24"/>
          <w:szCs w:val="24"/>
        </w:rPr>
        <w:t xml:space="preserve"> (</w:t>
      </w:r>
      <w:r w:rsidR="00D1644C" w:rsidRPr="00632DCF">
        <w:rPr>
          <w:rFonts w:ascii="Arial" w:hAnsi="Arial" w:cs="Arial"/>
          <w:sz w:val="24"/>
          <w:szCs w:val="24"/>
        </w:rPr>
        <w:t>Jiakui</w:t>
      </w:r>
      <w:r w:rsidR="00D1644C">
        <w:rPr>
          <w:rFonts w:ascii="Arial" w:hAnsi="Arial" w:cs="Arial"/>
          <w:sz w:val="24"/>
          <w:szCs w:val="24"/>
        </w:rPr>
        <w:t xml:space="preserve"> et al., 2023)</w:t>
      </w:r>
      <w:r w:rsidRPr="00632DCF">
        <w:rPr>
          <w:rFonts w:ascii="Arial" w:hAnsi="Arial" w:cs="Arial"/>
          <w:sz w:val="24"/>
          <w:szCs w:val="24"/>
        </w:rPr>
        <w:t>. Hotels that strictly adhere to environmental regulations receive environmental certifications such as Green Key, demonstrating to customers their environmental stewardship and ability to draw in eco-friendly tourists (Sharpley &amp; Telfer, 2023). Hilton Garden Inn London Heathrow has implemented several sustainability initiatives, including solar panels and water-saving technologies. Such action has helped minimize energy and water use, proving that environmental concern is achievable with high service standards</w:t>
      </w:r>
      <w:r w:rsidR="00024B18">
        <w:rPr>
          <w:rFonts w:ascii="Arial" w:hAnsi="Arial" w:cs="Arial"/>
          <w:sz w:val="24"/>
          <w:szCs w:val="24"/>
        </w:rPr>
        <w:t xml:space="preserve"> (</w:t>
      </w:r>
      <w:r w:rsidR="00024B18" w:rsidRPr="00632DCF">
        <w:rPr>
          <w:rFonts w:ascii="Arial" w:hAnsi="Arial" w:cs="Arial"/>
          <w:sz w:val="24"/>
          <w:szCs w:val="24"/>
        </w:rPr>
        <w:t>World Trade Organization</w:t>
      </w:r>
      <w:r w:rsidR="00024B18">
        <w:rPr>
          <w:rFonts w:ascii="Arial" w:hAnsi="Arial" w:cs="Arial"/>
          <w:sz w:val="24"/>
          <w:szCs w:val="24"/>
        </w:rPr>
        <w:t>, n.d)</w:t>
      </w:r>
      <w:r w:rsidRPr="00632DCF">
        <w:rPr>
          <w:rFonts w:ascii="Arial" w:hAnsi="Arial" w:cs="Arial"/>
          <w:sz w:val="24"/>
          <w:szCs w:val="24"/>
        </w:rPr>
        <w:t xml:space="preserve">. </w:t>
      </w:r>
    </w:p>
    <w:p w14:paraId="1C965A50" w14:textId="14FAC5D4" w:rsidR="00606625" w:rsidRPr="00632DCF" w:rsidRDefault="00000000" w:rsidP="00632DCF">
      <w:pPr>
        <w:spacing w:after="0" w:afterAutospacing="0" w:line="360" w:lineRule="auto"/>
        <w:contextualSpacing/>
        <w:rPr>
          <w:rFonts w:ascii="Arial" w:hAnsi="Arial" w:cs="Arial"/>
          <w:sz w:val="24"/>
          <w:szCs w:val="24"/>
        </w:rPr>
      </w:pPr>
      <w:r w:rsidRPr="00632DCF">
        <w:rPr>
          <w:rFonts w:ascii="Arial" w:hAnsi="Arial" w:cs="Arial"/>
          <w:sz w:val="24"/>
          <w:szCs w:val="24"/>
        </w:rPr>
        <w:t>However, the management has the potential to broaden its sustainable initiatives by incorporating gray water recycling, which involves repurposing shower and sink water for irrigation and flushing. This method could reduce water usage in the hotel by up to 40%, thus significantly reducing its impact on the environment (Tripathy et al., 2024). Implementing such an innovative water management strategy could extend the hotel's environmentally friendly image and become the best practice for other hotels in the hospitality industry</w:t>
      </w:r>
      <w:r w:rsidR="00D1644C">
        <w:rPr>
          <w:rFonts w:ascii="Arial" w:hAnsi="Arial" w:cs="Arial"/>
          <w:sz w:val="24"/>
          <w:szCs w:val="24"/>
        </w:rPr>
        <w:t xml:space="preserve"> (</w:t>
      </w:r>
      <w:r w:rsidR="00D1644C" w:rsidRPr="00632DCF">
        <w:rPr>
          <w:rFonts w:ascii="Arial" w:hAnsi="Arial" w:cs="Arial"/>
          <w:sz w:val="24"/>
          <w:szCs w:val="24"/>
        </w:rPr>
        <w:t>Jiakui</w:t>
      </w:r>
      <w:r w:rsidR="00D1644C">
        <w:rPr>
          <w:rFonts w:ascii="Arial" w:hAnsi="Arial" w:cs="Arial"/>
          <w:sz w:val="24"/>
          <w:szCs w:val="24"/>
        </w:rPr>
        <w:t xml:space="preserve"> et al., 2023)</w:t>
      </w:r>
      <w:r w:rsidRPr="00632DCF">
        <w:rPr>
          <w:rFonts w:ascii="Arial" w:hAnsi="Arial" w:cs="Arial"/>
          <w:sz w:val="24"/>
          <w:szCs w:val="24"/>
        </w:rPr>
        <w:t>. This paper evaluates greywater recycling as a practical, sustainable, and cost-efficient technique that could help the hotel continue its ecological efforts, develop an appealing brand image, and act as an example for other Hilton hotels.</w:t>
      </w:r>
    </w:p>
    <w:p w14:paraId="4F1361F0" w14:textId="77777777" w:rsidR="006000D0" w:rsidRPr="00632DCF" w:rsidRDefault="00000000" w:rsidP="00632DCF">
      <w:pPr>
        <w:pStyle w:val="Heading1"/>
        <w:spacing w:before="0" w:afterAutospacing="0" w:line="360" w:lineRule="auto"/>
        <w:ind w:firstLine="0"/>
        <w:contextualSpacing/>
        <w:jc w:val="center"/>
        <w:rPr>
          <w:rFonts w:ascii="Arial" w:hAnsi="Arial" w:cs="Arial"/>
          <w:b/>
          <w:bCs/>
          <w:color w:val="auto"/>
          <w:sz w:val="24"/>
          <w:szCs w:val="24"/>
        </w:rPr>
      </w:pPr>
      <w:bookmarkStart w:id="3" w:name="_Toc182091753"/>
      <w:r w:rsidRPr="00632DCF">
        <w:rPr>
          <w:rFonts w:ascii="Arial" w:hAnsi="Arial" w:cs="Arial"/>
          <w:b/>
          <w:bCs/>
          <w:color w:val="auto"/>
          <w:sz w:val="24"/>
          <w:szCs w:val="24"/>
        </w:rPr>
        <w:t>Main Findings</w:t>
      </w:r>
      <w:bookmarkEnd w:id="3"/>
    </w:p>
    <w:p w14:paraId="35A11AD7" w14:textId="77777777" w:rsidR="006000D0" w:rsidRPr="00632DCF" w:rsidRDefault="00000000" w:rsidP="00632DCF">
      <w:pPr>
        <w:pStyle w:val="Heading2"/>
        <w:spacing w:before="0" w:afterAutospacing="0" w:line="360" w:lineRule="auto"/>
        <w:ind w:firstLine="0"/>
        <w:contextualSpacing/>
        <w:rPr>
          <w:rFonts w:ascii="Arial" w:hAnsi="Arial" w:cs="Arial"/>
          <w:b/>
          <w:bCs/>
          <w:color w:val="auto"/>
          <w:sz w:val="24"/>
          <w:szCs w:val="24"/>
        </w:rPr>
      </w:pPr>
      <w:bookmarkStart w:id="4" w:name="_Toc182091754"/>
      <w:r w:rsidRPr="00632DCF">
        <w:rPr>
          <w:rFonts w:ascii="Arial" w:hAnsi="Arial" w:cs="Arial"/>
          <w:b/>
          <w:bCs/>
          <w:color w:val="auto"/>
          <w:sz w:val="24"/>
          <w:szCs w:val="24"/>
        </w:rPr>
        <w:t>Overview of Greener Practices in Hospitality</w:t>
      </w:r>
      <w:bookmarkEnd w:id="4"/>
    </w:p>
    <w:p w14:paraId="008F7E1B" w14:textId="60EC8474" w:rsidR="006000D0" w:rsidRPr="00632DCF" w:rsidRDefault="00000000" w:rsidP="00632DCF">
      <w:pPr>
        <w:spacing w:after="0" w:afterAutospacing="0" w:line="360" w:lineRule="auto"/>
        <w:contextualSpacing/>
        <w:rPr>
          <w:rFonts w:ascii="Arial" w:hAnsi="Arial" w:cs="Arial"/>
          <w:sz w:val="24"/>
          <w:szCs w:val="24"/>
        </w:rPr>
      </w:pPr>
      <w:r w:rsidRPr="00632DCF">
        <w:rPr>
          <w:rFonts w:ascii="Arial" w:hAnsi="Arial" w:cs="Arial"/>
          <w:sz w:val="24"/>
          <w:szCs w:val="24"/>
        </w:rPr>
        <w:t xml:space="preserve">More and more hotel establishments are introducing environmentally friendly practices in their properties due to increasing consciousness of sustainable effects for resources. Since hospitality belongs to the energy-intensive sector that utilizes water and other natural resources, the focus is on adopting measures to introduce sustainable practices to create cost-efficiency and customer loyalty among environmentally sensitive </w:t>
      </w:r>
      <w:r w:rsidRPr="00632DCF">
        <w:rPr>
          <w:rFonts w:ascii="Arial" w:hAnsi="Arial" w:cs="Arial"/>
          <w:sz w:val="24"/>
          <w:szCs w:val="24"/>
        </w:rPr>
        <w:lastRenderedPageBreak/>
        <w:t>tourists (Anguelovski et al., 2020). Today, there is a growing trend in hotels to become green-certified, which indicates that the Green Key certification is given only to organizations that meet or exceed the designed standards in environmental stewardship, particularly in areas involving energy, water, and waste</w:t>
      </w:r>
      <w:r w:rsidR="00D1644C">
        <w:rPr>
          <w:rFonts w:ascii="Arial" w:hAnsi="Arial" w:cs="Arial"/>
          <w:sz w:val="24"/>
          <w:szCs w:val="24"/>
        </w:rPr>
        <w:t xml:space="preserve"> (</w:t>
      </w:r>
      <w:r w:rsidR="00D1644C" w:rsidRPr="00632DCF">
        <w:rPr>
          <w:rFonts w:ascii="Arial" w:hAnsi="Arial" w:cs="Arial"/>
          <w:sz w:val="24"/>
          <w:szCs w:val="24"/>
        </w:rPr>
        <w:t>Edgell</w:t>
      </w:r>
      <w:r w:rsidR="00D1644C">
        <w:rPr>
          <w:rFonts w:ascii="Arial" w:hAnsi="Arial" w:cs="Arial"/>
          <w:sz w:val="24"/>
          <w:szCs w:val="24"/>
        </w:rPr>
        <w:t>, 2020)</w:t>
      </w:r>
      <w:r w:rsidRPr="00632DCF">
        <w:rPr>
          <w:rFonts w:ascii="Arial" w:hAnsi="Arial" w:cs="Arial"/>
          <w:sz w:val="24"/>
          <w:szCs w:val="24"/>
        </w:rPr>
        <w:t>. Such status not only sets a standard regarding the interaction of a hotel with the external environment but also improves the image, along with meeting the expectations of consumers who understand that environmental protection is a significant value (Sharpley &amp; Telfer, 2023).</w:t>
      </w:r>
    </w:p>
    <w:p w14:paraId="1BE576AD" w14:textId="4E228BF7" w:rsidR="003571E3" w:rsidRPr="00632DCF" w:rsidRDefault="00000000" w:rsidP="00632DCF">
      <w:pPr>
        <w:spacing w:after="0" w:afterAutospacing="0" w:line="360" w:lineRule="auto"/>
        <w:contextualSpacing/>
        <w:rPr>
          <w:rFonts w:ascii="Arial" w:hAnsi="Arial" w:cs="Arial"/>
          <w:sz w:val="24"/>
          <w:szCs w:val="24"/>
        </w:rPr>
      </w:pPr>
      <w:r w:rsidRPr="00632DCF">
        <w:rPr>
          <w:rFonts w:ascii="Arial" w:hAnsi="Arial" w:cs="Arial"/>
          <w:sz w:val="24"/>
          <w:szCs w:val="24"/>
        </w:rPr>
        <w:t>The Hilton Garden Inn London Heathrow has successfully implemented several environmentally friendly policies. Photovoltaic structures installed on the property harness power from the sun, thus minimizing the use of other resources that emit carbon. This sustainable energy initiative demonstrates the hotel's environmental consciousness by utilizing renewable energy sources instead of fossil fuels (Khajvand et al., 2022). However, the hotel uses lighting more efficiently by implementing energy conservation measures. For instance, the hotel only uses high-intensity lighting in certain areas, such as car parks and adjacent paths, and only activates it at dusk. Hilton Garden Inn also aims to utilize water using various technologies efficiently, with particular emphasis on areas where water usage is often high, such as the dish area</w:t>
      </w:r>
      <w:r w:rsidR="00D1644C">
        <w:rPr>
          <w:rFonts w:ascii="Arial" w:hAnsi="Arial" w:cs="Arial"/>
          <w:sz w:val="24"/>
          <w:szCs w:val="24"/>
        </w:rPr>
        <w:t xml:space="preserve"> </w:t>
      </w:r>
      <w:r w:rsidRPr="00632DCF">
        <w:rPr>
          <w:rFonts w:ascii="Arial" w:hAnsi="Arial" w:cs="Arial"/>
          <w:sz w:val="24"/>
          <w:szCs w:val="24"/>
        </w:rPr>
        <w:t>. Such systems use less water but work efficiently to meet the required levels of hygiene and thus enhance food security in the hotel</w:t>
      </w:r>
      <w:r w:rsidR="00D1644C">
        <w:rPr>
          <w:rFonts w:ascii="Arial" w:hAnsi="Arial" w:cs="Arial"/>
          <w:sz w:val="24"/>
          <w:szCs w:val="24"/>
        </w:rPr>
        <w:t xml:space="preserve"> (</w:t>
      </w:r>
      <w:r w:rsidR="00D1644C" w:rsidRPr="00632DCF">
        <w:rPr>
          <w:rFonts w:ascii="Arial" w:hAnsi="Arial" w:cs="Arial"/>
          <w:sz w:val="24"/>
          <w:szCs w:val="24"/>
        </w:rPr>
        <w:t>Edgell</w:t>
      </w:r>
      <w:r w:rsidR="00D1644C">
        <w:rPr>
          <w:rFonts w:ascii="Arial" w:hAnsi="Arial" w:cs="Arial"/>
          <w:sz w:val="24"/>
          <w:szCs w:val="24"/>
        </w:rPr>
        <w:t>, 2020)</w:t>
      </w:r>
      <w:r w:rsidRPr="00632DCF">
        <w:rPr>
          <w:rFonts w:ascii="Arial" w:hAnsi="Arial" w:cs="Arial"/>
          <w:sz w:val="24"/>
          <w:szCs w:val="24"/>
        </w:rPr>
        <w:t>. By following such practices, the Hilton Garden Inn can show how proper resource utilization would be instrumental in promoting sustainability in the hospitality business.</w:t>
      </w:r>
    </w:p>
    <w:p w14:paraId="4D068C69" w14:textId="6BA9E57F" w:rsidR="006000D0" w:rsidRPr="00632DCF" w:rsidRDefault="00000000" w:rsidP="00632DCF">
      <w:pPr>
        <w:spacing w:after="0" w:afterAutospacing="0" w:line="360" w:lineRule="auto"/>
        <w:contextualSpacing/>
        <w:rPr>
          <w:rFonts w:ascii="Arial" w:hAnsi="Arial" w:cs="Arial"/>
          <w:sz w:val="24"/>
          <w:szCs w:val="24"/>
        </w:rPr>
      </w:pPr>
      <w:r w:rsidRPr="00632DCF">
        <w:rPr>
          <w:rFonts w:ascii="Arial" w:hAnsi="Arial" w:cs="Arial"/>
          <w:sz w:val="24"/>
          <w:szCs w:val="24"/>
        </w:rPr>
        <w:t>Some of the emerging measures identified as effective are life cycle assessments, green roofs, and gray water recycling in hotels. This practice involves using water that has been used sometimes in showering and washing dishes and then reusing it in cases that do not require clean water, such as in flushing toilets and watering plants</w:t>
      </w:r>
      <w:r w:rsidR="00024B18">
        <w:rPr>
          <w:rFonts w:ascii="Arial" w:hAnsi="Arial" w:cs="Arial"/>
          <w:sz w:val="24"/>
          <w:szCs w:val="24"/>
        </w:rPr>
        <w:t xml:space="preserve"> (</w:t>
      </w:r>
      <w:r w:rsidR="00024B18" w:rsidRPr="00632DCF">
        <w:rPr>
          <w:rFonts w:ascii="Arial" w:hAnsi="Arial" w:cs="Arial"/>
          <w:sz w:val="24"/>
          <w:szCs w:val="24"/>
        </w:rPr>
        <w:t>World Trade Organization</w:t>
      </w:r>
      <w:r w:rsidR="00024B18">
        <w:rPr>
          <w:rFonts w:ascii="Arial" w:hAnsi="Arial" w:cs="Arial"/>
          <w:sz w:val="24"/>
          <w:szCs w:val="24"/>
        </w:rPr>
        <w:t>, n.d)</w:t>
      </w:r>
      <w:r w:rsidRPr="00632DCF">
        <w:rPr>
          <w:rFonts w:ascii="Arial" w:hAnsi="Arial" w:cs="Arial"/>
          <w:sz w:val="24"/>
          <w:szCs w:val="24"/>
        </w:rPr>
        <w:t xml:space="preserve">. Different wastewater recycling systems, such as greywater recycling, can reduce freshwater consumption by up to 40%, allowing Hilton Garden Inn to reduce its dependency on municipal water supply and demonstrate responsible water use (Tripathy et al., 2024). By such approaches, hotels effectively respond to sustainability issues and appeal to the increasing number </w:t>
      </w:r>
      <w:r w:rsidRPr="00632DCF">
        <w:rPr>
          <w:rFonts w:ascii="Arial" w:hAnsi="Arial" w:cs="Arial"/>
          <w:sz w:val="24"/>
          <w:szCs w:val="24"/>
        </w:rPr>
        <w:lastRenderedPageBreak/>
        <w:t>of customers who look for eco-friendly accommodation (Costa &amp; Costa, 2022). Major hotel chains attempt to make sustainability a core strategy, reflecting the sector's focus on environmentally friendly practices. Firstly, they establish minimum eco-responsibility standards for the hotel industry, paving the way for others to follow and showcasing the integration of environmental responsibility into hotel business operations</w:t>
      </w:r>
      <w:r w:rsidR="00D1644C">
        <w:rPr>
          <w:rFonts w:ascii="Arial" w:hAnsi="Arial" w:cs="Arial"/>
          <w:sz w:val="24"/>
          <w:szCs w:val="24"/>
        </w:rPr>
        <w:t xml:space="preserve"> (</w:t>
      </w:r>
      <w:r w:rsidR="00D1644C" w:rsidRPr="00632DCF">
        <w:rPr>
          <w:rFonts w:ascii="Arial" w:hAnsi="Arial" w:cs="Arial"/>
          <w:sz w:val="24"/>
          <w:szCs w:val="24"/>
        </w:rPr>
        <w:t>IGI Global</w:t>
      </w:r>
      <w:r w:rsidR="00D1644C">
        <w:rPr>
          <w:rFonts w:ascii="Arial" w:hAnsi="Arial" w:cs="Arial"/>
          <w:sz w:val="24"/>
          <w:szCs w:val="24"/>
        </w:rPr>
        <w:t>, 2019)</w:t>
      </w:r>
      <w:r w:rsidRPr="00632DCF">
        <w:rPr>
          <w:rFonts w:ascii="Arial" w:hAnsi="Arial" w:cs="Arial"/>
          <w:sz w:val="24"/>
          <w:szCs w:val="24"/>
        </w:rPr>
        <w:t>. Since tourists pay more attention to sustainable travel, hotels that promote sustainable services stand out and have the potential to meet environmental objectives further. This trend again points to the hospitality industry as an agent of change for the common good, society, and the business's longevity (Sarkis et al., 2021).</w:t>
      </w:r>
    </w:p>
    <w:p w14:paraId="0F457B04" w14:textId="77777777" w:rsidR="006000D0" w:rsidRPr="00632DCF" w:rsidRDefault="00000000" w:rsidP="00632DCF">
      <w:pPr>
        <w:pStyle w:val="Heading2"/>
        <w:spacing w:before="0" w:afterAutospacing="0" w:line="360" w:lineRule="auto"/>
        <w:ind w:firstLine="0"/>
        <w:contextualSpacing/>
        <w:rPr>
          <w:rFonts w:ascii="Arial" w:hAnsi="Arial" w:cs="Arial"/>
          <w:b/>
          <w:bCs/>
          <w:color w:val="auto"/>
          <w:sz w:val="24"/>
          <w:szCs w:val="24"/>
        </w:rPr>
      </w:pPr>
      <w:bookmarkStart w:id="5" w:name="_Toc182091755"/>
      <w:r w:rsidRPr="00632DCF">
        <w:rPr>
          <w:rFonts w:ascii="Arial" w:hAnsi="Arial" w:cs="Arial"/>
          <w:b/>
          <w:bCs/>
          <w:color w:val="auto"/>
          <w:sz w:val="24"/>
          <w:szCs w:val="24"/>
        </w:rPr>
        <w:t>Benefits of Integrating Sustainable Practices</w:t>
      </w:r>
      <w:bookmarkEnd w:id="5"/>
    </w:p>
    <w:p w14:paraId="778D0298" w14:textId="29EF3CD8" w:rsidR="006E4BD2" w:rsidRPr="00632DCF" w:rsidRDefault="00000000" w:rsidP="00632DCF">
      <w:pPr>
        <w:spacing w:after="0" w:afterAutospacing="0" w:line="360" w:lineRule="auto"/>
        <w:ind w:firstLine="0"/>
        <w:contextualSpacing/>
        <w:rPr>
          <w:rFonts w:ascii="Arial" w:hAnsi="Arial" w:cs="Arial"/>
          <w:sz w:val="24"/>
          <w:szCs w:val="24"/>
        </w:rPr>
      </w:pPr>
      <w:r w:rsidRPr="00632DCF">
        <w:rPr>
          <w:rFonts w:ascii="Arial" w:hAnsi="Arial" w:cs="Arial"/>
          <w:b/>
          <w:bCs/>
          <w:sz w:val="24"/>
          <w:szCs w:val="24"/>
        </w:rPr>
        <w:tab/>
      </w:r>
      <w:r w:rsidRPr="00632DCF">
        <w:rPr>
          <w:rFonts w:ascii="Arial" w:hAnsi="Arial" w:cs="Arial"/>
          <w:sz w:val="24"/>
          <w:szCs w:val="24"/>
        </w:rPr>
        <w:t>Including sustainability in hospitality management yields several significant advantages, including conserving natural resources. For example, greywater recycling can save up to 40% of the water used and help hotels decrease their consumption of water and related utilities. Stang et al. (2021) supported this economic advantage by establishing that improved hotel water systems generate significant cost savings, which operators can utilize to fund other sustainability initiatives. In addition to revenues, sustainability improves a hotel brand image, which is highly beneficial in attracting eco-conscious consumers ready to spend more on services from companies that contribute to environmental conservation (</w:t>
      </w:r>
      <w:r w:rsidR="00D1644C">
        <w:rPr>
          <w:rFonts w:ascii="Arial" w:hAnsi="Arial" w:cs="Arial"/>
          <w:sz w:val="24"/>
          <w:szCs w:val="24"/>
        </w:rPr>
        <w:t>Peng et al., 2020</w:t>
      </w:r>
      <w:r w:rsidRPr="00632DCF">
        <w:rPr>
          <w:rFonts w:ascii="Arial" w:hAnsi="Arial" w:cs="Arial"/>
          <w:sz w:val="24"/>
          <w:szCs w:val="24"/>
        </w:rPr>
        <w:t>). Sarkis et al. (2021) established that hotels that adopted sustainable strategies produced higher customer satisfaction and loyalty as they embraced changing consumer values for the environment. This reputational advantage is essential for Hilton and other global chains where brand image plays a significant role in competitive strategy (Costa &amp; Costa, 2022). Sustainable activities also help hotels achieve corporate responsibility objectives, serving as a basis for improving the state of the environment and increasing the company's compliance with ethical standards (Amjad et al., 2021). For properties like the Hilton Garden Inn London Heathrow, implementing sustainable practices enhances the organizational business appeal and improves resource utilization efficiency.</w:t>
      </w:r>
    </w:p>
    <w:p w14:paraId="77A97F9F" w14:textId="77777777" w:rsidR="006000D0" w:rsidRPr="00632DCF" w:rsidRDefault="00000000" w:rsidP="00632DCF">
      <w:pPr>
        <w:pStyle w:val="Heading2"/>
        <w:spacing w:before="0" w:afterAutospacing="0" w:line="360" w:lineRule="auto"/>
        <w:ind w:firstLine="0"/>
        <w:contextualSpacing/>
        <w:rPr>
          <w:rFonts w:ascii="Arial" w:hAnsi="Arial" w:cs="Arial"/>
          <w:b/>
          <w:bCs/>
          <w:color w:val="auto"/>
          <w:sz w:val="24"/>
          <w:szCs w:val="24"/>
        </w:rPr>
      </w:pPr>
      <w:bookmarkStart w:id="6" w:name="_Toc182091756"/>
      <w:r w:rsidRPr="00632DCF">
        <w:rPr>
          <w:rFonts w:ascii="Arial" w:hAnsi="Arial" w:cs="Arial"/>
          <w:b/>
          <w:bCs/>
          <w:color w:val="auto"/>
          <w:sz w:val="24"/>
          <w:szCs w:val="24"/>
        </w:rPr>
        <w:t>Challenges of Implementing Sustainable Initiatives</w:t>
      </w:r>
      <w:bookmarkEnd w:id="6"/>
    </w:p>
    <w:p w14:paraId="3C91E116" w14:textId="0F497D41" w:rsidR="006E4BD2" w:rsidRPr="00632DCF" w:rsidRDefault="00000000" w:rsidP="00632DCF">
      <w:pPr>
        <w:spacing w:after="0" w:afterAutospacing="0" w:line="360" w:lineRule="auto"/>
        <w:ind w:firstLine="0"/>
        <w:contextualSpacing/>
        <w:rPr>
          <w:rFonts w:ascii="Arial" w:hAnsi="Arial" w:cs="Arial"/>
          <w:sz w:val="24"/>
          <w:szCs w:val="24"/>
        </w:rPr>
      </w:pPr>
      <w:r w:rsidRPr="00632DCF">
        <w:rPr>
          <w:rFonts w:ascii="Arial" w:hAnsi="Arial" w:cs="Arial"/>
          <w:sz w:val="24"/>
          <w:szCs w:val="24"/>
        </w:rPr>
        <w:tab/>
        <w:t xml:space="preserve">Despite the apparent benefits of sustainable practices, their implementation presents challenges, primarily related to cost, support, and sustenance issues. The </w:t>
      </w:r>
      <w:r w:rsidRPr="00632DCF">
        <w:rPr>
          <w:rFonts w:ascii="Arial" w:hAnsi="Arial" w:cs="Arial"/>
          <w:sz w:val="24"/>
          <w:szCs w:val="24"/>
        </w:rPr>
        <w:lastRenderedPageBreak/>
        <w:t>initial cost of introducing a system like greywater recycling is high, which may discourage hotels, particularly those with a low brand or independently run establishments, from considering such solutions (Khajvand et al., 2022). Furthermore, integrating greywater recycling into existing buildings often requires significant alterations to the existing infrastructure, resulting in higher initial implementation costs. Another drawback is maintenance, a problem that arises from the need for specially trained personnel to service the systems for extended periods, thereby increasing operation costs (Hooshyari et al., 2022). These aspects extend beyond mere financial considerations, as the equitable staffing of sustainable measures not only makes these environmental improvements accessible to a hotel's employees but also to the nearby population. Using technologies such as greywater recycling can reduce water use by up to 75%</w:t>
      </w:r>
      <w:r w:rsidR="00D1644C">
        <w:rPr>
          <w:rFonts w:ascii="Arial" w:hAnsi="Arial" w:cs="Arial"/>
          <w:sz w:val="24"/>
          <w:szCs w:val="24"/>
        </w:rPr>
        <w:t xml:space="preserve"> (</w:t>
      </w:r>
      <w:r w:rsidR="00D1644C" w:rsidRPr="00632DCF">
        <w:rPr>
          <w:rFonts w:ascii="Arial" w:hAnsi="Arial" w:cs="Arial"/>
          <w:sz w:val="24"/>
          <w:szCs w:val="24"/>
        </w:rPr>
        <w:t>Korstanje</w:t>
      </w:r>
      <w:r w:rsidR="00D1644C">
        <w:rPr>
          <w:rFonts w:ascii="Arial" w:hAnsi="Arial" w:cs="Arial"/>
          <w:sz w:val="24"/>
          <w:szCs w:val="24"/>
        </w:rPr>
        <w:t xml:space="preserve"> </w:t>
      </w:r>
      <w:r w:rsidR="00D1644C" w:rsidRPr="00632DCF">
        <w:rPr>
          <w:rFonts w:ascii="Arial" w:hAnsi="Arial" w:cs="Arial"/>
          <w:sz w:val="24"/>
          <w:szCs w:val="24"/>
        </w:rPr>
        <w:t>&amp; Nedelea</w:t>
      </w:r>
      <w:r w:rsidR="00D1644C">
        <w:rPr>
          <w:rFonts w:ascii="Arial" w:hAnsi="Arial" w:cs="Arial"/>
          <w:sz w:val="24"/>
          <w:szCs w:val="24"/>
        </w:rPr>
        <w:t>, 2020)</w:t>
      </w:r>
      <w:r w:rsidRPr="00632DCF">
        <w:rPr>
          <w:rFonts w:ascii="Arial" w:hAnsi="Arial" w:cs="Arial"/>
          <w:sz w:val="24"/>
          <w:szCs w:val="24"/>
        </w:rPr>
        <w:t>. However, there are certain risks involved, one of which is the potential for water supply contamination. Professional maintenance personnel and proper working policies and protocols are necessary to mitigate this risk. Therefore, green practices such as greywater recycling require integrating the economics, logistic flows, and social impact to effectively change the environment without harming other aspects (Sukmoko et al., 2021).</w:t>
      </w:r>
    </w:p>
    <w:p w14:paraId="4374D93E" w14:textId="77777777" w:rsidR="006000D0" w:rsidRPr="00632DCF" w:rsidRDefault="00000000" w:rsidP="00632DCF">
      <w:pPr>
        <w:pStyle w:val="Heading2"/>
        <w:spacing w:before="0" w:afterAutospacing="0" w:line="360" w:lineRule="auto"/>
        <w:ind w:firstLine="0"/>
        <w:contextualSpacing/>
        <w:rPr>
          <w:rFonts w:ascii="Arial" w:hAnsi="Arial" w:cs="Arial"/>
          <w:b/>
          <w:bCs/>
          <w:color w:val="auto"/>
          <w:sz w:val="24"/>
          <w:szCs w:val="24"/>
        </w:rPr>
      </w:pPr>
      <w:bookmarkStart w:id="7" w:name="_Toc182091757"/>
      <w:r w:rsidRPr="00632DCF">
        <w:rPr>
          <w:rFonts w:ascii="Arial" w:hAnsi="Arial" w:cs="Arial"/>
          <w:b/>
          <w:bCs/>
          <w:color w:val="auto"/>
          <w:sz w:val="24"/>
          <w:szCs w:val="24"/>
        </w:rPr>
        <w:t>Analysis of Greywater Recycling Systems</w:t>
      </w:r>
      <w:bookmarkEnd w:id="7"/>
    </w:p>
    <w:p w14:paraId="74BEE79A" w14:textId="6D9E5A8A" w:rsidR="006E4BD2" w:rsidRPr="00632DCF" w:rsidRDefault="00000000" w:rsidP="00632DCF">
      <w:pPr>
        <w:spacing w:after="0" w:afterAutospacing="0" w:line="360" w:lineRule="auto"/>
        <w:ind w:firstLine="0"/>
        <w:contextualSpacing/>
        <w:rPr>
          <w:rFonts w:ascii="Arial" w:hAnsi="Arial" w:cs="Arial"/>
          <w:sz w:val="24"/>
          <w:szCs w:val="24"/>
        </w:rPr>
      </w:pPr>
      <w:r w:rsidRPr="00632DCF">
        <w:rPr>
          <w:rFonts w:ascii="Arial" w:hAnsi="Arial" w:cs="Arial"/>
          <w:b/>
          <w:bCs/>
          <w:sz w:val="24"/>
          <w:szCs w:val="24"/>
        </w:rPr>
        <w:tab/>
      </w:r>
      <w:r w:rsidRPr="00632DCF">
        <w:rPr>
          <w:rFonts w:ascii="Arial" w:hAnsi="Arial" w:cs="Arial"/>
          <w:sz w:val="24"/>
          <w:szCs w:val="24"/>
        </w:rPr>
        <w:t>Recently, the hospitality industry has conceptualized grey water recycling as a strategy for water conservation, which involves repurposing treated shower, sink, and laundry water for uses beyond drinking, such as toilet flushing and irrigation (Tripathy et al., 2024). This system has the potential to help hotels in water-stressed regions achieve water conservation targets by reducing water consumption by 30 to 50%</w:t>
      </w:r>
      <w:r w:rsidR="00D1644C">
        <w:rPr>
          <w:rFonts w:ascii="Arial" w:hAnsi="Arial" w:cs="Arial"/>
          <w:sz w:val="24"/>
          <w:szCs w:val="24"/>
        </w:rPr>
        <w:t xml:space="preserve"> (</w:t>
      </w:r>
      <w:r w:rsidR="00D1644C" w:rsidRPr="00632DCF">
        <w:rPr>
          <w:rFonts w:ascii="Arial" w:hAnsi="Arial" w:cs="Arial"/>
          <w:sz w:val="24"/>
          <w:szCs w:val="24"/>
        </w:rPr>
        <w:t>IGI Global</w:t>
      </w:r>
      <w:r w:rsidR="00D1644C">
        <w:rPr>
          <w:rFonts w:ascii="Arial" w:hAnsi="Arial" w:cs="Arial"/>
          <w:sz w:val="24"/>
          <w:szCs w:val="24"/>
        </w:rPr>
        <w:t>, 2019)</w:t>
      </w:r>
      <w:r w:rsidRPr="00632DCF">
        <w:rPr>
          <w:rFonts w:ascii="Arial" w:hAnsi="Arial" w:cs="Arial"/>
          <w:sz w:val="24"/>
          <w:szCs w:val="24"/>
        </w:rPr>
        <w:t>. From a cost perspective, future savings on water costs can be the significant economic benefit realized from greywater recycling; this will improve the efficiency and revenue of the hotels (Stang et al., 2021). Greywater recycling can also address the environmental argument by reducing the strain on the available water supply in the area and reducing wastewater discharges, thereby minimizing pollution (</w:t>
      </w:r>
      <w:r w:rsidR="00D1644C" w:rsidRPr="00632DCF">
        <w:rPr>
          <w:rFonts w:ascii="Arial" w:hAnsi="Arial" w:cs="Arial"/>
          <w:sz w:val="24"/>
          <w:szCs w:val="24"/>
        </w:rPr>
        <w:t>Sandra Marcelline</w:t>
      </w:r>
      <w:r w:rsidR="00D1644C">
        <w:rPr>
          <w:rFonts w:ascii="Arial" w:hAnsi="Arial" w:cs="Arial"/>
          <w:sz w:val="24"/>
          <w:szCs w:val="24"/>
        </w:rPr>
        <w:t xml:space="preserve"> et al., 2022</w:t>
      </w:r>
      <w:r w:rsidRPr="00632DCF">
        <w:rPr>
          <w:rFonts w:ascii="Arial" w:hAnsi="Arial" w:cs="Arial"/>
          <w:sz w:val="24"/>
          <w:szCs w:val="24"/>
        </w:rPr>
        <w:t xml:space="preserve">). The next level of greywater reuse supports organizations' sustainability strategies in the hospitality industry, enhancing hotels' affinity for eco-certification and attracting consumers with modest carbon footprints. The </w:t>
      </w:r>
      <w:r w:rsidRPr="00632DCF">
        <w:rPr>
          <w:rFonts w:ascii="Arial" w:hAnsi="Arial" w:cs="Arial"/>
          <w:sz w:val="24"/>
          <w:szCs w:val="24"/>
        </w:rPr>
        <w:lastRenderedPageBreak/>
        <w:t>review by Tripathy et al. (2024) has also shown that greywater recycling is feasible at an industrial scale for such prominent organizations as hotels. However, these systems initially require capital investment and recurrent maintenance costs in the long run. The return in terms of environmental and economic gains makes these systems reasonable and feasible to incorporate in hospitality ventures for improving sustainability</w:t>
      </w:r>
      <w:r w:rsidR="00D1644C">
        <w:rPr>
          <w:rFonts w:ascii="Arial" w:hAnsi="Arial" w:cs="Arial"/>
          <w:sz w:val="24"/>
          <w:szCs w:val="24"/>
        </w:rPr>
        <w:t xml:space="preserve"> (</w:t>
      </w:r>
      <w:r w:rsidR="00D1644C" w:rsidRPr="00632DCF">
        <w:rPr>
          <w:rFonts w:ascii="Arial" w:hAnsi="Arial" w:cs="Arial"/>
          <w:sz w:val="24"/>
          <w:szCs w:val="24"/>
        </w:rPr>
        <w:t>Jauhari</w:t>
      </w:r>
      <w:r w:rsidR="00D1644C">
        <w:rPr>
          <w:rFonts w:ascii="Arial" w:hAnsi="Arial" w:cs="Arial"/>
          <w:sz w:val="24"/>
          <w:szCs w:val="24"/>
        </w:rPr>
        <w:t>, 2021)</w:t>
      </w:r>
      <w:r w:rsidRPr="00632DCF">
        <w:rPr>
          <w:rFonts w:ascii="Arial" w:hAnsi="Arial" w:cs="Arial"/>
          <w:sz w:val="24"/>
          <w:szCs w:val="24"/>
        </w:rPr>
        <w:t>.</w:t>
      </w:r>
    </w:p>
    <w:p w14:paraId="5AC7F51B" w14:textId="77777777" w:rsidR="006000D0" w:rsidRPr="00632DCF" w:rsidRDefault="00000000" w:rsidP="00632DCF">
      <w:pPr>
        <w:pStyle w:val="Heading2"/>
        <w:spacing w:before="0" w:afterAutospacing="0" w:line="360" w:lineRule="auto"/>
        <w:ind w:firstLine="0"/>
        <w:contextualSpacing/>
        <w:rPr>
          <w:rFonts w:ascii="Arial" w:hAnsi="Arial" w:cs="Arial"/>
          <w:b/>
          <w:bCs/>
          <w:color w:val="auto"/>
          <w:sz w:val="24"/>
          <w:szCs w:val="24"/>
        </w:rPr>
      </w:pPr>
      <w:bookmarkStart w:id="8" w:name="_Toc182091758"/>
      <w:r w:rsidRPr="00632DCF">
        <w:rPr>
          <w:rFonts w:ascii="Arial" w:hAnsi="Arial" w:cs="Arial"/>
          <w:b/>
          <w:bCs/>
          <w:color w:val="auto"/>
          <w:sz w:val="24"/>
          <w:szCs w:val="24"/>
        </w:rPr>
        <w:t>Suitability for Hilton Garden Inn London Heathrow</w:t>
      </w:r>
      <w:bookmarkEnd w:id="8"/>
    </w:p>
    <w:p w14:paraId="4412F7E2" w14:textId="1ECFFD24" w:rsidR="006E4BD2" w:rsidRPr="00632DCF" w:rsidRDefault="00000000" w:rsidP="00632DCF">
      <w:pPr>
        <w:spacing w:after="0" w:afterAutospacing="0" w:line="360" w:lineRule="auto"/>
        <w:ind w:firstLine="0"/>
        <w:contextualSpacing/>
        <w:rPr>
          <w:rFonts w:ascii="Arial" w:hAnsi="Arial" w:cs="Arial"/>
          <w:sz w:val="24"/>
          <w:szCs w:val="24"/>
        </w:rPr>
      </w:pPr>
      <w:r w:rsidRPr="00632DCF">
        <w:rPr>
          <w:rFonts w:ascii="Arial" w:hAnsi="Arial" w:cs="Arial"/>
          <w:sz w:val="24"/>
          <w:szCs w:val="24"/>
        </w:rPr>
        <w:tab/>
        <w:t>The Hilton Garden Inn London Heathrow is a perfect example of a hotel that can successfully introduce greywater recycling because of its constant focus on environmental issues. In this regard, the hotel has already established a good background by implementing solar panels and other water-efficient technologies on its premises, which shall act as a springboard towards promoting other sustainable practices in the hotel concern (</w:t>
      </w:r>
      <w:r w:rsidR="00D1644C" w:rsidRPr="00632DCF">
        <w:rPr>
          <w:rFonts w:ascii="Arial" w:hAnsi="Arial" w:cs="Arial"/>
          <w:sz w:val="24"/>
          <w:szCs w:val="24"/>
        </w:rPr>
        <w:t xml:space="preserve">Mondejar </w:t>
      </w:r>
      <w:r w:rsidRPr="00632DCF">
        <w:rPr>
          <w:rFonts w:ascii="Arial" w:hAnsi="Arial" w:cs="Arial"/>
          <w:sz w:val="24"/>
          <w:szCs w:val="24"/>
        </w:rPr>
        <w:t>et al., 202</w:t>
      </w:r>
      <w:r w:rsidR="00D1644C">
        <w:rPr>
          <w:rFonts w:ascii="Arial" w:hAnsi="Arial" w:cs="Arial"/>
          <w:sz w:val="24"/>
          <w:szCs w:val="24"/>
        </w:rPr>
        <w:t>1</w:t>
      </w:r>
      <w:r w:rsidRPr="00632DCF">
        <w:rPr>
          <w:rFonts w:ascii="Arial" w:hAnsi="Arial" w:cs="Arial"/>
          <w:sz w:val="24"/>
          <w:szCs w:val="24"/>
        </w:rPr>
        <w:t>). With the integration of a greywater recycling system, the hotel would be able to conserve up to 40% of water consumption, hence cutting operation costs and attracting environmentally friendly tourists (</w:t>
      </w:r>
      <w:r w:rsidR="00D1644C" w:rsidRPr="00632DCF">
        <w:rPr>
          <w:rFonts w:ascii="Arial" w:hAnsi="Arial" w:cs="Arial"/>
          <w:sz w:val="24"/>
          <w:szCs w:val="24"/>
        </w:rPr>
        <w:t>Wickham</w:t>
      </w:r>
      <w:r w:rsidR="00D1644C">
        <w:rPr>
          <w:rFonts w:ascii="Arial" w:hAnsi="Arial" w:cs="Arial"/>
          <w:sz w:val="24"/>
          <w:szCs w:val="24"/>
        </w:rPr>
        <w:t xml:space="preserve"> et al., 2021</w:t>
      </w:r>
      <w:r w:rsidRPr="00632DCF">
        <w:rPr>
          <w:rFonts w:ascii="Arial" w:hAnsi="Arial" w:cs="Arial"/>
          <w:sz w:val="24"/>
          <w:szCs w:val="24"/>
        </w:rPr>
        <w:t>). Hilton's general long-term sustainability objectives align with this initiative, and its expansion to other hotel entities within the Hilton hospitality portfolio can solidify the brand's industry-wide sustainable leadership (Costa &amp; Costa, 2022). The hotel is located close to Heathrow, the world's busiest airport, and this enables the hotel to capture travelers who are environmentally conscious and will provide more customers, leading to an increase in occupancy rates (Amjad et al., 2021). Despite this, an additional case-specific analysis is needed to evaluate the feasibility of GW treatment and recovery thoroughly. This analysis should include a detailed cost analysis of the implemented options, encompassing initial investments and infrastructure adjustments</w:t>
      </w:r>
      <w:r w:rsidR="00D1644C">
        <w:rPr>
          <w:rFonts w:ascii="Arial" w:hAnsi="Arial" w:cs="Arial"/>
          <w:sz w:val="24"/>
          <w:szCs w:val="24"/>
        </w:rPr>
        <w:t xml:space="preserve"> (</w:t>
      </w:r>
      <w:r w:rsidR="00D1644C" w:rsidRPr="00632DCF">
        <w:rPr>
          <w:rFonts w:ascii="Arial" w:hAnsi="Arial" w:cs="Arial"/>
          <w:sz w:val="24"/>
          <w:szCs w:val="24"/>
        </w:rPr>
        <w:t>Jauhari</w:t>
      </w:r>
      <w:r w:rsidR="00D1644C">
        <w:rPr>
          <w:rFonts w:ascii="Arial" w:hAnsi="Arial" w:cs="Arial"/>
          <w:sz w:val="24"/>
          <w:szCs w:val="24"/>
        </w:rPr>
        <w:t>, 2021)</w:t>
      </w:r>
      <w:r w:rsidRPr="00632DCF">
        <w:rPr>
          <w:rFonts w:ascii="Arial" w:hAnsi="Arial" w:cs="Arial"/>
          <w:sz w:val="24"/>
          <w:szCs w:val="24"/>
        </w:rPr>
        <w:t>. Such reasons would provide a clear perspective on the long-term cost advantage that offsets the initial capital expense for investment in sustainable development across Hilton Garden Inn London Heathrow (</w:t>
      </w:r>
      <w:r w:rsidR="00D1644C" w:rsidRPr="00632DCF">
        <w:rPr>
          <w:rFonts w:ascii="Arial" w:hAnsi="Arial" w:cs="Arial"/>
          <w:sz w:val="24"/>
          <w:szCs w:val="24"/>
        </w:rPr>
        <w:t>Wickham</w:t>
      </w:r>
      <w:r w:rsidR="00D1644C">
        <w:rPr>
          <w:rFonts w:ascii="Arial" w:hAnsi="Arial" w:cs="Arial"/>
          <w:sz w:val="24"/>
          <w:szCs w:val="24"/>
        </w:rPr>
        <w:t xml:space="preserve"> et al., 2021</w:t>
      </w:r>
      <w:r w:rsidRPr="00632DCF">
        <w:rPr>
          <w:rFonts w:ascii="Arial" w:hAnsi="Arial" w:cs="Arial"/>
          <w:sz w:val="24"/>
          <w:szCs w:val="24"/>
        </w:rPr>
        <w:t>).</w:t>
      </w:r>
    </w:p>
    <w:p w14:paraId="26BC623C" w14:textId="77777777" w:rsidR="00606625" w:rsidRPr="00632DCF" w:rsidRDefault="00000000" w:rsidP="00632DCF">
      <w:pPr>
        <w:pStyle w:val="Heading1"/>
        <w:spacing w:before="0" w:afterAutospacing="0" w:line="360" w:lineRule="auto"/>
        <w:ind w:firstLine="0"/>
        <w:contextualSpacing/>
        <w:jc w:val="center"/>
        <w:rPr>
          <w:rFonts w:ascii="Arial" w:hAnsi="Arial" w:cs="Arial"/>
          <w:b/>
          <w:bCs/>
          <w:color w:val="auto"/>
          <w:sz w:val="24"/>
          <w:szCs w:val="24"/>
        </w:rPr>
      </w:pPr>
      <w:bookmarkStart w:id="9" w:name="_Toc182091759"/>
      <w:r w:rsidRPr="00632DCF">
        <w:rPr>
          <w:rFonts w:ascii="Arial" w:hAnsi="Arial" w:cs="Arial"/>
          <w:b/>
          <w:bCs/>
          <w:color w:val="auto"/>
          <w:sz w:val="24"/>
          <w:szCs w:val="24"/>
        </w:rPr>
        <w:t>Conclusion and Recommendations</w:t>
      </w:r>
      <w:bookmarkEnd w:id="9"/>
    </w:p>
    <w:p w14:paraId="24115610" w14:textId="77777777" w:rsidR="006000D0" w:rsidRPr="00632DCF" w:rsidRDefault="00000000" w:rsidP="00632DCF">
      <w:pPr>
        <w:spacing w:after="0" w:afterAutospacing="0" w:line="360" w:lineRule="auto"/>
        <w:contextualSpacing/>
        <w:rPr>
          <w:rFonts w:ascii="Arial" w:hAnsi="Arial" w:cs="Arial"/>
          <w:sz w:val="24"/>
          <w:szCs w:val="24"/>
        </w:rPr>
      </w:pPr>
      <w:r w:rsidRPr="00632DCF">
        <w:rPr>
          <w:rFonts w:ascii="Arial" w:hAnsi="Arial" w:cs="Arial"/>
          <w:sz w:val="24"/>
          <w:szCs w:val="24"/>
        </w:rPr>
        <w:t xml:space="preserve">In conclusion, incorporating sustainability concerns has emerged as necessary for any hotel seeking to meet new global environmental benchmarks and respond to </w:t>
      </w:r>
      <w:r w:rsidRPr="00632DCF">
        <w:rPr>
          <w:rFonts w:ascii="Arial" w:hAnsi="Arial" w:cs="Arial"/>
          <w:sz w:val="24"/>
          <w:szCs w:val="24"/>
        </w:rPr>
        <w:lastRenderedPageBreak/>
        <w:t>consumers' changing expectations. The Hilton Garden Inn London Heathrow is trying to enhance its environmental friendliness by implementing specific equipment such as solar panels, which they have permission to install and use, and energy-efficient dishwashing machines, among others. However, there are still numerous areas for improvement, with the preservation of water resources being one of the most significant. Implementing a greywater recycling system could significantly impact the hotel, primarily by providing opportunities to reuse wastewater from sinks, showers, and laundry that does not directly connect to drinking water, such as watering plants and flushing toilets. This would significantly reduce the hotel's water consumption and increase environmental conservation.</w:t>
      </w:r>
    </w:p>
    <w:p w14:paraId="481F7B7A" w14:textId="77777777" w:rsidR="006000D0" w:rsidRPr="00632DCF" w:rsidRDefault="00000000" w:rsidP="00632DCF">
      <w:pPr>
        <w:spacing w:after="0" w:afterAutospacing="0" w:line="360" w:lineRule="auto"/>
        <w:contextualSpacing/>
        <w:rPr>
          <w:rFonts w:ascii="Arial" w:hAnsi="Arial" w:cs="Arial"/>
          <w:sz w:val="24"/>
          <w:szCs w:val="24"/>
        </w:rPr>
      </w:pPr>
      <w:r w:rsidRPr="00632DCF">
        <w:rPr>
          <w:rFonts w:ascii="Arial" w:hAnsi="Arial" w:cs="Arial"/>
          <w:sz w:val="24"/>
          <w:szCs w:val="24"/>
        </w:rPr>
        <w:t xml:space="preserve"> It has been observed that installing a greywater recycling system necessitates initial costs, structural modifications, and an annual maintenance cost analysis, and the extensive financial and environmental benefits can aid in conducting a cost-effective study. Long-term benefits include reduced water bills, a lesser negative environmental impact, and meeting the increasing demand for sustainability in the hotel industry. It is about time that Hilton Garden Inn London Heathrow embraced greywater recycling, thus enhancing its sustainability and becoming a model for benchmarking operational efficiency within the industry. By committing to similar kinds of sustainable innovations, the hotel could effectively market itself as an environmentally friendly hotel to clients who value sustainable living and continuously uphold the primary function of protecting the future generations' environment.</w:t>
      </w:r>
    </w:p>
    <w:p w14:paraId="7AD0E516" w14:textId="77777777" w:rsidR="00606625" w:rsidRPr="00632DCF" w:rsidRDefault="00606625" w:rsidP="00632DCF">
      <w:pPr>
        <w:spacing w:after="0" w:afterAutospacing="0" w:line="360" w:lineRule="auto"/>
        <w:ind w:firstLine="0"/>
        <w:contextualSpacing/>
        <w:rPr>
          <w:rFonts w:ascii="Arial" w:hAnsi="Arial" w:cs="Arial"/>
          <w:sz w:val="24"/>
          <w:szCs w:val="24"/>
        </w:rPr>
      </w:pPr>
    </w:p>
    <w:p w14:paraId="3AF1812B" w14:textId="77777777" w:rsidR="00167DAB" w:rsidRPr="00632DCF" w:rsidRDefault="00167DAB" w:rsidP="00632DCF">
      <w:pPr>
        <w:spacing w:after="0" w:afterAutospacing="0" w:line="360" w:lineRule="auto"/>
        <w:ind w:firstLine="0"/>
        <w:contextualSpacing/>
        <w:rPr>
          <w:rFonts w:ascii="Arial" w:hAnsi="Arial" w:cs="Arial"/>
          <w:sz w:val="24"/>
          <w:szCs w:val="24"/>
        </w:rPr>
      </w:pPr>
    </w:p>
    <w:p w14:paraId="5DF511FB"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1DBFAF57"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5DB65852"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381CC866"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4340C69F" w14:textId="77777777" w:rsidR="003571E3" w:rsidRPr="00632DCF" w:rsidRDefault="003571E3" w:rsidP="00632DCF">
      <w:pPr>
        <w:spacing w:after="0" w:afterAutospacing="0" w:line="360" w:lineRule="auto"/>
        <w:ind w:firstLine="0"/>
        <w:contextualSpacing/>
        <w:rPr>
          <w:rFonts w:ascii="Arial" w:hAnsi="Arial" w:cs="Arial"/>
          <w:sz w:val="24"/>
          <w:szCs w:val="24"/>
        </w:rPr>
      </w:pPr>
    </w:p>
    <w:p w14:paraId="2710AC3D" w14:textId="77777777" w:rsidR="003571E3" w:rsidRPr="00632DCF" w:rsidRDefault="00000000" w:rsidP="00632DCF">
      <w:pPr>
        <w:spacing w:after="0" w:afterAutospacing="0" w:line="360" w:lineRule="auto"/>
        <w:contextualSpacing/>
        <w:rPr>
          <w:rFonts w:ascii="Arial" w:hAnsi="Arial" w:cs="Arial"/>
          <w:sz w:val="24"/>
          <w:szCs w:val="24"/>
        </w:rPr>
      </w:pPr>
      <w:r w:rsidRPr="00632DCF">
        <w:rPr>
          <w:rFonts w:ascii="Arial" w:hAnsi="Arial" w:cs="Arial"/>
          <w:sz w:val="24"/>
          <w:szCs w:val="24"/>
        </w:rPr>
        <w:br w:type="page"/>
      </w:r>
    </w:p>
    <w:p w14:paraId="45AC57E8" w14:textId="77777777" w:rsidR="003571E3" w:rsidRPr="00632DCF" w:rsidRDefault="00000000" w:rsidP="00632DCF">
      <w:pPr>
        <w:pStyle w:val="Heading1"/>
        <w:spacing w:before="0" w:afterAutospacing="0" w:line="360" w:lineRule="auto"/>
        <w:ind w:firstLine="0"/>
        <w:contextualSpacing/>
        <w:jc w:val="center"/>
        <w:rPr>
          <w:rFonts w:ascii="Arial" w:hAnsi="Arial" w:cs="Arial"/>
          <w:b/>
          <w:bCs/>
          <w:color w:val="auto"/>
          <w:sz w:val="24"/>
          <w:szCs w:val="24"/>
        </w:rPr>
      </w:pPr>
      <w:bookmarkStart w:id="10" w:name="_Toc182091760"/>
      <w:r w:rsidRPr="00632DCF">
        <w:rPr>
          <w:rFonts w:ascii="Arial" w:hAnsi="Arial" w:cs="Arial"/>
          <w:b/>
          <w:bCs/>
          <w:color w:val="auto"/>
          <w:sz w:val="24"/>
          <w:szCs w:val="24"/>
        </w:rPr>
        <w:lastRenderedPageBreak/>
        <w:t>References</w:t>
      </w:r>
      <w:bookmarkEnd w:id="10"/>
    </w:p>
    <w:p w14:paraId="7FB53E83"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Amjad, F., Abbas, W., Zia-Ur-Rehman, M., Baig, S. A., Hashim, M., Khan, A., &amp; Rehman, H. U. (2021). Effect of green human resource management practices on organizational sustainability: the mediating role of environmental and employee performance. </w:t>
      </w:r>
      <w:r w:rsidRPr="00632DCF">
        <w:rPr>
          <w:rFonts w:ascii="Arial" w:hAnsi="Arial" w:cs="Arial"/>
          <w:i/>
          <w:iCs/>
          <w:sz w:val="24"/>
          <w:szCs w:val="24"/>
        </w:rPr>
        <w:t>Environmental Science and Pollution Research</w:t>
      </w:r>
      <w:r w:rsidRPr="00632DCF">
        <w:rPr>
          <w:rFonts w:ascii="Arial" w:hAnsi="Arial" w:cs="Arial"/>
          <w:sz w:val="24"/>
          <w:szCs w:val="24"/>
        </w:rPr>
        <w:t>, </w:t>
      </w:r>
      <w:r w:rsidRPr="00632DCF">
        <w:rPr>
          <w:rFonts w:ascii="Arial" w:hAnsi="Arial" w:cs="Arial"/>
          <w:i/>
          <w:iCs/>
          <w:sz w:val="24"/>
          <w:szCs w:val="24"/>
        </w:rPr>
        <w:t>28</w:t>
      </w:r>
      <w:r w:rsidRPr="00632DCF">
        <w:rPr>
          <w:rFonts w:ascii="Arial" w:hAnsi="Arial" w:cs="Arial"/>
          <w:sz w:val="24"/>
          <w:szCs w:val="24"/>
        </w:rPr>
        <w:t>, 28191-28206.</w:t>
      </w:r>
    </w:p>
    <w:p w14:paraId="672C229F"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Anguelovski, I., Brand, A. L., Connolly, J. J., Corbera, E., Kotsila, P., Steil, J., ... &amp; Argüelles Ramos, L. (2020). Expanding the boundaries of justice in urban greening scholarship: toward an emancipatory, antisubordination, intersectional, and relational approach. </w:t>
      </w:r>
      <w:r w:rsidRPr="00632DCF">
        <w:rPr>
          <w:rFonts w:ascii="Arial" w:hAnsi="Arial" w:cs="Arial"/>
          <w:i/>
          <w:iCs/>
          <w:sz w:val="24"/>
          <w:szCs w:val="24"/>
        </w:rPr>
        <w:t>Annals of the American Association of Geographers</w:t>
      </w:r>
      <w:r w:rsidRPr="00632DCF">
        <w:rPr>
          <w:rFonts w:ascii="Arial" w:hAnsi="Arial" w:cs="Arial"/>
          <w:sz w:val="24"/>
          <w:szCs w:val="24"/>
        </w:rPr>
        <w:t>, </w:t>
      </w:r>
      <w:r w:rsidRPr="00632DCF">
        <w:rPr>
          <w:rFonts w:ascii="Arial" w:hAnsi="Arial" w:cs="Arial"/>
          <w:i/>
          <w:iCs/>
          <w:sz w:val="24"/>
          <w:szCs w:val="24"/>
        </w:rPr>
        <w:t>110</w:t>
      </w:r>
      <w:r w:rsidRPr="00632DCF">
        <w:rPr>
          <w:rFonts w:ascii="Arial" w:hAnsi="Arial" w:cs="Arial"/>
          <w:sz w:val="24"/>
          <w:szCs w:val="24"/>
        </w:rPr>
        <w:t>(6), 1743-1769.</w:t>
      </w:r>
    </w:p>
    <w:p w14:paraId="2339117E"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 xml:space="preserve">Costa, C., &amp; Costa, C. (Eds.). (2022). </w:t>
      </w:r>
      <w:r w:rsidRPr="00632DCF">
        <w:rPr>
          <w:rFonts w:ascii="Arial" w:hAnsi="Arial" w:cs="Arial"/>
          <w:i/>
          <w:iCs/>
          <w:sz w:val="24"/>
          <w:szCs w:val="24"/>
        </w:rPr>
        <w:t>Sustainability and competitiveness in the hospitality industry</w:t>
      </w:r>
      <w:r w:rsidRPr="00632DCF">
        <w:rPr>
          <w:rFonts w:ascii="Arial" w:hAnsi="Arial" w:cs="Arial"/>
          <w:sz w:val="24"/>
          <w:szCs w:val="24"/>
        </w:rPr>
        <w:t>. Business Science Reference.</w:t>
      </w:r>
    </w:p>
    <w:p w14:paraId="5F60DF8B"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 xml:space="preserve">Edgell, D. L. (2020). </w:t>
      </w:r>
      <w:r w:rsidRPr="00632DCF">
        <w:rPr>
          <w:rFonts w:ascii="Arial" w:hAnsi="Arial" w:cs="Arial"/>
          <w:i/>
          <w:iCs/>
          <w:sz w:val="24"/>
          <w:szCs w:val="24"/>
        </w:rPr>
        <w:t>Managing sustainable tourism: A legacy for the future</w:t>
      </w:r>
      <w:r w:rsidRPr="00632DCF">
        <w:rPr>
          <w:rFonts w:ascii="Arial" w:hAnsi="Arial" w:cs="Arial"/>
          <w:sz w:val="24"/>
          <w:szCs w:val="24"/>
        </w:rPr>
        <w:t xml:space="preserve"> (3rd ed.). Routledge.</w:t>
      </w:r>
    </w:p>
    <w:p w14:paraId="226CD05C"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i/>
          <w:iCs/>
          <w:sz w:val="24"/>
          <w:szCs w:val="24"/>
        </w:rPr>
        <w:t>Sustainable tourism: Breakthroughs in research and practice</w:t>
      </w:r>
      <w:r w:rsidRPr="00632DCF">
        <w:rPr>
          <w:rFonts w:ascii="Arial" w:hAnsi="Arial" w:cs="Arial"/>
          <w:sz w:val="24"/>
          <w:szCs w:val="24"/>
        </w:rPr>
        <w:t>. (2019). IGI Global.</w:t>
      </w:r>
    </w:p>
    <w:p w14:paraId="43820C60"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Hooshyari, G., Jackson, W., Gray, E., Song, L., Bose, A., &amp; Callahan, M. (2022, July). Demonstration of a Full Size Integrated Greywater Recycling System Combining Biological Pretreatment with Reverse Osmosis. 51st International Conference on Environmental Systems.</w:t>
      </w:r>
    </w:p>
    <w:p w14:paraId="6F218621"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 xml:space="preserve">Jauhari, V. (2021). </w:t>
      </w:r>
      <w:r w:rsidRPr="00632DCF">
        <w:rPr>
          <w:rFonts w:ascii="Arial" w:hAnsi="Arial" w:cs="Arial"/>
          <w:i/>
          <w:iCs/>
          <w:sz w:val="24"/>
          <w:szCs w:val="24"/>
        </w:rPr>
        <w:t>Managing sustainability in the hospitality and tourism industry: Paradigms and directions for the future</w:t>
      </w:r>
      <w:r w:rsidRPr="00632DCF">
        <w:rPr>
          <w:rFonts w:ascii="Arial" w:hAnsi="Arial" w:cs="Arial"/>
          <w:sz w:val="24"/>
          <w:szCs w:val="24"/>
        </w:rPr>
        <w:t xml:space="preserve"> (9th ed.). Apple Academic Press.</w:t>
      </w:r>
    </w:p>
    <w:p w14:paraId="74239639"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Jiakui, C., Abbas, J., Najam, H., Liu, J., &amp; Abbas, J. (2023). Green technological innovation, green finance, and financial development and their role in green total factor productivity: Empirical insights from China. </w:t>
      </w:r>
      <w:r w:rsidRPr="00632DCF">
        <w:rPr>
          <w:rFonts w:ascii="Arial" w:hAnsi="Arial" w:cs="Arial"/>
          <w:i/>
          <w:iCs/>
          <w:sz w:val="24"/>
          <w:szCs w:val="24"/>
        </w:rPr>
        <w:t>Journal of Cleaner Production</w:t>
      </w:r>
      <w:r w:rsidRPr="00632DCF">
        <w:rPr>
          <w:rFonts w:ascii="Arial" w:hAnsi="Arial" w:cs="Arial"/>
          <w:sz w:val="24"/>
          <w:szCs w:val="24"/>
        </w:rPr>
        <w:t>, </w:t>
      </w:r>
      <w:r w:rsidRPr="00632DCF">
        <w:rPr>
          <w:rFonts w:ascii="Arial" w:hAnsi="Arial" w:cs="Arial"/>
          <w:i/>
          <w:iCs/>
          <w:sz w:val="24"/>
          <w:szCs w:val="24"/>
        </w:rPr>
        <w:t>382</w:t>
      </w:r>
      <w:r w:rsidRPr="00632DCF">
        <w:rPr>
          <w:rFonts w:ascii="Arial" w:hAnsi="Arial" w:cs="Arial"/>
          <w:sz w:val="24"/>
          <w:szCs w:val="24"/>
        </w:rPr>
        <w:t>, 135131.</w:t>
      </w:r>
    </w:p>
    <w:p w14:paraId="1446FAD3"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Khajvand, M., Mostafazadeh, A. K., Drogui, P., &amp; Tyagi, R. D. (2022). Management of greywater: environmental impact, treatment, resource recovery, water recycling, and decentralization. </w:t>
      </w:r>
      <w:r w:rsidRPr="00632DCF">
        <w:rPr>
          <w:rFonts w:ascii="Arial" w:hAnsi="Arial" w:cs="Arial"/>
          <w:i/>
          <w:iCs/>
          <w:sz w:val="24"/>
          <w:szCs w:val="24"/>
        </w:rPr>
        <w:t>Water Science &amp; Technology</w:t>
      </w:r>
      <w:r w:rsidRPr="00632DCF">
        <w:rPr>
          <w:rFonts w:ascii="Arial" w:hAnsi="Arial" w:cs="Arial"/>
          <w:sz w:val="24"/>
          <w:szCs w:val="24"/>
        </w:rPr>
        <w:t>, </w:t>
      </w:r>
      <w:r w:rsidRPr="00632DCF">
        <w:rPr>
          <w:rFonts w:ascii="Arial" w:hAnsi="Arial" w:cs="Arial"/>
          <w:i/>
          <w:iCs/>
          <w:sz w:val="24"/>
          <w:szCs w:val="24"/>
        </w:rPr>
        <w:t>86</w:t>
      </w:r>
      <w:r w:rsidRPr="00632DCF">
        <w:rPr>
          <w:rFonts w:ascii="Arial" w:hAnsi="Arial" w:cs="Arial"/>
          <w:sz w:val="24"/>
          <w:szCs w:val="24"/>
        </w:rPr>
        <w:t>(5), 909-937.</w:t>
      </w:r>
    </w:p>
    <w:p w14:paraId="02113CB5"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 xml:space="preserve">Korstanje, M. B., &amp; Nedelea, A. (2020). </w:t>
      </w:r>
      <w:r w:rsidRPr="00632DCF">
        <w:rPr>
          <w:rFonts w:ascii="Arial" w:hAnsi="Arial" w:cs="Arial"/>
          <w:i/>
          <w:iCs/>
          <w:sz w:val="24"/>
          <w:szCs w:val="24"/>
        </w:rPr>
        <w:t>Strategies for promoting sustainable hospitality and tourism services</w:t>
      </w:r>
      <w:r w:rsidRPr="00632DCF">
        <w:rPr>
          <w:rFonts w:ascii="Arial" w:hAnsi="Arial" w:cs="Arial"/>
          <w:sz w:val="24"/>
          <w:szCs w:val="24"/>
        </w:rPr>
        <w:t>. IGI Global.</w:t>
      </w:r>
    </w:p>
    <w:p w14:paraId="6A52AD3D"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lastRenderedPageBreak/>
        <w:t>Liu, Z., Wang, J., Wang, X., &amp; Wang, Y. (2020). Understanding the impacts of ‘Grain for Greenland management practice on land greening dynamics over the Loess Plateau of China. </w:t>
      </w:r>
      <w:r w:rsidRPr="00632DCF">
        <w:rPr>
          <w:rFonts w:ascii="Arial" w:hAnsi="Arial" w:cs="Arial"/>
          <w:i/>
          <w:iCs/>
          <w:sz w:val="24"/>
          <w:szCs w:val="24"/>
        </w:rPr>
        <w:t>Land Use Policy</w:t>
      </w:r>
      <w:r w:rsidRPr="00632DCF">
        <w:rPr>
          <w:rFonts w:ascii="Arial" w:hAnsi="Arial" w:cs="Arial"/>
          <w:sz w:val="24"/>
          <w:szCs w:val="24"/>
        </w:rPr>
        <w:t>, </w:t>
      </w:r>
      <w:r w:rsidRPr="00632DCF">
        <w:rPr>
          <w:rFonts w:ascii="Arial" w:hAnsi="Arial" w:cs="Arial"/>
          <w:i/>
          <w:iCs/>
          <w:sz w:val="24"/>
          <w:szCs w:val="24"/>
        </w:rPr>
        <w:t>99</w:t>
      </w:r>
      <w:r w:rsidRPr="00632DCF">
        <w:rPr>
          <w:rFonts w:ascii="Arial" w:hAnsi="Arial" w:cs="Arial"/>
          <w:sz w:val="24"/>
          <w:szCs w:val="24"/>
        </w:rPr>
        <w:t>, 105084.</w:t>
      </w:r>
    </w:p>
    <w:p w14:paraId="00CCF3EE"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Mondejar, M. E., Avtar, R., Diaz, H. L. B., Dubey, R. K., Esteban, J., Gómez-Morales, A., ... &amp; Garcia-Segura, S. (2021). Digitalization to achieve sustainable development goals: Steps towards a Smart Green Planet. </w:t>
      </w:r>
      <w:r w:rsidRPr="00632DCF">
        <w:rPr>
          <w:rFonts w:ascii="Arial" w:hAnsi="Arial" w:cs="Arial"/>
          <w:i/>
          <w:iCs/>
          <w:sz w:val="24"/>
          <w:szCs w:val="24"/>
        </w:rPr>
        <w:t>Science of The Total Environment</w:t>
      </w:r>
      <w:r w:rsidRPr="00632DCF">
        <w:rPr>
          <w:rFonts w:ascii="Arial" w:hAnsi="Arial" w:cs="Arial"/>
          <w:sz w:val="24"/>
          <w:szCs w:val="24"/>
        </w:rPr>
        <w:t>, </w:t>
      </w:r>
      <w:r w:rsidRPr="00632DCF">
        <w:rPr>
          <w:rFonts w:ascii="Arial" w:hAnsi="Arial" w:cs="Arial"/>
          <w:i/>
          <w:iCs/>
          <w:sz w:val="24"/>
          <w:szCs w:val="24"/>
        </w:rPr>
        <w:t>794</w:t>
      </w:r>
      <w:r w:rsidRPr="00632DCF">
        <w:rPr>
          <w:rFonts w:ascii="Arial" w:hAnsi="Arial" w:cs="Arial"/>
          <w:sz w:val="24"/>
          <w:szCs w:val="24"/>
        </w:rPr>
        <w:t>, 148539.</w:t>
      </w:r>
    </w:p>
    <w:p w14:paraId="51B691C1"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i/>
          <w:iCs/>
          <w:sz w:val="24"/>
          <w:szCs w:val="24"/>
        </w:rPr>
        <w:t>New governance and management in touristic destinations</w:t>
      </w:r>
      <w:r w:rsidRPr="00632DCF">
        <w:rPr>
          <w:rFonts w:ascii="Arial" w:hAnsi="Arial" w:cs="Arial"/>
          <w:sz w:val="24"/>
          <w:szCs w:val="24"/>
        </w:rPr>
        <w:t>. (2022). IGI Global.</w:t>
      </w:r>
    </w:p>
    <w:p w14:paraId="64027DF7"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Peng, L. L., Jiang, Z., Yang, X., He, Y., Xu, T., &amp; Chen, S. S. (2020). Cooling effects of block-scale facade greening and their relationship with urban form. </w:t>
      </w:r>
      <w:r w:rsidRPr="00632DCF">
        <w:rPr>
          <w:rFonts w:ascii="Arial" w:hAnsi="Arial" w:cs="Arial"/>
          <w:i/>
          <w:iCs/>
          <w:sz w:val="24"/>
          <w:szCs w:val="24"/>
        </w:rPr>
        <w:t>Building and Environment</w:t>
      </w:r>
      <w:r w:rsidRPr="00632DCF">
        <w:rPr>
          <w:rFonts w:ascii="Arial" w:hAnsi="Arial" w:cs="Arial"/>
          <w:sz w:val="24"/>
          <w:szCs w:val="24"/>
        </w:rPr>
        <w:t>, </w:t>
      </w:r>
      <w:r w:rsidRPr="00632DCF">
        <w:rPr>
          <w:rFonts w:ascii="Arial" w:hAnsi="Arial" w:cs="Arial"/>
          <w:i/>
          <w:iCs/>
          <w:sz w:val="24"/>
          <w:szCs w:val="24"/>
        </w:rPr>
        <w:t>169</w:t>
      </w:r>
      <w:r w:rsidRPr="00632DCF">
        <w:rPr>
          <w:rFonts w:ascii="Arial" w:hAnsi="Arial" w:cs="Arial"/>
          <w:sz w:val="24"/>
          <w:szCs w:val="24"/>
        </w:rPr>
        <w:t>, 106552.</w:t>
      </w:r>
    </w:p>
    <w:p w14:paraId="4EA764C4"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Sandra Marcelline, T. R., Chengang, Y., Ralison Ny Avotra, A. A., Hussain, Z., Zonia, J. E., &amp; Nawaz, A. (2022). Impact of green construction procurement on achieving sustainable economic growth influencing green logistic services management and innovation practices. </w:t>
      </w:r>
      <w:r w:rsidRPr="00632DCF">
        <w:rPr>
          <w:rFonts w:ascii="Arial" w:hAnsi="Arial" w:cs="Arial"/>
          <w:i/>
          <w:iCs/>
          <w:sz w:val="24"/>
          <w:szCs w:val="24"/>
        </w:rPr>
        <w:t>Frontiers in Environmental Science</w:t>
      </w:r>
      <w:r w:rsidRPr="00632DCF">
        <w:rPr>
          <w:rFonts w:ascii="Arial" w:hAnsi="Arial" w:cs="Arial"/>
          <w:sz w:val="24"/>
          <w:szCs w:val="24"/>
        </w:rPr>
        <w:t>, </w:t>
      </w:r>
      <w:r w:rsidRPr="00632DCF">
        <w:rPr>
          <w:rFonts w:ascii="Arial" w:hAnsi="Arial" w:cs="Arial"/>
          <w:i/>
          <w:iCs/>
          <w:sz w:val="24"/>
          <w:szCs w:val="24"/>
        </w:rPr>
        <w:t>9</w:t>
      </w:r>
      <w:r w:rsidRPr="00632DCF">
        <w:rPr>
          <w:rFonts w:ascii="Arial" w:hAnsi="Arial" w:cs="Arial"/>
          <w:sz w:val="24"/>
          <w:szCs w:val="24"/>
        </w:rPr>
        <w:t>, 815928.</w:t>
      </w:r>
    </w:p>
    <w:p w14:paraId="06D18C99"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Sarkis, J., Kouhizadeh, M., &amp; Zhu, Q. S. (2021). Digitalization and the greening of supply chains. </w:t>
      </w:r>
      <w:r w:rsidRPr="00632DCF">
        <w:rPr>
          <w:rFonts w:ascii="Arial" w:hAnsi="Arial" w:cs="Arial"/>
          <w:i/>
          <w:iCs/>
          <w:sz w:val="24"/>
          <w:szCs w:val="24"/>
        </w:rPr>
        <w:t>Industrial Management &amp; Data Systems</w:t>
      </w:r>
      <w:r w:rsidRPr="00632DCF">
        <w:rPr>
          <w:rFonts w:ascii="Arial" w:hAnsi="Arial" w:cs="Arial"/>
          <w:sz w:val="24"/>
          <w:szCs w:val="24"/>
        </w:rPr>
        <w:t>, </w:t>
      </w:r>
      <w:r w:rsidRPr="00632DCF">
        <w:rPr>
          <w:rFonts w:ascii="Arial" w:hAnsi="Arial" w:cs="Arial"/>
          <w:i/>
          <w:iCs/>
          <w:sz w:val="24"/>
          <w:szCs w:val="24"/>
        </w:rPr>
        <w:t>121</w:t>
      </w:r>
      <w:r w:rsidRPr="00632DCF">
        <w:rPr>
          <w:rFonts w:ascii="Arial" w:hAnsi="Arial" w:cs="Arial"/>
          <w:sz w:val="24"/>
          <w:szCs w:val="24"/>
        </w:rPr>
        <w:t>(1), 65-85.</w:t>
      </w:r>
    </w:p>
    <w:p w14:paraId="300B7172"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Sharpley, R., &amp; Telfer, D. J. (2023). Tourism supply in a growth-based economy. In </w:t>
      </w:r>
      <w:r w:rsidRPr="00632DCF">
        <w:rPr>
          <w:rFonts w:ascii="Arial" w:hAnsi="Arial" w:cs="Arial"/>
          <w:i/>
          <w:iCs/>
          <w:sz w:val="24"/>
          <w:szCs w:val="24"/>
        </w:rPr>
        <w:t>Rethinking Tourism and Development</w:t>
      </w:r>
      <w:r w:rsidRPr="00632DCF">
        <w:rPr>
          <w:rFonts w:ascii="Arial" w:hAnsi="Arial" w:cs="Arial"/>
          <w:sz w:val="24"/>
          <w:szCs w:val="24"/>
        </w:rPr>
        <w:t xml:space="preserve"> (pp. 102–129). Edward Elgar Publishing.</w:t>
      </w:r>
    </w:p>
    <w:p w14:paraId="420BEE2B"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Shrestha, J., Subedi, S., Timsina, K. P., Subedi, S., Pandey, M., Shrestha, A., ... &amp; Hossain, M. A. (2021). Sustainable intensification in agriculture: an approach for making agriculture greener and productive.</w:t>
      </w:r>
    </w:p>
    <w:p w14:paraId="5EBCB399"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Stang, S., Khalkhali, M., Petrik, M., Palace, M., Lu, Z., &amp; Mo, W. (2021). Spatially optimized distribution of household rainwater harvesting and greywater recycling systems. </w:t>
      </w:r>
      <w:r w:rsidRPr="00632DCF">
        <w:rPr>
          <w:rFonts w:ascii="Arial" w:hAnsi="Arial" w:cs="Arial"/>
          <w:i/>
          <w:iCs/>
          <w:sz w:val="24"/>
          <w:szCs w:val="24"/>
        </w:rPr>
        <w:t>Journal of Cleaner Production</w:t>
      </w:r>
      <w:r w:rsidRPr="00632DCF">
        <w:rPr>
          <w:rFonts w:ascii="Arial" w:hAnsi="Arial" w:cs="Arial"/>
          <w:sz w:val="24"/>
          <w:szCs w:val="24"/>
        </w:rPr>
        <w:t>, </w:t>
      </w:r>
      <w:r w:rsidRPr="00632DCF">
        <w:rPr>
          <w:rFonts w:ascii="Arial" w:hAnsi="Arial" w:cs="Arial"/>
          <w:i/>
          <w:iCs/>
          <w:sz w:val="24"/>
          <w:szCs w:val="24"/>
        </w:rPr>
        <w:t>312</w:t>
      </w:r>
      <w:r w:rsidRPr="00632DCF">
        <w:rPr>
          <w:rFonts w:ascii="Arial" w:hAnsi="Arial" w:cs="Arial"/>
          <w:sz w:val="24"/>
          <w:szCs w:val="24"/>
        </w:rPr>
        <w:t>, 127736.</w:t>
      </w:r>
    </w:p>
    <w:p w14:paraId="0842D578"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Tripathy, P., Prakash, O., Sharma, A., Juneja, C., Hiwrale, I., Shukla, V., &amp; Pal, S. (2024). Facets of cost-benefit analysis of greywater recycling system in the framework of sustainable water security. </w:t>
      </w:r>
      <w:r w:rsidRPr="00632DCF">
        <w:rPr>
          <w:rFonts w:ascii="Arial" w:hAnsi="Arial" w:cs="Arial"/>
          <w:i/>
          <w:iCs/>
          <w:sz w:val="24"/>
          <w:szCs w:val="24"/>
        </w:rPr>
        <w:t>Journal of Cleaner Production</w:t>
      </w:r>
      <w:r w:rsidRPr="00632DCF">
        <w:rPr>
          <w:rFonts w:ascii="Arial" w:hAnsi="Arial" w:cs="Arial"/>
          <w:sz w:val="24"/>
          <w:szCs w:val="24"/>
        </w:rPr>
        <w:t>, 142048.</w:t>
      </w:r>
    </w:p>
    <w:p w14:paraId="07040AC1"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lastRenderedPageBreak/>
        <w:t>Tu, Y., &amp; Wu, W. (2021). How does green innovation improve enterprises’ competitive advantage? The role of organizational learning. </w:t>
      </w:r>
      <w:r w:rsidRPr="00632DCF">
        <w:rPr>
          <w:rFonts w:ascii="Arial" w:hAnsi="Arial" w:cs="Arial"/>
          <w:i/>
          <w:iCs/>
          <w:sz w:val="24"/>
          <w:szCs w:val="24"/>
        </w:rPr>
        <w:t>Sustainable Production and Consumption</w:t>
      </w:r>
      <w:r w:rsidRPr="00632DCF">
        <w:rPr>
          <w:rFonts w:ascii="Arial" w:hAnsi="Arial" w:cs="Arial"/>
          <w:sz w:val="24"/>
          <w:szCs w:val="24"/>
        </w:rPr>
        <w:t>, </w:t>
      </w:r>
      <w:r w:rsidRPr="00632DCF">
        <w:rPr>
          <w:rFonts w:ascii="Arial" w:hAnsi="Arial" w:cs="Arial"/>
          <w:i/>
          <w:iCs/>
          <w:sz w:val="24"/>
          <w:szCs w:val="24"/>
        </w:rPr>
        <w:t>26</w:t>
      </w:r>
      <w:r w:rsidRPr="00632DCF">
        <w:rPr>
          <w:rFonts w:ascii="Arial" w:hAnsi="Arial" w:cs="Arial"/>
          <w:sz w:val="24"/>
          <w:szCs w:val="24"/>
        </w:rPr>
        <w:t>, 504-516.</w:t>
      </w:r>
    </w:p>
    <w:p w14:paraId="411D3D65"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 xml:space="preserve">Wickham, D., Donnelly, T., &amp; French, L. (2021). Strategic sustainability management in the event sector. </w:t>
      </w:r>
      <w:r w:rsidRPr="00632DCF">
        <w:rPr>
          <w:rFonts w:ascii="Arial" w:hAnsi="Arial" w:cs="Arial"/>
          <w:i/>
          <w:iCs/>
          <w:sz w:val="24"/>
          <w:szCs w:val="24"/>
        </w:rPr>
        <w:t>Event Management, 25</w:t>
      </w:r>
      <w:r w:rsidRPr="00632DCF">
        <w:rPr>
          <w:rFonts w:ascii="Arial" w:hAnsi="Arial" w:cs="Arial"/>
          <w:sz w:val="24"/>
          <w:szCs w:val="24"/>
        </w:rPr>
        <w:t>(3), 279–296.</w:t>
      </w:r>
    </w:p>
    <w:p w14:paraId="19C916C6"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 xml:space="preserve">World Trade Organization. (2024). </w:t>
      </w:r>
      <w:r w:rsidRPr="00632DCF">
        <w:rPr>
          <w:rFonts w:ascii="Arial" w:hAnsi="Arial" w:cs="Arial"/>
          <w:i/>
          <w:iCs/>
          <w:sz w:val="24"/>
          <w:szCs w:val="24"/>
        </w:rPr>
        <w:t>Trade and climate change</w:t>
      </w:r>
      <w:r w:rsidRPr="00632DCF">
        <w:rPr>
          <w:rFonts w:ascii="Arial" w:hAnsi="Arial" w:cs="Arial"/>
          <w:sz w:val="24"/>
          <w:szCs w:val="24"/>
        </w:rPr>
        <w:t xml:space="preserve">. </w:t>
      </w:r>
      <w:hyperlink r:id="rId8" w:tgtFrame="_new" w:history="1">
        <w:r w:rsidR="003571E3" w:rsidRPr="00632DCF">
          <w:rPr>
            <w:rStyle w:val="Hyperlink"/>
            <w:rFonts w:ascii="Arial" w:hAnsi="Arial" w:cs="Arial"/>
            <w:color w:val="auto"/>
            <w:sz w:val="24"/>
            <w:szCs w:val="24"/>
          </w:rPr>
          <w:t>https://www.wto.org/english/tratop_e/envir_e/climate_intro_e.htm</w:t>
        </w:r>
      </w:hyperlink>
    </w:p>
    <w:p w14:paraId="527B5D8E" w14:textId="77777777" w:rsidR="003571E3" w:rsidRPr="00632DCF" w:rsidRDefault="00000000" w:rsidP="00632DCF">
      <w:pPr>
        <w:spacing w:after="0" w:afterAutospacing="0" w:line="360" w:lineRule="auto"/>
        <w:ind w:left="720" w:hanging="720"/>
        <w:contextualSpacing/>
        <w:rPr>
          <w:rFonts w:ascii="Arial" w:hAnsi="Arial" w:cs="Arial"/>
          <w:sz w:val="24"/>
          <w:szCs w:val="24"/>
        </w:rPr>
      </w:pPr>
      <w:r w:rsidRPr="00632DCF">
        <w:rPr>
          <w:rFonts w:ascii="Arial" w:hAnsi="Arial" w:cs="Arial"/>
          <w:sz w:val="24"/>
          <w:szCs w:val="24"/>
        </w:rPr>
        <w:t xml:space="preserve">World Trade Organization. (n.d.). </w:t>
      </w:r>
      <w:r w:rsidRPr="00632DCF">
        <w:rPr>
          <w:rFonts w:ascii="Arial" w:hAnsi="Arial" w:cs="Arial"/>
          <w:i/>
          <w:iCs/>
          <w:sz w:val="24"/>
          <w:szCs w:val="24"/>
        </w:rPr>
        <w:t>Home page – Global trade</w:t>
      </w:r>
      <w:r w:rsidRPr="00632DCF">
        <w:rPr>
          <w:rFonts w:ascii="Arial" w:hAnsi="Arial" w:cs="Arial"/>
          <w:sz w:val="24"/>
          <w:szCs w:val="24"/>
        </w:rPr>
        <w:t xml:space="preserve">. </w:t>
      </w:r>
      <w:hyperlink r:id="rId9" w:tgtFrame="_new" w:history="1">
        <w:r w:rsidR="003571E3" w:rsidRPr="00632DCF">
          <w:rPr>
            <w:rStyle w:val="Hyperlink"/>
            <w:rFonts w:ascii="Arial" w:hAnsi="Arial" w:cs="Arial"/>
            <w:color w:val="auto"/>
            <w:sz w:val="24"/>
            <w:szCs w:val="24"/>
          </w:rPr>
          <w:t>https://www.wto.org</w:t>
        </w:r>
      </w:hyperlink>
    </w:p>
    <w:sectPr w:rsidR="003571E3" w:rsidRPr="00632DCF">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1EC7C5" w14:textId="77777777" w:rsidR="00137F78" w:rsidRDefault="00137F78">
      <w:pPr>
        <w:spacing w:after="0"/>
      </w:pPr>
      <w:r>
        <w:separator/>
      </w:r>
    </w:p>
  </w:endnote>
  <w:endnote w:type="continuationSeparator" w:id="0">
    <w:p w14:paraId="5EC7D675" w14:textId="77777777" w:rsidR="00137F78" w:rsidRDefault="00137F7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735018" w14:textId="77777777" w:rsidR="00137F78" w:rsidRDefault="00137F78">
      <w:pPr>
        <w:spacing w:after="0"/>
      </w:pPr>
      <w:r>
        <w:separator/>
      </w:r>
    </w:p>
  </w:footnote>
  <w:footnote w:type="continuationSeparator" w:id="0">
    <w:p w14:paraId="4B954C19" w14:textId="77777777" w:rsidR="00137F78" w:rsidRDefault="00137F78">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1769733860"/>
      <w:docPartObj>
        <w:docPartGallery w:val="Page Numbers (Top of Page)"/>
        <w:docPartUnique/>
      </w:docPartObj>
    </w:sdtPr>
    <w:sdtEndPr>
      <w:rPr>
        <w:noProof/>
      </w:rPr>
    </w:sdtEndPr>
    <w:sdtContent>
      <w:p w14:paraId="670D0481" w14:textId="77777777" w:rsidR="00167DAB" w:rsidRPr="00167DAB" w:rsidRDefault="00000000" w:rsidP="00167DAB">
        <w:pPr>
          <w:pStyle w:val="Header"/>
          <w:spacing w:line="480" w:lineRule="auto"/>
          <w:jc w:val="right"/>
          <w:rPr>
            <w:rFonts w:ascii="Times New Roman" w:hAnsi="Times New Roman" w:cs="Times New Roman"/>
            <w:sz w:val="24"/>
            <w:szCs w:val="24"/>
          </w:rPr>
        </w:pPr>
        <w:r w:rsidRPr="00167DAB">
          <w:rPr>
            <w:rFonts w:ascii="Times New Roman" w:hAnsi="Times New Roman" w:cs="Times New Roman"/>
            <w:sz w:val="24"/>
            <w:szCs w:val="24"/>
          </w:rPr>
          <w:fldChar w:fldCharType="begin"/>
        </w:r>
        <w:r w:rsidRPr="00167DAB">
          <w:rPr>
            <w:rFonts w:ascii="Times New Roman" w:hAnsi="Times New Roman" w:cs="Times New Roman"/>
            <w:sz w:val="24"/>
            <w:szCs w:val="24"/>
          </w:rPr>
          <w:instrText xml:space="preserve"> PAGE   \* MERGEFORMAT </w:instrText>
        </w:r>
        <w:r w:rsidRPr="00167DAB">
          <w:rPr>
            <w:rFonts w:ascii="Times New Roman" w:hAnsi="Times New Roman" w:cs="Times New Roman"/>
            <w:sz w:val="24"/>
            <w:szCs w:val="24"/>
          </w:rPr>
          <w:fldChar w:fldCharType="separate"/>
        </w:r>
        <w:r w:rsidRPr="00167DAB">
          <w:rPr>
            <w:rFonts w:ascii="Times New Roman" w:hAnsi="Times New Roman" w:cs="Times New Roman"/>
            <w:noProof/>
            <w:sz w:val="24"/>
            <w:szCs w:val="24"/>
          </w:rPr>
          <w:t>2</w:t>
        </w:r>
        <w:r w:rsidRPr="00167DAB">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E1D2D01"/>
    <w:multiLevelType w:val="multilevel"/>
    <w:tmpl w:val="8F2627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3700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DAB"/>
    <w:rsid w:val="00024B18"/>
    <w:rsid w:val="0003453C"/>
    <w:rsid w:val="000A13AE"/>
    <w:rsid w:val="001306FA"/>
    <w:rsid w:val="00137F78"/>
    <w:rsid w:val="00167DAB"/>
    <w:rsid w:val="001D779C"/>
    <w:rsid w:val="00303D71"/>
    <w:rsid w:val="003571E3"/>
    <w:rsid w:val="003A1840"/>
    <w:rsid w:val="005214C0"/>
    <w:rsid w:val="00596F39"/>
    <w:rsid w:val="006000D0"/>
    <w:rsid w:val="00606625"/>
    <w:rsid w:val="00632DCF"/>
    <w:rsid w:val="006E4BD2"/>
    <w:rsid w:val="006E5D98"/>
    <w:rsid w:val="00736B2A"/>
    <w:rsid w:val="007B1A0D"/>
    <w:rsid w:val="007C570E"/>
    <w:rsid w:val="00896ECA"/>
    <w:rsid w:val="008D6BA9"/>
    <w:rsid w:val="008F6881"/>
    <w:rsid w:val="0090536C"/>
    <w:rsid w:val="00C214AA"/>
    <w:rsid w:val="00CD3380"/>
    <w:rsid w:val="00D1644C"/>
    <w:rsid w:val="00DD04A4"/>
    <w:rsid w:val="00E34A16"/>
    <w:rsid w:val="00F16147"/>
    <w:rsid w:val="00F55A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9379B"/>
  <w15:chartTrackingRefBased/>
  <w15:docId w15:val="{478A9D28-4B92-4F51-978F-A8F856985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00" w:afterAutospacing="1"/>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0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00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6000D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7DAB"/>
    <w:rPr>
      <w:color w:val="0563C1" w:themeColor="hyperlink"/>
      <w:u w:val="single"/>
    </w:rPr>
  </w:style>
  <w:style w:type="character" w:styleId="FollowedHyperlink">
    <w:name w:val="FollowedHyperlink"/>
    <w:basedOn w:val="DefaultParagraphFont"/>
    <w:uiPriority w:val="99"/>
    <w:semiHidden/>
    <w:unhideWhenUsed/>
    <w:rsid w:val="00167DAB"/>
    <w:rPr>
      <w:color w:val="954F72" w:themeColor="followedHyperlink"/>
      <w:u w:val="single"/>
    </w:rPr>
  </w:style>
  <w:style w:type="paragraph" w:styleId="ListParagraph">
    <w:name w:val="List Paragraph"/>
    <w:basedOn w:val="Normal"/>
    <w:uiPriority w:val="34"/>
    <w:qFormat/>
    <w:rsid w:val="00167DAB"/>
    <w:pPr>
      <w:ind w:left="720"/>
      <w:contextualSpacing/>
    </w:pPr>
  </w:style>
  <w:style w:type="paragraph" w:styleId="Header">
    <w:name w:val="header"/>
    <w:basedOn w:val="Normal"/>
    <w:link w:val="HeaderChar"/>
    <w:uiPriority w:val="99"/>
    <w:unhideWhenUsed/>
    <w:rsid w:val="00167DAB"/>
    <w:pPr>
      <w:tabs>
        <w:tab w:val="center" w:pos="4680"/>
        <w:tab w:val="right" w:pos="9360"/>
      </w:tabs>
      <w:spacing w:after="0"/>
    </w:pPr>
  </w:style>
  <w:style w:type="character" w:customStyle="1" w:styleId="HeaderChar">
    <w:name w:val="Header Char"/>
    <w:basedOn w:val="DefaultParagraphFont"/>
    <w:link w:val="Header"/>
    <w:uiPriority w:val="99"/>
    <w:rsid w:val="00167DAB"/>
  </w:style>
  <w:style w:type="paragraph" w:styleId="Footer">
    <w:name w:val="footer"/>
    <w:basedOn w:val="Normal"/>
    <w:link w:val="FooterChar"/>
    <w:uiPriority w:val="99"/>
    <w:unhideWhenUsed/>
    <w:rsid w:val="00167DAB"/>
    <w:pPr>
      <w:tabs>
        <w:tab w:val="center" w:pos="4680"/>
        <w:tab w:val="right" w:pos="9360"/>
      </w:tabs>
      <w:spacing w:after="0"/>
    </w:pPr>
  </w:style>
  <w:style w:type="character" w:customStyle="1" w:styleId="FooterChar">
    <w:name w:val="Footer Char"/>
    <w:basedOn w:val="DefaultParagraphFont"/>
    <w:link w:val="Footer"/>
    <w:uiPriority w:val="99"/>
    <w:rsid w:val="00167DAB"/>
  </w:style>
  <w:style w:type="character" w:customStyle="1" w:styleId="Heading1Char">
    <w:name w:val="Heading 1 Char"/>
    <w:basedOn w:val="DefaultParagraphFont"/>
    <w:link w:val="Heading1"/>
    <w:uiPriority w:val="9"/>
    <w:rsid w:val="006000D0"/>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6000D0"/>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6000D0"/>
    <w:rPr>
      <w:rFonts w:ascii="Times New Roman" w:hAnsi="Times New Roman" w:cs="Times New Roman"/>
      <w:sz w:val="24"/>
      <w:szCs w:val="24"/>
    </w:rPr>
  </w:style>
  <w:style w:type="character" w:customStyle="1" w:styleId="Heading2Char">
    <w:name w:val="Heading 2 Char"/>
    <w:basedOn w:val="DefaultParagraphFont"/>
    <w:link w:val="Heading2"/>
    <w:uiPriority w:val="9"/>
    <w:rsid w:val="006000D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571E3"/>
    <w:pPr>
      <w:spacing w:afterAutospacing="0" w:line="259" w:lineRule="auto"/>
      <w:ind w:firstLine="0"/>
      <w:outlineLvl w:val="9"/>
    </w:pPr>
    <w:rPr>
      <w:kern w:val="0"/>
      <w14:ligatures w14:val="none"/>
    </w:rPr>
  </w:style>
  <w:style w:type="paragraph" w:styleId="TOC1">
    <w:name w:val="toc 1"/>
    <w:basedOn w:val="Normal"/>
    <w:next w:val="Normal"/>
    <w:autoRedefine/>
    <w:uiPriority w:val="39"/>
    <w:unhideWhenUsed/>
    <w:rsid w:val="003571E3"/>
  </w:style>
  <w:style w:type="paragraph" w:styleId="TOC2">
    <w:name w:val="toc 2"/>
    <w:basedOn w:val="Normal"/>
    <w:next w:val="Normal"/>
    <w:autoRedefine/>
    <w:uiPriority w:val="39"/>
    <w:unhideWhenUsed/>
    <w:rsid w:val="003571E3"/>
    <w:pPr>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to.org/english/tratop_e/envir_e/climate_intro_e.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wto.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0252B-A0C4-49A8-8937-F9CCFC240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13</Pages>
  <Words>3250</Words>
  <Characters>18530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Silviu Will</cp:lastModifiedBy>
  <cp:revision>7</cp:revision>
  <dcterms:created xsi:type="dcterms:W3CDTF">2024-11-09T20:45:00Z</dcterms:created>
  <dcterms:modified xsi:type="dcterms:W3CDTF">2024-11-13T09:35:00Z</dcterms:modified>
</cp:coreProperties>
</file>