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62EC"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71C2F8D3"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6282BE11"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5F2308A9"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2AA3C99E"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3C552085"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69CB8797"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C0E3C40"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7A9A82B" w14:textId="77777777" w:rsidR="00DA0BF2" w:rsidRPr="00C60B87" w:rsidRDefault="00DA0BF2" w:rsidP="00C60B87">
      <w:pPr>
        <w:shd w:val="clear" w:color="auto" w:fill="FFFFFF"/>
        <w:jc w:val="center"/>
        <w:rPr>
          <w:rFonts w:eastAsia="Times New Roman" w:cstheme="minorHAnsi"/>
          <w:b/>
          <w:bCs/>
          <w:color w:val="222222"/>
          <w:sz w:val="72"/>
          <w:szCs w:val="72"/>
          <w:lang w:eastAsia="en-GB"/>
        </w:rPr>
      </w:pPr>
    </w:p>
    <w:p w14:paraId="2DA4AED7" w14:textId="2089FF79" w:rsidR="00DA0BF2" w:rsidRPr="00C60B87" w:rsidRDefault="00DA0BF2" w:rsidP="00C60B87">
      <w:pPr>
        <w:shd w:val="clear" w:color="auto" w:fill="FFFFFF"/>
        <w:jc w:val="center"/>
        <w:rPr>
          <w:rFonts w:eastAsia="Times New Roman" w:cstheme="minorHAnsi"/>
          <w:b/>
          <w:bCs/>
          <w:color w:val="222222"/>
          <w:sz w:val="72"/>
          <w:szCs w:val="72"/>
          <w:lang w:eastAsia="en-GB"/>
        </w:rPr>
      </w:pPr>
      <w:r w:rsidRPr="00C60B87">
        <w:rPr>
          <w:rFonts w:eastAsia="Times New Roman" w:cstheme="minorHAnsi"/>
          <w:b/>
          <w:bCs/>
          <w:color w:val="222222"/>
          <w:sz w:val="72"/>
          <w:szCs w:val="72"/>
          <w:lang w:eastAsia="en-GB"/>
        </w:rPr>
        <w:t>Rahima Khatun</w:t>
      </w:r>
    </w:p>
    <w:p w14:paraId="3DF21981" w14:textId="013D7030" w:rsidR="00DA0BF2" w:rsidRPr="00C60B87" w:rsidRDefault="00C60B87" w:rsidP="00C60B87">
      <w:pPr>
        <w:shd w:val="clear" w:color="auto" w:fill="FFFFFF"/>
        <w:jc w:val="center"/>
        <w:rPr>
          <w:rFonts w:eastAsia="Times New Roman" w:cstheme="minorHAnsi"/>
          <w:b/>
          <w:bCs/>
          <w:color w:val="222222"/>
          <w:sz w:val="72"/>
          <w:szCs w:val="72"/>
          <w:lang w:eastAsia="en-GB"/>
        </w:rPr>
      </w:pPr>
      <w:r w:rsidRPr="00C60B87">
        <w:rPr>
          <w:rFonts w:eastAsia="Times New Roman" w:cstheme="minorHAnsi"/>
          <w:b/>
          <w:bCs/>
          <w:color w:val="222222"/>
          <w:sz w:val="72"/>
          <w:szCs w:val="72"/>
          <w:lang w:eastAsia="en-GB"/>
        </w:rPr>
        <w:t>2023148</w:t>
      </w:r>
    </w:p>
    <w:p w14:paraId="2D05A506" w14:textId="71F88BB6" w:rsidR="00C60B87" w:rsidRPr="00C60B87" w:rsidRDefault="00C60B87" w:rsidP="00C60B87">
      <w:pPr>
        <w:shd w:val="clear" w:color="auto" w:fill="FFFFFF"/>
        <w:jc w:val="center"/>
        <w:rPr>
          <w:rFonts w:eastAsia="Times New Roman" w:cstheme="minorHAnsi"/>
          <w:b/>
          <w:bCs/>
          <w:color w:val="222222"/>
          <w:sz w:val="72"/>
          <w:szCs w:val="72"/>
          <w:lang w:eastAsia="en-GB"/>
        </w:rPr>
      </w:pPr>
      <w:r w:rsidRPr="00C60B87">
        <w:rPr>
          <w:rFonts w:eastAsia="Times New Roman" w:cstheme="minorHAnsi"/>
          <w:b/>
          <w:bCs/>
          <w:color w:val="222222"/>
          <w:sz w:val="72"/>
          <w:szCs w:val="72"/>
          <w:lang w:eastAsia="en-GB"/>
        </w:rPr>
        <w:t>Criminal Litigation</w:t>
      </w:r>
    </w:p>
    <w:p w14:paraId="64CDE3A2"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7E34CC60"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7F37466"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67F5B418"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36B5B101"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03B83A5A"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0AFAA5FD"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4F642CF"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30CFD36D"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74A60665"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58F63AD"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132419E5"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988B356"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7D4ED024"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6AEE42AA"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454434D7"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32F04322"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7439B5A8"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06E90446"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538D567F" w14:textId="77777777" w:rsidR="00DA0BF2" w:rsidRDefault="00DA0BF2" w:rsidP="006757F3">
      <w:pPr>
        <w:shd w:val="clear" w:color="auto" w:fill="FFFFFF"/>
        <w:rPr>
          <w:rFonts w:eastAsia="Times New Roman" w:cstheme="minorHAnsi"/>
          <w:b/>
          <w:bCs/>
          <w:color w:val="222222"/>
          <w:sz w:val="28"/>
          <w:szCs w:val="28"/>
          <w:u w:val="single"/>
          <w:lang w:eastAsia="en-GB"/>
        </w:rPr>
      </w:pPr>
    </w:p>
    <w:p w14:paraId="5AFF5915" w14:textId="2370C715" w:rsidR="00DA0BF2" w:rsidRDefault="00DA0BF2" w:rsidP="006757F3">
      <w:pPr>
        <w:shd w:val="clear" w:color="auto" w:fill="FFFFFF"/>
        <w:rPr>
          <w:rFonts w:eastAsia="Times New Roman" w:cstheme="minorHAnsi"/>
          <w:b/>
          <w:bCs/>
          <w:color w:val="222222"/>
          <w:sz w:val="28"/>
          <w:szCs w:val="28"/>
          <w:u w:val="single"/>
          <w:lang w:eastAsia="en-GB"/>
        </w:rPr>
      </w:pPr>
    </w:p>
    <w:p w14:paraId="389225C1" w14:textId="77777777" w:rsidR="00CA7D50" w:rsidRDefault="00CA7D50" w:rsidP="006757F3">
      <w:pPr>
        <w:shd w:val="clear" w:color="auto" w:fill="FFFFFF"/>
        <w:rPr>
          <w:rFonts w:eastAsia="Times New Roman" w:cstheme="minorHAnsi"/>
          <w:b/>
          <w:bCs/>
          <w:color w:val="222222"/>
          <w:sz w:val="28"/>
          <w:szCs w:val="28"/>
          <w:u w:val="single"/>
          <w:lang w:eastAsia="en-GB"/>
        </w:rPr>
      </w:pPr>
    </w:p>
    <w:p w14:paraId="4940E227" w14:textId="60E357E4" w:rsidR="00CA7D50" w:rsidRPr="00CA7D50" w:rsidRDefault="006757F3" w:rsidP="00B73FC4">
      <w:pPr>
        <w:shd w:val="clear" w:color="auto" w:fill="FFFFFF"/>
        <w:spacing w:line="360" w:lineRule="auto"/>
        <w:jc w:val="center"/>
        <w:rPr>
          <w:rFonts w:ascii="Arial" w:eastAsia="Times New Roman" w:hAnsi="Arial" w:cs="Arial"/>
          <w:b/>
          <w:bCs/>
          <w:color w:val="222222"/>
          <w:u w:val="single"/>
          <w:lang w:eastAsia="en-GB"/>
        </w:rPr>
      </w:pPr>
      <w:r w:rsidRPr="00CA7D50">
        <w:rPr>
          <w:rFonts w:ascii="Arial" w:eastAsia="Times New Roman" w:hAnsi="Arial" w:cs="Arial"/>
          <w:b/>
          <w:bCs/>
          <w:color w:val="222222"/>
          <w:u w:val="single"/>
          <w:lang w:eastAsia="en-GB"/>
        </w:rPr>
        <w:lastRenderedPageBreak/>
        <w:t>Criminal Litigation</w:t>
      </w:r>
    </w:p>
    <w:p w14:paraId="6CA10B23" w14:textId="77777777" w:rsidR="006757F3" w:rsidRPr="00CA7D50" w:rsidRDefault="006757F3" w:rsidP="00CA7D50">
      <w:pPr>
        <w:shd w:val="clear" w:color="auto" w:fill="FFFFFF"/>
        <w:spacing w:line="360" w:lineRule="auto"/>
        <w:rPr>
          <w:rFonts w:ascii="Arial" w:eastAsia="Times New Roman" w:hAnsi="Arial" w:cs="Arial"/>
          <w:color w:val="000000" w:themeColor="text1"/>
          <w:lang w:eastAsia="en-GB"/>
        </w:rPr>
      </w:pPr>
    </w:p>
    <w:p w14:paraId="53756667" w14:textId="44903DD6" w:rsidR="006757F3" w:rsidRPr="00950943" w:rsidRDefault="006757F3" w:rsidP="00950943">
      <w:pPr>
        <w:shd w:val="clear" w:color="auto" w:fill="FFFFFF"/>
        <w:spacing w:line="276" w:lineRule="auto"/>
        <w:jc w:val="center"/>
        <w:rPr>
          <w:rFonts w:ascii="Arial" w:eastAsia="Times New Roman" w:hAnsi="Arial" w:cs="Arial"/>
          <w:b/>
          <w:bCs/>
          <w:color w:val="000000" w:themeColor="text1"/>
          <w:u w:val="single"/>
          <w:lang w:eastAsia="en-GB"/>
        </w:rPr>
      </w:pPr>
      <w:r w:rsidRPr="00950943">
        <w:rPr>
          <w:rFonts w:ascii="Arial" w:eastAsia="Times New Roman" w:hAnsi="Arial" w:cs="Arial"/>
          <w:b/>
          <w:bCs/>
          <w:color w:val="000000" w:themeColor="text1"/>
          <w:u w:val="single"/>
          <w:lang w:eastAsia="en-GB"/>
        </w:rPr>
        <w:t>Memorandum</w:t>
      </w:r>
    </w:p>
    <w:p w14:paraId="0A0298A4" w14:textId="77777777" w:rsidR="006757F3" w:rsidRPr="00950943" w:rsidRDefault="006757F3" w:rsidP="00950943">
      <w:pPr>
        <w:shd w:val="clear" w:color="auto" w:fill="FFFFFF"/>
        <w:spacing w:line="276" w:lineRule="auto"/>
        <w:rPr>
          <w:rFonts w:ascii="Arial" w:eastAsia="Times New Roman" w:hAnsi="Arial" w:cs="Arial"/>
          <w:color w:val="000000" w:themeColor="text1"/>
          <w:lang w:eastAsia="en-GB"/>
        </w:rPr>
      </w:pPr>
    </w:p>
    <w:p w14:paraId="3FD1FE1B"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Dear, Oliver Jones</w:t>
      </w:r>
    </w:p>
    <w:p w14:paraId="760E2846" w14:textId="77777777" w:rsidR="00B07B2E" w:rsidRPr="00B07B2E" w:rsidRDefault="00B07B2E" w:rsidP="00950943">
      <w:pPr>
        <w:spacing w:line="360" w:lineRule="auto"/>
        <w:rPr>
          <w:rFonts w:ascii="Arial" w:eastAsia="Times New Roman" w:hAnsi="Arial" w:cs="Arial"/>
          <w:color w:val="0E101A"/>
          <w:lang w:eastAsia="en-GB"/>
        </w:rPr>
      </w:pPr>
    </w:p>
    <w:p w14:paraId="182BF6CD"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Re: William Brown Theft of Cash</w:t>
      </w:r>
    </w:p>
    <w:p w14:paraId="69A7C334"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Date 7th May</w:t>
      </w:r>
    </w:p>
    <w:p w14:paraId="63F88C96" w14:textId="77777777" w:rsidR="00B07B2E" w:rsidRPr="00B07B2E" w:rsidRDefault="00B07B2E" w:rsidP="00950943">
      <w:pPr>
        <w:spacing w:line="360" w:lineRule="auto"/>
        <w:rPr>
          <w:rFonts w:ascii="Arial" w:eastAsia="Times New Roman" w:hAnsi="Arial" w:cs="Arial"/>
          <w:color w:val="0E101A"/>
          <w:lang w:eastAsia="en-GB"/>
        </w:rPr>
      </w:pPr>
    </w:p>
    <w:p w14:paraId="51364982"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The purpose of this report is to prepare a memorandum regarding William Brown, a 28-year-old postgraduate teaching student, formerly working as bar security at a Rugby club. His job is to check stock levels, pay suppliers, ordering goods and check the banking and taking his yearly income which is approximately £12,000 per annum. He is also a serving member of the Territorial Army. This memorandum is for Oliver Jones and will entail information on what advice to give to William Brown. </w:t>
      </w:r>
    </w:p>
    <w:p w14:paraId="2AAED319" w14:textId="77777777" w:rsidR="00B07B2E" w:rsidRPr="00B07B2E" w:rsidRDefault="00B07B2E" w:rsidP="00950943">
      <w:pPr>
        <w:spacing w:line="360" w:lineRule="auto"/>
        <w:rPr>
          <w:rFonts w:ascii="Arial" w:eastAsia="Times New Roman" w:hAnsi="Arial" w:cs="Arial"/>
          <w:color w:val="0E101A"/>
          <w:lang w:eastAsia="en-GB"/>
        </w:rPr>
      </w:pPr>
    </w:p>
    <w:p w14:paraId="0FE53BE1" w14:textId="66822F92"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William Brown has been charged with two offences of theft on different occasions, one theft of £3000, and the other theft of wine and spirits and the quantity of wine is ten cases, and two cases of gin is alleged to have been covered up by falsified stock records.</w:t>
      </w:r>
      <w:r w:rsidR="00950943" w:rsidRPr="00B07B2E">
        <w:rPr>
          <w:rFonts w:ascii="Arial" w:eastAsia="Times New Roman" w:hAnsi="Arial" w:cs="Arial"/>
          <w:color w:val="0E101A"/>
          <w:lang w:eastAsia="en-GB"/>
        </w:rPr>
        <w:t xml:space="preserve"> </w:t>
      </w:r>
      <w:r w:rsidRPr="00B07B2E">
        <w:rPr>
          <w:rFonts w:ascii="Arial" w:eastAsia="Times New Roman" w:hAnsi="Arial" w:cs="Arial"/>
          <w:color w:val="0E101A"/>
          <w:lang w:eastAsia="en-GB"/>
        </w:rPr>
        <w:t>He recently inherited the sum of £50,000 from his late grandmother. He is known to have had good character. If someone steals an item belonging to another person with the intention of permanently depriving the other of it, he is guilty of theft, and the terms “theft” and “steal” are to be constructed accordingly.</w:t>
      </w:r>
      <w:r w:rsidR="00950943" w:rsidRPr="00B07B2E">
        <w:rPr>
          <w:rFonts w:ascii="Arial" w:eastAsia="Times New Roman" w:hAnsi="Arial" w:cs="Arial"/>
          <w:color w:val="0E101A"/>
          <w:lang w:eastAsia="en-GB"/>
        </w:rPr>
        <w:t xml:space="preserve"> </w:t>
      </w:r>
      <w:r w:rsidRPr="00B07B2E">
        <w:rPr>
          <w:rFonts w:ascii="Arial" w:eastAsia="Times New Roman" w:hAnsi="Arial" w:cs="Arial"/>
          <w:color w:val="0E101A"/>
          <w:lang w:eastAsia="en-GB"/>
        </w:rPr>
        <w:t>William Brown has been released on unconditional bail and is due to appear in court in two days and he is intending to plead not guilty (Theft Act 1968, 2021).</w:t>
      </w:r>
    </w:p>
    <w:p w14:paraId="6836D963" w14:textId="77777777" w:rsidR="00B07B2E" w:rsidRPr="00B07B2E" w:rsidRDefault="00B07B2E" w:rsidP="00950943">
      <w:pPr>
        <w:spacing w:line="360" w:lineRule="auto"/>
        <w:rPr>
          <w:rFonts w:ascii="Arial" w:eastAsia="Times New Roman" w:hAnsi="Arial" w:cs="Arial"/>
          <w:color w:val="0E101A"/>
          <w:lang w:eastAsia="en-GB"/>
        </w:rPr>
      </w:pPr>
    </w:p>
    <w:p w14:paraId="1B3EA314" w14:textId="49F88F66"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According to the Theft Act 1968 a person who dishonestly obtains property not belonging to them with the intention of permanently depriving the other shall be liable to a conviction of imprisonment for a term not exceeding ten years (Law of theft 2002 section 1)</w:t>
      </w:r>
    </w:p>
    <w:p w14:paraId="4D02F042"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Theft is defined by section 1 of the Theft Act 1968 as the dishonest appropriation of property belonging to another with the intention to permanently deprive the other of it. </w:t>
      </w:r>
    </w:p>
    <w:p w14:paraId="04C80473" w14:textId="77777777" w:rsidR="00B07B2E" w:rsidRPr="00B07B2E" w:rsidRDefault="00B07B2E" w:rsidP="00950943">
      <w:pPr>
        <w:spacing w:line="360" w:lineRule="auto"/>
        <w:rPr>
          <w:rFonts w:ascii="Arial" w:eastAsia="Times New Roman" w:hAnsi="Arial" w:cs="Arial"/>
          <w:color w:val="0E101A"/>
          <w:lang w:eastAsia="en-GB"/>
        </w:rPr>
      </w:pPr>
    </w:p>
    <w:p w14:paraId="085F558C" w14:textId="6A4D358D"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lastRenderedPageBreak/>
        <w:t>The terms theft, burglary and robbery are often used interchangeably, particularly because people tend to commit these offences for very similar reasons.</w:t>
      </w:r>
      <w:r w:rsidR="00950943" w:rsidRPr="00B07B2E">
        <w:rPr>
          <w:rFonts w:ascii="Arial" w:eastAsia="Times New Roman" w:hAnsi="Arial" w:cs="Arial"/>
          <w:color w:val="0E101A"/>
          <w:lang w:eastAsia="en-GB"/>
        </w:rPr>
        <w:t xml:space="preserve"> </w:t>
      </w:r>
      <w:r w:rsidRPr="00B07B2E">
        <w:rPr>
          <w:rFonts w:ascii="Arial" w:eastAsia="Times New Roman" w:hAnsi="Arial" w:cs="Arial"/>
          <w:color w:val="0E101A"/>
          <w:lang w:eastAsia="en-GB"/>
        </w:rPr>
        <w:t>However, there are clear differences between them, theft is the act of taking someone's property without the use of force, whereas burglary is when an individual enters a property to steal something from it, similarly robbery is the act of stealing from a person using force or even threatening to use force (Elements of the Theft Act, 2021)</w:t>
      </w:r>
    </w:p>
    <w:p w14:paraId="4C617DF4"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How is a person found guilty of theft?</w:t>
      </w:r>
    </w:p>
    <w:p w14:paraId="5329C5EB"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For someone to be found guilty of general theft, there must be evidence of all the following:</w:t>
      </w:r>
    </w:p>
    <w:p w14:paraId="049A9EC4" w14:textId="77777777" w:rsidR="00B07B2E" w:rsidRPr="00B07B2E" w:rsidRDefault="00B07B2E" w:rsidP="00950943">
      <w:pPr>
        <w:numPr>
          <w:ilvl w:val="0"/>
          <w:numId w:val="5"/>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Appropriation of property</w:t>
      </w:r>
    </w:p>
    <w:p w14:paraId="3AC9893D" w14:textId="77777777" w:rsidR="00B07B2E" w:rsidRPr="00B07B2E" w:rsidRDefault="00B07B2E" w:rsidP="00950943">
      <w:pPr>
        <w:numPr>
          <w:ilvl w:val="0"/>
          <w:numId w:val="5"/>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belonging to another</w:t>
      </w:r>
    </w:p>
    <w:p w14:paraId="60A2C04D" w14:textId="77777777" w:rsidR="00B07B2E" w:rsidRPr="00B07B2E" w:rsidRDefault="00B07B2E" w:rsidP="00950943">
      <w:pPr>
        <w:numPr>
          <w:ilvl w:val="0"/>
          <w:numId w:val="5"/>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dishonestly</w:t>
      </w:r>
    </w:p>
    <w:p w14:paraId="5EB82D53" w14:textId="1B20C263" w:rsidR="00B07B2E" w:rsidRDefault="00B07B2E" w:rsidP="00950943">
      <w:pPr>
        <w:numPr>
          <w:ilvl w:val="0"/>
          <w:numId w:val="5"/>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intention to permanently </w:t>
      </w:r>
      <w:r w:rsidR="00950943" w:rsidRPr="00B07B2E">
        <w:rPr>
          <w:rFonts w:ascii="Arial" w:eastAsia="Times New Roman" w:hAnsi="Arial" w:cs="Arial"/>
          <w:color w:val="0E101A"/>
          <w:lang w:eastAsia="en-GB"/>
        </w:rPr>
        <w:t>deprive.</w:t>
      </w:r>
    </w:p>
    <w:p w14:paraId="73ACDD6C" w14:textId="77777777" w:rsidR="00950943" w:rsidRPr="00B07B2E" w:rsidRDefault="00950943" w:rsidP="00950943">
      <w:pPr>
        <w:spacing w:line="360" w:lineRule="auto"/>
        <w:ind w:left="720"/>
        <w:rPr>
          <w:rFonts w:ascii="Arial" w:eastAsia="Times New Roman" w:hAnsi="Arial" w:cs="Arial"/>
          <w:color w:val="0E101A"/>
          <w:lang w:eastAsia="en-GB"/>
        </w:rPr>
      </w:pPr>
    </w:p>
    <w:p w14:paraId="5AAFC3CF"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Appropriation means assuming the rights of a legal owner of the property without consent, for example taking a car from someone and driving it without permission. Appropriation also includes instances where the property had initially been obtained with permission, but the person had no intention of returning it, for example failing to return a car after a test drive.</w:t>
      </w:r>
    </w:p>
    <w:p w14:paraId="23F7C34D"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Property includes money and personal property.</w:t>
      </w:r>
    </w:p>
    <w:p w14:paraId="730C3869"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Property belonging to another is property in the possession or control of another person, including where the property is on loan from the legal owner and then stolen.</w:t>
      </w:r>
    </w:p>
    <w:p w14:paraId="36DD1360"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Dishonestly means the person would have known that “reasonable and honest people” would regard the conduct as dishonest. If a person can show they had genuine belief, they had the legal right to take the property they cannot be found guilty.</w:t>
      </w:r>
    </w:p>
    <w:p w14:paraId="5A3D0DD5"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Intention to permanently deprive means treating the property as your own regardless of the rights of the owner (General theft – Sentencing, 2021).</w:t>
      </w:r>
    </w:p>
    <w:p w14:paraId="73489AEA" w14:textId="441C1B16" w:rsidR="00B07B2E" w:rsidRPr="00B07B2E" w:rsidRDefault="00B07B2E" w:rsidP="00950943">
      <w:pPr>
        <w:spacing w:line="360" w:lineRule="auto"/>
        <w:rPr>
          <w:rFonts w:ascii="Arial" w:eastAsia="Times New Roman" w:hAnsi="Arial" w:cs="Arial"/>
          <w:color w:val="0E101A"/>
          <w:lang w:eastAsia="en-GB"/>
        </w:rPr>
      </w:pPr>
    </w:p>
    <w:p w14:paraId="436BEA7C" w14:textId="0547EC71" w:rsidR="00B07B2E" w:rsidRDefault="00B07B2E" w:rsidP="00950943">
      <w:pPr>
        <w:spacing w:line="360" w:lineRule="auto"/>
        <w:jc w:val="center"/>
        <w:rPr>
          <w:rFonts w:ascii="Arial" w:eastAsia="Times New Roman" w:hAnsi="Arial" w:cs="Arial"/>
          <w:b/>
          <w:bCs/>
          <w:color w:val="0E101A"/>
          <w:u w:val="single"/>
          <w:lang w:eastAsia="en-GB"/>
        </w:rPr>
      </w:pPr>
      <w:r w:rsidRPr="00B07B2E">
        <w:rPr>
          <w:rFonts w:ascii="Arial" w:eastAsia="Times New Roman" w:hAnsi="Arial" w:cs="Arial"/>
          <w:b/>
          <w:bCs/>
          <w:color w:val="0E101A"/>
          <w:u w:val="single"/>
          <w:lang w:eastAsia="en-GB"/>
        </w:rPr>
        <w:t>What is the maximum sentence for theft?</w:t>
      </w:r>
    </w:p>
    <w:p w14:paraId="33466F89" w14:textId="77777777" w:rsidR="00950943" w:rsidRPr="00B07B2E" w:rsidRDefault="00950943" w:rsidP="00950943">
      <w:pPr>
        <w:spacing w:line="360" w:lineRule="auto"/>
        <w:rPr>
          <w:rFonts w:ascii="Arial" w:eastAsia="Times New Roman" w:hAnsi="Arial" w:cs="Arial"/>
          <w:color w:val="0E101A"/>
          <w:lang w:eastAsia="en-GB"/>
        </w:rPr>
      </w:pPr>
    </w:p>
    <w:p w14:paraId="1E0F6B0B"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The maximum sentence for theft is seven years’ custody.</w:t>
      </w:r>
    </w:p>
    <w:p w14:paraId="508A5039"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Aggravating factors may increase the severity of the sentence. Examples include where the offender:</w:t>
      </w:r>
    </w:p>
    <w:p w14:paraId="653482A1" w14:textId="7E07550C" w:rsidR="00B07B2E" w:rsidRPr="00B07B2E" w:rsidRDefault="00B07B2E" w:rsidP="00950943">
      <w:pPr>
        <w:numPr>
          <w:ilvl w:val="0"/>
          <w:numId w:val="6"/>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lastRenderedPageBreak/>
        <w:t>has previous criminal convictions.</w:t>
      </w:r>
    </w:p>
    <w:p w14:paraId="2A845838" w14:textId="77777777" w:rsidR="00B07B2E" w:rsidRPr="00B07B2E" w:rsidRDefault="00B07B2E" w:rsidP="00950943">
      <w:pPr>
        <w:numPr>
          <w:ilvl w:val="0"/>
          <w:numId w:val="6"/>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stole goods to order.</w:t>
      </w:r>
    </w:p>
    <w:p w14:paraId="32392E3E" w14:textId="77777777" w:rsidR="00B07B2E" w:rsidRPr="00B07B2E" w:rsidRDefault="00B07B2E" w:rsidP="00950943">
      <w:pPr>
        <w:numPr>
          <w:ilvl w:val="0"/>
          <w:numId w:val="6"/>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carried out the offending over a long period of time.</w:t>
      </w:r>
    </w:p>
    <w:p w14:paraId="56AFC874" w14:textId="3C5ECFB1"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Mitigating factors may reduce the severity of the sentence. Examples include where the offender:</w:t>
      </w:r>
      <w:r w:rsidR="00950943" w:rsidRPr="00B07B2E">
        <w:rPr>
          <w:rFonts w:ascii="Arial" w:eastAsia="Times New Roman" w:hAnsi="Arial" w:cs="Arial"/>
          <w:color w:val="0E101A"/>
          <w:lang w:eastAsia="en-GB"/>
        </w:rPr>
        <w:t xml:space="preserve"> </w:t>
      </w:r>
    </w:p>
    <w:p w14:paraId="30A9F25E"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has no previous convictions.</w:t>
      </w:r>
    </w:p>
    <w:p w14:paraId="02C3CD07"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has shown remorse and/or is of good character.</w:t>
      </w:r>
    </w:p>
    <w:p w14:paraId="2C9D46F5"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has a serious medical condition.</w:t>
      </w:r>
    </w:p>
    <w:p w14:paraId="28B7EE70"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is young or lacks maturity.</w:t>
      </w:r>
    </w:p>
    <w:p w14:paraId="33430978"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has a mental disorder or learning disability?</w:t>
      </w:r>
    </w:p>
    <w:p w14:paraId="2DCEFEB6"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is the sole or primary carer for dependent relatives.</w:t>
      </w:r>
    </w:p>
    <w:p w14:paraId="790E55D8" w14:textId="77777777" w:rsidR="00B07B2E" w:rsidRPr="00B07B2E" w:rsidRDefault="00B07B2E" w:rsidP="00950943">
      <w:pPr>
        <w:numPr>
          <w:ilvl w:val="0"/>
          <w:numId w:val="7"/>
        </w:num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can demonstrate they have taken steps to address addiction or offending behaviour.</w:t>
      </w:r>
    </w:p>
    <w:p w14:paraId="3600357B"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 In almost every crime the prosecution must prove that some action of the defendant’s resulted in the effect, which is a criminal </w:t>
      </w:r>
      <w:proofErr w:type="gramStart"/>
      <w:r w:rsidRPr="00B07B2E">
        <w:rPr>
          <w:rFonts w:ascii="Arial" w:eastAsia="Times New Roman" w:hAnsi="Arial" w:cs="Arial"/>
          <w:color w:val="0E101A"/>
          <w:lang w:eastAsia="en-GB"/>
        </w:rPr>
        <w:t>act</w:t>
      </w:r>
      <w:proofErr w:type="gramEnd"/>
    </w:p>
    <w:p w14:paraId="41108CD2"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For someone to be convicted of a crime, there must be two essential elements which are as follow:</w:t>
      </w:r>
    </w:p>
    <w:p w14:paraId="32F725AA" w14:textId="77777777" w:rsidR="00B07B2E" w:rsidRPr="00B07B2E" w:rsidRDefault="00B07B2E" w:rsidP="00950943">
      <w:pPr>
        <w:spacing w:line="360" w:lineRule="auto"/>
        <w:rPr>
          <w:rFonts w:ascii="Arial" w:eastAsia="Times New Roman" w:hAnsi="Arial" w:cs="Arial"/>
          <w:color w:val="0E101A"/>
          <w:lang w:eastAsia="en-GB"/>
        </w:rPr>
      </w:pPr>
      <w:proofErr w:type="spellStart"/>
      <w:r w:rsidRPr="00B07B2E">
        <w:rPr>
          <w:rFonts w:ascii="Arial" w:eastAsia="Times New Roman" w:hAnsi="Arial" w:cs="Arial"/>
          <w:color w:val="0E101A"/>
          <w:lang w:eastAsia="en-GB"/>
        </w:rPr>
        <w:t>Mens</w:t>
      </w:r>
      <w:proofErr w:type="spellEnd"/>
      <w:r w:rsidRPr="00B07B2E">
        <w:rPr>
          <w:rFonts w:ascii="Arial" w:eastAsia="Times New Roman" w:hAnsi="Arial" w:cs="Arial"/>
          <w:color w:val="0E101A"/>
          <w:lang w:eastAsia="en-GB"/>
        </w:rPr>
        <w:t xml:space="preserve"> rea requirements are the traditional means to determine culpability we determine fault by proof, person mental state intention, knowledge, and recklessness. The purpose of such an element might be to limit punishment to all and only those who conduct this kind of crime for example.</w:t>
      </w:r>
    </w:p>
    <w:p w14:paraId="4E6CA846"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Actus reus - appropriation of property belonging to another without </w:t>
      </w:r>
      <w:proofErr w:type="gramStart"/>
      <w:r w:rsidRPr="00B07B2E">
        <w:rPr>
          <w:rFonts w:ascii="Arial" w:eastAsia="Times New Roman" w:hAnsi="Arial" w:cs="Arial"/>
          <w:color w:val="0E101A"/>
          <w:lang w:eastAsia="en-GB"/>
        </w:rPr>
        <w:t>consent</w:t>
      </w:r>
      <w:proofErr w:type="gramEnd"/>
    </w:p>
    <w:p w14:paraId="39806424"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w:t>
      </w:r>
      <w:proofErr w:type="spellStart"/>
      <w:r w:rsidRPr="00B07B2E">
        <w:rPr>
          <w:rFonts w:ascii="Arial" w:eastAsia="Times New Roman" w:hAnsi="Arial" w:cs="Arial"/>
          <w:color w:val="0E101A"/>
          <w:lang w:eastAsia="en-GB"/>
        </w:rPr>
        <w:t>mens</w:t>
      </w:r>
      <w:proofErr w:type="spellEnd"/>
      <w:r w:rsidRPr="00B07B2E">
        <w:rPr>
          <w:rFonts w:ascii="Arial" w:eastAsia="Times New Roman" w:hAnsi="Arial" w:cs="Arial"/>
          <w:color w:val="0E101A"/>
          <w:lang w:eastAsia="en-GB"/>
        </w:rPr>
        <w:t xml:space="preserve"> rea - intending to deprive another person of their property, must have the </w:t>
      </w:r>
      <w:proofErr w:type="spellStart"/>
      <w:r w:rsidRPr="00B07B2E">
        <w:rPr>
          <w:rFonts w:ascii="Arial" w:eastAsia="Times New Roman" w:hAnsi="Arial" w:cs="Arial"/>
          <w:color w:val="0E101A"/>
          <w:lang w:eastAsia="en-GB"/>
        </w:rPr>
        <w:t>mens</w:t>
      </w:r>
      <w:proofErr w:type="spellEnd"/>
      <w:r w:rsidRPr="00B07B2E">
        <w:rPr>
          <w:rFonts w:ascii="Arial" w:eastAsia="Times New Roman" w:hAnsi="Arial" w:cs="Arial"/>
          <w:color w:val="0E101A"/>
          <w:lang w:eastAsia="en-GB"/>
        </w:rPr>
        <w:t xml:space="preserve"> rea for theft, that is he must be dishonest, and he must intend to permanently deprive the other of the property, he must also intend to use force to steal (Magistrates court, 2021)</w:t>
      </w:r>
    </w:p>
    <w:p w14:paraId="0D8E8356" w14:textId="77777777" w:rsidR="00B07B2E" w:rsidRPr="00B07B2E" w:rsidRDefault="00B07B2E" w:rsidP="00950943">
      <w:pPr>
        <w:spacing w:line="360" w:lineRule="auto"/>
        <w:rPr>
          <w:rFonts w:ascii="Arial" w:eastAsia="Times New Roman" w:hAnsi="Arial" w:cs="Arial"/>
          <w:color w:val="0E101A"/>
          <w:lang w:eastAsia="en-GB"/>
        </w:rPr>
      </w:pPr>
    </w:p>
    <w:p w14:paraId="2F512DF2" w14:textId="77777777" w:rsidR="00B07B2E" w:rsidRPr="00B07B2E" w:rsidRDefault="00B07B2E" w:rsidP="00950943">
      <w:pPr>
        <w:spacing w:line="360" w:lineRule="auto"/>
        <w:jc w:val="center"/>
        <w:rPr>
          <w:rFonts w:ascii="Arial" w:eastAsia="Times New Roman" w:hAnsi="Arial" w:cs="Arial"/>
          <w:color w:val="0E101A"/>
          <w:lang w:eastAsia="en-GB"/>
        </w:rPr>
      </w:pPr>
      <w:r w:rsidRPr="00B07B2E">
        <w:rPr>
          <w:rFonts w:ascii="Arial" w:eastAsia="Times New Roman" w:hAnsi="Arial" w:cs="Arial"/>
          <w:b/>
          <w:bCs/>
          <w:color w:val="0E101A"/>
          <w:u w:val="single"/>
          <w:lang w:eastAsia="en-GB"/>
        </w:rPr>
        <w:t>Allocation of the procedure</w:t>
      </w:r>
    </w:p>
    <w:p w14:paraId="585C5D20" w14:textId="674A0B01"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Committal proceedings have been abolished across England and Wales from 28th May 2013 (expect committal sentence). The either-or allegations will be presented to the defendant at the first hearing and the defendant signs a guilty plea, the Magistrates must determine if their sentencing powers are appropriate or if the case should be sent to the Crown Court for punishment. If the defendant enters a not guilty plea or refuses to enter a plea, then the court must determine if the case </w:t>
      </w:r>
      <w:r w:rsidRPr="00B07B2E">
        <w:rPr>
          <w:rFonts w:ascii="Arial" w:eastAsia="Times New Roman" w:hAnsi="Arial" w:cs="Arial"/>
          <w:color w:val="0E101A"/>
          <w:lang w:eastAsia="en-GB"/>
        </w:rPr>
        <w:lastRenderedPageBreak/>
        <w:t>should be tried in the Magistrates’ Court or the Crown Court. At Magistrates’ Court the allocation mechanism’ is what we call it.</w:t>
      </w:r>
      <w:r w:rsidR="00950943" w:rsidRPr="00B07B2E">
        <w:rPr>
          <w:rFonts w:ascii="Arial" w:eastAsia="Times New Roman" w:hAnsi="Arial" w:cs="Arial"/>
          <w:color w:val="0E101A"/>
          <w:lang w:eastAsia="en-GB"/>
        </w:rPr>
        <w:t xml:space="preserve"> </w:t>
      </w:r>
    </w:p>
    <w:p w14:paraId="6A6D8803" w14:textId="77777777" w:rsidR="00B07B2E" w:rsidRPr="00B07B2E" w:rsidRDefault="00B07B2E" w:rsidP="00950943">
      <w:pPr>
        <w:spacing w:line="360" w:lineRule="auto"/>
        <w:rPr>
          <w:rFonts w:ascii="Arial" w:eastAsia="Times New Roman" w:hAnsi="Arial" w:cs="Arial"/>
          <w:color w:val="0E101A"/>
          <w:lang w:eastAsia="en-GB"/>
        </w:rPr>
      </w:pPr>
    </w:p>
    <w:p w14:paraId="0707D0CE"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w:t>
      </w:r>
    </w:p>
    <w:p w14:paraId="51E23006" w14:textId="77777777" w:rsidR="00B07B2E" w:rsidRPr="00B07B2E" w:rsidRDefault="00B07B2E" w:rsidP="00950943">
      <w:pPr>
        <w:spacing w:line="360" w:lineRule="auto"/>
        <w:jc w:val="center"/>
        <w:rPr>
          <w:rFonts w:ascii="Arial" w:eastAsia="Times New Roman" w:hAnsi="Arial" w:cs="Arial"/>
          <w:color w:val="0E101A"/>
          <w:lang w:eastAsia="en-GB"/>
        </w:rPr>
      </w:pPr>
      <w:r w:rsidRPr="00B07B2E">
        <w:rPr>
          <w:rFonts w:ascii="Arial" w:eastAsia="Times New Roman" w:hAnsi="Arial" w:cs="Arial"/>
          <w:b/>
          <w:bCs/>
          <w:color w:val="0E101A"/>
          <w:u w:val="single"/>
          <w:lang w:eastAsia="en-GB"/>
        </w:rPr>
        <w:t>Either-way Offences</w:t>
      </w:r>
    </w:p>
    <w:p w14:paraId="6D593111"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Allocation refers to the allocation and sending processes applied to either way cases. It was introduced by Schedule 3 of the Criminal Justice Act 2003, which amended the Crime and Disorder Act 1998 (CDA, 1998).</w:t>
      </w:r>
    </w:p>
    <w:p w14:paraId="11BC3FAE"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Section 19 of the Magistrates' Courts Act 1980 sets out the procedure to be followed by a magistrates' court in deciding whether a case involving an offence triable either way, to which the defendant has not indicated a guilty plea, should be tried summarily or on indictment. This requires the court to be informed about and to take account of, any previous convictions of the defendant, in assessing whether the sentencing powers available to it are adequate. The court is to have regard to any representations made by the prosecution or defence and to allocation guidelines issued by the Sentencing Guidelines Council.</w:t>
      </w:r>
    </w:p>
    <w:p w14:paraId="7DE3BC44" w14:textId="77777777" w:rsidR="00B07B2E" w:rsidRP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Section 20 (3) of the Magistrates' Courts Act 1980 allows adult defendants, who have indicated a not guilty plea or have given no indication as to plea, to seek an indication from the court as to whether a custodial or non-custodial sentence would be more likely following a guilty plea in the magistrates' court. If the defendant does not plead guilty after the indication of a sentence, the indication given is not binding if the defendant subsequently pleads or is convicted after trial.</w:t>
      </w:r>
    </w:p>
    <w:p w14:paraId="34DC52FF" w14:textId="77777777" w:rsidR="00950943"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Additional information about the procedure can be found in rules 9.8 to 9.14 of the Criminal Procedure Rules (Crim PR)</w:t>
      </w:r>
      <w:r w:rsidR="00950943">
        <w:rPr>
          <w:rFonts w:ascii="Arial" w:eastAsia="Times New Roman" w:hAnsi="Arial" w:cs="Arial"/>
          <w:color w:val="0E101A"/>
          <w:lang w:eastAsia="en-GB"/>
        </w:rPr>
        <w:t>.</w:t>
      </w:r>
    </w:p>
    <w:p w14:paraId="24BA768A" w14:textId="12507D1C" w:rsidR="00B07B2E" w:rsidRPr="00B07B2E" w:rsidRDefault="00950943"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 </w:t>
      </w:r>
    </w:p>
    <w:p w14:paraId="20624D19" w14:textId="0368D77C" w:rsid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Magistrates' Courts have many advantages, for example, if the client intends to plead guilty, we should keep the case in the Magistrates' Court, where the client is likely to get a lower penalty, the client’s case will most likely be heard sooner. Procedures in court are simpler If convicted his sentence and any court costs are likely to be lower than in Crown Court. The venue may be less intimidating, especially if he intends to represent himself.</w:t>
      </w:r>
    </w:p>
    <w:p w14:paraId="681F512A" w14:textId="77777777" w:rsidR="00950943" w:rsidRPr="00B07B2E" w:rsidRDefault="00950943" w:rsidP="00950943">
      <w:pPr>
        <w:spacing w:line="360" w:lineRule="auto"/>
        <w:rPr>
          <w:rFonts w:ascii="Arial" w:eastAsia="Times New Roman" w:hAnsi="Arial" w:cs="Arial"/>
          <w:color w:val="0E101A"/>
          <w:lang w:eastAsia="en-GB"/>
        </w:rPr>
      </w:pPr>
    </w:p>
    <w:p w14:paraId="76347E10" w14:textId="14799D0A" w:rsid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There are also many disadvantages to Magistrates' Courts, for instance, there is a much lower rate of being acquitted (found not guilty) than in Crown Court. </w:t>
      </w:r>
      <w:r w:rsidRPr="00B07B2E">
        <w:rPr>
          <w:rFonts w:ascii="Arial" w:eastAsia="Times New Roman" w:hAnsi="Arial" w:cs="Arial"/>
          <w:color w:val="0E101A"/>
          <w:lang w:eastAsia="en-GB"/>
        </w:rPr>
        <w:lastRenderedPageBreak/>
        <w:t xml:space="preserve">Magistrates are less likely to accept "political" defences than juries. Magistrates may well be biased against activists belonging to ongoing campaigns that have disrupted the community (the SNGP and SHAC campaigns as examples). Magistrates have no legal training (unless the case is heard by a district judge) and often do not understand the law. Magistrates may take matters "out of proportion" and could impose larger penalties than the Crown Court would in a similar case. If the client is acquitted in a magistrates' court, the prosecution has the right to lodge an appeal on a point of law. If the appeal is successful, the client will be convicted and sentenced. The legal procedures are less "sophisticated". For example, if there is an argument about whether certain evidence (e.g., evidence of client previous convictions) is admissible in court, then the magistrates themselves will decide if it is admissible. Even if they decide it </w:t>
      </w:r>
      <w:proofErr w:type="gramStart"/>
      <w:r w:rsidRPr="00B07B2E">
        <w:rPr>
          <w:rFonts w:ascii="Arial" w:eastAsia="Times New Roman" w:hAnsi="Arial" w:cs="Arial"/>
          <w:color w:val="0E101A"/>
          <w:lang w:eastAsia="en-GB"/>
        </w:rPr>
        <w:t>isn't</w:t>
      </w:r>
      <w:proofErr w:type="gramEnd"/>
      <w:r w:rsidRPr="00B07B2E">
        <w:rPr>
          <w:rFonts w:ascii="Arial" w:eastAsia="Times New Roman" w:hAnsi="Arial" w:cs="Arial"/>
          <w:color w:val="0E101A"/>
          <w:lang w:eastAsia="en-GB"/>
        </w:rPr>
        <w:t>, the fact remains that they've already heard it and may be influenced by it, whether consciously or not. - The Magistrates' Court has limited powers to ensure disclosure of evidence by the prosecution compared with the Crown Court (Magistrates court, 2021). </w:t>
      </w:r>
    </w:p>
    <w:p w14:paraId="188A47E0" w14:textId="77777777" w:rsidR="00950943" w:rsidRPr="00B07B2E" w:rsidRDefault="00950943" w:rsidP="00950943">
      <w:pPr>
        <w:spacing w:line="360" w:lineRule="auto"/>
        <w:rPr>
          <w:rFonts w:ascii="Arial" w:eastAsia="Times New Roman" w:hAnsi="Arial" w:cs="Arial"/>
          <w:color w:val="0E101A"/>
          <w:lang w:eastAsia="en-GB"/>
        </w:rPr>
      </w:pPr>
    </w:p>
    <w:p w14:paraId="56D51EAD" w14:textId="0BF41B8B" w:rsid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Crown Court has many advantages, for example, they have a much higher acquittal rate. Juries are more likely to accept "political" defence and less likely to believe the police. If our client is acquitted and the CPS appeals and wins on a point of law, client acquittal cannot be overturned.</w:t>
      </w:r>
    </w:p>
    <w:p w14:paraId="2ED15BB2" w14:textId="77777777" w:rsidR="00950943" w:rsidRPr="00B07B2E" w:rsidRDefault="00950943" w:rsidP="00950943">
      <w:pPr>
        <w:spacing w:line="360" w:lineRule="auto"/>
        <w:rPr>
          <w:rFonts w:ascii="Arial" w:eastAsia="Times New Roman" w:hAnsi="Arial" w:cs="Arial"/>
          <w:color w:val="0E101A"/>
          <w:lang w:eastAsia="en-GB"/>
        </w:rPr>
      </w:pPr>
    </w:p>
    <w:p w14:paraId="4906BE38" w14:textId="30B777FC" w:rsidR="00B07B2E"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 xml:space="preserve">Crown Court also has many disadvantages, for instance, Crown Court cases usually involve many more hearings, so our client will be required to travel to court multiple times, at his own expense. His case will drag on for much longer, it may take up to a year or even longer to reach trial. His trial will be longer and more complicated and require more work if he is representing himself. If convicted, he is likely to get a higher sentence and higher court costs than if his case was heard in the Magistrates' Court. Before he plans, he is entitled to be given a summary of the prosecution case against him ("advance disclosure"), which may influence what he decides to do. The worst thing he might do would be to plead “not guilty”, ask for the case to be heard in the Crown Court, then change his mind and plead “guilty”. He will then be sentenced in the Crown Court without having had the advantages of having a trial there. Even if he chooses to be heard in the Magistrates' Court, the magistrates can send his case to the Crown Court for sentencing if they feel their sentencing powers are </w:t>
      </w:r>
      <w:r w:rsidRPr="00B07B2E">
        <w:rPr>
          <w:rFonts w:ascii="Arial" w:eastAsia="Times New Roman" w:hAnsi="Arial" w:cs="Arial"/>
          <w:color w:val="0E101A"/>
          <w:lang w:eastAsia="en-GB"/>
        </w:rPr>
        <w:lastRenderedPageBreak/>
        <w:t>insufficient. This, however, is unlikely except in very serious cases (Advantages &amp; Disadvantages of Crown Courts, 2021).</w:t>
      </w:r>
    </w:p>
    <w:p w14:paraId="0982BA7E" w14:textId="7739333C" w:rsidR="00950943" w:rsidRDefault="00950943" w:rsidP="00950943">
      <w:pPr>
        <w:spacing w:line="360" w:lineRule="auto"/>
        <w:rPr>
          <w:rFonts w:ascii="Arial" w:eastAsia="Times New Roman" w:hAnsi="Arial" w:cs="Arial"/>
          <w:color w:val="0E101A"/>
          <w:lang w:eastAsia="en-GB"/>
        </w:rPr>
      </w:pPr>
    </w:p>
    <w:p w14:paraId="686F7F3A" w14:textId="77777777" w:rsidR="00950943" w:rsidRPr="00B07B2E" w:rsidRDefault="00950943" w:rsidP="00950943">
      <w:pPr>
        <w:spacing w:line="360" w:lineRule="auto"/>
        <w:rPr>
          <w:rFonts w:ascii="Arial" w:eastAsia="Times New Roman" w:hAnsi="Arial" w:cs="Arial"/>
          <w:color w:val="0E101A"/>
          <w:lang w:eastAsia="en-GB"/>
        </w:rPr>
      </w:pPr>
    </w:p>
    <w:p w14:paraId="576524A9" w14:textId="77777777" w:rsidR="00950943" w:rsidRDefault="00950943" w:rsidP="00950943">
      <w:pPr>
        <w:spacing w:line="360" w:lineRule="auto"/>
        <w:rPr>
          <w:rFonts w:ascii="Arial" w:eastAsia="Times New Roman" w:hAnsi="Arial" w:cs="Arial"/>
          <w:b/>
          <w:bCs/>
          <w:color w:val="0E101A"/>
          <w:u w:val="single"/>
          <w:lang w:eastAsia="en-GB"/>
        </w:rPr>
      </w:pPr>
    </w:p>
    <w:p w14:paraId="22BC4F59" w14:textId="1E950ECA" w:rsidR="00B07B2E" w:rsidRPr="00B07B2E" w:rsidRDefault="00B07B2E" w:rsidP="00950943">
      <w:pPr>
        <w:spacing w:line="360" w:lineRule="auto"/>
        <w:jc w:val="center"/>
        <w:rPr>
          <w:rFonts w:ascii="Arial" w:eastAsia="Times New Roman" w:hAnsi="Arial" w:cs="Arial"/>
          <w:color w:val="0E101A"/>
          <w:lang w:eastAsia="en-GB"/>
        </w:rPr>
      </w:pPr>
      <w:r w:rsidRPr="00B07B2E">
        <w:rPr>
          <w:rFonts w:ascii="Arial" w:eastAsia="Times New Roman" w:hAnsi="Arial" w:cs="Arial"/>
          <w:b/>
          <w:bCs/>
          <w:color w:val="0E101A"/>
          <w:u w:val="single"/>
          <w:lang w:eastAsia="en-GB"/>
        </w:rPr>
        <w:t>Eligibility for Legal Aid</w:t>
      </w:r>
    </w:p>
    <w:p w14:paraId="3B80DEFB" w14:textId="1870CCC8" w:rsidR="00CA7D50" w:rsidRDefault="00B07B2E" w:rsidP="00950943">
      <w:pPr>
        <w:spacing w:line="360" w:lineRule="auto"/>
        <w:rPr>
          <w:rFonts w:ascii="Arial" w:eastAsia="Times New Roman" w:hAnsi="Arial" w:cs="Arial"/>
          <w:color w:val="0E101A"/>
          <w:lang w:eastAsia="en-GB"/>
        </w:rPr>
      </w:pPr>
      <w:r w:rsidRPr="00B07B2E">
        <w:rPr>
          <w:rFonts w:ascii="Arial" w:eastAsia="Times New Roman" w:hAnsi="Arial" w:cs="Arial"/>
          <w:color w:val="0E101A"/>
          <w:lang w:eastAsia="en-GB"/>
        </w:rPr>
        <w:t>Whether our client is entitled to legal aid will depend on his financial circumstances, if he has any mental health problem, he will have to show evidence of his income benefits, saving, and any property he has (Legal aid, 2021).</w:t>
      </w:r>
    </w:p>
    <w:p w14:paraId="3A6CE009" w14:textId="7DDB88C4" w:rsidR="00950943" w:rsidRDefault="00950943" w:rsidP="00950943">
      <w:pPr>
        <w:spacing w:line="360" w:lineRule="auto"/>
        <w:rPr>
          <w:rFonts w:ascii="Arial" w:eastAsia="Times New Roman" w:hAnsi="Arial" w:cs="Arial"/>
          <w:color w:val="0E101A"/>
          <w:lang w:eastAsia="en-GB"/>
        </w:rPr>
      </w:pPr>
    </w:p>
    <w:p w14:paraId="6A1ABCB0" w14:textId="1EC5A4F3" w:rsidR="00950943" w:rsidRDefault="00950943" w:rsidP="00950943">
      <w:pPr>
        <w:spacing w:line="276" w:lineRule="auto"/>
        <w:rPr>
          <w:rFonts w:ascii="Arial" w:eastAsia="Times New Roman" w:hAnsi="Arial" w:cs="Arial"/>
          <w:color w:val="0E101A"/>
          <w:lang w:eastAsia="en-GB"/>
        </w:rPr>
      </w:pPr>
    </w:p>
    <w:p w14:paraId="1F55BF2B" w14:textId="379393A3" w:rsidR="00950943" w:rsidRDefault="00950943" w:rsidP="00950943">
      <w:pPr>
        <w:spacing w:line="276" w:lineRule="auto"/>
        <w:rPr>
          <w:rFonts w:ascii="Arial" w:eastAsia="Times New Roman" w:hAnsi="Arial" w:cs="Arial"/>
          <w:color w:val="0E101A"/>
          <w:lang w:eastAsia="en-GB"/>
        </w:rPr>
      </w:pPr>
    </w:p>
    <w:p w14:paraId="3393A4D7" w14:textId="422790AA" w:rsidR="00950943" w:rsidRDefault="00950943" w:rsidP="00950943">
      <w:pPr>
        <w:spacing w:line="276" w:lineRule="auto"/>
        <w:rPr>
          <w:rFonts w:ascii="Arial" w:eastAsia="Times New Roman" w:hAnsi="Arial" w:cs="Arial"/>
          <w:color w:val="0E101A"/>
          <w:lang w:eastAsia="en-GB"/>
        </w:rPr>
      </w:pPr>
    </w:p>
    <w:p w14:paraId="02E5AB52" w14:textId="3FEA08EF" w:rsidR="00950943" w:rsidRDefault="00950943" w:rsidP="00950943">
      <w:pPr>
        <w:spacing w:line="276" w:lineRule="auto"/>
        <w:rPr>
          <w:rFonts w:ascii="Arial" w:eastAsia="Times New Roman" w:hAnsi="Arial" w:cs="Arial"/>
          <w:color w:val="0E101A"/>
          <w:lang w:eastAsia="en-GB"/>
        </w:rPr>
      </w:pPr>
    </w:p>
    <w:p w14:paraId="10658FBF" w14:textId="2348517A" w:rsidR="00950943" w:rsidRDefault="00950943" w:rsidP="00950943">
      <w:pPr>
        <w:spacing w:line="276" w:lineRule="auto"/>
        <w:rPr>
          <w:rFonts w:ascii="Arial" w:eastAsia="Times New Roman" w:hAnsi="Arial" w:cs="Arial"/>
          <w:color w:val="0E101A"/>
          <w:lang w:eastAsia="en-GB"/>
        </w:rPr>
      </w:pPr>
    </w:p>
    <w:p w14:paraId="286A8CEA" w14:textId="1AACAD73" w:rsidR="00950943" w:rsidRDefault="00950943" w:rsidP="00950943">
      <w:pPr>
        <w:spacing w:line="276" w:lineRule="auto"/>
        <w:rPr>
          <w:rFonts w:ascii="Arial" w:eastAsia="Times New Roman" w:hAnsi="Arial" w:cs="Arial"/>
          <w:color w:val="0E101A"/>
          <w:lang w:eastAsia="en-GB"/>
        </w:rPr>
      </w:pPr>
    </w:p>
    <w:p w14:paraId="6D86D058" w14:textId="67F3A951" w:rsidR="00950943" w:rsidRDefault="00950943" w:rsidP="00950943">
      <w:pPr>
        <w:spacing w:line="276" w:lineRule="auto"/>
        <w:rPr>
          <w:rFonts w:ascii="Arial" w:eastAsia="Times New Roman" w:hAnsi="Arial" w:cs="Arial"/>
          <w:color w:val="0E101A"/>
          <w:lang w:eastAsia="en-GB"/>
        </w:rPr>
      </w:pPr>
    </w:p>
    <w:p w14:paraId="09B37141" w14:textId="440C8283" w:rsidR="00950943" w:rsidRDefault="00950943" w:rsidP="00950943">
      <w:pPr>
        <w:spacing w:line="276" w:lineRule="auto"/>
        <w:rPr>
          <w:rFonts w:ascii="Arial" w:eastAsia="Times New Roman" w:hAnsi="Arial" w:cs="Arial"/>
          <w:color w:val="0E101A"/>
          <w:lang w:eastAsia="en-GB"/>
        </w:rPr>
      </w:pPr>
    </w:p>
    <w:p w14:paraId="2EF7A266" w14:textId="6D1DEF7B" w:rsidR="00950943" w:rsidRDefault="00950943" w:rsidP="00950943">
      <w:pPr>
        <w:spacing w:line="276" w:lineRule="auto"/>
        <w:rPr>
          <w:rFonts w:ascii="Arial" w:eastAsia="Times New Roman" w:hAnsi="Arial" w:cs="Arial"/>
          <w:color w:val="0E101A"/>
          <w:lang w:eastAsia="en-GB"/>
        </w:rPr>
      </w:pPr>
    </w:p>
    <w:p w14:paraId="30792604" w14:textId="32B42352" w:rsidR="00950943" w:rsidRDefault="00950943" w:rsidP="00950943">
      <w:pPr>
        <w:spacing w:line="276" w:lineRule="auto"/>
        <w:rPr>
          <w:rFonts w:ascii="Arial" w:eastAsia="Times New Roman" w:hAnsi="Arial" w:cs="Arial"/>
          <w:color w:val="0E101A"/>
          <w:lang w:eastAsia="en-GB"/>
        </w:rPr>
      </w:pPr>
    </w:p>
    <w:p w14:paraId="43BBDFA6" w14:textId="197FBB7F" w:rsidR="00950943" w:rsidRDefault="00950943" w:rsidP="00950943">
      <w:pPr>
        <w:spacing w:line="276" w:lineRule="auto"/>
        <w:rPr>
          <w:rFonts w:ascii="Arial" w:eastAsia="Times New Roman" w:hAnsi="Arial" w:cs="Arial"/>
          <w:color w:val="0E101A"/>
          <w:lang w:eastAsia="en-GB"/>
        </w:rPr>
      </w:pPr>
    </w:p>
    <w:p w14:paraId="5448C8F5" w14:textId="07524655" w:rsidR="00950943" w:rsidRDefault="00950943" w:rsidP="00950943">
      <w:pPr>
        <w:spacing w:line="276" w:lineRule="auto"/>
        <w:rPr>
          <w:rFonts w:ascii="Arial" w:eastAsia="Times New Roman" w:hAnsi="Arial" w:cs="Arial"/>
          <w:color w:val="0E101A"/>
          <w:lang w:eastAsia="en-GB"/>
        </w:rPr>
      </w:pPr>
    </w:p>
    <w:p w14:paraId="7A60F0DC" w14:textId="74051AC9" w:rsidR="00950943" w:rsidRDefault="00950943" w:rsidP="00950943">
      <w:pPr>
        <w:spacing w:line="276" w:lineRule="auto"/>
        <w:rPr>
          <w:rFonts w:ascii="Arial" w:eastAsia="Times New Roman" w:hAnsi="Arial" w:cs="Arial"/>
          <w:color w:val="0E101A"/>
          <w:lang w:eastAsia="en-GB"/>
        </w:rPr>
      </w:pPr>
    </w:p>
    <w:p w14:paraId="02E17C65" w14:textId="1F6DED69" w:rsidR="00950943" w:rsidRDefault="00950943" w:rsidP="00950943">
      <w:pPr>
        <w:spacing w:line="276" w:lineRule="auto"/>
        <w:rPr>
          <w:rFonts w:ascii="Arial" w:eastAsia="Times New Roman" w:hAnsi="Arial" w:cs="Arial"/>
          <w:color w:val="0E101A"/>
          <w:lang w:eastAsia="en-GB"/>
        </w:rPr>
      </w:pPr>
    </w:p>
    <w:p w14:paraId="573989E5" w14:textId="556C023D" w:rsidR="00950943" w:rsidRDefault="00950943" w:rsidP="00950943">
      <w:pPr>
        <w:spacing w:line="276" w:lineRule="auto"/>
        <w:rPr>
          <w:rFonts w:ascii="Arial" w:eastAsia="Times New Roman" w:hAnsi="Arial" w:cs="Arial"/>
          <w:color w:val="0E101A"/>
          <w:lang w:eastAsia="en-GB"/>
        </w:rPr>
      </w:pPr>
    </w:p>
    <w:p w14:paraId="2B9EB527" w14:textId="02986E97" w:rsidR="00950943" w:rsidRDefault="00950943" w:rsidP="00950943">
      <w:pPr>
        <w:spacing w:line="276" w:lineRule="auto"/>
        <w:rPr>
          <w:rFonts w:ascii="Arial" w:eastAsia="Times New Roman" w:hAnsi="Arial" w:cs="Arial"/>
          <w:color w:val="0E101A"/>
          <w:lang w:eastAsia="en-GB"/>
        </w:rPr>
      </w:pPr>
    </w:p>
    <w:p w14:paraId="2CD74D08" w14:textId="5AB2EBE5" w:rsidR="00950943" w:rsidRDefault="00950943" w:rsidP="00950943">
      <w:pPr>
        <w:spacing w:line="276" w:lineRule="auto"/>
        <w:rPr>
          <w:rFonts w:ascii="Arial" w:eastAsia="Times New Roman" w:hAnsi="Arial" w:cs="Arial"/>
          <w:color w:val="0E101A"/>
          <w:lang w:eastAsia="en-GB"/>
        </w:rPr>
      </w:pPr>
    </w:p>
    <w:p w14:paraId="1D10A5AE" w14:textId="22B0D6DC" w:rsidR="00950943" w:rsidRDefault="00950943" w:rsidP="00950943">
      <w:pPr>
        <w:spacing w:line="276" w:lineRule="auto"/>
        <w:rPr>
          <w:rFonts w:ascii="Arial" w:eastAsia="Times New Roman" w:hAnsi="Arial" w:cs="Arial"/>
          <w:color w:val="0E101A"/>
          <w:lang w:eastAsia="en-GB"/>
        </w:rPr>
      </w:pPr>
    </w:p>
    <w:p w14:paraId="752F76CF" w14:textId="38EDC894" w:rsidR="00950943" w:rsidRDefault="00950943" w:rsidP="00950943">
      <w:pPr>
        <w:spacing w:line="276" w:lineRule="auto"/>
        <w:rPr>
          <w:rFonts w:ascii="Arial" w:eastAsia="Times New Roman" w:hAnsi="Arial" w:cs="Arial"/>
          <w:color w:val="0E101A"/>
          <w:lang w:eastAsia="en-GB"/>
        </w:rPr>
      </w:pPr>
    </w:p>
    <w:p w14:paraId="1534A677" w14:textId="1FE2EEC3" w:rsidR="00950943" w:rsidRDefault="00950943" w:rsidP="00950943">
      <w:pPr>
        <w:spacing w:line="276" w:lineRule="auto"/>
        <w:rPr>
          <w:rFonts w:ascii="Arial" w:eastAsia="Times New Roman" w:hAnsi="Arial" w:cs="Arial"/>
          <w:color w:val="0E101A"/>
          <w:lang w:eastAsia="en-GB"/>
        </w:rPr>
      </w:pPr>
    </w:p>
    <w:p w14:paraId="5FEE65E9" w14:textId="57C888E4" w:rsidR="00950943" w:rsidRDefault="00950943" w:rsidP="00950943">
      <w:pPr>
        <w:spacing w:line="276" w:lineRule="auto"/>
        <w:rPr>
          <w:rFonts w:ascii="Arial" w:eastAsia="Times New Roman" w:hAnsi="Arial" w:cs="Arial"/>
          <w:color w:val="0E101A"/>
          <w:lang w:eastAsia="en-GB"/>
        </w:rPr>
      </w:pPr>
    </w:p>
    <w:p w14:paraId="43386639" w14:textId="65B678EA" w:rsidR="00950943" w:rsidRDefault="00950943" w:rsidP="00950943">
      <w:pPr>
        <w:spacing w:line="276" w:lineRule="auto"/>
        <w:rPr>
          <w:rFonts w:ascii="Arial" w:eastAsia="Times New Roman" w:hAnsi="Arial" w:cs="Arial"/>
          <w:color w:val="0E101A"/>
          <w:lang w:eastAsia="en-GB"/>
        </w:rPr>
      </w:pPr>
    </w:p>
    <w:p w14:paraId="24498B8A" w14:textId="347B0181" w:rsidR="00950943" w:rsidRDefault="00950943" w:rsidP="00950943">
      <w:pPr>
        <w:spacing w:line="276" w:lineRule="auto"/>
        <w:rPr>
          <w:rFonts w:ascii="Arial" w:eastAsia="Times New Roman" w:hAnsi="Arial" w:cs="Arial"/>
          <w:color w:val="0E101A"/>
          <w:lang w:eastAsia="en-GB"/>
        </w:rPr>
      </w:pPr>
    </w:p>
    <w:p w14:paraId="6DF57991" w14:textId="7D45A95B" w:rsidR="00950943" w:rsidRDefault="00950943" w:rsidP="00950943">
      <w:pPr>
        <w:spacing w:line="276" w:lineRule="auto"/>
        <w:rPr>
          <w:rFonts w:ascii="Arial" w:eastAsia="Times New Roman" w:hAnsi="Arial" w:cs="Arial"/>
          <w:color w:val="0E101A"/>
          <w:lang w:eastAsia="en-GB"/>
        </w:rPr>
      </w:pPr>
    </w:p>
    <w:p w14:paraId="747F07A9" w14:textId="4855C51F" w:rsidR="00950943" w:rsidRDefault="00950943" w:rsidP="00950943">
      <w:pPr>
        <w:spacing w:line="276" w:lineRule="auto"/>
        <w:rPr>
          <w:rFonts w:ascii="Arial" w:eastAsia="Times New Roman" w:hAnsi="Arial" w:cs="Arial"/>
          <w:color w:val="0E101A"/>
          <w:lang w:eastAsia="en-GB"/>
        </w:rPr>
      </w:pPr>
    </w:p>
    <w:p w14:paraId="1D78114D" w14:textId="223C850D" w:rsidR="00950943" w:rsidRDefault="00950943" w:rsidP="00950943">
      <w:pPr>
        <w:spacing w:line="276" w:lineRule="auto"/>
        <w:rPr>
          <w:rFonts w:ascii="Arial" w:eastAsia="Times New Roman" w:hAnsi="Arial" w:cs="Arial"/>
          <w:color w:val="0E101A"/>
          <w:lang w:eastAsia="en-GB"/>
        </w:rPr>
      </w:pPr>
    </w:p>
    <w:p w14:paraId="06C9018B" w14:textId="684CDF5A" w:rsidR="00950943" w:rsidRDefault="00950943" w:rsidP="00950943">
      <w:pPr>
        <w:spacing w:line="276" w:lineRule="auto"/>
        <w:rPr>
          <w:rFonts w:ascii="Arial" w:eastAsia="Times New Roman" w:hAnsi="Arial" w:cs="Arial"/>
          <w:color w:val="0E101A"/>
          <w:lang w:eastAsia="en-GB"/>
        </w:rPr>
      </w:pPr>
    </w:p>
    <w:p w14:paraId="68215FD4" w14:textId="63662393" w:rsidR="00950943" w:rsidRDefault="00950943" w:rsidP="00950943">
      <w:pPr>
        <w:spacing w:line="276" w:lineRule="auto"/>
        <w:rPr>
          <w:rFonts w:ascii="Arial" w:eastAsia="Times New Roman" w:hAnsi="Arial" w:cs="Arial"/>
          <w:color w:val="0E101A"/>
          <w:lang w:eastAsia="en-GB"/>
        </w:rPr>
      </w:pPr>
    </w:p>
    <w:p w14:paraId="606FBD41" w14:textId="39BC544F" w:rsidR="00950943" w:rsidRDefault="00950943" w:rsidP="00950943">
      <w:pPr>
        <w:spacing w:line="276" w:lineRule="auto"/>
        <w:rPr>
          <w:rFonts w:ascii="Arial" w:eastAsia="Times New Roman" w:hAnsi="Arial" w:cs="Arial"/>
          <w:color w:val="0E101A"/>
          <w:lang w:eastAsia="en-GB"/>
        </w:rPr>
      </w:pPr>
    </w:p>
    <w:p w14:paraId="08FB318B" w14:textId="27A868FB" w:rsidR="00950943" w:rsidRDefault="00950943" w:rsidP="00950943">
      <w:pPr>
        <w:spacing w:line="276" w:lineRule="auto"/>
        <w:rPr>
          <w:rFonts w:ascii="Arial" w:eastAsia="Times New Roman" w:hAnsi="Arial" w:cs="Arial"/>
          <w:color w:val="0E101A"/>
          <w:lang w:eastAsia="en-GB"/>
        </w:rPr>
      </w:pPr>
    </w:p>
    <w:p w14:paraId="02D0239A" w14:textId="05F28A30" w:rsidR="00950943" w:rsidRDefault="00950943" w:rsidP="00950943">
      <w:pPr>
        <w:spacing w:line="276" w:lineRule="auto"/>
        <w:rPr>
          <w:rFonts w:ascii="Arial" w:eastAsia="Times New Roman" w:hAnsi="Arial" w:cs="Arial"/>
          <w:color w:val="0E101A"/>
          <w:lang w:eastAsia="en-GB"/>
        </w:rPr>
      </w:pPr>
    </w:p>
    <w:p w14:paraId="44AC129B" w14:textId="18529380" w:rsidR="00950943" w:rsidRDefault="00950943" w:rsidP="00950943">
      <w:pPr>
        <w:spacing w:line="276" w:lineRule="auto"/>
        <w:rPr>
          <w:rFonts w:ascii="Arial" w:eastAsia="Times New Roman" w:hAnsi="Arial" w:cs="Arial"/>
          <w:color w:val="0E101A"/>
          <w:lang w:eastAsia="en-GB"/>
        </w:rPr>
      </w:pPr>
    </w:p>
    <w:p w14:paraId="32F15FD4" w14:textId="70F6290C" w:rsidR="00950943" w:rsidRDefault="00950943" w:rsidP="00950943">
      <w:pPr>
        <w:spacing w:line="276" w:lineRule="auto"/>
        <w:rPr>
          <w:rFonts w:ascii="Arial" w:eastAsia="Times New Roman" w:hAnsi="Arial" w:cs="Arial"/>
          <w:color w:val="0E101A"/>
          <w:lang w:eastAsia="en-GB"/>
        </w:rPr>
      </w:pPr>
    </w:p>
    <w:p w14:paraId="2E9193D1" w14:textId="21E0867B" w:rsidR="00950943" w:rsidRDefault="00950943" w:rsidP="00950943">
      <w:pPr>
        <w:spacing w:line="276" w:lineRule="auto"/>
        <w:rPr>
          <w:rFonts w:ascii="Arial" w:eastAsia="Times New Roman" w:hAnsi="Arial" w:cs="Arial"/>
          <w:color w:val="0E101A"/>
          <w:lang w:eastAsia="en-GB"/>
        </w:rPr>
      </w:pPr>
    </w:p>
    <w:p w14:paraId="3D93D016" w14:textId="6AA2A6B2" w:rsidR="00950943" w:rsidRDefault="00950943" w:rsidP="00950943">
      <w:pPr>
        <w:spacing w:line="276" w:lineRule="auto"/>
        <w:rPr>
          <w:rFonts w:ascii="Arial" w:eastAsia="Times New Roman" w:hAnsi="Arial" w:cs="Arial"/>
          <w:color w:val="0E101A"/>
          <w:lang w:eastAsia="en-GB"/>
        </w:rPr>
      </w:pPr>
    </w:p>
    <w:p w14:paraId="7CE1D82C" w14:textId="7F2F0432" w:rsidR="00950943" w:rsidRDefault="00950943" w:rsidP="00950943">
      <w:pPr>
        <w:spacing w:line="276" w:lineRule="auto"/>
        <w:rPr>
          <w:rFonts w:ascii="Arial" w:eastAsia="Times New Roman" w:hAnsi="Arial" w:cs="Arial"/>
          <w:color w:val="0E101A"/>
          <w:lang w:eastAsia="en-GB"/>
        </w:rPr>
      </w:pPr>
    </w:p>
    <w:p w14:paraId="49C0E7E0" w14:textId="088C6401" w:rsidR="00950943" w:rsidRDefault="00950943" w:rsidP="00950943">
      <w:pPr>
        <w:spacing w:line="276" w:lineRule="auto"/>
        <w:rPr>
          <w:rFonts w:ascii="Arial" w:eastAsia="Times New Roman" w:hAnsi="Arial" w:cs="Arial"/>
          <w:color w:val="0E101A"/>
          <w:lang w:eastAsia="en-GB"/>
        </w:rPr>
      </w:pPr>
    </w:p>
    <w:p w14:paraId="0CE535DC" w14:textId="77777777" w:rsidR="00950943" w:rsidRPr="00950943" w:rsidRDefault="00950943" w:rsidP="00950943">
      <w:pPr>
        <w:spacing w:line="276" w:lineRule="auto"/>
        <w:rPr>
          <w:rFonts w:ascii="Arial" w:eastAsia="Times New Roman" w:hAnsi="Arial" w:cs="Arial"/>
          <w:color w:val="0E101A"/>
          <w:lang w:eastAsia="en-GB"/>
        </w:rPr>
      </w:pPr>
    </w:p>
    <w:p w14:paraId="1ABE7FF2" w14:textId="2150F365" w:rsidR="00149755" w:rsidRPr="00CA7D50" w:rsidRDefault="00149755" w:rsidP="00950943">
      <w:pPr>
        <w:shd w:val="clear" w:color="auto" w:fill="FFFFFF" w:themeFill="background1"/>
        <w:tabs>
          <w:tab w:val="left" w:pos="255"/>
          <w:tab w:val="center" w:pos="4513"/>
        </w:tabs>
        <w:spacing w:before="100" w:beforeAutospacing="1" w:after="240" w:line="360" w:lineRule="auto"/>
        <w:jc w:val="center"/>
        <w:rPr>
          <w:rFonts w:ascii="Arial" w:eastAsia="Times New Roman" w:hAnsi="Arial" w:cs="Arial"/>
          <w:color w:val="000000" w:themeColor="text1"/>
          <w:lang w:eastAsia="en-GB"/>
        </w:rPr>
      </w:pPr>
      <w:r w:rsidRPr="00CA7D50">
        <w:rPr>
          <w:rFonts w:ascii="Arial" w:eastAsia="Times New Roman" w:hAnsi="Arial" w:cs="Arial"/>
          <w:b/>
          <w:bCs/>
          <w:color w:val="222222"/>
          <w:u w:val="single"/>
          <w:lang w:eastAsia="en-GB"/>
        </w:rPr>
        <w:t>R</w:t>
      </w:r>
      <w:r w:rsidR="7F0A8BEE" w:rsidRPr="00CA7D50">
        <w:rPr>
          <w:rFonts w:ascii="Arial" w:eastAsia="Times New Roman" w:hAnsi="Arial" w:cs="Arial"/>
          <w:b/>
          <w:bCs/>
          <w:color w:val="222222"/>
          <w:u w:val="single"/>
          <w:lang w:eastAsia="en-GB"/>
        </w:rPr>
        <w:t>eferences</w:t>
      </w:r>
    </w:p>
    <w:p w14:paraId="64DB5CE5" w14:textId="4E87BA52" w:rsidR="00216555" w:rsidRPr="00CA7D50" w:rsidRDefault="00216555" w:rsidP="00CA7D50">
      <w:pPr>
        <w:shd w:val="clear" w:color="auto" w:fill="FFFFFF" w:themeFill="background1"/>
        <w:spacing w:line="360" w:lineRule="auto"/>
        <w:rPr>
          <w:rFonts w:ascii="Arial" w:eastAsia="Times New Roman" w:hAnsi="Arial" w:cs="Arial"/>
          <w:b/>
          <w:bCs/>
          <w:color w:val="222222"/>
          <w:u w:val="single"/>
          <w:lang w:eastAsia="en-GB"/>
        </w:rPr>
      </w:pPr>
    </w:p>
    <w:p w14:paraId="75DAA3ED" w14:textId="0F3425E1" w:rsidR="006D131B" w:rsidRPr="00CA7D50" w:rsidRDefault="00216555" w:rsidP="00CA7D50">
      <w:pPr>
        <w:shd w:val="clear" w:color="auto" w:fill="FFFFFF" w:themeFill="background1"/>
        <w:spacing w:line="360" w:lineRule="auto"/>
        <w:rPr>
          <w:rFonts w:ascii="Arial" w:hAnsi="Arial" w:cs="Arial"/>
          <w:color w:val="000000"/>
          <w:shd w:val="clear" w:color="auto" w:fill="FFFFFF"/>
        </w:rPr>
      </w:pPr>
      <w:r w:rsidRPr="00CA7D50">
        <w:rPr>
          <w:rFonts w:ascii="Arial" w:hAnsi="Arial" w:cs="Arial"/>
          <w:color w:val="000000"/>
          <w:shd w:val="clear" w:color="auto" w:fill="FFFFFF"/>
        </w:rPr>
        <w:t>2021. </w:t>
      </w:r>
      <w:r w:rsidRPr="00CA7D50">
        <w:rPr>
          <w:rFonts w:ascii="Arial" w:hAnsi="Arial" w:cs="Arial"/>
          <w:i/>
          <w:iCs/>
          <w:color w:val="000000"/>
          <w:shd w:val="clear" w:color="auto" w:fill="FFFFFF"/>
        </w:rPr>
        <w:t>Advantages &amp; Disadvantages of Crown Courts</w:t>
      </w:r>
      <w:r w:rsidRPr="00CA7D50">
        <w:rPr>
          <w:rFonts w:ascii="Arial" w:hAnsi="Arial" w:cs="Arial"/>
          <w:color w:val="000000"/>
          <w:shd w:val="clear" w:color="auto" w:fill="FFFFFF"/>
        </w:rPr>
        <w:t>. [online] Available at: &lt;https://www.ehow.co.uk/info_8356808_advantages-disadvantages-crown-courts.html&gt; [Accessed 7 May 2021].</w:t>
      </w:r>
    </w:p>
    <w:p w14:paraId="469612AF" w14:textId="77777777" w:rsidR="385E0EA8" w:rsidRPr="00CA7D50" w:rsidRDefault="385E0EA8" w:rsidP="00CA7D50">
      <w:pPr>
        <w:shd w:val="clear" w:color="auto" w:fill="FFFFFF" w:themeFill="background1"/>
        <w:spacing w:line="360" w:lineRule="auto"/>
        <w:rPr>
          <w:rFonts w:ascii="Arial" w:eastAsia="Times New Roman" w:hAnsi="Arial" w:cs="Arial"/>
          <w:b/>
          <w:bCs/>
          <w:color w:val="222222"/>
          <w:u w:val="single"/>
          <w:lang w:eastAsia="en-GB"/>
        </w:rPr>
      </w:pPr>
    </w:p>
    <w:p w14:paraId="249F93CD" w14:textId="3A05260F" w:rsidR="6FA96FB4" w:rsidRPr="00CA7D50" w:rsidRDefault="6FA96FB4" w:rsidP="00CA7D50">
      <w:pPr>
        <w:spacing w:line="360" w:lineRule="auto"/>
        <w:rPr>
          <w:rFonts w:ascii="Arial" w:eastAsia="Open Sans" w:hAnsi="Arial" w:cs="Arial"/>
          <w:color w:val="000000" w:themeColor="text1"/>
        </w:rPr>
      </w:pPr>
      <w:r w:rsidRPr="00CA7D50">
        <w:rPr>
          <w:rFonts w:ascii="Arial" w:eastAsia="Open Sans" w:hAnsi="Arial" w:cs="Arial"/>
          <w:color w:val="000000" w:themeColor="text1"/>
        </w:rPr>
        <w:t xml:space="preserve">Brainscape.com. 2021. </w:t>
      </w:r>
      <w:r w:rsidRPr="00CA7D50">
        <w:rPr>
          <w:rFonts w:ascii="Arial" w:eastAsia="Open Sans" w:hAnsi="Arial" w:cs="Arial"/>
          <w:i/>
          <w:iCs/>
          <w:color w:val="000000" w:themeColor="text1"/>
        </w:rPr>
        <w:t xml:space="preserve">Actus Reus and </w:t>
      </w:r>
      <w:proofErr w:type="spellStart"/>
      <w:r w:rsidRPr="00CA7D50">
        <w:rPr>
          <w:rFonts w:ascii="Arial" w:eastAsia="Open Sans" w:hAnsi="Arial" w:cs="Arial"/>
          <w:i/>
          <w:iCs/>
          <w:color w:val="000000" w:themeColor="text1"/>
        </w:rPr>
        <w:t>Mens</w:t>
      </w:r>
      <w:proofErr w:type="spellEnd"/>
      <w:r w:rsidRPr="00CA7D50">
        <w:rPr>
          <w:rFonts w:ascii="Arial" w:eastAsia="Open Sans" w:hAnsi="Arial" w:cs="Arial"/>
          <w:i/>
          <w:iCs/>
          <w:color w:val="000000" w:themeColor="text1"/>
        </w:rPr>
        <w:t xml:space="preserve"> Rea of crimes Flashcards by Aaron James Parkinson | </w:t>
      </w:r>
      <w:proofErr w:type="spellStart"/>
      <w:r w:rsidRPr="00CA7D50">
        <w:rPr>
          <w:rFonts w:ascii="Arial" w:eastAsia="Open Sans" w:hAnsi="Arial" w:cs="Arial"/>
          <w:i/>
          <w:iCs/>
          <w:color w:val="000000" w:themeColor="text1"/>
        </w:rPr>
        <w:t>Brainscape</w:t>
      </w:r>
      <w:proofErr w:type="spellEnd"/>
      <w:r w:rsidRPr="00CA7D50">
        <w:rPr>
          <w:rFonts w:ascii="Arial" w:eastAsia="Open Sans" w:hAnsi="Arial" w:cs="Arial"/>
          <w:color w:val="000000" w:themeColor="text1"/>
        </w:rPr>
        <w:t>. [online] Available at: &lt;https://www.brainscape.com/flashcards/actus-reus-and-mens-rea-of-crimes-5938759/packs/8970255&gt; [Accessed 3 May 2021].</w:t>
      </w:r>
    </w:p>
    <w:p w14:paraId="7291DB99" w14:textId="60A267BA" w:rsidR="00DA1B08" w:rsidRPr="00CA7D50" w:rsidRDefault="00DA1B08" w:rsidP="00CA7D50">
      <w:pPr>
        <w:spacing w:line="360" w:lineRule="auto"/>
        <w:rPr>
          <w:rFonts w:ascii="Arial" w:eastAsia="Open Sans" w:hAnsi="Arial" w:cs="Arial"/>
          <w:color w:val="000000" w:themeColor="text1"/>
        </w:rPr>
      </w:pPr>
    </w:p>
    <w:p w14:paraId="5172412E" w14:textId="4CD35D62" w:rsidR="00DA1B08" w:rsidRPr="00CA7D50" w:rsidRDefault="00DA1B08" w:rsidP="00CA7D50">
      <w:pPr>
        <w:spacing w:line="360" w:lineRule="auto"/>
        <w:rPr>
          <w:rFonts w:ascii="Arial" w:eastAsia="Open Sans" w:hAnsi="Arial" w:cs="Arial"/>
          <w:color w:val="000000" w:themeColor="text1"/>
        </w:rPr>
      </w:pPr>
      <w:r w:rsidRPr="00CA7D50">
        <w:rPr>
          <w:rFonts w:ascii="Arial" w:hAnsi="Arial" w:cs="Arial"/>
          <w:color w:val="000000"/>
          <w:shd w:val="clear" w:color="auto" w:fill="FFFFFF"/>
        </w:rPr>
        <w:t>GOV.UK. 2021. </w:t>
      </w:r>
      <w:r w:rsidRPr="00CA7D50">
        <w:rPr>
          <w:rFonts w:ascii="Arial" w:hAnsi="Arial" w:cs="Arial"/>
          <w:i/>
          <w:iCs/>
          <w:color w:val="000000"/>
          <w:shd w:val="clear" w:color="auto" w:fill="FFFFFF"/>
        </w:rPr>
        <w:t>Legal aid</w:t>
      </w:r>
      <w:r w:rsidRPr="00CA7D50">
        <w:rPr>
          <w:rFonts w:ascii="Arial" w:hAnsi="Arial" w:cs="Arial"/>
          <w:color w:val="000000"/>
          <w:shd w:val="clear" w:color="auto" w:fill="FFFFFF"/>
        </w:rPr>
        <w:t>. [online] Available at: &lt;https://www.gov.uk/legal-aid/eligibility&gt; [Accessed 7 May 2021].</w:t>
      </w:r>
    </w:p>
    <w:p w14:paraId="2A1FE106" w14:textId="2408663E" w:rsidR="0028718A" w:rsidRPr="00CA7D50" w:rsidRDefault="0028718A" w:rsidP="00CA7D50">
      <w:pPr>
        <w:spacing w:line="360" w:lineRule="auto"/>
        <w:rPr>
          <w:rFonts w:ascii="Arial" w:eastAsia="Open Sans" w:hAnsi="Arial" w:cs="Arial"/>
          <w:color w:val="000000" w:themeColor="text1"/>
        </w:rPr>
      </w:pPr>
    </w:p>
    <w:p w14:paraId="50E8A80A" w14:textId="5E9DCF40" w:rsidR="0028718A" w:rsidRPr="00CA7D50" w:rsidRDefault="0028718A" w:rsidP="00CA7D50">
      <w:pPr>
        <w:spacing w:line="360" w:lineRule="auto"/>
        <w:rPr>
          <w:rFonts w:ascii="Arial" w:hAnsi="Arial" w:cs="Arial"/>
          <w:color w:val="000000"/>
          <w:shd w:val="clear" w:color="auto" w:fill="FFFFFF"/>
        </w:rPr>
      </w:pPr>
      <w:r w:rsidRPr="00CA7D50">
        <w:rPr>
          <w:rFonts w:ascii="Arial" w:hAnsi="Arial" w:cs="Arial"/>
          <w:color w:val="000000"/>
          <w:shd w:val="clear" w:color="auto" w:fill="FFFFFF"/>
        </w:rPr>
        <w:t>Lawteacher.net. 2021. </w:t>
      </w:r>
      <w:r w:rsidRPr="00CA7D50">
        <w:rPr>
          <w:rFonts w:ascii="Arial" w:hAnsi="Arial" w:cs="Arial"/>
          <w:i/>
          <w:iCs/>
          <w:color w:val="000000"/>
          <w:shd w:val="clear" w:color="auto" w:fill="FFFFFF"/>
        </w:rPr>
        <w:t>Elements of the Theft Act</w:t>
      </w:r>
      <w:r w:rsidRPr="00CA7D50">
        <w:rPr>
          <w:rFonts w:ascii="Arial" w:hAnsi="Arial" w:cs="Arial"/>
          <w:color w:val="000000"/>
          <w:shd w:val="clear" w:color="auto" w:fill="FFFFFF"/>
        </w:rPr>
        <w:t>. [online] Available at: &lt;https://www.lawteacher.net/free-law-essays/commercial-law/elements-of-the-theft-act-commercial-law-essay.php&gt; [Accessed 7 May 2021].</w:t>
      </w:r>
    </w:p>
    <w:p w14:paraId="6724B206" w14:textId="77777777" w:rsidR="004B1A9A" w:rsidRPr="00CA7D50" w:rsidRDefault="004B1A9A" w:rsidP="00CA7D50">
      <w:pPr>
        <w:spacing w:line="360" w:lineRule="auto"/>
        <w:rPr>
          <w:rFonts w:ascii="Arial" w:hAnsi="Arial" w:cs="Arial"/>
          <w:color w:val="000000"/>
          <w:shd w:val="clear" w:color="auto" w:fill="FFFFFF"/>
        </w:rPr>
      </w:pPr>
    </w:p>
    <w:p w14:paraId="714721CD" w14:textId="27922DC1" w:rsidR="0028718A" w:rsidRPr="00CA7D50" w:rsidRDefault="004B1A9A" w:rsidP="00CA7D50">
      <w:pPr>
        <w:spacing w:line="360" w:lineRule="auto"/>
        <w:rPr>
          <w:rFonts w:ascii="Arial" w:eastAsia="Open Sans" w:hAnsi="Arial" w:cs="Arial"/>
          <w:color w:val="000000" w:themeColor="text1"/>
        </w:rPr>
      </w:pPr>
      <w:r w:rsidRPr="00CA7D50">
        <w:rPr>
          <w:rFonts w:ascii="Arial" w:hAnsi="Arial" w:cs="Arial"/>
          <w:color w:val="000000"/>
          <w:shd w:val="clear" w:color="auto" w:fill="FFFFFF"/>
        </w:rPr>
        <w:t>Network23.org. 2021. [online] Available at: &lt;https://network23.org/freebeagles/files/2013/05/Mags-Court-Guide.pdf&gt; [Accessed 7 May 2021].</w:t>
      </w:r>
    </w:p>
    <w:p w14:paraId="502DF26C" w14:textId="2418B0F7" w:rsidR="385E0EA8" w:rsidRPr="00CA7D50" w:rsidRDefault="385E0EA8" w:rsidP="00CA7D50">
      <w:pPr>
        <w:shd w:val="clear" w:color="auto" w:fill="FFFFFF" w:themeFill="background1"/>
        <w:spacing w:line="360" w:lineRule="auto"/>
        <w:rPr>
          <w:rFonts w:ascii="Arial" w:eastAsia="Times New Roman" w:hAnsi="Arial" w:cs="Arial"/>
          <w:b/>
          <w:bCs/>
          <w:color w:val="222222"/>
          <w:u w:val="single"/>
          <w:lang w:eastAsia="en-GB"/>
        </w:rPr>
      </w:pPr>
    </w:p>
    <w:p w14:paraId="185D5091" w14:textId="204B4EF1" w:rsidR="7F0A8BEE" w:rsidRPr="00CA7D50" w:rsidRDefault="7F0A8BEE" w:rsidP="00CA7D50">
      <w:pPr>
        <w:spacing w:line="360" w:lineRule="auto"/>
        <w:rPr>
          <w:rFonts w:ascii="Arial" w:eastAsia="Open Sans" w:hAnsi="Arial" w:cs="Arial"/>
          <w:color w:val="000000" w:themeColor="text1"/>
        </w:rPr>
      </w:pPr>
      <w:r w:rsidRPr="00CA7D50">
        <w:rPr>
          <w:rFonts w:ascii="Arial" w:eastAsia="Open Sans" w:hAnsi="Arial" w:cs="Arial"/>
          <w:color w:val="000000" w:themeColor="text1"/>
        </w:rPr>
        <w:t xml:space="preserve">Sentencingcouncil.org.uk. 2021. </w:t>
      </w:r>
      <w:r w:rsidRPr="00CA7D50">
        <w:rPr>
          <w:rFonts w:ascii="Arial" w:eastAsia="Open Sans" w:hAnsi="Arial" w:cs="Arial"/>
          <w:i/>
          <w:iCs/>
          <w:color w:val="000000" w:themeColor="text1"/>
        </w:rPr>
        <w:t>Theft – general – Sentencing</w:t>
      </w:r>
      <w:r w:rsidRPr="00CA7D50">
        <w:rPr>
          <w:rFonts w:ascii="Arial" w:eastAsia="Open Sans" w:hAnsi="Arial" w:cs="Arial"/>
          <w:color w:val="000000" w:themeColor="text1"/>
        </w:rPr>
        <w:t>. [online] Available at: &lt;https://www.sentencingcouncil.org.uk/offences/magistrates-court/item/theft-general/&gt; [Accessed 3 May 2021].</w:t>
      </w:r>
    </w:p>
    <w:p w14:paraId="55AB60C1" w14:textId="453B4D00" w:rsidR="385E0EA8" w:rsidRPr="00CA7D50" w:rsidRDefault="385E0EA8" w:rsidP="00CA7D50">
      <w:pPr>
        <w:spacing w:line="360" w:lineRule="auto"/>
        <w:rPr>
          <w:rFonts w:ascii="Arial" w:eastAsia="Open Sans" w:hAnsi="Arial" w:cs="Arial"/>
          <w:color w:val="000000" w:themeColor="text1"/>
        </w:rPr>
      </w:pPr>
    </w:p>
    <w:p w14:paraId="25200D37" w14:textId="102C9C66" w:rsidR="3381D8F0" w:rsidRPr="00CA7D50" w:rsidRDefault="3381D8F0" w:rsidP="00CA7D50">
      <w:pPr>
        <w:spacing w:line="360" w:lineRule="auto"/>
        <w:rPr>
          <w:rFonts w:ascii="Arial" w:eastAsia="Open Sans" w:hAnsi="Arial" w:cs="Arial"/>
          <w:color w:val="000000" w:themeColor="text1"/>
        </w:rPr>
      </w:pPr>
      <w:r w:rsidRPr="00CA7D50">
        <w:rPr>
          <w:rFonts w:ascii="Arial" w:eastAsia="Open Sans" w:hAnsi="Arial" w:cs="Arial"/>
          <w:color w:val="000000" w:themeColor="text1"/>
        </w:rPr>
        <w:lastRenderedPageBreak/>
        <w:t xml:space="preserve">Sentencingcouncil.org.uk. 2021. </w:t>
      </w:r>
      <w:r w:rsidRPr="00CA7D50">
        <w:rPr>
          <w:rFonts w:ascii="Arial" w:eastAsia="Open Sans" w:hAnsi="Arial" w:cs="Arial"/>
          <w:i/>
          <w:iCs/>
          <w:color w:val="000000" w:themeColor="text1"/>
        </w:rPr>
        <w:t>General theft – Sentencing</w:t>
      </w:r>
      <w:r w:rsidRPr="00CA7D50">
        <w:rPr>
          <w:rFonts w:ascii="Arial" w:eastAsia="Open Sans" w:hAnsi="Arial" w:cs="Arial"/>
          <w:color w:val="000000" w:themeColor="text1"/>
        </w:rPr>
        <w:t>. [online] Available at: &lt;https://www.sentencingcouncil.org.uk/outlines/general-theft/&gt; [Accessed 3 May 2021].</w:t>
      </w:r>
    </w:p>
    <w:p w14:paraId="1A789C9F" w14:textId="42091D23" w:rsidR="00E12CF6" w:rsidRPr="00CA7D50" w:rsidRDefault="00F46DD6" w:rsidP="00CA7D50">
      <w:pPr>
        <w:spacing w:line="360" w:lineRule="auto"/>
        <w:rPr>
          <w:rFonts w:ascii="Arial" w:hAnsi="Arial" w:cs="Arial"/>
          <w:color w:val="000000"/>
          <w:shd w:val="clear" w:color="auto" w:fill="FFFFFF"/>
        </w:rPr>
      </w:pPr>
      <w:r w:rsidRPr="00CA7D50">
        <w:rPr>
          <w:rFonts w:ascii="Arial" w:hAnsi="Arial" w:cs="Arial"/>
          <w:color w:val="000000"/>
          <w:shd w:val="clear" w:color="auto" w:fill="FFFFFF"/>
        </w:rPr>
        <w:t>Legislation.gov.uk. 2021. </w:t>
      </w:r>
      <w:r w:rsidRPr="00CA7D50">
        <w:rPr>
          <w:rFonts w:ascii="Arial" w:hAnsi="Arial" w:cs="Arial"/>
          <w:i/>
          <w:iCs/>
          <w:color w:val="000000"/>
          <w:shd w:val="clear" w:color="auto" w:fill="FFFFFF"/>
        </w:rPr>
        <w:t>Theft Act 1968</w:t>
      </w:r>
      <w:r w:rsidRPr="00CA7D50">
        <w:rPr>
          <w:rFonts w:ascii="Arial" w:hAnsi="Arial" w:cs="Arial"/>
          <w:color w:val="000000"/>
          <w:shd w:val="clear" w:color="auto" w:fill="FFFFFF"/>
        </w:rPr>
        <w:t>. [online] Available at: &lt;https://www.legislation.gov.uk/ukpga/1968/60/section/1&gt; [Accessed 7 May 2021].</w:t>
      </w:r>
    </w:p>
    <w:p w14:paraId="72AFB0B0" w14:textId="591A3C22" w:rsidR="004F5877" w:rsidRPr="00CA7D50" w:rsidRDefault="004F5877" w:rsidP="00CA7D50">
      <w:pPr>
        <w:spacing w:line="360" w:lineRule="auto"/>
        <w:rPr>
          <w:rFonts w:ascii="Arial" w:hAnsi="Arial" w:cs="Arial"/>
          <w:color w:val="000000"/>
          <w:shd w:val="clear" w:color="auto" w:fill="FFFFFF"/>
        </w:rPr>
      </w:pPr>
    </w:p>
    <w:p w14:paraId="5E81C947" w14:textId="71EB3B45" w:rsidR="004F5877" w:rsidRPr="00CA7D50" w:rsidRDefault="004F5877" w:rsidP="00CA7D50">
      <w:pPr>
        <w:spacing w:line="360" w:lineRule="auto"/>
        <w:rPr>
          <w:rFonts w:ascii="Arial" w:hAnsi="Arial" w:cs="Arial"/>
          <w:color w:val="000000"/>
          <w:shd w:val="clear" w:color="auto" w:fill="FFFFFF"/>
        </w:rPr>
      </w:pPr>
      <w:r w:rsidRPr="00CA7D50">
        <w:rPr>
          <w:rFonts w:ascii="Arial" w:hAnsi="Arial" w:cs="Arial"/>
          <w:color w:val="000000"/>
          <w:shd w:val="clear" w:color="auto" w:fill="FFFFFF"/>
        </w:rPr>
        <w:t>Www-jstor-org.ezproxy.uwtsd.ac.uk. 2021. [online] Available at: &lt;https://www-jstor-org.ezproxy.uwtsd.ac.uk/stable/23216760?seq=7#metadata_info_tab_contents&gt; [Accessed 7 May 2021].</w:t>
      </w:r>
    </w:p>
    <w:p w14:paraId="684DBC27" w14:textId="09380833" w:rsidR="00762A3C" w:rsidRPr="00CA7D50" w:rsidRDefault="00762A3C" w:rsidP="00CA7D50">
      <w:pPr>
        <w:spacing w:line="360" w:lineRule="auto"/>
        <w:rPr>
          <w:rFonts w:ascii="Arial" w:hAnsi="Arial" w:cs="Arial"/>
          <w:color w:val="000000"/>
          <w:shd w:val="clear" w:color="auto" w:fill="FFFFFF"/>
        </w:rPr>
      </w:pPr>
    </w:p>
    <w:p w14:paraId="459F52CF" w14:textId="43FD94CB" w:rsidR="00762A3C" w:rsidRPr="00CA7D50" w:rsidRDefault="00762A3C" w:rsidP="00CA7D50">
      <w:pPr>
        <w:spacing w:line="360" w:lineRule="auto"/>
        <w:rPr>
          <w:rFonts w:ascii="Arial" w:hAnsi="Arial" w:cs="Arial"/>
          <w:color w:val="000000"/>
          <w:shd w:val="clear" w:color="auto" w:fill="FFFFFF"/>
        </w:rPr>
      </w:pPr>
    </w:p>
    <w:p w14:paraId="6D4D9993" w14:textId="5509A046" w:rsidR="00CC5589" w:rsidRPr="00CA7D50" w:rsidRDefault="00CC5589" w:rsidP="00CA7D50">
      <w:pPr>
        <w:spacing w:line="360" w:lineRule="auto"/>
        <w:rPr>
          <w:rFonts w:ascii="Arial" w:hAnsi="Arial" w:cs="Arial"/>
          <w:color w:val="000000"/>
          <w:shd w:val="clear" w:color="auto" w:fill="FFFFFF"/>
        </w:rPr>
      </w:pPr>
    </w:p>
    <w:p w14:paraId="6D5691A4" w14:textId="08EED97E" w:rsidR="00CC5589" w:rsidRPr="00CA7D50" w:rsidRDefault="00CC5589" w:rsidP="00CA7D50">
      <w:pPr>
        <w:spacing w:line="360" w:lineRule="auto"/>
        <w:rPr>
          <w:rFonts w:ascii="Arial" w:eastAsia="Open Sans" w:hAnsi="Arial" w:cs="Arial"/>
          <w:color w:val="000000" w:themeColor="text1"/>
        </w:rPr>
      </w:pPr>
    </w:p>
    <w:p w14:paraId="720D1862" w14:textId="184F0238" w:rsidR="385E0EA8" w:rsidRPr="00CA7D50" w:rsidRDefault="385E0EA8" w:rsidP="00CA7D50">
      <w:pPr>
        <w:spacing w:line="360" w:lineRule="auto"/>
        <w:rPr>
          <w:rFonts w:ascii="Arial" w:eastAsia="Open Sans" w:hAnsi="Arial" w:cs="Arial"/>
          <w:color w:val="000000" w:themeColor="text1"/>
        </w:rPr>
      </w:pPr>
    </w:p>
    <w:p w14:paraId="5D84E7C0" w14:textId="5EB62AFB" w:rsidR="385E0EA8" w:rsidRPr="00CA7D50" w:rsidRDefault="385E0EA8" w:rsidP="00CA7D50">
      <w:pPr>
        <w:spacing w:line="360" w:lineRule="auto"/>
        <w:rPr>
          <w:rFonts w:ascii="Arial" w:eastAsia="Open Sans" w:hAnsi="Arial" w:cs="Arial"/>
          <w:color w:val="000000" w:themeColor="text1"/>
        </w:rPr>
      </w:pPr>
    </w:p>
    <w:p w14:paraId="377BA011" w14:textId="7D98E635" w:rsidR="385E0EA8" w:rsidRPr="00CA7D50" w:rsidRDefault="385E0EA8" w:rsidP="00CA7D50">
      <w:pPr>
        <w:shd w:val="clear" w:color="auto" w:fill="FFFFFF" w:themeFill="background1"/>
        <w:spacing w:line="360" w:lineRule="auto"/>
        <w:rPr>
          <w:rFonts w:ascii="Arial" w:eastAsia="Times New Roman" w:hAnsi="Arial" w:cs="Arial"/>
          <w:b/>
          <w:bCs/>
          <w:color w:val="222222"/>
          <w:u w:val="single"/>
          <w:lang w:eastAsia="en-GB"/>
        </w:rPr>
      </w:pPr>
    </w:p>
    <w:p w14:paraId="2B3AA6A1" w14:textId="5E1F80AC" w:rsidR="385E0EA8" w:rsidRPr="00CA7D50" w:rsidRDefault="385E0EA8" w:rsidP="00CA7D50">
      <w:pPr>
        <w:shd w:val="clear" w:color="auto" w:fill="FFFFFF" w:themeFill="background1"/>
        <w:spacing w:line="360" w:lineRule="auto"/>
        <w:rPr>
          <w:rFonts w:ascii="Arial" w:eastAsia="Times New Roman" w:hAnsi="Arial" w:cs="Arial"/>
          <w:b/>
          <w:bCs/>
          <w:color w:val="222222"/>
          <w:u w:val="single"/>
          <w:lang w:eastAsia="en-GB"/>
        </w:rPr>
      </w:pPr>
    </w:p>
    <w:p w14:paraId="6DCE008E" w14:textId="77777777" w:rsidR="006757F3" w:rsidRPr="006757F3" w:rsidRDefault="006757F3" w:rsidP="006757F3">
      <w:pPr>
        <w:shd w:val="clear" w:color="auto" w:fill="FFFFFF"/>
        <w:rPr>
          <w:rFonts w:eastAsia="Times New Roman" w:cstheme="minorHAnsi"/>
          <w:color w:val="222222"/>
          <w:lang w:eastAsia="en-GB"/>
        </w:rPr>
      </w:pPr>
      <w:r w:rsidRPr="006757F3">
        <w:rPr>
          <w:rFonts w:eastAsia="Times New Roman" w:cstheme="minorHAnsi"/>
          <w:color w:val="222222"/>
          <w:lang w:eastAsia="en-GB"/>
        </w:rPr>
        <w:t> </w:t>
      </w:r>
    </w:p>
    <w:p w14:paraId="5917EB71" w14:textId="53BA8A76" w:rsidR="005C1B8E" w:rsidRPr="00B07B2E" w:rsidRDefault="005C1B8E" w:rsidP="00B07B2E">
      <w:pPr>
        <w:shd w:val="clear" w:color="auto" w:fill="FFFFFF" w:themeFill="background1"/>
        <w:rPr>
          <w:rFonts w:eastAsia="Times New Roman"/>
          <w:color w:val="222222"/>
          <w:lang w:eastAsia="en-GB"/>
        </w:rPr>
      </w:pPr>
    </w:p>
    <w:sectPr w:rsidR="005C1B8E" w:rsidRPr="00B07B2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8C00A" w14:textId="77777777" w:rsidR="00950943" w:rsidRDefault="00950943" w:rsidP="00950943">
      <w:r>
        <w:separator/>
      </w:r>
    </w:p>
  </w:endnote>
  <w:endnote w:type="continuationSeparator" w:id="0">
    <w:p w14:paraId="3D28D11F" w14:textId="77777777" w:rsidR="00950943" w:rsidRDefault="00950943" w:rsidP="0095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9A3E" w14:textId="77777777" w:rsidR="00950943" w:rsidRDefault="00950943" w:rsidP="00950943">
      <w:r>
        <w:separator/>
      </w:r>
    </w:p>
  </w:footnote>
  <w:footnote w:type="continuationSeparator" w:id="0">
    <w:p w14:paraId="6354629D" w14:textId="77777777" w:rsidR="00950943" w:rsidRDefault="00950943" w:rsidP="00950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233062"/>
      <w:docPartObj>
        <w:docPartGallery w:val="Page Numbers (Top of Page)"/>
        <w:docPartUnique/>
      </w:docPartObj>
    </w:sdtPr>
    <w:sdtEndPr>
      <w:rPr>
        <w:noProof/>
      </w:rPr>
    </w:sdtEndPr>
    <w:sdtContent>
      <w:p w14:paraId="5490CC31" w14:textId="721B9217" w:rsidR="00524274" w:rsidRDefault="0052427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882EF1" w14:textId="77777777" w:rsidR="00524274" w:rsidRDefault="005242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6F6"/>
    <w:multiLevelType w:val="multilevel"/>
    <w:tmpl w:val="93F6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05D37"/>
    <w:multiLevelType w:val="multilevel"/>
    <w:tmpl w:val="9C6E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451BA"/>
    <w:multiLevelType w:val="multilevel"/>
    <w:tmpl w:val="13E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3A4972"/>
    <w:multiLevelType w:val="multilevel"/>
    <w:tmpl w:val="C1F2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77620A"/>
    <w:multiLevelType w:val="multilevel"/>
    <w:tmpl w:val="CC98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A76600"/>
    <w:multiLevelType w:val="multilevel"/>
    <w:tmpl w:val="C904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FB45C1"/>
    <w:multiLevelType w:val="multilevel"/>
    <w:tmpl w:val="61DA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F3"/>
    <w:rsid w:val="00063510"/>
    <w:rsid w:val="00115375"/>
    <w:rsid w:val="00120BB5"/>
    <w:rsid w:val="00121574"/>
    <w:rsid w:val="00149755"/>
    <w:rsid w:val="0015447E"/>
    <w:rsid w:val="00161743"/>
    <w:rsid w:val="00163E36"/>
    <w:rsid w:val="001710FF"/>
    <w:rsid w:val="001C7BD2"/>
    <w:rsid w:val="001D1A61"/>
    <w:rsid w:val="001E722C"/>
    <w:rsid w:val="0021171B"/>
    <w:rsid w:val="00216555"/>
    <w:rsid w:val="00217B07"/>
    <w:rsid w:val="002414B3"/>
    <w:rsid w:val="00276BFB"/>
    <w:rsid w:val="0028718A"/>
    <w:rsid w:val="002C6A15"/>
    <w:rsid w:val="003260BB"/>
    <w:rsid w:val="00352958"/>
    <w:rsid w:val="003B4E86"/>
    <w:rsid w:val="003E17E6"/>
    <w:rsid w:val="003E3CC1"/>
    <w:rsid w:val="00430843"/>
    <w:rsid w:val="004B1A9A"/>
    <w:rsid w:val="004D02C8"/>
    <w:rsid w:val="004F5877"/>
    <w:rsid w:val="00500E70"/>
    <w:rsid w:val="00515045"/>
    <w:rsid w:val="00524274"/>
    <w:rsid w:val="00547A11"/>
    <w:rsid w:val="005C1B8E"/>
    <w:rsid w:val="00600CCC"/>
    <w:rsid w:val="006459BA"/>
    <w:rsid w:val="00674719"/>
    <w:rsid w:val="006757F3"/>
    <w:rsid w:val="00680F4A"/>
    <w:rsid w:val="006A3F15"/>
    <w:rsid w:val="006D131B"/>
    <w:rsid w:val="006E5354"/>
    <w:rsid w:val="00724F3D"/>
    <w:rsid w:val="0072671D"/>
    <w:rsid w:val="00762A3C"/>
    <w:rsid w:val="00774E73"/>
    <w:rsid w:val="00781283"/>
    <w:rsid w:val="00784B78"/>
    <w:rsid w:val="007F0A2E"/>
    <w:rsid w:val="00836A44"/>
    <w:rsid w:val="0084289F"/>
    <w:rsid w:val="008B1249"/>
    <w:rsid w:val="008B4509"/>
    <w:rsid w:val="008D67E8"/>
    <w:rsid w:val="008F4477"/>
    <w:rsid w:val="00903D9E"/>
    <w:rsid w:val="009155C8"/>
    <w:rsid w:val="0092683D"/>
    <w:rsid w:val="009328A4"/>
    <w:rsid w:val="00950943"/>
    <w:rsid w:val="00976FFA"/>
    <w:rsid w:val="009B34F7"/>
    <w:rsid w:val="009C4B6D"/>
    <w:rsid w:val="009D74B4"/>
    <w:rsid w:val="00A14C26"/>
    <w:rsid w:val="00A172CA"/>
    <w:rsid w:val="00A2777F"/>
    <w:rsid w:val="00A27A22"/>
    <w:rsid w:val="00A86266"/>
    <w:rsid w:val="00AC409F"/>
    <w:rsid w:val="00B07B2E"/>
    <w:rsid w:val="00B250E9"/>
    <w:rsid w:val="00B54F90"/>
    <w:rsid w:val="00B73FC4"/>
    <w:rsid w:val="00B866CB"/>
    <w:rsid w:val="00B95E9E"/>
    <w:rsid w:val="00BB5060"/>
    <w:rsid w:val="00BB7465"/>
    <w:rsid w:val="00BE45E4"/>
    <w:rsid w:val="00C30247"/>
    <w:rsid w:val="00C377AC"/>
    <w:rsid w:val="00C577F1"/>
    <w:rsid w:val="00C60B87"/>
    <w:rsid w:val="00C64808"/>
    <w:rsid w:val="00CA7D50"/>
    <w:rsid w:val="00CC5589"/>
    <w:rsid w:val="00CE2ED1"/>
    <w:rsid w:val="00CE6485"/>
    <w:rsid w:val="00D13578"/>
    <w:rsid w:val="00D164FC"/>
    <w:rsid w:val="00D43F24"/>
    <w:rsid w:val="00D7403D"/>
    <w:rsid w:val="00D7701F"/>
    <w:rsid w:val="00DA0BF2"/>
    <w:rsid w:val="00DA1B08"/>
    <w:rsid w:val="00DD6784"/>
    <w:rsid w:val="00E07618"/>
    <w:rsid w:val="00E12CF6"/>
    <w:rsid w:val="00E14459"/>
    <w:rsid w:val="00F4127A"/>
    <w:rsid w:val="00F46DD6"/>
    <w:rsid w:val="00F76AC4"/>
    <w:rsid w:val="00FA3F17"/>
    <w:rsid w:val="00FB166D"/>
    <w:rsid w:val="01D952F6"/>
    <w:rsid w:val="03535E15"/>
    <w:rsid w:val="087F5871"/>
    <w:rsid w:val="08D4EB8F"/>
    <w:rsid w:val="0A08FDF3"/>
    <w:rsid w:val="0D03F9F3"/>
    <w:rsid w:val="0DE3E9AA"/>
    <w:rsid w:val="0DF2F409"/>
    <w:rsid w:val="0F13EBBD"/>
    <w:rsid w:val="16CE82C0"/>
    <w:rsid w:val="17DD9248"/>
    <w:rsid w:val="1984CBF2"/>
    <w:rsid w:val="1A794F92"/>
    <w:rsid w:val="1B069958"/>
    <w:rsid w:val="1C21A3A5"/>
    <w:rsid w:val="1DB0F054"/>
    <w:rsid w:val="1E2511BD"/>
    <w:rsid w:val="1FA00007"/>
    <w:rsid w:val="24569F6B"/>
    <w:rsid w:val="247D241D"/>
    <w:rsid w:val="26A488FE"/>
    <w:rsid w:val="2885A2D8"/>
    <w:rsid w:val="28C81894"/>
    <w:rsid w:val="2F3D922C"/>
    <w:rsid w:val="307FDD9F"/>
    <w:rsid w:val="30CAC8DB"/>
    <w:rsid w:val="3381D8F0"/>
    <w:rsid w:val="385E0EA8"/>
    <w:rsid w:val="38E66EEF"/>
    <w:rsid w:val="3B67095F"/>
    <w:rsid w:val="3F4D09CA"/>
    <w:rsid w:val="45AD10B4"/>
    <w:rsid w:val="46A9BC06"/>
    <w:rsid w:val="4B177E45"/>
    <w:rsid w:val="4DAE34D6"/>
    <w:rsid w:val="53C5EA4A"/>
    <w:rsid w:val="5418D376"/>
    <w:rsid w:val="552BFCF5"/>
    <w:rsid w:val="56F3212A"/>
    <w:rsid w:val="5BD2E18C"/>
    <w:rsid w:val="5C594EFF"/>
    <w:rsid w:val="5FC6A22E"/>
    <w:rsid w:val="606285A6"/>
    <w:rsid w:val="60A299F3"/>
    <w:rsid w:val="6B7D763E"/>
    <w:rsid w:val="6B8C0C2F"/>
    <w:rsid w:val="6CC9D08B"/>
    <w:rsid w:val="6FA96FB4"/>
    <w:rsid w:val="7653F988"/>
    <w:rsid w:val="7678276E"/>
    <w:rsid w:val="7A015278"/>
    <w:rsid w:val="7C0F90E3"/>
    <w:rsid w:val="7F0A8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0DDCD"/>
  <w15:chartTrackingRefBased/>
  <w15:docId w15:val="{E91825A6-8B96-4F46-B903-76E99F9A6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E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757F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757F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57F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757F3"/>
    <w:rPr>
      <w:rFonts w:ascii="Times New Roman" w:eastAsia="Times New Roman" w:hAnsi="Times New Roman" w:cs="Times New Roman"/>
      <w:b/>
      <w:bCs/>
      <w:sz w:val="27"/>
      <w:szCs w:val="27"/>
      <w:lang w:eastAsia="en-GB"/>
    </w:rPr>
  </w:style>
  <w:style w:type="paragraph" w:customStyle="1" w:styleId="m1175624012320878853msolistparagraph">
    <w:name w:val="m_1175624012320878853msolistparagraph"/>
    <w:basedOn w:val="Normal"/>
    <w:rsid w:val="006757F3"/>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6757F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757F3"/>
    <w:rPr>
      <w:color w:val="0000FF"/>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774E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50943"/>
    <w:pPr>
      <w:tabs>
        <w:tab w:val="center" w:pos="4513"/>
        <w:tab w:val="right" w:pos="9026"/>
      </w:tabs>
    </w:pPr>
  </w:style>
  <w:style w:type="character" w:customStyle="1" w:styleId="HeaderChar">
    <w:name w:val="Header Char"/>
    <w:basedOn w:val="DefaultParagraphFont"/>
    <w:link w:val="Header"/>
    <w:uiPriority w:val="99"/>
    <w:rsid w:val="00950943"/>
  </w:style>
  <w:style w:type="paragraph" w:styleId="Footer">
    <w:name w:val="footer"/>
    <w:basedOn w:val="Normal"/>
    <w:link w:val="FooterChar"/>
    <w:uiPriority w:val="99"/>
    <w:unhideWhenUsed/>
    <w:rsid w:val="00950943"/>
    <w:pPr>
      <w:tabs>
        <w:tab w:val="center" w:pos="4513"/>
        <w:tab w:val="right" w:pos="9026"/>
      </w:tabs>
    </w:pPr>
  </w:style>
  <w:style w:type="character" w:customStyle="1" w:styleId="FooterChar">
    <w:name w:val="Footer Char"/>
    <w:basedOn w:val="DefaultParagraphFont"/>
    <w:link w:val="Footer"/>
    <w:uiPriority w:val="99"/>
    <w:rsid w:val="00950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4497">
      <w:bodyDiv w:val="1"/>
      <w:marLeft w:val="0"/>
      <w:marRight w:val="0"/>
      <w:marTop w:val="0"/>
      <w:marBottom w:val="0"/>
      <w:divBdr>
        <w:top w:val="none" w:sz="0" w:space="0" w:color="auto"/>
        <w:left w:val="none" w:sz="0" w:space="0" w:color="auto"/>
        <w:bottom w:val="none" w:sz="0" w:space="0" w:color="auto"/>
        <w:right w:val="none" w:sz="0" w:space="0" w:color="auto"/>
      </w:divBdr>
      <w:divsChild>
        <w:div w:id="34429418">
          <w:marLeft w:val="0"/>
          <w:marRight w:val="0"/>
          <w:marTop w:val="0"/>
          <w:marBottom w:val="0"/>
          <w:divBdr>
            <w:top w:val="none" w:sz="0" w:space="0" w:color="auto"/>
            <w:left w:val="none" w:sz="0" w:space="0" w:color="auto"/>
            <w:bottom w:val="none" w:sz="0" w:space="0" w:color="auto"/>
            <w:right w:val="none" w:sz="0" w:space="0" w:color="auto"/>
          </w:divBdr>
        </w:div>
      </w:divsChild>
    </w:div>
    <w:div w:id="352151690">
      <w:bodyDiv w:val="1"/>
      <w:marLeft w:val="0"/>
      <w:marRight w:val="0"/>
      <w:marTop w:val="0"/>
      <w:marBottom w:val="0"/>
      <w:divBdr>
        <w:top w:val="none" w:sz="0" w:space="0" w:color="auto"/>
        <w:left w:val="none" w:sz="0" w:space="0" w:color="auto"/>
        <w:bottom w:val="none" w:sz="0" w:space="0" w:color="auto"/>
        <w:right w:val="none" w:sz="0" w:space="0" w:color="auto"/>
      </w:divBdr>
    </w:div>
    <w:div w:id="835804092">
      <w:bodyDiv w:val="1"/>
      <w:marLeft w:val="0"/>
      <w:marRight w:val="0"/>
      <w:marTop w:val="0"/>
      <w:marBottom w:val="0"/>
      <w:divBdr>
        <w:top w:val="none" w:sz="0" w:space="0" w:color="auto"/>
        <w:left w:val="none" w:sz="0" w:space="0" w:color="auto"/>
        <w:bottom w:val="none" w:sz="0" w:space="0" w:color="auto"/>
        <w:right w:val="none" w:sz="0" w:space="0" w:color="auto"/>
      </w:divBdr>
      <w:divsChild>
        <w:div w:id="1294091617">
          <w:marLeft w:val="0"/>
          <w:marRight w:val="0"/>
          <w:marTop w:val="0"/>
          <w:marBottom w:val="0"/>
          <w:divBdr>
            <w:top w:val="none" w:sz="0" w:space="0" w:color="auto"/>
            <w:left w:val="none" w:sz="0" w:space="0" w:color="auto"/>
            <w:bottom w:val="none" w:sz="0" w:space="0" w:color="auto"/>
            <w:right w:val="none" w:sz="0" w:space="0" w:color="auto"/>
          </w:divBdr>
        </w:div>
      </w:divsChild>
    </w:div>
    <w:div w:id="10891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1602</TotalTime>
  <Pages>9</Pages>
  <Words>1862</Words>
  <Characters>10620</Characters>
  <Application>Microsoft Office Word</Application>
  <DocSecurity>0</DocSecurity>
  <Lines>88</Lines>
  <Paragraphs>24</Paragraphs>
  <ScaleCrop>false</ScaleCrop>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Z. (2005565)</dc:creator>
  <cp:keywords/>
  <dc:description/>
  <cp:lastModifiedBy>Rahima Khatun</cp:lastModifiedBy>
  <cp:revision>95</cp:revision>
  <dcterms:created xsi:type="dcterms:W3CDTF">2021-05-04T17:03:00Z</dcterms:created>
  <dcterms:modified xsi:type="dcterms:W3CDTF">2021-05-07T22:46:00Z</dcterms:modified>
</cp:coreProperties>
</file>