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Times New Roman" w:hAnsi="Times New Roman" w:cs="Times New Roman"/>
          <w:sz w:val="36"/>
          <w:szCs w:val="36"/>
          <w:u w:val="none"/>
        </w:rPr>
      </w:pPr>
      <w:r>
        <w:rPr>
          <w:rFonts w:ascii="Times New Roman" w:hAnsi="Times New Roman" w:cs="Times New Roman"/>
          <w:sz w:val="36"/>
          <w:szCs w:val="36"/>
          <w:u w:val="none"/>
        </w:rPr>
        <w:drawing>
          <wp:inline distT="0" distB="0" distL="0" distR="0">
            <wp:extent cx="5358765" cy="2212975"/>
            <wp:effectExtent l="0" t="0" r="5715" b="1206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5358765" cy="2212975"/>
                    </a:xfrm>
                    <a:prstGeom prst="rect">
                      <a:avLst/>
                    </a:prstGeom>
                    <a:noFill/>
                  </pic:spPr>
                </pic:pic>
              </a:graphicData>
            </a:graphic>
          </wp:inline>
        </w:drawing>
      </w:r>
    </w:p>
    <w:p>
      <w:pPr>
        <w:rPr>
          <w:rFonts w:ascii="Times New Roman" w:hAnsi="Times New Roman" w:cs="Times New Roman"/>
          <w:b/>
          <w:bCs/>
          <w:sz w:val="52"/>
          <w:szCs w:val="52"/>
          <w:u w:val="none"/>
        </w:rPr>
      </w:pPr>
    </w:p>
    <w:p>
      <w:pPr>
        <w:jc w:val="center"/>
        <w:rPr>
          <w:rFonts w:hint="default" w:ascii="Arial" w:hAnsi="Arial" w:cs="Arial"/>
          <w:b/>
          <w:bCs/>
          <w:sz w:val="40"/>
          <w:szCs w:val="40"/>
          <w:u w:val="none"/>
        </w:rPr>
      </w:pPr>
    </w:p>
    <w:p>
      <w:pPr>
        <w:jc w:val="center"/>
        <w:rPr>
          <w:rFonts w:hint="default" w:ascii="Arial" w:hAnsi="Arial" w:cs="Arial"/>
          <w:sz w:val="40"/>
          <w:szCs w:val="40"/>
          <w:u w:val="none"/>
          <w:lang w:val="en-US"/>
        </w:rPr>
      </w:pPr>
      <w:r>
        <w:rPr>
          <w:rFonts w:hint="default" w:ascii="Arial" w:hAnsi="Arial" w:cs="Arial"/>
          <w:b/>
          <w:bCs/>
          <w:sz w:val="44"/>
          <w:szCs w:val="44"/>
          <w:u w:val="none"/>
          <w:lang w:val="en-US" w:eastAsia="zh-CN"/>
        </w:rPr>
        <w:t>International Business Communication between UK and Finland</w:t>
      </w:r>
    </w:p>
    <w:p>
      <w:pPr>
        <w:jc w:val="center"/>
        <w:rPr>
          <w:rFonts w:ascii="Arial" w:hAnsi="Arial" w:cs="Arial"/>
          <w:sz w:val="48"/>
          <w:szCs w:val="48"/>
          <w:u w:val="none"/>
        </w:rPr>
      </w:pPr>
    </w:p>
    <w:p>
      <w:pPr>
        <w:jc w:val="center"/>
        <w:rPr>
          <w:rFonts w:hint="eastAsia" w:ascii="Arial" w:hAnsi="Arial" w:cs="Arial" w:eastAsiaTheme="minorEastAsia"/>
          <w:b w:val="0"/>
          <w:bCs w:val="0"/>
          <w:sz w:val="40"/>
          <w:szCs w:val="40"/>
          <w:u w:val="none"/>
          <w:lang w:val="en-US" w:eastAsia="zh-CN"/>
        </w:rPr>
      </w:pPr>
      <w:r>
        <w:rPr>
          <w:rFonts w:hint="eastAsia" w:ascii="Arial" w:hAnsi="Arial" w:cs="Arial"/>
          <w:b w:val="0"/>
          <w:bCs w:val="0"/>
          <w:sz w:val="40"/>
          <w:szCs w:val="40"/>
          <w:u w:val="none"/>
          <w:lang w:val="en-US" w:eastAsia="zh-CN"/>
        </w:rPr>
        <w:t>6</w:t>
      </w:r>
      <w:r>
        <w:rPr>
          <w:rFonts w:ascii="Arial" w:hAnsi="Arial" w:cs="Arial"/>
          <w:b w:val="0"/>
          <w:bCs w:val="0"/>
          <w:sz w:val="40"/>
          <w:szCs w:val="40"/>
          <w:u w:val="none"/>
        </w:rPr>
        <w:t xml:space="preserve"> </w:t>
      </w:r>
      <w:r>
        <w:rPr>
          <w:rFonts w:hint="eastAsia" w:ascii="Arial" w:hAnsi="Arial" w:cs="Arial"/>
          <w:b w:val="0"/>
          <w:bCs w:val="0"/>
          <w:sz w:val="40"/>
          <w:szCs w:val="40"/>
          <w:u w:val="none"/>
        </w:rPr>
        <w:t>January</w:t>
      </w:r>
      <w:r>
        <w:rPr>
          <w:rFonts w:ascii="Arial" w:hAnsi="Arial" w:cs="Arial"/>
          <w:b w:val="0"/>
          <w:bCs w:val="0"/>
          <w:sz w:val="40"/>
          <w:szCs w:val="40"/>
          <w:u w:val="none"/>
        </w:rPr>
        <w:t xml:space="preserve"> 202</w:t>
      </w:r>
      <w:r>
        <w:rPr>
          <w:rFonts w:hint="eastAsia" w:ascii="Arial" w:hAnsi="Arial" w:cs="Arial"/>
          <w:b w:val="0"/>
          <w:bCs w:val="0"/>
          <w:sz w:val="40"/>
          <w:szCs w:val="40"/>
          <w:u w:val="none"/>
          <w:lang w:val="en-US" w:eastAsia="zh-CN"/>
        </w:rPr>
        <w:t>2</w:t>
      </w:r>
    </w:p>
    <w:p>
      <w:pPr>
        <w:rPr>
          <w:rFonts w:ascii="Times New Roman" w:hAnsi="Times New Roman" w:cs="Times New Roman"/>
          <w:b/>
          <w:bCs/>
          <w:sz w:val="52"/>
          <w:szCs w:val="52"/>
          <w:u w:val="none"/>
        </w:rPr>
      </w:pPr>
    </w:p>
    <w:p>
      <w:pPr>
        <w:jc w:val="center"/>
        <w:rPr>
          <w:rFonts w:hint="default" w:ascii="Arial" w:hAnsi="Arial" w:cs="Arial" w:eastAsiaTheme="minorEastAsia"/>
          <w:b/>
          <w:bCs/>
          <w:sz w:val="48"/>
          <w:szCs w:val="48"/>
          <w:u w:val="none"/>
          <w:lang w:val="en-US" w:eastAsia="zh-CN"/>
        </w:rPr>
      </w:pPr>
      <w:r>
        <w:rPr>
          <w:rFonts w:hint="default" w:ascii="Arial" w:hAnsi="Arial" w:cs="Arial"/>
          <w:b w:val="0"/>
          <w:bCs w:val="0"/>
          <w:sz w:val="32"/>
          <w:szCs w:val="32"/>
          <w:u w:val="none"/>
          <w:lang w:val="en-US" w:eastAsia="zh-CN"/>
        </w:rPr>
        <w:t>Zhenghao Zhang</w:t>
      </w:r>
      <w:r>
        <w:rPr>
          <w:rFonts w:hint="eastAsia" w:ascii="Arial" w:hAnsi="Arial" w:cs="Arial"/>
          <w:b w:val="0"/>
          <w:bCs w:val="0"/>
          <w:sz w:val="32"/>
          <w:szCs w:val="32"/>
          <w:u w:val="none"/>
          <w:lang w:val="en-US" w:eastAsia="zh-CN"/>
        </w:rPr>
        <w:t xml:space="preserve"> </w:t>
      </w:r>
      <w:r>
        <w:rPr>
          <w:rFonts w:hint="default" w:ascii="Arial" w:hAnsi="Arial" w:cs="Arial"/>
          <w:b w:val="0"/>
          <w:bCs w:val="0"/>
          <w:sz w:val="32"/>
          <w:szCs w:val="32"/>
          <w:u w:val="none"/>
          <w:lang w:val="en-US" w:eastAsia="zh-CN"/>
        </w:rPr>
        <w:t>(2103114)</w:t>
      </w:r>
    </w:p>
    <w:p>
      <w:pPr>
        <w:rPr>
          <w:rFonts w:ascii="Times New Roman" w:hAnsi="Times New Roman" w:cs="Times New Roman"/>
          <w:b/>
          <w:bCs/>
          <w:sz w:val="52"/>
          <w:szCs w:val="52"/>
          <w:u w:val="none"/>
        </w:rPr>
      </w:pPr>
    </w:p>
    <w:p>
      <w:pPr>
        <w:rPr>
          <w:rFonts w:ascii="Times New Roman" w:hAnsi="Times New Roman" w:cs="Times New Roman"/>
          <w:b/>
          <w:bCs/>
          <w:sz w:val="52"/>
          <w:szCs w:val="52"/>
          <w:u w:val="none"/>
        </w:rPr>
      </w:pPr>
    </w:p>
    <w:p>
      <w:pPr>
        <w:rPr>
          <w:rFonts w:ascii="Times New Roman" w:hAnsi="Times New Roman" w:cs="Times New Roman"/>
          <w:b/>
          <w:bCs/>
          <w:sz w:val="52"/>
          <w:szCs w:val="52"/>
          <w:u w:val="none"/>
        </w:rPr>
      </w:pPr>
    </w:p>
    <w:p>
      <w:pPr>
        <w:rPr>
          <w:rFonts w:ascii="Times New Roman" w:hAnsi="Times New Roman" w:cs="Times New Roman"/>
          <w:b/>
          <w:bCs/>
          <w:sz w:val="52"/>
          <w:szCs w:val="52"/>
          <w:u w:val="none"/>
        </w:rPr>
      </w:pPr>
    </w:p>
    <w:p>
      <w:pPr>
        <w:keepLines/>
        <w:widowControl/>
        <w:topLinePunct/>
        <w:spacing w:line="360" w:lineRule="auto"/>
        <w:jc w:val="left"/>
        <w:rPr>
          <w:rFonts w:ascii="Arial" w:hAnsi="Arial" w:cs="Arial"/>
          <w:sz w:val="32"/>
          <w:szCs w:val="32"/>
          <w:u w:val="none"/>
        </w:rPr>
      </w:pPr>
      <w:r>
        <w:rPr>
          <w:rFonts w:ascii="Arial" w:hAnsi="Arial" w:cs="Arial"/>
          <w:sz w:val="32"/>
          <w:szCs w:val="32"/>
          <w:u w:val="none"/>
        </w:rPr>
        <w:t>A report submitted in fulfil</w:t>
      </w:r>
      <w:r>
        <w:rPr>
          <w:rFonts w:hint="eastAsia" w:ascii="Arial" w:hAnsi="Arial" w:cs="Arial"/>
          <w:sz w:val="32"/>
          <w:szCs w:val="32"/>
          <w:u w:val="none"/>
        </w:rPr>
        <w:t>l</w:t>
      </w:r>
      <w:r>
        <w:rPr>
          <w:rFonts w:ascii="Arial" w:hAnsi="Arial" w:cs="Arial"/>
          <w:sz w:val="32"/>
          <w:szCs w:val="32"/>
          <w:u w:val="none"/>
        </w:rPr>
        <w:t>ment of the requirements for Course</w:t>
      </w:r>
      <w:r>
        <w:rPr>
          <w:rFonts w:hint="eastAsia" w:ascii="Arial" w:hAnsi="Arial" w:cs="Arial"/>
          <w:sz w:val="32"/>
          <w:szCs w:val="32"/>
          <w:u w:val="none"/>
        </w:rPr>
        <w:t xml:space="preserve"> </w:t>
      </w:r>
      <w:r>
        <w:rPr>
          <w:rFonts w:ascii="Arial" w:hAnsi="Arial" w:cs="Arial"/>
          <w:sz w:val="32"/>
          <w:szCs w:val="32"/>
          <w:u w:val="none"/>
        </w:rPr>
        <w:t>BMBM60</w:t>
      </w:r>
      <w:r>
        <w:rPr>
          <w:rFonts w:hint="eastAsia" w:ascii="Arial" w:hAnsi="Arial" w:cs="Arial"/>
          <w:sz w:val="32"/>
          <w:szCs w:val="32"/>
          <w:u w:val="none"/>
        </w:rPr>
        <w:t>21</w:t>
      </w:r>
      <w:r>
        <w:rPr>
          <w:rFonts w:ascii="Arial" w:hAnsi="Arial" w:cs="Arial"/>
          <w:sz w:val="32"/>
          <w:szCs w:val="32"/>
          <w:u w:val="none"/>
        </w:rPr>
        <w:t>,</w:t>
      </w:r>
      <w:r>
        <w:rPr>
          <w:rFonts w:hint="eastAsia" w:ascii="Arial" w:hAnsi="Arial" w:cs="Arial"/>
          <w:sz w:val="32"/>
          <w:szCs w:val="32"/>
          <w:u w:val="none"/>
        </w:rPr>
        <w:t xml:space="preserve"> International Business Communication</w:t>
      </w:r>
      <w:r>
        <w:rPr>
          <w:rFonts w:ascii="Arial" w:hAnsi="Arial" w:cs="Arial"/>
          <w:sz w:val="32"/>
          <w:szCs w:val="32"/>
          <w:u w:val="none"/>
        </w:rPr>
        <w:t>, University of Wales Trinity Saint David.</w:t>
      </w:r>
    </w:p>
    <w:p>
      <w:pPr>
        <w:jc w:val="center"/>
        <w:rPr>
          <w:rFonts w:ascii="Times New Roman" w:hAnsi="Times New Roman" w:cs="Times New Roman"/>
          <w:b/>
          <w:bCs/>
          <w:sz w:val="52"/>
          <w:szCs w:val="52"/>
          <w:u w:val="none"/>
        </w:rPr>
      </w:pPr>
    </w:p>
    <w:p>
      <w:pPr>
        <w:spacing w:line="360" w:lineRule="auto"/>
        <w:jc w:val="left"/>
        <w:rPr>
          <w:rFonts w:hint="eastAsia" w:ascii="Times New Roman" w:hAnsi="Times New Roman" w:cs="Times New Roman"/>
          <w:sz w:val="24"/>
          <w:u w:val="none"/>
        </w:rPr>
      </w:pPr>
    </w:p>
    <w:p>
      <w:pPr>
        <w:spacing w:line="360" w:lineRule="auto"/>
        <w:jc w:val="left"/>
        <w:rPr>
          <w:rFonts w:hint="default" w:ascii="Times New Roman" w:hAnsi="Times New Roman" w:cs="Times New Roman" w:eastAsiaTheme="minorEastAsia"/>
          <w:sz w:val="24"/>
          <w:u w:val="none"/>
          <w:lang w:val="en-US" w:eastAsia="zh-CN"/>
        </w:rPr>
      </w:pPr>
      <w:r>
        <w:rPr>
          <w:rFonts w:hint="default" w:ascii="Times New Roman" w:hAnsi="Times New Roman" w:cs="Times New Roman"/>
          <w:sz w:val="24"/>
          <w:u w:val="none"/>
        </w:rPr>
        <w:t>In interpersonal communication and international business, communication is the basic way of relationship building, especially in the continuous development of economic globalization, but different languages, cultural and ideological factors are a challenge to cross-cultural and international communication (Sorrells and Sekimoto,2016),  Alleyne (2016) believes that cross-cultural communication are also affected by various factors in political, economic and trade and other aspects, which is especially obvious in the international business field,</w:t>
      </w:r>
      <w:r>
        <w:rPr>
          <w:rFonts w:hint="default" w:ascii="Times New Roman" w:hAnsi="Times New Roman" w:cs="Times New Roman"/>
          <w:sz w:val="24"/>
          <w:u w:val="none"/>
          <w:lang w:val="en-US" w:eastAsia="zh-CN"/>
        </w:rPr>
        <w:t xml:space="preserve"> because business communication is the basis of building customer relations and developing business, eliminating communication barriers is an important strategy in the development process of transnational trade.</w:t>
      </w:r>
    </w:p>
    <w:p>
      <w:pPr>
        <w:spacing w:line="360" w:lineRule="auto"/>
        <w:jc w:val="left"/>
        <w:rPr>
          <w:rFonts w:hint="default" w:ascii="Times New Roman" w:hAnsi="Times New Roman" w:cs="Times New Roman"/>
          <w:sz w:val="24"/>
          <w:u w:val="none"/>
        </w:rPr>
      </w:pPr>
      <w:r>
        <w:rPr>
          <w:rFonts w:hint="default" w:ascii="Times New Roman" w:hAnsi="Times New Roman" w:cs="Times New Roman"/>
          <w:sz w:val="24"/>
          <w:u w:val="none"/>
          <w:lang w:val="en-US" w:eastAsia="zh-CN"/>
        </w:rPr>
        <w:t>Therefore</w:t>
      </w:r>
      <w:r>
        <w:rPr>
          <w:rFonts w:hint="default" w:ascii="Times New Roman" w:hAnsi="Times New Roman" w:cs="Times New Roman"/>
          <w:color w:val="000000" w:themeColor="text1"/>
          <w:sz w:val="24"/>
          <w:u w:val="none"/>
          <w14:textFill>
            <w14:solidFill>
              <w14:schemeClr w14:val="tx1"/>
            </w14:solidFill>
          </w14:textFill>
        </w:rPr>
        <w:t xml:space="preserve"> many scholars and experts have been constantly exploring and conducting research.</w:t>
      </w:r>
      <w:r>
        <w:rPr>
          <w:rFonts w:hint="default" w:ascii="Times New Roman" w:hAnsi="Times New Roman" w:cs="Times New Roman"/>
          <w:color w:val="0000FF"/>
          <w:sz w:val="24"/>
          <w:u w:val="none"/>
        </w:rPr>
        <w:t xml:space="preserve"> </w:t>
      </w:r>
      <w:r>
        <w:rPr>
          <w:rFonts w:hint="default" w:ascii="Times New Roman" w:hAnsi="Times New Roman" w:cs="Times New Roman"/>
          <w:sz w:val="24"/>
          <w:u w:val="none"/>
        </w:rPr>
        <w:t xml:space="preserve">In years of research and exploration, many scholars have made great achievements, such as high and low context theory, cultural dimension theory, communication barriers theory and other academic achievements are used in a practical business environment (Littlejohn and Foss, 2009). </w:t>
      </w:r>
    </w:p>
    <w:p>
      <w:pPr>
        <w:spacing w:line="360" w:lineRule="auto"/>
        <w:jc w:val="left"/>
        <w:rPr>
          <w:rFonts w:hint="default" w:ascii="Times New Roman" w:hAnsi="Times New Roman" w:cs="Times New Roman"/>
          <w:sz w:val="24"/>
          <w:u w:val="none"/>
        </w:rPr>
      </w:pPr>
    </w:p>
    <w:p>
      <w:pPr>
        <w:spacing w:line="360" w:lineRule="auto"/>
        <w:jc w:val="left"/>
        <w:rPr>
          <w:rFonts w:hint="default" w:ascii="Times New Roman" w:hAnsi="Times New Roman" w:cs="Times New Roman"/>
          <w:sz w:val="24"/>
          <w:u w:val="none"/>
        </w:rPr>
      </w:pPr>
      <w:r>
        <w:rPr>
          <w:rFonts w:hint="default" w:ascii="Times New Roman" w:hAnsi="Times New Roman" w:cs="Times New Roman"/>
          <w:sz w:val="24"/>
          <w:u w:val="none"/>
        </w:rPr>
        <w:t>In the modern development, Britain is undoubtedly a pioneer of business development, with a good business foundation and international reputation, which has laid a good foundation for British development in the era of economic globalization (Wilson,1995), while establishing a good partnership is the basis of transnational trade. In the context of this era of global trade, this essay will take the business cooperation between Britain and Finland as a research background to discuss the possible communication challenges in the business cooperation between the two countries, while providing some viable strategies and suggestions on these potential challenges to promote the success rate of business communication between the two countries.</w:t>
      </w:r>
    </w:p>
    <w:p>
      <w:pPr>
        <w:spacing w:line="360" w:lineRule="auto"/>
        <w:jc w:val="left"/>
        <w:rPr>
          <w:rFonts w:hint="default" w:ascii="Times New Roman" w:hAnsi="Times New Roman" w:cs="Times New Roman"/>
          <w:sz w:val="24"/>
          <w:u w:val="none"/>
        </w:rPr>
      </w:pPr>
    </w:p>
    <w:p>
      <w:pPr>
        <w:spacing w:line="360" w:lineRule="auto"/>
        <w:jc w:val="left"/>
        <w:rPr>
          <w:rFonts w:hint="default" w:ascii="Times New Roman" w:hAnsi="Times New Roman" w:cs="Times New Roman"/>
          <w:sz w:val="24"/>
          <w:u w:val="none"/>
        </w:rPr>
      </w:pPr>
      <w:r>
        <w:rPr>
          <w:rFonts w:hint="default" w:ascii="Times New Roman" w:hAnsi="Times New Roman" w:cs="Times New Roman"/>
          <w:sz w:val="24"/>
          <w:u w:val="none"/>
        </w:rPr>
        <w:t xml:space="preserve">The essence of international business is economic communication activities between international countries, </w:t>
      </w:r>
      <w:r>
        <w:rPr>
          <w:rFonts w:hint="default" w:ascii="Times New Roman" w:hAnsi="Times New Roman" w:cs="Times New Roman"/>
          <w:sz w:val="24"/>
          <w:highlight w:val="none"/>
          <w:u w:val="none"/>
        </w:rPr>
        <w:t>and the purpose of economic exchanges is the exchange of goods and services,</w:t>
      </w:r>
      <w:r>
        <w:rPr>
          <w:rFonts w:hint="default" w:ascii="Times New Roman" w:hAnsi="Times New Roman" w:cs="Times New Roman"/>
          <w:sz w:val="24"/>
          <w:highlight w:val="none"/>
          <w:u w:val="none"/>
          <w:lang w:val="en-US" w:eastAsia="zh-CN"/>
        </w:rPr>
        <w:t xml:space="preserve"> but</w:t>
      </w:r>
      <w:r>
        <w:rPr>
          <w:rFonts w:hint="default" w:ascii="Times New Roman" w:hAnsi="Times New Roman" w:cs="Times New Roman"/>
          <w:sz w:val="24"/>
          <w:highlight w:val="none"/>
          <w:u w:val="none"/>
        </w:rPr>
        <w:t xml:space="preserve"> trading is realized through interpersonal communication, so the core of international business is cross-cultural business communication</w:t>
      </w:r>
      <w:r>
        <w:rPr>
          <w:rFonts w:hint="default" w:ascii="Times New Roman" w:hAnsi="Times New Roman" w:cs="Times New Roman"/>
          <w:sz w:val="24"/>
          <w:u w:val="none"/>
        </w:rPr>
        <w:t xml:space="preserve">(Shenkar, Luo and Chi, 2014). Intercultural communication includes two concepts of communication and culture, which can be explained as that culture will gradually form in the process of communication (Samovar et.al, 2014). Culture is the sum of people's thoughts, language, behavior and feelings. Cross-cultural communication is the communication between people of different cultural backgrounds (Patel, Li and Sooknanan, 2011). Different peoples have created their own unique cultures, and are also shaped by their own cultures(Nelson, Treichler and Grossberg,1992). Therefore, in the international business environment, different cultural factors are bound to penetrate into the business activities of different countries. These cultural differences will inevitably affect the business behavior. Especially, </w:t>
      </w:r>
      <w:r>
        <w:rPr>
          <w:rFonts w:hint="default" w:ascii="Times New Roman" w:hAnsi="Times New Roman" w:cs="Times New Roman"/>
          <w:sz w:val="24"/>
          <w:u w:val="none"/>
          <w:lang w:val="en-US" w:eastAsia="zh-CN"/>
        </w:rPr>
        <w:t>m</w:t>
      </w:r>
      <w:r>
        <w:rPr>
          <w:rFonts w:hint="default" w:ascii="Times New Roman" w:hAnsi="Times New Roman" w:cs="Times New Roman"/>
          <w:sz w:val="24"/>
          <w:u w:val="none"/>
        </w:rPr>
        <w:t>ost successful multinational companies focus not only on the world economic situation and corporate competitiveness, but also on efficient communication skills</w:t>
      </w:r>
      <w:r>
        <w:rPr>
          <w:rFonts w:hint="default" w:ascii="Times New Roman" w:hAnsi="Times New Roman" w:cs="Times New Roman"/>
          <w:sz w:val="24"/>
          <w:u w:val="none"/>
          <w:lang w:val="en-US" w:eastAsia="zh-CN"/>
        </w:rPr>
        <w:t xml:space="preserve"> </w:t>
      </w:r>
      <w:r>
        <w:rPr>
          <w:rFonts w:hint="default" w:ascii="Times New Roman" w:hAnsi="Times New Roman" w:cs="Times New Roman"/>
          <w:sz w:val="24"/>
          <w:u w:val="none"/>
        </w:rPr>
        <w:t>(Griffith,2002). Therefore, a successful enterprise should not only have a superb level of economy, technology and management, but also have a deep in-depth understanding of other cultures and different cultures, so as to avoid misunderstandings and conflicts caused by cultural differences in business activities, so as to carry out successful cross-cultural business communication and achieve the expected business goals.</w:t>
      </w:r>
    </w:p>
    <w:p>
      <w:pPr>
        <w:spacing w:line="360" w:lineRule="auto"/>
        <w:jc w:val="left"/>
        <w:rPr>
          <w:rFonts w:hint="default" w:ascii="Times New Roman" w:hAnsi="Times New Roman" w:cs="Times New Roman"/>
          <w:sz w:val="24"/>
          <w:u w:val="none"/>
        </w:rPr>
      </w:pPr>
    </w:p>
    <w:p>
      <w:pPr>
        <w:spacing w:line="360" w:lineRule="auto"/>
        <w:jc w:val="left"/>
        <w:rPr>
          <w:rFonts w:hint="default" w:ascii="Times New Roman" w:hAnsi="Times New Roman" w:cs="Times New Roman"/>
          <w:sz w:val="24"/>
        </w:rPr>
      </w:pPr>
      <w:r>
        <w:rPr>
          <w:rFonts w:hint="default" w:ascii="Times New Roman" w:hAnsi="Times New Roman" w:cs="Times New Roman"/>
          <w:sz w:val="24"/>
          <w:u w:val="none"/>
        </w:rPr>
        <w:t xml:space="preserve">The high context cultural and low context cultural was an important concept in international business communication, which first appeared in the Beyond Culture book, written by Edward T. Hall (1976), according to the explanation of Edward T. Hall, the high-context communication means that in the communication process, only a small amount of information is transmitted in easy-to-understand codes, and most information is transmitted in a way that is attached to the physical context or internalized in the individual. The opposite is low-context communication, which means that the meaning of information in the communication process is mainly transmitted through language, and most of the information is transmitted through clear coding, and this information does not need to rely on the context to speculate. </w:t>
      </w:r>
    </w:p>
    <w:p>
      <w:pPr>
        <w:spacing w:line="360" w:lineRule="auto"/>
        <w:jc w:val="left"/>
        <w:rPr>
          <w:rFonts w:hint="default" w:ascii="Times New Roman" w:hAnsi="Times New Roman" w:cs="Times New Roman"/>
          <w:sz w:val="24"/>
          <w:u w:val="none"/>
        </w:rPr>
      </w:pPr>
    </w:p>
    <w:p>
      <w:pPr>
        <w:spacing w:line="360" w:lineRule="auto"/>
        <w:jc w:val="left"/>
        <w:rPr>
          <w:rFonts w:hint="default" w:ascii="Times New Roman" w:hAnsi="Times New Roman" w:cs="Times New Roman"/>
          <w:sz w:val="24"/>
          <w:u w:val="none"/>
        </w:rPr>
      </w:pPr>
      <w:r>
        <w:rPr>
          <w:rFonts w:hint="default" w:ascii="Times New Roman" w:hAnsi="Times New Roman" w:cs="Times New Roman"/>
          <w:sz w:val="24"/>
          <w:u w:val="none"/>
        </w:rPr>
        <w:t>According to the further interpretation of Bai (2016), high context culture is formed by people in a long-term fixed communication environment, so they have the same way of understanding of the living environment, while the formation of low context culture is relatively isolated, so the communication environment and communication parties lack the same understanding and understanding. This means that in the high context of communication environment does not need to put communication information completely expressed in words, sometimes people can use action, eyes, and even silent form to convey information, the two sides can get a lot of information through the communication environment, and in the low context communication environment must be through clear language information coding to make communication smoothly, so the main way of low cultural context communication is language.</w:t>
      </w:r>
    </w:p>
    <w:p>
      <w:pPr>
        <w:spacing w:line="360" w:lineRule="auto"/>
        <w:rPr>
          <w:rFonts w:hint="default" w:ascii="Times New Roman" w:hAnsi="Times New Roman" w:cs="Times New Roman"/>
          <w:sz w:val="24"/>
          <w:u w:val="none"/>
        </w:rPr>
      </w:pPr>
    </w:p>
    <w:p>
      <w:pPr>
        <w:spacing w:line="360" w:lineRule="auto"/>
        <w:rPr>
          <w:rFonts w:hint="default" w:ascii="Times New Roman" w:hAnsi="Times New Roman" w:cs="Times New Roman"/>
          <w:sz w:val="24"/>
          <w:u w:val="none"/>
        </w:rPr>
      </w:pPr>
      <w:r>
        <w:rPr>
          <w:rFonts w:hint="default" w:ascii="Times New Roman" w:hAnsi="Times New Roman" w:eastAsia="宋体" w:cs="Times New Roman"/>
          <w:sz w:val="24"/>
          <w:u w:val="none"/>
        </w:rPr>
        <w:t xml:space="preserve">Table </w:t>
      </w:r>
      <w:r>
        <w:rPr>
          <w:rFonts w:hint="default" w:ascii="Times New Roman" w:hAnsi="Times New Roman" w:eastAsia="宋体" w:cs="Times New Roman"/>
          <w:sz w:val="24"/>
          <w:u w:val="none"/>
          <w:lang w:val="en-US" w:eastAsia="zh-CN"/>
        </w:rPr>
        <w:t>1</w:t>
      </w:r>
      <w:r>
        <w:rPr>
          <w:rFonts w:hint="default" w:ascii="Times New Roman" w:hAnsi="Times New Roman" w:eastAsia="宋体" w:cs="Times New Roman"/>
          <w:sz w:val="24"/>
          <w:u w:val="none"/>
        </w:rPr>
        <w:t>. Finnish values/communication dilemma (Lewis,2005).</w:t>
      </w:r>
    </w:p>
    <w:p>
      <w:pPr>
        <w:spacing w:line="360" w:lineRule="auto"/>
        <w:jc w:val="center"/>
        <w:rPr>
          <w:rFonts w:hint="default" w:ascii="Times New Roman" w:hAnsi="Times New Roman" w:cs="Times New Roman"/>
          <w:sz w:val="24"/>
          <w:u w:val="none"/>
        </w:rPr>
      </w:pPr>
      <w:r>
        <w:rPr>
          <w:rFonts w:hint="default" w:ascii="Times New Roman" w:hAnsi="Times New Roman" w:cs="Times New Roman"/>
          <w:sz w:val="24"/>
          <w:u w:val="none"/>
        </w:rPr>
        <w:drawing>
          <wp:inline distT="0" distB="0" distL="114300" distR="114300">
            <wp:extent cx="4133215" cy="3112135"/>
            <wp:effectExtent l="0" t="0" r="12065" b="12065"/>
            <wp:docPr id="4" name="图片 4" descr="芬兰差异"/>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芬兰差异"/>
                    <pic:cNvPicPr>
                      <a:picLocks noChangeAspect="1"/>
                    </pic:cNvPicPr>
                  </pic:nvPicPr>
                  <pic:blipFill>
                    <a:blip r:embed="rId5"/>
                    <a:stretch>
                      <a:fillRect/>
                    </a:stretch>
                  </pic:blipFill>
                  <pic:spPr>
                    <a:xfrm>
                      <a:off x="0" y="0"/>
                      <a:ext cx="4133215" cy="3112135"/>
                    </a:xfrm>
                    <a:prstGeom prst="rect">
                      <a:avLst/>
                    </a:prstGeom>
                  </pic:spPr>
                </pic:pic>
              </a:graphicData>
            </a:graphic>
          </wp:inline>
        </w:drawing>
      </w:r>
    </w:p>
    <w:p>
      <w:pPr>
        <w:spacing w:line="360" w:lineRule="auto"/>
        <w:jc w:val="center"/>
        <w:rPr>
          <w:rFonts w:hint="default" w:ascii="Times New Roman" w:hAnsi="Times New Roman" w:cs="Times New Roman" w:eastAsiaTheme="minorEastAsia"/>
          <w:sz w:val="18"/>
          <w:szCs w:val="18"/>
          <w:u w:val="none"/>
          <w:lang w:val="en-US" w:eastAsia="zh-CN"/>
        </w:rPr>
      </w:pPr>
      <w:r>
        <w:rPr>
          <w:rFonts w:hint="default" w:ascii="Times New Roman" w:hAnsi="Times New Roman" w:cs="Times New Roman"/>
          <w:sz w:val="18"/>
          <w:szCs w:val="18"/>
          <w:u w:val="none"/>
          <w:lang w:val="en-US" w:eastAsia="zh-CN"/>
        </w:rPr>
        <w:t xml:space="preserve">Source from: </w:t>
      </w:r>
      <w:r>
        <w:rPr>
          <w:rFonts w:hint="default" w:ascii="Times New Roman" w:hAnsi="Times New Roman" w:cs="Times New Roman"/>
          <w:sz w:val="18"/>
          <w:szCs w:val="18"/>
          <w:u w:val="none"/>
        </w:rPr>
        <w:t>Lewis, R. D. (2005). Finland, cultural lone wolf</w:t>
      </w:r>
      <w:r>
        <w:rPr>
          <w:rFonts w:hint="default" w:ascii="Times New Roman" w:hAnsi="Times New Roman" w:cs="Times New Roman"/>
          <w:sz w:val="18"/>
          <w:szCs w:val="18"/>
          <w:u w:val="none"/>
          <w:lang w:val="en-US" w:eastAsia="zh-CN"/>
        </w:rPr>
        <w:t>. p68</w:t>
      </w:r>
    </w:p>
    <w:p>
      <w:pPr>
        <w:spacing w:line="360" w:lineRule="auto"/>
        <w:jc w:val="center"/>
        <w:rPr>
          <w:rFonts w:hint="default" w:ascii="Times New Roman" w:hAnsi="Times New Roman" w:cs="Times New Roman"/>
          <w:sz w:val="24"/>
          <w:u w:val="none"/>
        </w:rPr>
      </w:pPr>
    </w:p>
    <w:p>
      <w:pPr>
        <w:spacing w:line="360" w:lineRule="auto"/>
        <w:rPr>
          <w:rFonts w:hint="default" w:ascii="Times New Roman" w:hAnsi="Times New Roman" w:cs="Times New Roman"/>
          <w:sz w:val="24"/>
          <w:u w:val="none"/>
        </w:rPr>
      </w:pPr>
      <w:r>
        <w:rPr>
          <w:rFonts w:hint="default" w:ascii="Times New Roman" w:hAnsi="Times New Roman" w:cs="Times New Roman"/>
          <w:sz w:val="24"/>
          <w:u w:val="none"/>
        </w:rPr>
        <w:t>According to earlier studies of Hall and Hall (1990), they did not explicitly identify the Finnish linguistic environment, but noted that the UK was biased towards low-context countries. Subsequent research by Lewis (2005) indicated that Finns are consistent with Western values, but communicate closer to high contextual communication in most Eastern countries, so the UK and Finland are different, and such differences may theoretically have some potential communication barriers and challenges. Wang (2015) believes that the communication differences faced between high and low contexts are mainly attributed to three aspects: different ways of communication, different customs and different values.</w:t>
      </w:r>
    </w:p>
    <w:p>
      <w:pPr>
        <w:spacing w:line="360" w:lineRule="auto"/>
        <w:rPr>
          <w:rFonts w:hint="default" w:ascii="Times New Roman" w:hAnsi="Times New Roman" w:cs="Times New Roman"/>
          <w:sz w:val="24"/>
          <w:u w:val="none"/>
        </w:rPr>
      </w:pPr>
    </w:p>
    <w:p>
      <w:pPr>
        <w:spacing w:line="360" w:lineRule="auto"/>
        <w:rPr>
          <w:rFonts w:hint="default" w:ascii="Times New Roman" w:hAnsi="Times New Roman" w:cs="Times New Roman"/>
          <w:sz w:val="24"/>
          <w:u w:val="none"/>
        </w:rPr>
      </w:pPr>
      <w:r>
        <w:rPr>
          <w:rFonts w:hint="default" w:ascii="Times New Roman" w:hAnsi="Times New Roman" w:cs="Times New Roman"/>
          <w:sz w:val="24"/>
          <w:u w:val="none"/>
        </w:rPr>
        <w:t xml:space="preserve">On this basis, it is first necessary to understand the difference in the way of communication is made between Britain and Finland. Lewis (2005) notes that Finns do not directly express their ideas when they communicate daily, and often remain silent, and this silent behavior will highlight the lack of enthusiasm of Finns to communicate. But this silent act proves that Finland is a good listening nation, because Finns attach great importance to others, the behavior includes the meaning of praise and respect for others (ThisisFINLAND, 2021). While the British will be more active in communication. At the same time, the British will indirectly and directly express their ideas in the one way, to avoid offending others, on the other hand, to maintain the information accuracy of the communication, in addition the British like to maintain a humorous attitude (Cultural Atlas, 2021). This difference in communication may make it impossible for the British to be clear about the thoughts and attitudes of the Finns in the communication, and the silent behavior of the Finns may also be misunderstood by the British as a lack of interest or other negative emotions. In addition, the enthusiasm and active communication of British people may fall into an awkward situation, because they may not receive responses from other side. In terms of customs, Finland does not have too many taboos. At the same time, Finns are also more tolerant. They understand and forgive others when they face misunderstandings or disrespectful behaviors, and equality, honesty, trust, and modesty are the common values of the Finns (ThisisFINLAND, 2021), Lewis (2005) also pointed out that the British and Finns have a higher degree of similarity in customs and values, which makes the two have a higher degree of tacit understanding. This tacit understanding will reduce the risk of offending each other, especially in formal. In business communication, business communication is a formal form of communication that attempts to reach a consensus with each other. This feature makes the communicator pay more attention to the appropriate form of communication and the accuracy of information (Carté and Fox,2008). </w:t>
      </w:r>
    </w:p>
    <w:p>
      <w:pPr>
        <w:spacing w:line="360" w:lineRule="auto"/>
        <w:jc w:val="left"/>
        <w:rPr>
          <w:rFonts w:hint="default" w:ascii="Times New Roman" w:hAnsi="Times New Roman" w:cs="Times New Roman"/>
          <w:b/>
          <w:bCs/>
          <w:sz w:val="24"/>
          <w:u w:val="none"/>
        </w:rPr>
      </w:pPr>
    </w:p>
    <w:p>
      <w:pPr>
        <w:spacing w:line="360" w:lineRule="auto"/>
        <w:jc w:val="left"/>
        <w:rPr>
          <w:rFonts w:hint="default" w:ascii="Times New Roman" w:hAnsi="Times New Roman" w:cs="Times New Roman"/>
          <w:b/>
          <w:bCs/>
          <w:sz w:val="24"/>
          <w:u w:val="none"/>
        </w:rPr>
      </w:pPr>
      <w:r>
        <w:rPr>
          <w:rFonts w:hint="default" w:ascii="Times New Roman" w:hAnsi="Times New Roman" w:cs="Times New Roman"/>
          <w:sz w:val="24"/>
          <w:u w:val="none"/>
        </w:rPr>
        <w:t>Cultural differences in cross-cultural communication are an important challenge, the Dutch psychologist Geert Hofstede (2003) provides a good cultural comparison model to identify the cultural characteristics and differences of different countries. This model divides cultural characteristics</w:t>
      </w:r>
      <w:r>
        <w:rPr>
          <w:rFonts w:hint="default" w:ascii="Times New Roman" w:hAnsi="Times New Roman" w:cs="Times New Roman"/>
          <w:sz w:val="24"/>
          <w:highlight w:val="none"/>
          <w:u w:val="none"/>
        </w:rPr>
        <w:t xml:space="preserve"> into Power distance index, Individualism vs. collectivism , Uncertainty avoidance, Masculinity vs. femininity, Long-term orientation vs. short-term orientation and Indulgence vs. Restraint.</w:t>
      </w:r>
    </w:p>
    <w:p>
      <w:pPr>
        <w:spacing w:line="360" w:lineRule="auto"/>
        <w:jc w:val="left"/>
        <w:rPr>
          <w:rFonts w:hint="default" w:ascii="Times New Roman" w:hAnsi="Times New Roman" w:cs="Times New Roman"/>
          <w:b/>
          <w:bCs/>
          <w:sz w:val="24"/>
          <w:u w:val="none"/>
        </w:rPr>
      </w:pPr>
    </w:p>
    <w:p>
      <w:pPr>
        <w:spacing w:line="360" w:lineRule="auto"/>
        <w:jc w:val="left"/>
        <w:rPr>
          <w:rFonts w:hint="default" w:ascii="Times New Roman" w:hAnsi="Times New Roman" w:cs="Times New Roman"/>
          <w:b/>
          <w:bCs/>
          <w:sz w:val="24"/>
          <w:u w:val="none"/>
        </w:rPr>
      </w:pPr>
      <w:r>
        <w:rPr>
          <w:rFonts w:hint="default" w:ascii="Times New Roman" w:hAnsi="Times New Roman" w:cs="Times New Roman"/>
          <w:sz w:val="24"/>
          <w:u w:val="none"/>
        </w:rPr>
        <w:t xml:space="preserve">Table </w:t>
      </w:r>
      <w:r>
        <w:rPr>
          <w:rFonts w:hint="default" w:ascii="Times New Roman" w:hAnsi="Times New Roman" w:cs="Times New Roman"/>
          <w:sz w:val="24"/>
          <w:u w:val="none"/>
          <w:lang w:val="en-US" w:eastAsia="zh-CN"/>
        </w:rPr>
        <w:t>2</w:t>
      </w:r>
      <w:r>
        <w:rPr>
          <w:rFonts w:hint="default" w:ascii="Times New Roman" w:hAnsi="Times New Roman" w:cs="Times New Roman"/>
          <w:sz w:val="24"/>
          <w:u w:val="none"/>
        </w:rPr>
        <w:t>：Hofstede insights (2021) compares the cultural differences between the UK and Finland</w:t>
      </w:r>
    </w:p>
    <w:p>
      <w:pPr>
        <w:spacing w:line="360" w:lineRule="auto"/>
        <w:jc w:val="center"/>
        <w:rPr>
          <w:rFonts w:hint="default" w:ascii="Times New Roman" w:hAnsi="Times New Roman" w:cs="Times New Roman"/>
          <w:b/>
          <w:bCs/>
          <w:sz w:val="24"/>
          <w:u w:val="none"/>
        </w:rPr>
      </w:pPr>
      <w:r>
        <w:rPr>
          <w:rFonts w:hint="default" w:ascii="Times New Roman" w:hAnsi="Times New Roman" w:cs="Times New Roman" w:eastAsiaTheme="minorEastAsia"/>
          <w:b/>
          <w:bCs/>
          <w:sz w:val="24"/>
          <w:u w:val="none"/>
          <w:lang w:eastAsia="zh-CN"/>
        </w:rPr>
        <w:drawing>
          <wp:inline distT="0" distB="0" distL="114300" distR="114300">
            <wp:extent cx="4914900" cy="2796540"/>
            <wp:effectExtent l="0" t="0" r="7620" b="7620"/>
            <wp:docPr id="2" name="图片 2" descr="新对比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新对比图"/>
                    <pic:cNvPicPr>
                      <a:picLocks noChangeAspect="1"/>
                    </pic:cNvPicPr>
                  </pic:nvPicPr>
                  <pic:blipFill>
                    <a:blip r:embed="rId6"/>
                    <a:stretch>
                      <a:fillRect/>
                    </a:stretch>
                  </pic:blipFill>
                  <pic:spPr>
                    <a:xfrm>
                      <a:off x="0" y="0"/>
                      <a:ext cx="4914900" cy="2796540"/>
                    </a:xfrm>
                    <a:prstGeom prst="rect">
                      <a:avLst/>
                    </a:prstGeom>
                  </pic:spPr>
                </pic:pic>
              </a:graphicData>
            </a:graphic>
          </wp:inline>
        </w:drawing>
      </w:r>
    </w:p>
    <w:p>
      <w:pPr>
        <w:spacing w:line="360" w:lineRule="auto"/>
        <w:jc w:val="left"/>
        <w:rPr>
          <w:rFonts w:hint="default" w:ascii="Times New Roman" w:hAnsi="Times New Roman" w:cs="Times New Roman" w:eastAsiaTheme="minorEastAsia"/>
          <w:b/>
          <w:bCs/>
          <w:sz w:val="24"/>
          <w:u w:val="none"/>
          <w:lang w:eastAsia="zh-CN"/>
        </w:rPr>
      </w:pPr>
    </w:p>
    <w:p>
      <w:pPr>
        <w:spacing w:line="360" w:lineRule="auto"/>
        <w:jc w:val="left"/>
        <w:rPr>
          <w:rFonts w:hint="default" w:ascii="Times New Roman" w:hAnsi="Times New Roman" w:cs="Times New Roman"/>
          <w:sz w:val="24"/>
          <w:u w:val="none"/>
        </w:rPr>
      </w:pPr>
      <w:r>
        <w:rPr>
          <w:rFonts w:hint="default" w:ascii="Times New Roman" w:hAnsi="Times New Roman" w:cs="Times New Roman"/>
          <w:sz w:val="24"/>
          <w:u w:val="none"/>
        </w:rPr>
        <w:t xml:space="preserve">According to the comparative data in table </w:t>
      </w:r>
      <w:r>
        <w:rPr>
          <w:rFonts w:hint="default" w:ascii="Times New Roman" w:hAnsi="Times New Roman" w:cs="Times New Roman"/>
          <w:sz w:val="24"/>
          <w:u w:val="none"/>
          <w:lang w:val="en-US" w:eastAsia="zh-CN"/>
        </w:rPr>
        <w:t>2</w:t>
      </w:r>
      <w:r>
        <w:rPr>
          <w:rFonts w:hint="default" w:ascii="Times New Roman" w:hAnsi="Times New Roman" w:cs="Times New Roman"/>
          <w:sz w:val="24"/>
          <w:u w:val="none"/>
        </w:rPr>
        <w:t>, it can be understood that the scores of the Finnish and British cultural dimensions in this model tend to be similar. The main differences are reflected in the two cultural dimensions of Masculinity vs. femininity and uncertainty avoidance.  With the support of this data, the potential business communication challenges and sensitivities between the UK and Finland will be analyzed from these two cultural dimensions.</w:t>
      </w:r>
    </w:p>
    <w:p>
      <w:pPr>
        <w:spacing w:line="360" w:lineRule="auto"/>
        <w:jc w:val="left"/>
        <w:rPr>
          <w:rFonts w:hint="default" w:ascii="Times New Roman" w:hAnsi="Times New Roman" w:cs="Times New Roman"/>
          <w:sz w:val="24"/>
          <w:u w:val="none"/>
        </w:rPr>
      </w:pPr>
    </w:p>
    <w:p>
      <w:pPr>
        <w:spacing w:line="360" w:lineRule="auto"/>
        <w:rPr>
          <w:rFonts w:hint="default" w:ascii="Times New Roman" w:hAnsi="Times New Roman" w:eastAsia="宋体" w:cs="Times New Roman"/>
          <w:sz w:val="24"/>
          <w:u w:val="none"/>
        </w:rPr>
      </w:pPr>
      <w:r>
        <w:rPr>
          <w:rFonts w:hint="default" w:ascii="Times New Roman" w:hAnsi="Times New Roman" w:eastAsia="宋体" w:cs="Times New Roman"/>
          <w:sz w:val="24"/>
          <w:u w:val="none"/>
        </w:rPr>
        <w:t>According to the explanation of Hofstede (2009), masculinity and femininity refer to whether society tends to be masculine or feminine. Masculinity features include aggressiveness, competitiveness, self-confidence, and materiality, and femininity features include modesty, gentleness and pay attention to quality of life characteristics. In this model, a high score means that social culture is more masculine, and a low score means that social culture is more feminine.</w:t>
      </w:r>
    </w:p>
    <w:p>
      <w:pPr>
        <w:spacing w:line="360" w:lineRule="auto"/>
        <w:rPr>
          <w:rFonts w:hint="default" w:ascii="Times New Roman" w:hAnsi="Times New Roman" w:eastAsia="宋体" w:cs="Times New Roman"/>
          <w:sz w:val="24"/>
          <w:u w:val="none"/>
        </w:rPr>
      </w:pPr>
    </w:p>
    <w:p>
      <w:pPr>
        <w:spacing w:line="360" w:lineRule="auto"/>
        <w:rPr>
          <w:rFonts w:hint="default" w:ascii="Times New Roman" w:hAnsi="Times New Roman" w:cs="Times New Roman"/>
          <w:sz w:val="28"/>
          <w:szCs w:val="28"/>
          <w:u w:val="none"/>
        </w:rPr>
      </w:pPr>
      <w:r>
        <w:rPr>
          <w:rFonts w:hint="default" w:ascii="Times New Roman" w:hAnsi="Times New Roman" w:cs="Times New Roman"/>
          <w:sz w:val="24"/>
          <w:u w:val="none"/>
        </w:rPr>
        <w:t>In Table 3, Finland was rated as a feminine society with 26 points, while the UK was rated as a masculine society with 66 points. Under this difference, Finns pay more attention to the quality of life, while the British want to achieve higher achievements, so Finns work for life, and British live for work (Hofstede insights, 2021)</w:t>
      </w:r>
      <w:r>
        <w:rPr>
          <w:rFonts w:hint="default" w:ascii="Times New Roman" w:hAnsi="Times New Roman" w:cs="Times New Roman"/>
          <w:sz w:val="24"/>
          <w:u w:val="none"/>
          <w:lang w:val="en-US" w:eastAsia="zh-CN"/>
        </w:rPr>
        <w:t xml:space="preserve">. </w:t>
      </w:r>
      <w:r>
        <w:rPr>
          <w:rFonts w:hint="default" w:ascii="Times New Roman" w:hAnsi="Times New Roman" w:cs="Times New Roman"/>
          <w:sz w:val="24"/>
          <w:u w:val="none"/>
        </w:rPr>
        <w:t>Echabe (2010) believes that for a feminine society that is modest and pays attention to equality, a masculine society with stronger competitiveness and a higher degree of self-confidence will appear stronger, which is an invisible unequal relationship. Therefore, for Finland, which tends to be feminine, the competitiveness and self-confidence displayed by the UK in business will become a kind of pressure. At the same time, it may also cause the feelings and ideas of the Finnish side to be unintentionally offended and ignored. Potential risks may affect the relationship between the two and the good impression of each other. This is a potential challenging factor in transnational business trade, such as in the management of transnational business, such communication differences can cause contradictions and dissatisfaction among internal employees, which will affect the teamwork ability of an organization.</w:t>
      </w:r>
    </w:p>
    <w:p>
      <w:pPr>
        <w:pStyle w:val="5"/>
        <w:widowControl/>
        <w:shd w:val="clear" w:color="auto" w:fill="FFFFFF"/>
        <w:spacing w:beforeAutospacing="0" w:after="357" w:afterAutospacing="0" w:line="360" w:lineRule="auto"/>
        <w:rPr>
          <w:rFonts w:hint="default" w:ascii="Times New Roman" w:hAnsi="Times New Roman" w:cs="Times New Roman"/>
          <w:u w:val="none"/>
        </w:rPr>
      </w:pPr>
    </w:p>
    <w:p>
      <w:pPr>
        <w:pStyle w:val="5"/>
        <w:widowControl/>
        <w:shd w:val="clear" w:color="auto" w:fill="FFFFFF"/>
        <w:spacing w:beforeAutospacing="0" w:after="357" w:afterAutospacing="0" w:line="360" w:lineRule="auto"/>
        <w:rPr>
          <w:rFonts w:hint="default" w:ascii="Times New Roman" w:hAnsi="Times New Roman" w:cs="Times New Roman"/>
          <w:u w:val="none"/>
        </w:rPr>
      </w:pPr>
      <w:r>
        <w:rPr>
          <w:rFonts w:hint="default" w:ascii="Times New Roman" w:hAnsi="Times New Roman" w:cs="Times New Roman"/>
          <w:u w:val="none"/>
        </w:rPr>
        <w:t>Uncertainty avoidance refers to the society’s tolerance for uncertain factors. For a society with a low tolerance for uncertainty avoidance, they will feel higher anxiety and threats. In this culture will highlight that people have a more passionate pursuit and trust in truth. For societies with a higher tolerance for uncertainty avoidance, they are accustomed to tolerating opinions that differ from them and try to make fewer rules to restrain themselves (Hofstede,2011).</w:t>
      </w:r>
    </w:p>
    <w:p>
      <w:pPr>
        <w:spacing w:line="360" w:lineRule="auto"/>
        <w:rPr>
          <w:rFonts w:hint="default" w:ascii="Times New Roman" w:hAnsi="Times New Roman" w:eastAsia="Calibri" w:cs="Times New Roman"/>
          <w:u w:val="none"/>
          <w:shd w:val="clear" w:color="auto" w:fill="FFFFFF"/>
        </w:rPr>
      </w:pPr>
      <w:r>
        <w:rPr>
          <w:rFonts w:hint="default" w:ascii="Times New Roman" w:hAnsi="Times New Roman" w:eastAsia="Calibri" w:cs="Times New Roman"/>
          <w:sz w:val="24"/>
          <w:u w:val="none"/>
          <w:shd w:val="clear" w:color="auto" w:fill="FFFFFF"/>
        </w:rPr>
        <w:t xml:space="preserve">In Table3, the UK scored 35 in the dimension of </w:t>
      </w:r>
      <w:r>
        <w:rPr>
          <w:rFonts w:hint="default" w:ascii="Times New Roman" w:hAnsi="Times New Roman" w:cs="Times New Roman"/>
          <w:sz w:val="24"/>
          <w:u w:val="none"/>
        </w:rPr>
        <w:t>Uncertainty avoidance</w:t>
      </w:r>
      <w:r>
        <w:rPr>
          <w:rFonts w:hint="default" w:ascii="Times New Roman" w:hAnsi="Times New Roman" w:eastAsia="Calibri" w:cs="Times New Roman"/>
          <w:sz w:val="24"/>
          <w:u w:val="none"/>
          <w:shd w:val="clear" w:color="auto" w:fill="FFFFFF"/>
        </w:rPr>
        <w:t>, implying greater tolerance in British society for unknown information, while Finland is 59 points, which means that Finnish society showed a lower tolerance for the presence of unknown information. Hill.at al (2000) pointed out that the performance of the uncertainty avoidance index may be an evidence that Finns lack personal confidence. Compared with Finns, British respondents believe that they have a higher degree of self-confidence. At the same time, they also pointed out that Finns have a strong need for information and longer decision-making time when making decisions, because Finns need comprehensive information, experience and expertise to counter the concerns and potential risks caused by uncertainties. But for the British, they only care about a clear development direction and core views, and the relevant details and uncertain factors are confident that they will be adjusted and resolved in the future.  This difference in consciousness may result in potential conflicts and disputes between the two in business communication. Finns will remain highly skeptical of opinions and suggestions that are not supported by specific plans and data. This may make it difficult for the views of the British to be recognized by the Finns</w:t>
      </w:r>
      <w:r>
        <w:rPr>
          <w:rFonts w:hint="default" w:ascii="Times New Roman" w:hAnsi="Times New Roman" w:eastAsia="宋体" w:cs="Times New Roman"/>
          <w:sz w:val="24"/>
          <w:u w:val="none"/>
          <w:shd w:val="clear" w:color="auto" w:fill="FFFFFF"/>
          <w:lang w:val="en-US" w:eastAsia="zh-CN"/>
        </w:rPr>
        <w:t>. This cultural difference can be a potential challenge in business cooperation, where there are often formal and important meetings and major events, and to achieve consensus, the high dependence of Finns on information affects productivity and cooperation outcomes between the two.</w:t>
      </w:r>
    </w:p>
    <w:p>
      <w:pPr>
        <w:spacing w:line="360" w:lineRule="auto"/>
        <w:jc w:val="left"/>
        <w:rPr>
          <w:rFonts w:hint="default" w:ascii="Times New Roman" w:hAnsi="Times New Roman" w:cs="Times New Roman"/>
          <w:sz w:val="24"/>
          <w:u w:val="none"/>
        </w:rPr>
      </w:pPr>
    </w:p>
    <w:p>
      <w:pPr>
        <w:spacing w:line="360" w:lineRule="auto"/>
        <w:jc w:val="left"/>
        <w:rPr>
          <w:rFonts w:hint="default" w:ascii="Times New Roman" w:hAnsi="Times New Roman" w:cs="Times New Roman"/>
          <w:sz w:val="24"/>
          <w:u w:val="none"/>
        </w:rPr>
      </w:pPr>
      <w:r>
        <w:rPr>
          <w:rFonts w:hint="default" w:ascii="Times New Roman" w:hAnsi="Times New Roman" w:cs="Times New Roman"/>
          <w:sz w:val="24"/>
          <w:u w:val="none"/>
        </w:rPr>
        <w:t>Cross-cultural business communication are bound to face the influence of language, cultural and religious factors. In order to improve the success rate of cross-cultural exchanges, some appropriate strategies and skills are needed (Okoro,2012), Fujishin (2016) also believes that the differences in cross-cultural communication will hinder the development of individuals or enterprises. Britain and Finland do have some potential challenges in business communication after the analysis of high and low context theory and cultural dimensions theory, this essay will provide some suitable strategies to address these possible challenges.</w:t>
      </w:r>
    </w:p>
    <w:p>
      <w:pPr>
        <w:spacing w:line="360" w:lineRule="auto"/>
        <w:jc w:val="left"/>
        <w:rPr>
          <w:rFonts w:hint="default" w:ascii="Times New Roman" w:hAnsi="Times New Roman" w:cs="Times New Roman"/>
          <w:sz w:val="24"/>
          <w:u w:val="none"/>
        </w:rPr>
      </w:pPr>
    </w:p>
    <w:p>
      <w:pPr>
        <w:spacing w:line="360" w:lineRule="auto"/>
        <w:jc w:val="left"/>
        <w:rPr>
          <w:rFonts w:hint="default" w:ascii="Times New Roman" w:hAnsi="Times New Roman" w:cs="Times New Roman"/>
          <w:b/>
          <w:bCs/>
          <w:sz w:val="24"/>
          <w:u w:val="none"/>
        </w:rPr>
      </w:pPr>
      <w:r>
        <w:rPr>
          <w:rFonts w:hint="default" w:ascii="Times New Roman" w:hAnsi="Times New Roman" w:cs="Times New Roman"/>
          <w:sz w:val="24"/>
          <w:u w:val="none"/>
        </w:rPr>
        <w:t>In the analysis of high and low contexts, Finns may exhibit long-term silence and less responsive behavior in their communication methods, which may cause some misunderstandings for the British. In the face of such uncertain factors, Swope (1972) believes that questioning is a communication strategy to resolve embarrassment and reduce doubts. At the same time, some nonverbal communication strategies can be adopted, such as body language and facial expressions, which is an effective way of communicating attitudes and expecting a response from the other party (Fast, 1970), Therefore, when the negotiator on the British side is faced with such a situation, he can use inquiry and non-verbal communication to resolve embarrassment and dispel doubts. In the analysis of the cultural dimension theory, the masculinity of the British negotiators may exert pressure on the Finnish negotiators. Facing with this situation, British negotiators should control the rhythm of communication. A proper communication rhythm is a way to improve communication efficiency and reduce mutual pressure (Kotz, Ravignani and Fitch, 2018). For example, adding rest time in the meeting process to give both parties more time to think.  In addition, verbal and nonverbal means to convey a friendly and respectful attitude is a way to gain understanding and respect from the other party (Fast, 1970), such as complimenting each other appropriately and keeping a smile.  Faced with the high dependence of Finns on information, The negotiators in the UK should prepare sufficient data and information in advance to support their views. This will not only gain the support of the other party, but also show a rigorous attitude and professionalism in business cooperation, and professional and detailed data is an effective way to eliminate doubts (Gallois and Volčič, 2015), this is beneficial to improving the success rate of communication.</w:t>
      </w:r>
    </w:p>
    <w:p>
      <w:pPr>
        <w:spacing w:line="360" w:lineRule="auto"/>
        <w:jc w:val="left"/>
        <w:rPr>
          <w:rFonts w:hint="default" w:ascii="Times New Roman" w:hAnsi="Times New Roman" w:cs="Times New Roman"/>
          <w:b/>
          <w:bCs/>
          <w:sz w:val="24"/>
          <w:u w:val="none"/>
        </w:rPr>
      </w:pPr>
    </w:p>
    <w:p>
      <w:pPr>
        <w:spacing w:line="360" w:lineRule="auto"/>
        <w:jc w:val="left"/>
        <w:rPr>
          <w:rFonts w:hint="default" w:ascii="Times New Roman" w:hAnsi="Times New Roman" w:cs="Times New Roman"/>
          <w:sz w:val="24"/>
          <w:u w:val="none"/>
        </w:rPr>
      </w:pPr>
      <w:r>
        <w:rPr>
          <w:rFonts w:hint="default" w:ascii="Times New Roman" w:hAnsi="Times New Roman" w:cs="Times New Roman"/>
          <w:sz w:val="24"/>
          <w:u w:val="none"/>
        </w:rPr>
        <w:t>In recent years, transnational business cooperation has been an increasingly important development trend, and international business communication is an important foundation for cooperation, while the success and failure of cross-cultural management and cooperation depend largely on the communication ability of the communicator. In this context, Britain and Finland have their own culture and history, in the face of this remarkable difference,this essay analyzes some of the differences through high and low context theory and the theory of cultural dimension. For Britain, Finland is a good business partner, and their values and customs tend to be similar, which reduces part of the pressure for the communication, but it is inevitable that Finland belongs to a high context country and Britain is a low context country. While the differences in cultural dimensions indicate that the two do have different needs and ideas in the actual communication. In the face of these differences, only appropriate communication strategies can help the two develop a good business relationship.</w:t>
      </w:r>
    </w:p>
    <w:p>
      <w:pPr>
        <w:spacing w:line="360" w:lineRule="auto"/>
        <w:jc w:val="left"/>
        <w:rPr>
          <w:rFonts w:hint="default" w:ascii="Times New Roman" w:hAnsi="Times New Roman" w:cs="Times New Roman"/>
          <w:b/>
          <w:bCs/>
          <w:sz w:val="24"/>
          <w:u w:val="none"/>
        </w:rPr>
      </w:pPr>
    </w:p>
    <w:p>
      <w:pPr>
        <w:spacing w:line="360" w:lineRule="auto"/>
        <w:jc w:val="left"/>
        <w:rPr>
          <w:rFonts w:hint="default" w:ascii="Times New Roman" w:hAnsi="Times New Roman" w:cs="Times New Roman"/>
          <w:sz w:val="24"/>
          <w:u w:val="none"/>
        </w:rPr>
      </w:pPr>
      <w:r>
        <w:rPr>
          <w:rFonts w:hint="default" w:ascii="Times New Roman" w:hAnsi="Times New Roman" w:cs="Times New Roman"/>
          <w:sz w:val="24"/>
          <w:u w:val="none"/>
        </w:rPr>
        <w:t>In the context of a business cooperation between the UK and Finland, the business communication challenges to be faced between the two must be considered, some recommendations will be provided below. Firstly, to ensure that the parties can have a complete communication process, making an appointment is an important way to determine the time, place, people and content, which facilitates more preparation time for both. Secondly, language and context differ in Finland and England, in addition to some necessary communication strategies, both parties can also hire and se</w:t>
      </w:r>
      <w:bookmarkStart w:id="1" w:name="_GoBack"/>
      <w:bookmarkEnd w:id="1"/>
      <w:r>
        <w:rPr>
          <w:rFonts w:hint="default" w:ascii="Times New Roman" w:hAnsi="Times New Roman" w:cs="Times New Roman"/>
          <w:sz w:val="24"/>
          <w:u w:val="none"/>
        </w:rPr>
        <w:t>lect additional people familiar with each other's culture and language to reduce communication barriers and improve communication efficiency. Finally, in the face of the views and opinions put forward by the two sides in the communication, they should be preserved by way of recording, which can not only show the content of the communication, but also find the information errors caused by the differences in the communication methods in the communication.</w:t>
      </w: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center"/>
        <w:rPr>
          <w:rFonts w:hint="default" w:ascii="Times New Roman" w:hAnsi="Times New Roman" w:cs="Times New Roman" w:eastAsiaTheme="minorEastAsia"/>
          <w:sz w:val="24"/>
          <w:u w:val="none"/>
          <w:lang w:val="en-US" w:eastAsia="zh-CN"/>
        </w:rPr>
      </w:pPr>
      <w:r>
        <w:rPr>
          <w:rFonts w:ascii="Times New Roman" w:hAnsi="Times New Roman" w:cs="Times New Roman"/>
          <w:sz w:val="24"/>
          <w:u w:val="none"/>
          <w:lang w:val="en"/>
        </w:rPr>
        <w:t>Word count:</w:t>
      </w:r>
      <w:r>
        <w:rPr>
          <w:rFonts w:ascii="Times New Roman" w:hAnsi="Times New Roman" w:cs="Times New Roman"/>
          <w:sz w:val="24"/>
          <w:u w:val="none"/>
        </w:rPr>
        <w:t xml:space="preserve">  </w:t>
      </w:r>
      <w:r>
        <w:rPr>
          <w:rFonts w:ascii="Times New Roman" w:hAnsi="Times New Roman" w:cs="Times New Roman"/>
          <w:sz w:val="24"/>
          <w:u w:val="none"/>
          <w:lang w:val="en"/>
        </w:rPr>
        <w:t>2</w:t>
      </w:r>
      <w:r>
        <w:rPr>
          <w:rFonts w:hint="eastAsia" w:ascii="Times New Roman" w:hAnsi="Times New Roman" w:cs="Times New Roman"/>
          <w:sz w:val="24"/>
          <w:u w:val="none"/>
        </w:rPr>
        <w:t>6</w:t>
      </w:r>
      <w:r>
        <w:rPr>
          <w:rFonts w:hint="eastAsia" w:ascii="Times New Roman" w:hAnsi="Times New Roman" w:cs="Times New Roman"/>
          <w:sz w:val="24"/>
          <w:u w:val="none"/>
          <w:lang w:val="en-US" w:eastAsia="zh-CN"/>
        </w:rPr>
        <w:t>32</w:t>
      </w: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Bold" w:hAnsi="Times New Roman Bold" w:cs="Times New Roman Bold"/>
          <w:sz w:val="30"/>
          <w:szCs w:val="30"/>
        </w:rPr>
      </w:pPr>
    </w:p>
    <w:p>
      <w:pPr>
        <w:jc w:val="left"/>
        <w:rPr>
          <w:rFonts w:ascii="Times New Roman Bold" w:hAnsi="Times New Roman Bold" w:cs="Times New Roman Bold"/>
          <w:sz w:val="30"/>
          <w:szCs w:val="30"/>
        </w:rPr>
      </w:pPr>
    </w:p>
    <w:p>
      <w:pPr>
        <w:jc w:val="left"/>
        <w:rPr>
          <w:rFonts w:ascii="Times New Roman Bold" w:hAnsi="Times New Roman Bold" w:cs="Times New Roman Bold"/>
          <w:b/>
          <w:bCs/>
          <w:sz w:val="30"/>
          <w:szCs w:val="30"/>
          <w:u w:val="none"/>
        </w:rPr>
      </w:pPr>
      <w:bookmarkStart w:id="0" w:name="_Toc1980822849"/>
      <w:r>
        <w:rPr>
          <w:rFonts w:ascii="Times New Roman Bold" w:hAnsi="Times New Roman Bold" w:cs="Times New Roman Bold"/>
          <w:b/>
          <w:bCs/>
          <w:sz w:val="30"/>
          <w:szCs w:val="30"/>
          <w:u w:val="none"/>
        </w:rPr>
        <w:t>References</w:t>
      </w:r>
      <w:bookmarkEnd w:id="0"/>
    </w:p>
    <w:p>
      <w:pPr>
        <w:numPr>
          <w:ilvl w:val="0"/>
          <w:numId w:val="1"/>
        </w:numPr>
        <w:jc w:val="left"/>
        <w:rPr>
          <w:rFonts w:ascii="Times New Roman" w:hAnsi="Times New Roman" w:eastAsia="Arial" w:cs="Times New Roman"/>
          <w:sz w:val="24"/>
          <w:u w:val="none"/>
          <w:shd w:val="clear" w:color="auto" w:fill="FFFFFF"/>
        </w:rPr>
      </w:pPr>
      <w:r>
        <w:rPr>
          <w:rFonts w:ascii="Times New Roman" w:hAnsi="Times New Roman" w:eastAsia="Arial" w:cs="Times New Roman"/>
          <w:sz w:val="24"/>
          <w:u w:val="none"/>
          <w:shd w:val="clear" w:color="auto" w:fill="FFFFFF"/>
        </w:rPr>
        <w:t>Alleyne, M. D. (2016). International power and international communication. Springer.</w:t>
      </w:r>
    </w:p>
    <w:p>
      <w:pPr>
        <w:rPr>
          <w:rFonts w:ascii="Times New Roman" w:hAnsi="Times New Roman" w:cs="Times New Roman"/>
          <w:sz w:val="24"/>
          <w:u w:val="none"/>
        </w:rPr>
      </w:pPr>
    </w:p>
    <w:p>
      <w:pPr>
        <w:numPr>
          <w:ilvl w:val="0"/>
          <w:numId w:val="1"/>
        </w:numPr>
        <w:spacing w:line="360" w:lineRule="auto"/>
        <w:rPr>
          <w:rFonts w:ascii="Times New Roman" w:hAnsi="Times New Roman" w:cs="Times New Roman"/>
          <w:sz w:val="24"/>
          <w:u w:val="none"/>
        </w:rPr>
      </w:pPr>
      <w:r>
        <w:rPr>
          <w:rFonts w:ascii="Times New Roman" w:hAnsi="Times New Roman" w:cs="Times New Roman"/>
          <w:sz w:val="24"/>
          <w:u w:val="none"/>
        </w:rPr>
        <w:t>Bai, H. (2016). A cross-cultural analysis of advertisements from high-context cultures and low-context cultures. English Language Teaching, 9(8), 21-27.</w:t>
      </w:r>
    </w:p>
    <w:p>
      <w:pPr>
        <w:spacing w:line="360" w:lineRule="auto"/>
        <w:rPr>
          <w:rFonts w:ascii="Times New Roman" w:hAnsi="Times New Roman" w:cs="Times New Roman"/>
          <w:sz w:val="24"/>
          <w:u w:val="none"/>
        </w:rPr>
      </w:pPr>
    </w:p>
    <w:p>
      <w:pPr>
        <w:numPr>
          <w:ilvl w:val="0"/>
          <w:numId w:val="1"/>
        </w:numPr>
        <w:spacing w:line="360" w:lineRule="auto"/>
        <w:rPr>
          <w:rFonts w:ascii="Times New Roman" w:hAnsi="Times New Roman" w:cs="Times New Roman"/>
          <w:sz w:val="24"/>
          <w:u w:val="none"/>
        </w:rPr>
      </w:pPr>
      <w:r>
        <w:rPr>
          <w:rFonts w:ascii="Times New Roman" w:hAnsi="Times New Roman" w:cs="Times New Roman"/>
          <w:sz w:val="24"/>
          <w:u w:val="none"/>
        </w:rPr>
        <w:t>Carté, P., &amp; Fox, C. (2008). Bridging the culture gap: A practical guide to international business communication. Kogan Page Publishers.</w:t>
      </w:r>
    </w:p>
    <w:p>
      <w:pPr>
        <w:spacing w:line="360" w:lineRule="auto"/>
        <w:rPr>
          <w:rFonts w:ascii="Times New Roman" w:hAnsi="Times New Roman" w:cs="Times New Roman"/>
          <w:sz w:val="24"/>
          <w:u w:val="none"/>
        </w:rPr>
      </w:pPr>
    </w:p>
    <w:p>
      <w:pPr>
        <w:numPr>
          <w:ilvl w:val="0"/>
          <w:numId w:val="1"/>
        </w:numPr>
        <w:wordWrap w:val="0"/>
        <w:spacing w:line="360" w:lineRule="auto"/>
        <w:rPr>
          <w:rFonts w:ascii="Times New Roman" w:hAnsi="Times New Roman" w:cs="Times New Roman"/>
          <w:sz w:val="24"/>
          <w:u w:val="none"/>
        </w:rPr>
      </w:pPr>
      <w:r>
        <w:rPr>
          <w:rFonts w:ascii="Times New Roman" w:hAnsi="Times New Roman" w:cs="Times New Roman"/>
          <w:sz w:val="24"/>
          <w:u w:val="none"/>
        </w:rPr>
        <w:t xml:space="preserve">Cultural Atlas, (2021) </w:t>
      </w:r>
      <w:r>
        <w:rPr>
          <w:rFonts w:ascii="Times New Roman" w:hAnsi="Times New Roman" w:cs="Times New Roman"/>
          <w:i/>
          <w:iCs/>
          <w:sz w:val="24"/>
          <w:u w:val="none"/>
        </w:rPr>
        <w:t>British Culture</w:t>
      </w:r>
      <w:r>
        <w:rPr>
          <w:rFonts w:ascii="Times New Roman" w:hAnsi="Times New Roman" w:cs="Times New Roman"/>
          <w:sz w:val="24"/>
          <w:u w:val="none"/>
        </w:rPr>
        <w:t xml:space="preserve"> [Online]. Available at:  https://culturalatlas.sbs.com.au/british-culture/british-culture-communication [Accessed 7 November 2021]</w:t>
      </w:r>
    </w:p>
    <w:p>
      <w:pPr>
        <w:spacing w:line="360" w:lineRule="auto"/>
        <w:rPr>
          <w:rFonts w:ascii="Times New Roman" w:hAnsi="Times New Roman" w:cs="Times New Roman"/>
          <w:sz w:val="24"/>
          <w:u w:val="none"/>
        </w:rPr>
      </w:pPr>
    </w:p>
    <w:p>
      <w:pPr>
        <w:numPr>
          <w:ilvl w:val="0"/>
          <w:numId w:val="1"/>
        </w:numPr>
        <w:rPr>
          <w:rFonts w:ascii="Times New Roman" w:hAnsi="Times New Roman" w:cs="Times New Roman"/>
          <w:sz w:val="24"/>
          <w:u w:val="none"/>
        </w:rPr>
      </w:pPr>
      <w:r>
        <w:rPr>
          <w:rFonts w:ascii="Times New Roman" w:hAnsi="Times New Roman" w:cs="Times New Roman"/>
          <w:sz w:val="24"/>
          <w:u w:val="none"/>
        </w:rPr>
        <w:t>Echabe,A.E. (2010)‘Role identities versus social identities: Masculinity, femininity, instrumentality and communality’, Asian journal of social psychology. Received 5 June 2008; accepted for publication 16 April 2009., 13(1), pp. 30–43. doi:10.1111/j.1467-839X.2010.01298.x.</w:t>
      </w:r>
    </w:p>
    <w:p>
      <w:pPr>
        <w:rPr>
          <w:rFonts w:ascii="Times New Roman" w:hAnsi="Times New Roman" w:cs="Times New Roman"/>
          <w:sz w:val="24"/>
          <w:u w:val="none"/>
        </w:rPr>
      </w:pPr>
    </w:p>
    <w:p>
      <w:pPr>
        <w:numPr>
          <w:ilvl w:val="0"/>
          <w:numId w:val="1"/>
        </w:numPr>
        <w:jc w:val="left"/>
        <w:rPr>
          <w:rFonts w:ascii="Times New Roman" w:hAnsi="Times New Roman" w:cs="Times New Roman"/>
          <w:sz w:val="24"/>
          <w:u w:val="none"/>
        </w:rPr>
      </w:pPr>
      <w:r>
        <w:rPr>
          <w:rFonts w:ascii="Times New Roman" w:hAnsi="Times New Roman" w:eastAsia="宋体" w:cs="Times New Roman"/>
          <w:color w:val="222222"/>
          <w:sz w:val="24"/>
          <w:u w:val="none"/>
          <w:shd w:val="clear" w:color="auto" w:fill="FFFFFF"/>
        </w:rPr>
        <w:t>Fast, J. (1970). </w:t>
      </w:r>
      <w:r>
        <w:rPr>
          <w:rFonts w:ascii="Times New Roman" w:hAnsi="Times New Roman" w:eastAsia="宋体" w:cs="Times New Roman"/>
          <w:i/>
          <w:iCs/>
          <w:color w:val="222222"/>
          <w:sz w:val="24"/>
          <w:u w:val="none"/>
          <w:shd w:val="clear" w:color="auto" w:fill="FFFFFF"/>
        </w:rPr>
        <w:t>Body language</w:t>
      </w:r>
      <w:r>
        <w:rPr>
          <w:rFonts w:ascii="Times New Roman" w:hAnsi="Times New Roman" w:eastAsia="宋体" w:cs="Times New Roman"/>
          <w:color w:val="222222"/>
          <w:sz w:val="24"/>
          <w:u w:val="none"/>
          <w:shd w:val="clear" w:color="auto" w:fill="FFFFFF"/>
        </w:rPr>
        <w:t> (Vol. 82348). Simon and Schuster.</w:t>
      </w:r>
    </w:p>
    <w:p>
      <w:pPr>
        <w:jc w:val="left"/>
        <w:rPr>
          <w:rFonts w:ascii="Times New Roman" w:hAnsi="Times New Roman" w:cs="Times New Roman"/>
          <w:sz w:val="24"/>
          <w:u w:val="none"/>
        </w:rPr>
      </w:pPr>
    </w:p>
    <w:p>
      <w:pPr>
        <w:numPr>
          <w:ilvl w:val="0"/>
          <w:numId w:val="1"/>
        </w:numPr>
        <w:spacing w:line="360" w:lineRule="auto"/>
        <w:rPr>
          <w:rFonts w:ascii="Times New Roman" w:hAnsi="Times New Roman" w:cs="Times New Roman"/>
          <w:sz w:val="24"/>
          <w:u w:val="none"/>
        </w:rPr>
      </w:pPr>
      <w:r>
        <w:rPr>
          <w:rFonts w:ascii="Times New Roman" w:hAnsi="Times New Roman" w:cs="Times New Roman"/>
          <w:sz w:val="24"/>
          <w:u w:val="none"/>
        </w:rPr>
        <w:t>Fujishin, R. (2016). </w:t>
      </w:r>
      <w:r>
        <w:rPr>
          <w:rFonts w:ascii="Times New Roman" w:hAnsi="Times New Roman" w:cs="Times New Roman"/>
          <w:i/>
          <w:iCs/>
          <w:sz w:val="24"/>
          <w:u w:val="none"/>
        </w:rPr>
        <w:t>The art of communication: improving your fundamental communication skills.</w:t>
      </w:r>
      <w:r>
        <w:rPr>
          <w:rFonts w:ascii="Times New Roman" w:hAnsi="Times New Roman" w:cs="Times New Roman"/>
          <w:sz w:val="24"/>
          <w:u w:val="none"/>
        </w:rPr>
        <w:t xml:space="preserve"> 3rd ed. Lanham, Maryland: Rowman and Littlefield.</w:t>
      </w:r>
    </w:p>
    <w:p>
      <w:pPr>
        <w:spacing w:line="360" w:lineRule="auto"/>
        <w:rPr>
          <w:rFonts w:ascii="Times New Roman" w:hAnsi="Times New Roman" w:cs="Times New Roman"/>
          <w:sz w:val="24"/>
          <w:u w:val="none"/>
        </w:rPr>
      </w:pPr>
    </w:p>
    <w:p>
      <w:pPr>
        <w:numPr>
          <w:ilvl w:val="0"/>
          <w:numId w:val="1"/>
        </w:numPr>
        <w:jc w:val="left"/>
        <w:rPr>
          <w:rFonts w:ascii="Times New Roman" w:hAnsi="Times New Roman" w:eastAsia="宋体" w:cs="Times New Roman"/>
          <w:color w:val="222222"/>
          <w:sz w:val="24"/>
          <w:u w:val="none"/>
          <w:shd w:val="clear" w:color="auto" w:fill="FFFFFF"/>
        </w:rPr>
      </w:pPr>
      <w:r>
        <w:rPr>
          <w:rFonts w:ascii="Times New Roman" w:hAnsi="Times New Roman" w:eastAsia="宋体" w:cs="Times New Roman"/>
          <w:color w:val="222222"/>
          <w:sz w:val="24"/>
          <w:u w:val="none"/>
          <w:shd w:val="clear" w:color="auto" w:fill="FFFFFF"/>
        </w:rPr>
        <w:t>Gallois, C., Liu, S. and Volčič, Z. (2015) Introducing intercultural communication : global cultures and contexts. Second edition. London: Sage Publications.</w:t>
      </w:r>
    </w:p>
    <w:p>
      <w:pPr>
        <w:jc w:val="left"/>
        <w:rPr>
          <w:rFonts w:ascii="Times New Roman" w:hAnsi="Times New Roman" w:eastAsia="宋体" w:cs="Times New Roman"/>
          <w:color w:val="222222"/>
          <w:sz w:val="24"/>
          <w:u w:val="none"/>
          <w:shd w:val="clear" w:color="auto" w:fill="FFFFFF"/>
        </w:rPr>
      </w:pPr>
    </w:p>
    <w:p>
      <w:pPr>
        <w:numPr>
          <w:ilvl w:val="0"/>
          <w:numId w:val="1"/>
        </w:numPr>
        <w:jc w:val="left"/>
        <w:rPr>
          <w:rFonts w:ascii="Times New Roman" w:hAnsi="Times New Roman" w:cs="Times New Roman"/>
          <w:sz w:val="24"/>
          <w:u w:val="none"/>
        </w:rPr>
      </w:pPr>
      <w:r>
        <w:rPr>
          <w:rFonts w:ascii="Times New Roman" w:hAnsi="Times New Roman" w:cs="Times New Roman"/>
          <w:sz w:val="24"/>
          <w:u w:val="none"/>
        </w:rPr>
        <w:t>Griffith, D. A. (2002). The role of communication competencies in international business relationship development. Journal of World Business, 37(4), 256-265.</w:t>
      </w:r>
    </w:p>
    <w:p>
      <w:pPr>
        <w:jc w:val="left"/>
        <w:rPr>
          <w:rFonts w:ascii="Times New Roman" w:hAnsi="Times New Roman" w:cs="Times New Roman"/>
          <w:sz w:val="24"/>
          <w:u w:val="none"/>
        </w:rPr>
      </w:pPr>
    </w:p>
    <w:p>
      <w:pPr>
        <w:numPr>
          <w:ilvl w:val="0"/>
          <w:numId w:val="1"/>
        </w:numPr>
        <w:spacing w:line="360" w:lineRule="auto"/>
        <w:rPr>
          <w:rFonts w:ascii="Times New Roman" w:hAnsi="Times New Roman" w:cs="Times New Roman"/>
          <w:sz w:val="24"/>
          <w:u w:val="none"/>
        </w:rPr>
      </w:pPr>
      <w:r>
        <w:rPr>
          <w:rFonts w:ascii="Times New Roman" w:hAnsi="Times New Roman" w:eastAsia="宋体" w:cs="Times New Roman"/>
          <w:sz w:val="24"/>
          <w:u w:val="none"/>
        </w:rPr>
        <w:t>Hall, E. &amp; Hall, M. (1990). Understanding cultural differences: Germans, French and Americans. Yarmouth: Intercultural Press.</w:t>
      </w:r>
    </w:p>
    <w:p>
      <w:pPr>
        <w:spacing w:line="360" w:lineRule="auto"/>
        <w:rPr>
          <w:rFonts w:ascii="Times New Roman" w:hAnsi="Times New Roman" w:cs="Times New Roman"/>
          <w:sz w:val="24"/>
          <w:u w:val="none"/>
        </w:rPr>
      </w:pPr>
    </w:p>
    <w:p>
      <w:pPr>
        <w:numPr>
          <w:ilvl w:val="0"/>
          <w:numId w:val="1"/>
        </w:numPr>
        <w:spacing w:line="360" w:lineRule="auto"/>
        <w:rPr>
          <w:rFonts w:ascii="Times New Roman" w:hAnsi="Times New Roman" w:cs="Times New Roman"/>
          <w:sz w:val="24"/>
          <w:u w:val="none"/>
        </w:rPr>
      </w:pPr>
      <w:r>
        <w:rPr>
          <w:rFonts w:ascii="Times New Roman" w:hAnsi="Times New Roman" w:cs="Times New Roman"/>
          <w:sz w:val="24"/>
          <w:u w:val="none"/>
        </w:rPr>
        <w:t xml:space="preserve">Hall, E. T. (1976). </w:t>
      </w:r>
      <w:r>
        <w:rPr>
          <w:rFonts w:ascii="Times New Roman" w:hAnsi="Times New Roman" w:cs="Times New Roman"/>
          <w:i/>
          <w:iCs/>
          <w:sz w:val="24"/>
          <w:u w:val="none"/>
        </w:rPr>
        <w:t>Beyond culture</w:t>
      </w:r>
      <w:r>
        <w:rPr>
          <w:rFonts w:ascii="Times New Roman" w:hAnsi="Times New Roman" w:cs="Times New Roman"/>
          <w:sz w:val="24"/>
          <w:u w:val="none"/>
        </w:rPr>
        <w:t>. New York: Anchor Books. P. 91</w:t>
      </w:r>
    </w:p>
    <w:p>
      <w:pPr>
        <w:spacing w:line="360" w:lineRule="auto"/>
        <w:rPr>
          <w:rFonts w:ascii="Times New Roman" w:hAnsi="Times New Roman" w:cs="Times New Roman"/>
          <w:sz w:val="24"/>
          <w:u w:val="none"/>
        </w:rPr>
      </w:pPr>
    </w:p>
    <w:p>
      <w:pPr>
        <w:pStyle w:val="5"/>
        <w:widowControl/>
        <w:numPr>
          <w:ilvl w:val="0"/>
          <w:numId w:val="1"/>
        </w:numPr>
        <w:shd w:val="clear" w:color="auto" w:fill="FFFFFF"/>
        <w:spacing w:beforeAutospacing="0" w:after="357" w:afterAutospacing="0"/>
        <w:rPr>
          <w:rFonts w:ascii="Times New Roman" w:hAnsi="Times New Roman"/>
          <w:u w:val="none"/>
        </w:rPr>
      </w:pPr>
      <w:r>
        <w:rPr>
          <w:rFonts w:ascii="Times New Roman" w:hAnsi="Times New Roman" w:eastAsia="Calibri"/>
          <w:color w:val="444444"/>
          <w:u w:val="none"/>
          <w:shd w:val="clear" w:color="auto" w:fill="FFFFFF"/>
        </w:rPr>
        <w:t>Hill, J. et al. (2000) ‘Cognitive Style and Socialisation: An exploration of learned sources of style in Finland, Poland and the UK’, Educational psychology (Dorchester-on-Thames), 20(3), pp. 285–305. doi:10.1080/713663746.</w:t>
      </w:r>
    </w:p>
    <w:p>
      <w:pPr>
        <w:keepLines/>
        <w:widowControl/>
        <w:numPr>
          <w:ilvl w:val="0"/>
          <w:numId w:val="1"/>
        </w:numPr>
        <w:wordWrap w:val="0"/>
        <w:topLinePunct/>
        <w:jc w:val="left"/>
        <w:rPr>
          <w:rFonts w:ascii="Times New Roman" w:hAnsi="Times New Roman" w:cs="Times New Roman"/>
          <w:sz w:val="24"/>
          <w:u w:val="none"/>
        </w:rPr>
      </w:pPr>
      <w:r>
        <w:rPr>
          <w:rFonts w:ascii="Times New Roman" w:hAnsi="Times New Roman" w:cs="Times New Roman"/>
          <w:sz w:val="24"/>
          <w:u w:val="none"/>
        </w:rPr>
        <w:t xml:space="preserve">Hofstede insights(2021) </w:t>
      </w:r>
      <w:r>
        <w:rPr>
          <w:rFonts w:ascii="Times New Roman" w:hAnsi="Times New Roman" w:cs="Times New Roman"/>
          <w:i/>
          <w:iCs/>
          <w:sz w:val="24"/>
          <w:u w:val="none"/>
        </w:rPr>
        <w:t xml:space="preserve">Compares the Cultural Differences Between the UK and Finland </w:t>
      </w:r>
      <w:r>
        <w:rPr>
          <w:rFonts w:ascii="Times New Roman" w:hAnsi="Times New Roman" w:cs="Times New Roman"/>
          <w:sz w:val="24"/>
          <w:u w:val="none"/>
        </w:rPr>
        <w:t>[Online]. Available at:&lt;</w:t>
      </w:r>
      <w:r>
        <w:fldChar w:fldCharType="begin"/>
      </w:r>
      <w:r>
        <w:instrText xml:space="preserve"> HYPERLINK "https://www.hofstede-insights.com/country-comparison/finland,the-uk/" </w:instrText>
      </w:r>
      <w:r>
        <w:fldChar w:fldCharType="separate"/>
      </w:r>
      <w:r>
        <w:rPr>
          <w:rStyle w:val="11"/>
          <w:rFonts w:ascii="Times New Roman" w:hAnsi="Times New Roman" w:cs="Times New Roman"/>
          <w:color w:val="5B9BD5" w:themeColor="accent1"/>
          <w:sz w:val="24"/>
          <w14:textFill>
            <w14:solidFill>
              <w14:schemeClr w14:val="accent1"/>
            </w14:solidFill>
          </w14:textFill>
        </w:rPr>
        <w:t>https://www.hofstede-insights.com/country-comparison/finland,the-uk/</w:t>
      </w:r>
      <w:r>
        <w:rPr>
          <w:rStyle w:val="11"/>
          <w:rFonts w:ascii="Times New Roman" w:hAnsi="Times New Roman" w:cs="Times New Roman"/>
          <w:color w:val="5B9BD5" w:themeColor="accent1"/>
          <w:sz w:val="24"/>
          <w14:textFill>
            <w14:solidFill>
              <w14:schemeClr w14:val="accent1"/>
            </w14:solidFill>
          </w14:textFill>
        </w:rPr>
        <w:fldChar w:fldCharType="end"/>
      </w:r>
      <w:r>
        <w:rPr>
          <w:rFonts w:ascii="Times New Roman" w:hAnsi="Times New Roman" w:cs="Times New Roman"/>
          <w:sz w:val="24"/>
          <w:u w:val="none"/>
        </w:rPr>
        <w:t>&gt; [Accessed 8 December 2021]</w:t>
      </w:r>
    </w:p>
    <w:p>
      <w:pPr>
        <w:jc w:val="left"/>
        <w:rPr>
          <w:rFonts w:ascii="Times New Roman" w:hAnsi="Times New Roman" w:cs="Times New Roman"/>
          <w:sz w:val="24"/>
          <w:u w:val="none"/>
        </w:rPr>
      </w:pPr>
    </w:p>
    <w:p>
      <w:pPr>
        <w:numPr>
          <w:ilvl w:val="0"/>
          <w:numId w:val="1"/>
        </w:numPr>
        <w:jc w:val="left"/>
        <w:rPr>
          <w:rFonts w:ascii="Times New Roman" w:hAnsi="Times New Roman" w:cs="Times New Roman"/>
          <w:sz w:val="24"/>
          <w:u w:val="none"/>
        </w:rPr>
      </w:pPr>
      <w:r>
        <w:rPr>
          <w:rFonts w:ascii="Times New Roman" w:hAnsi="Times New Roman" w:cs="Times New Roman"/>
          <w:sz w:val="24"/>
          <w:u w:val="none"/>
        </w:rPr>
        <w:t>Hofstede, G. (2011). Dimensionalizing cultures: The Hofstede model in context. Online readings in psychology and culture, 2(1), 2307-0919.</w:t>
      </w:r>
    </w:p>
    <w:p>
      <w:pPr>
        <w:jc w:val="left"/>
        <w:rPr>
          <w:rFonts w:ascii="Times New Roman" w:hAnsi="Times New Roman" w:cs="Times New Roman"/>
          <w:sz w:val="24"/>
          <w:highlight w:val="yellow"/>
          <w:u w:val="none"/>
        </w:rPr>
      </w:pPr>
    </w:p>
    <w:p>
      <w:pPr>
        <w:numPr>
          <w:ilvl w:val="0"/>
          <w:numId w:val="1"/>
        </w:numPr>
        <w:jc w:val="left"/>
        <w:rPr>
          <w:rFonts w:ascii="Times New Roman" w:hAnsi="Times New Roman" w:cs="Times New Roman"/>
          <w:sz w:val="24"/>
          <w:u w:val="none"/>
        </w:rPr>
      </w:pPr>
      <w:r>
        <w:rPr>
          <w:rFonts w:ascii="Times New Roman" w:hAnsi="Times New Roman" w:cs="Times New Roman"/>
          <w:sz w:val="24"/>
          <w:u w:val="none"/>
        </w:rPr>
        <w:t>Hofstede, G. (2009). Geert Hofstede cultural dimensions.</w:t>
      </w:r>
    </w:p>
    <w:p>
      <w:pPr>
        <w:jc w:val="left"/>
        <w:rPr>
          <w:rFonts w:ascii="Times New Roman" w:hAnsi="Times New Roman" w:cs="Times New Roman"/>
          <w:sz w:val="24"/>
          <w:u w:val="none"/>
        </w:rPr>
      </w:pPr>
    </w:p>
    <w:p>
      <w:pPr>
        <w:numPr>
          <w:ilvl w:val="0"/>
          <w:numId w:val="1"/>
        </w:numPr>
        <w:jc w:val="left"/>
        <w:rPr>
          <w:rFonts w:ascii="Times New Roman" w:hAnsi="Times New Roman" w:cs="Times New Roman"/>
          <w:sz w:val="24"/>
          <w:u w:val="none"/>
        </w:rPr>
      </w:pPr>
      <w:r>
        <w:rPr>
          <w:rFonts w:ascii="Times New Roman" w:hAnsi="Times New Roman" w:cs="Times New Roman"/>
          <w:sz w:val="24"/>
          <w:u w:val="none"/>
        </w:rPr>
        <w:t>Hofstede, G. (2003). Cultural dimensions.</w:t>
      </w:r>
    </w:p>
    <w:p>
      <w:pPr>
        <w:jc w:val="left"/>
        <w:rPr>
          <w:rFonts w:ascii="Times New Roman" w:hAnsi="Times New Roman" w:cs="Times New Roman"/>
          <w:sz w:val="24"/>
          <w:u w:val="none"/>
        </w:rPr>
      </w:pPr>
    </w:p>
    <w:p>
      <w:pPr>
        <w:numPr>
          <w:ilvl w:val="0"/>
          <w:numId w:val="1"/>
        </w:numPr>
        <w:jc w:val="left"/>
        <w:rPr>
          <w:rFonts w:ascii="Times New Roman" w:hAnsi="Times New Roman" w:cs="Times New Roman"/>
          <w:sz w:val="24"/>
          <w:u w:val="none"/>
        </w:rPr>
      </w:pPr>
      <w:r>
        <w:rPr>
          <w:rFonts w:ascii="Times New Roman" w:hAnsi="Times New Roman" w:eastAsia="宋体" w:cs="Times New Roman"/>
          <w:color w:val="222222"/>
          <w:sz w:val="24"/>
          <w:u w:val="none"/>
          <w:shd w:val="clear" w:color="auto" w:fill="FFFFFF"/>
        </w:rPr>
        <w:t>Kotz, S. A., Ravignani, A., &amp; Fitch, W. T. (2018). The evolution of rhythm processing. </w:t>
      </w:r>
      <w:r>
        <w:rPr>
          <w:rFonts w:ascii="Times New Roman" w:hAnsi="Times New Roman" w:eastAsia="宋体" w:cs="Times New Roman"/>
          <w:i/>
          <w:iCs/>
          <w:color w:val="222222"/>
          <w:sz w:val="24"/>
          <w:u w:val="none"/>
          <w:shd w:val="clear" w:color="auto" w:fill="FFFFFF"/>
        </w:rPr>
        <w:t>Trends in cognitive sciences</w:t>
      </w:r>
      <w:r>
        <w:rPr>
          <w:rFonts w:ascii="Times New Roman" w:hAnsi="Times New Roman" w:eastAsia="宋体" w:cs="Times New Roman"/>
          <w:color w:val="222222"/>
          <w:sz w:val="24"/>
          <w:u w:val="none"/>
          <w:shd w:val="clear" w:color="auto" w:fill="FFFFFF"/>
        </w:rPr>
        <w:t>, </w:t>
      </w:r>
      <w:r>
        <w:rPr>
          <w:rFonts w:ascii="Times New Roman" w:hAnsi="Times New Roman" w:eastAsia="宋体" w:cs="Times New Roman"/>
          <w:i/>
          <w:iCs/>
          <w:color w:val="222222"/>
          <w:sz w:val="24"/>
          <w:u w:val="none"/>
          <w:shd w:val="clear" w:color="auto" w:fill="FFFFFF"/>
        </w:rPr>
        <w:t>22</w:t>
      </w:r>
      <w:r>
        <w:rPr>
          <w:rFonts w:ascii="Times New Roman" w:hAnsi="Times New Roman" w:eastAsia="宋体" w:cs="Times New Roman"/>
          <w:color w:val="222222"/>
          <w:sz w:val="24"/>
          <w:u w:val="none"/>
          <w:shd w:val="clear" w:color="auto" w:fill="FFFFFF"/>
        </w:rPr>
        <w:t>(10), 896-910.</w:t>
      </w:r>
    </w:p>
    <w:p>
      <w:pPr>
        <w:jc w:val="left"/>
        <w:rPr>
          <w:rFonts w:ascii="Times New Roman" w:hAnsi="Times New Roman" w:cs="Times New Roman"/>
          <w:sz w:val="24"/>
          <w:u w:val="none"/>
        </w:rPr>
      </w:pPr>
    </w:p>
    <w:p>
      <w:pPr>
        <w:numPr>
          <w:ilvl w:val="0"/>
          <w:numId w:val="1"/>
        </w:numPr>
        <w:spacing w:line="360" w:lineRule="auto"/>
        <w:rPr>
          <w:rFonts w:ascii="Times New Roman" w:hAnsi="Times New Roman" w:cs="Times New Roman"/>
          <w:sz w:val="24"/>
          <w:u w:val="none"/>
        </w:rPr>
      </w:pPr>
      <w:r>
        <w:rPr>
          <w:rFonts w:ascii="Times New Roman" w:hAnsi="Times New Roman" w:cs="Times New Roman"/>
          <w:sz w:val="24"/>
          <w:u w:val="none"/>
        </w:rPr>
        <w:t>Lewis, R. D. (2005). Finland, cultural lone wolf. Yarmouth, ME: Intercultural Press.</w:t>
      </w:r>
    </w:p>
    <w:p>
      <w:pPr>
        <w:jc w:val="left"/>
        <w:rPr>
          <w:rFonts w:ascii="Times New Roman" w:hAnsi="Times New Roman" w:eastAsia="Arial" w:cs="Times New Roman"/>
          <w:sz w:val="24"/>
          <w:u w:val="none"/>
          <w:shd w:val="clear" w:color="auto" w:fill="FFFFFF"/>
        </w:rPr>
      </w:pPr>
    </w:p>
    <w:p>
      <w:pPr>
        <w:numPr>
          <w:ilvl w:val="0"/>
          <w:numId w:val="1"/>
        </w:numPr>
        <w:jc w:val="left"/>
        <w:rPr>
          <w:rFonts w:ascii="Times New Roman" w:hAnsi="Times New Roman" w:cs="Times New Roman"/>
          <w:sz w:val="24"/>
          <w:u w:val="none"/>
        </w:rPr>
      </w:pPr>
      <w:r>
        <w:rPr>
          <w:rFonts w:ascii="Times New Roman" w:hAnsi="Times New Roman" w:cs="Times New Roman"/>
          <w:sz w:val="24"/>
          <w:u w:val="none"/>
        </w:rPr>
        <w:t>Littlejohn, S. W., &amp; Foss, K. A. (2009). Encyclopedia of communication theory (Vol. 1). Sage.</w:t>
      </w:r>
    </w:p>
    <w:p>
      <w:pPr>
        <w:jc w:val="left"/>
        <w:rPr>
          <w:rFonts w:ascii="Times New Roman" w:hAnsi="Times New Roman" w:cs="Times New Roman"/>
          <w:sz w:val="24"/>
          <w:u w:val="none"/>
        </w:rPr>
      </w:pPr>
    </w:p>
    <w:p>
      <w:pPr>
        <w:numPr>
          <w:ilvl w:val="0"/>
          <w:numId w:val="1"/>
        </w:numPr>
        <w:jc w:val="left"/>
        <w:rPr>
          <w:rFonts w:ascii="Times New Roman" w:hAnsi="Times New Roman" w:cs="Times New Roman"/>
          <w:sz w:val="24"/>
          <w:u w:val="none"/>
        </w:rPr>
      </w:pPr>
      <w:r>
        <w:rPr>
          <w:rFonts w:ascii="Times New Roman" w:hAnsi="Times New Roman" w:eastAsia="宋体" w:cs="Times New Roman"/>
          <w:color w:val="222222"/>
          <w:sz w:val="24"/>
          <w:u w:val="none"/>
          <w:shd w:val="clear" w:color="auto" w:fill="FFFFFF"/>
        </w:rPr>
        <w:t>Nelson, C., Treichler, P. A., &amp; Grossberg, L. (1992). Cultural studies: An introduction. </w:t>
      </w:r>
      <w:r>
        <w:rPr>
          <w:rFonts w:ascii="Times New Roman" w:hAnsi="Times New Roman" w:eastAsia="宋体" w:cs="Times New Roman"/>
          <w:i/>
          <w:iCs/>
          <w:color w:val="222222"/>
          <w:sz w:val="24"/>
          <w:u w:val="none"/>
          <w:shd w:val="clear" w:color="auto" w:fill="FFFFFF"/>
        </w:rPr>
        <w:t>Cultural studies</w:t>
      </w:r>
      <w:r>
        <w:rPr>
          <w:rFonts w:ascii="Times New Roman" w:hAnsi="Times New Roman" w:eastAsia="宋体" w:cs="Times New Roman"/>
          <w:color w:val="222222"/>
          <w:sz w:val="24"/>
          <w:u w:val="none"/>
          <w:shd w:val="clear" w:color="auto" w:fill="FFFFFF"/>
        </w:rPr>
        <w:t>, </w:t>
      </w:r>
      <w:r>
        <w:rPr>
          <w:rFonts w:ascii="Times New Roman" w:hAnsi="Times New Roman" w:eastAsia="宋体" w:cs="Times New Roman"/>
          <w:i/>
          <w:iCs/>
          <w:color w:val="222222"/>
          <w:sz w:val="24"/>
          <w:u w:val="none"/>
          <w:shd w:val="clear" w:color="auto" w:fill="FFFFFF"/>
        </w:rPr>
        <w:t>1</w:t>
      </w:r>
      <w:r>
        <w:rPr>
          <w:rFonts w:ascii="Times New Roman" w:hAnsi="Times New Roman" w:eastAsia="宋体" w:cs="Times New Roman"/>
          <w:color w:val="222222"/>
          <w:sz w:val="24"/>
          <w:u w:val="none"/>
          <w:shd w:val="clear" w:color="auto" w:fill="FFFFFF"/>
        </w:rPr>
        <w:t>(5), 1-19.</w:t>
      </w:r>
    </w:p>
    <w:p>
      <w:pPr>
        <w:jc w:val="left"/>
        <w:rPr>
          <w:rFonts w:ascii="Times New Roman" w:hAnsi="Times New Roman" w:cs="Times New Roman"/>
          <w:sz w:val="24"/>
          <w:u w:val="none"/>
        </w:rPr>
      </w:pPr>
    </w:p>
    <w:p>
      <w:pPr>
        <w:numPr>
          <w:ilvl w:val="0"/>
          <w:numId w:val="1"/>
        </w:numPr>
        <w:jc w:val="left"/>
        <w:rPr>
          <w:rFonts w:ascii="Times New Roman" w:hAnsi="Times New Roman" w:cs="Times New Roman"/>
          <w:sz w:val="24"/>
          <w:u w:val="none"/>
        </w:rPr>
      </w:pPr>
      <w:r>
        <w:rPr>
          <w:rFonts w:ascii="Times New Roman" w:hAnsi="Times New Roman" w:cs="Times New Roman"/>
          <w:sz w:val="24"/>
          <w:u w:val="none"/>
        </w:rPr>
        <w:t>Okoro, E. (2012). Cross-cultural etiquette and communication in global business: Toward a strategic framework for managing corporate expansion. International journal of business and management, 7(16), 130.</w:t>
      </w:r>
    </w:p>
    <w:p>
      <w:pPr>
        <w:jc w:val="left"/>
        <w:rPr>
          <w:rFonts w:ascii="Times New Roman" w:hAnsi="Times New Roman" w:cs="Times New Roman"/>
          <w:sz w:val="24"/>
          <w:u w:val="none"/>
        </w:rPr>
      </w:pPr>
    </w:p>
    <w:p>
      <w:pPr>
        <w:numPr>
          <w:ilvl w:val="0"/>
          <w:numId w:val="1"/>
        </w:numPr>
        <w:jc w:val="left"/>
        <w:rPr>
          <w:rFonts w:ascii="Times New Roman" w:hAnsi="Times New Roman" w:cs="Times New Roman"/>
          <w:sz w:val="24"/>
          <w:u w:val="none"/>
        </w:rPr>
      </w:pPr>
      <w:r>
        <w:rPr>
          <w:rFonts w:ascii="Times New Roman" w:hAnsi="Times New Roman" w:cs="Times New Roman"/>
          <w:sz w:val="24"/>
          <w:u w:val="none"/>
        </w:rPr>
        <w:t xml:space="preserve">Patel, F., Li, M. and Sooknanan, P. 2011. Intercultural Communication in the Global Workplace. In: 2011. Intercultural Communication: Building a Global Community, New Delhi: SAGE Publications India Pvt Ltd. pp. 90-112 Available at: </w:t>
      </w:r>
      <w:r>
        <w:rPr>
          <w:rFonts w:ascii="Times New Roman" w:hAnsi="Times New Roman" w:cs="Times New Roman"/>
          <w:color w:val="5B9BD5" w:themeColor="accent1"/>
          <w:sz w:val="24"/>
          <w14:textFill>
            <w14:solidFill>
              <w14:schemeClr w14:val="accent1"/>
            </w14:solidFill>
          </w14:textFill>
        </w:rPr>
        <w:t>&lt;http://www.doi.org.ezproxy.uwtsd.ac.uk/10.4135/9781446270318.n6&gt;</w:t>
      </w:r>
      <w:r>
        <w:rPr>
          <w:rFonts w:ascii="Times New Roman" w:hAnsi="Times New Roman" w:cs="Times New Roman"/>
          <w:sz w:val="24"/>
          <w:u w:val="none"/>
        </w:rPr>
        <w:t xml:space="preserve"> [Accessed 8 December 2021]</w:t>
      </w:r>
    </w:p>
    <w:p>
      <w:pPr>
        <w:jc w:val="left"/>
        <w:rPr>
          <w:rFonts w:ascii="Times New Roman" w:hAnsi="Times New Roman" w:cs="Times New Roman"/>
          <w:sz w:val="24"/>
          <w:u w:val="none"/>
        </w:rPr>
      </w:pPr>
    </w:p>
    <w:p>
      <w:pPr>
        <w:numPr>
          <w:ilvl w:val="0"/>
          <w:numId w:val="1"/>
        </w:numPr>
        <w:jc w:val="left"/>
        <w:rPr>
          <w:rFonts w:ascii="Times New Roman" w:hAnsi="Times New Roman" w:cs="Times New Roman"/>
          <w:sz w:val="24"/>
          <w:u w:val="none"/>
        </w:rPr>
      </w:pPr>
      <w:r>
        <w:rPr>
          <w:rFonts w:ascii="Times New Roman" w:hAnsi="Times New Roman" w:cs="Times New Roman"/>
          <w:sz w:val="24"/>
          <w:u w:val="none"/>
        </w:rPr>
        <w:t>Samovar, L. A., Porter, R. E., McDaniel, E. R., &amp; Roy, C. S. (2014). Intercultural communication: A reader. Cengage Learning.</w:t>
      </w:r>
    </w:p>
    <w:p>
      <w:pPr>
        <w:jc w:val="left"/>
        <w:rPr>
          <w:rFonts w:ascii="Times New Roman" w:hAnsi="Times New Roman" w:cs="Times New Roman"/>
          <w:sz w:val="24"/>
          <w:u w:val="none"/>
        </w:rPr>
      </w:pPr>
    </w:p>
    <w:p>
      <w:pPr>
        <w:numPr>
          <w:ilvl w:val="0"/>
          <w:numId w:val="1"/>
        </w:numPr>
        <w:jc w:val="left"/>
        <w:rPr>
          <w:rFonts w:ascii="Times New Roman" w:hAnsi="Times New Roman" w:cs="Times New Roman"/>
          <w:sz w:val="24"/>
          <w:u w:val="none"/>
        </w:rPr>
      </w:pPr>
      <w:r>
        <w:rPr>
          <w:rFonts w:ascii="Times New Roman" w:hAnsi="Times New Roman" w:cs="Times New Roman"/>
          <w:sz w:val="24"/>
          <w:u w:val="none"/>
        </w:rPr>
        <w:t>Shenkar, O., Luo, Y., &amp; Chi, T. (2014). International business. Routledge.</w:t>
      </w:r>
    </w:p>
    <w:p>
      <w:pPr>
        <w:jc w:val="left"/>
        <w:rPr>
          <w:rFonts w:ascii="Times New Roman" w:hAnsi="Times New Roman" w:cs="Times New Roman"/>
          <w:sz w:val="24"/>
          <w:u w:val="none"/>
        </w:rPr>
      </w:pPr>
    </w:p>
    <w:p>
      <w:pPr>
        <w:numPr>
          <w:ilvl w:val="0"/>
          <w:numId w:val="1"/>
        </w:numPr>
        <w:jc w:val="left"/>
        <w:rPr>
          <w:rFonts w:ascii="Times New Roman" w:hAnsi="Times New Roman" w:eastAsia="Arial" w:cs="Times New Roman"/>
          <w:sz w:val="24"/>
          <w:u w:val="none"/>
          <w:shd w:val="clear" w:color="auto" w:fill="FFFFFF"/>
        </w:rPr>
      </w:pPr>
      <w:r>
        <w:rPr>
          <w:rFonts w:ascii="Times New Roman" w:hAnsi="Times New Roman" w:eastAsia="Arial" w:cs="Times New Roman"/>
          <w:sz w:val="24"/>
          <w:u w:val="none"/>
          <w:shd w:val="clear" w:color="auto" w:fill="FFFFFF"/>
        </w:rPr>
        <w:t xml:space="preserve">Sorrells, K. and Sekimoto, S </w:t>
      </w:r>
      <w:r>
        <w:rPr>
          <w:rFonts w:ascii="Times New Roman" w:hAnsi="Times New Roman" w:eastAsia="宋体" w:cs="Times New Roman"/>
          <w:sz w:val="24"/>
          <w:u w:val="none"/>
          <w:shd w:val="clear" w:color="auto" w:fill="FFFFFF"/>
        </w:rPr>
        <w:t>(</w:t>
      </w:r>
      <w:r>
        <w:rPr>
          <w:rFonts w:ascii="Times New Roman" w:hAnsi="Times New Roman" w:eastAsia="Arial" w:cs="Times New Roman"/>
          <w:sz w:val="24"/>
          <w:u w:val="none"/>
          <w:shd w:val="clear" w:color="auto" w:fill="FFFFFF"/>
        </w:rPr>
        <w:t>2016</w:t>
      </w:r>
      <w:r>
        <w:rPr>
          <w:rFonts w:ascii="Times New Roman" w:hAnsi="Times New Roman" w:eastAsia="宋体" w:cs="Times New Roman"/>
          <w:sz w:val="24"/>
          <w:u w:val="none"/>
          <w:shd w:val="clear" w:color="auto" w:fill="FFFFFF"/>
        </w:rPr>
        <w:t>)</w:t>
      </w:r>
      <w:r>
        <w:rPr>
          <w:rFonts w:ascii="Times New Roman" w:hAnsi="Times New Roman" w:eastAsia="Arial" w:cs="Times New Roman"/>
          <w:sz w:val="24"/>
          <w:u w:val="none"/>
          <w:shd w:val="clear" w:color="auto" w:fill="FFFFFF"/>
        </w:rPr>
        <w:t> </w:t>
      </w:r>
      <w:r>
        <w:rPr>
          <w:rStyle w:val="10"/>
          <w:rFonts w:ascii="Times New Roman" w:hAnsi="Times New Roman" w:eastAsia="Arial" w:cs="Times New Roman"/>
          <w:sz w:val="24"/>
          <w:u w:val="none"/>
          <w:shd w:val="clear" w:color="auto" w:fill="FFFFFF"/>
        </w:rPr>
        <w:t>Globalizing Intercultural Communication: A Reader</w:t>
      </w:r>
      <w:r>
        <w:rPr>
          <w:rFonts w:ascii="Times New Roman" w:hAnsi="Times New Roman" w:eastAsia="Arial" w:cs="Times New Roman"/>
          <w:sz w:val="24"/>
          <w:u w:val="none"/>
          <w:shd w:val="clear" w:color="auto" w:fill="FFFFFF"/>
        </w:rPr>
        <w:t>. Thousand Oaks, CA: SAGE Publications, Inc. Available at: &lt;</w:t>
      </w:r>
      <w:r>
        <w:rPr>
          <w:rFonts w:ascii="Times New Roman" w:hAnsi="Times New Roman" w:eastAsia="Arial" w:cs="Times New Roman"/>
          <w:color w:val="5B9BD5" w:themeColor="accent1"/>
          <w:sz w:val="24"/>
          <w:shd w:val="clear" w:color="auto" w:fill="FFFFFF"/>
          <w14:textFill>
            <w14:solidFill>
              <w14:schemeClr w14:val="accent1"/>
            </w14:solidFill>
          </w14:textFill>
        </w:rPr>
        <w:t>http://www.doi.org.ezproxy.uwtsd.ac.uk/10.4135/9781483399164</w:t>
      </w:r>
      <w:r>
        <w:rPr>
          <w:rFonts w:ascii="Times New Roman" w:hAnsi="Times New Roman" w:eastAsia="Arial" w:cs="Times New Roman"/>
          <w:sz w:val="24"/>
          <w:u w:val="none"/>
          <w:shd w:val="clear" w:color="auto" w:fill="FFFFFF"/>
        </w:rPr>
        <w:t>&gt; .</w:t>
      </w:r>
      <w:r>
        <w:rPr>
          <w:rFonts w:ascii="Times New Roman" w:hAnsi="Times New Roman" w:cs="Times New Roman"/>
          <w:sz w:val="24"/>
          <w:u w:val="none"/>
        </w:rPr>
        <w:t>[Accessed 14 December 2021]</w:t>
      </w:r>
    </w:p>
    <w:p>
      <w:pPr>
        <w:jc w:val="left"/>
        <w:rPr>
          <w:rFonts w:ascii="Times New Roman" w:hAnsi="Times New Roman" w:eastAsia="Arial" w:cs="Times New Roman"/>
          <w:sz w:val="24"/>
          <w:u w:val="none"/>
          <w:shd w:val="clear" w:color="auto" w:fill="FFFFFF"/>
        </w:rPr>
      </w:pPr>
    </w:p>
    <w:p>
      <w:pPr>
        <w:numPr>
          <w:ilvl w:val="0"/>
          <w:numId w:val="1"/>
        </w:numPr>
        <w:jc w:val="left"/>
        <w:rPr>
          <w:rFonts w:ascii="Times New Roman" w:hAnsi="Times New Roman" w:cs="Times New Roman"/>
          <w:sz w:val="24"/>
          <w:u w:val="none"/>
        </w:rPr>
      </w:pPr>
      <w:r>
        <w:rPr>
          <w:rFonts w:ascii="Times New Roman" w:hAnsi="Times New Roman" w:eastAsia="宋体" w:cs="Times New Roman"/>
          <w:color w:val="222222"/>
          <w:sz w:val="24"/>
          <w:u w:val="none"/>
          <w:shd w:val="clear" w:color="auto" w:fill="FFFFFF"/>
        </w:rPr>
        <w:t>Swope, M. J., &amp; Katzer, J. (1972). The silent majority: Why don't they ask questions?. </w:t>
      </w:r>
      <w:r>
        <w:rPr>
          <w:rFonts w:ascii="Times New Roman" w:hAnsi="Times New Roman" w:eastAsia="宋体" w:cs="Times New Roman"/>
          <w:i/>
          <w:iCs/>
          <w:color w:val="222222"/>
          <w:sz w:val="24"/>
          <w:u w:val="none"/>
          <w:shd w:val="clear" w:color="auto" w:fill="FFFFFF"/>
        </w:rPr>
        <w:t>RQ</w:t>
      </w:r>
      <w:r>
        <w:rPr>
          <w:rFonts w:ascii="Times New Roman" w:hAnsi="Times New Roman" w:eastAsia="宋体" w:cs="Times New Roman"/>
          <w:color w:val="222222"/>
          <w:sz w:val="24"/>
          <w:u w:val="none"/>
          <w:shd w:val="clear" w:color="auto" w:fill="FFFFFF"/>
        </w:rPr>
        <w:t>, 161-166.</w:t>
      </w:r>
    </w:p>
    <w:p>
      <w:pPr>
        <w:jc w:val="left"/>
        <w:rPr>
          <w:rFonts w:ascii="Times New Roman" w:hAnsi="Times New Roman" w:cs="Times New Roman"/>
          <w:sz w:val="24"/>
          <w:u w:val="none"/>
        </w:rPr>
      </w:pPr>
    </w:p>
    <w:p>
      <w:pPr>
        <w:keepLines/>
        <w:widowControl/>
        <w:numPr>
          <w:ilvl w:val="0"/>
          <w:numId w:val="1"/>
        </w:numPr>
        <w:wordWrap w:val="0"/>
        <w:topLinePunct/>
        <w:spacing w:line="360" w:lineRule="auto"/>
        <w:rPr>
          <w:rFonts w:ascii="Times New Roman" w:hAnsi="Times New Roman" w:cs="Times New Roman"/>
          <w:sz w:val="24"/>
          <w:u w:val="none"/>
        </w:rPr>
      </w:pPr>
      <w:r>
        <w:rPr>
          <w:rFonts w:ascii="Times New Roman" w:hAnsi="Times New Roman" w:cs="Times New Roman"/>
          <w:sz w:val="24"/>
          <w:u w:val="none"/>
        </w:rPr>
        <w:t xml:space="preserve">ThisisFINLAND，(2021) </w:t>
      </w:r>
      <w:r>
        <w:rPr>
          <w:rFonts w:ascii="Times New Roman" w:hAnsi="Times New Roman" w:cs="Times New Roman"/>
          <w:i/>
          <w:iCs/>
          <w:sz w:val="24"/>
          <w:u w:val="none"/>
        </w:rPr>
        <w:t xml:space="preserve">A GUIDE TO FINNISH CUSTOMS AND MANNERS. </w:t>
      </w:r>
      <w:r>
        <w:rPr>
          <w:rFonts w:ascii="Times New Roman" w:hAnsi="Times New Roman" w:cs="Times New Roman"/>
          <w:sz w:val="24"/>
          <w:u w:val="none"/>
        </w:rPr>
        <w:t>[Online]. Available at: &lt;</w:t>
      </w:r>
      <w:r>
        <w:rPr>
          <w:rFonts w:ascii="Times New Roman" w:hAnsi="Times New Roman" w:cs="Times New Roman"/>
          <w:color w:val="5B9BD5" w:themeColor="accent1"/>
          <w:sz w:val="24"/>
          <w14:textFill>
            <w14:solidFill>
              <w14:schemeClr w14:val="accent1"/>
            </w14:solidFill>
          </w14:textFill>
        </w:rPr>
        <w:t>https://finland.fi/life-society/a-guide-to-finnish-customs-and-manners/</w:t>
      </w:r>
      <w:r>
        <w:rPr>
          <w:rFonts w:ascii="Times New Roman" w:hAnsi="Times New Roman" w:cs="Times New Roman"/>
          <w:sz w:val="24"/>
          <w:u w:val="none"/>
        </w:rPr>
        <w:t>&gt;[Accessed 15 December 2021]</w:t>
      </w:r>
    </w:p>
    <w:p>
      <w:pPr>
        <w:jc w:val="left"/>
        <w:rPr>
          <w:rFonts w:ascii="Times New Roman" w:hAnsi="Times New Roman" w:eastAsia="Arial" w:cs="Times New Roman"/>
          <w:sz w:val="24"/>
          <w:u w:val="none"/>
          <w:shd w:val="clear" w:color="auto" w:fill="FFFFFF"/>
        </w:rPr>
      </w:pPr>
    </w:p>
    <w:p>
      <w:pPr>
        <w:numPr>
          <w:ilvl w:val="0"/>
          <w:numId w:val="1"/>
        </w:numPr>
        <w:jc w:val="left"/>
        <w:rPr>
          <w:rFonts w:ascii="Times New Roman" w:hAnsi="Times New Roman" w:cs="Times New Roman"/>
          <w:sz w:val="24"/>
          <w:u w:val="none"/>
        </w:rPr>
      </w:pPr>
      <w:r>
        <w:rPr>
          <w:rFonts w:ascii="Times New Roman" w:hAnsi="Times New Roman" w:cs="Times New Roman"/>
          <w:sz w:val="24"/>
          <w:u w:val="none"/>
        </w:rPr>
        <w:t>Wilson, J. F. (1995). British business history, 1720-1994. Manchester University Press.</w:t>
      </w:r>
    </w:p>
    <w:p>
      <w:pPr>
        <w:spacing w:line="360" w:lineRule="auto"/>
        <w:rPr>
          <w:rFonts w:ascii="Times New Roman" w:hAnsi="Times New Roman" w:cs="Times New Roman"/>
          <w:sz w:val="24"/>
          <w:u w:val="none"/>
        </w:rPr>
      </w:pPr>
    </w:p>
    <w:p>
      <w:pPr>
        <w:keepLines/>
        <w:widowControl/>
        <w:numPr>
          <w:ilvl w:val="0"/>
          <w:numId w:val="1"/>
        </w:numPr>
        <w:wordWrap w:val="0"/>
        <w:topLinePunct/>
        <w:jc w:val="left"/>
        <w:rPr>
          <w:rFonts w:ascii="Times New Roman" w:hAnsi="Times New Roman" w:cs="Times New Roman"/>
          <w:sz w:val="24"/>
          <w:u w:val="none"/>
        </w:rPr>
      </w:pPr>
      <w:r>
        <w:rPr>
          <w:rFonts w:ascii="Times New Roman" w:hAnsi="Times New Roman" w:cs="Times New Roman"/>
          <w:sz w:val="24"/>
          <w:u w:val="none"/>
        </w:rPr>
        <w:t xml:space="preserve">Wang, C (2015) </w:t>
      </w:r>
      <w:r>
        <w:rPr>
          <w:rFonts w:ascii="Times New Roman" w:hAnsi="Times New Roman" w:cs="Times New Roman"/>
          <w:i/>
          <w:iCs/>
          <w:sz w:val="24"/>
          <w:u w:val="none"/>
        </w:rPr>
        <w:t>The gap and communication strategies in high-context and low-context</w:t>
      </w:r>
      <w:r>
        <w:rPr>
          <w:rFonts w:ascii="Times New Roman" w:hAnsi="Times New Roman" w:cs="Times New Roman"/>
          <w:sz w:val="24"/>
          <w:u w:val="none"/>
        </w:rPr>
        <w:t>.  [Online]. Available at: &lt;</w:t>
      </w:r>
      <w:r>
        <w:rPr>
          <w:rFonts w:ascii="Times New Roman" w:hAnsi="Times New Roman" w:cs="Times New Roman"/>
          <w:color w:val="5B9BD5" w:themeColor="accent1"/>
          <w:sz w:val="24"/>
          <w14:textFill>
            <w14:solidFill>
              <w14:schemeClr w14:val="accent1"/>
            </w14:solidFill>
          </w14:textFill>
        </w:rPr>
        <w:t>http://media.people.com.cn/n/2015/0105/c392205-26327396.html</w:t>
      </w:r>
      <w:r>
        <w:rPr>
          <w:rFonts w:ascii="Times New Roman" w:hAnsi="Times New Roman" w:cs="Times New Roman"/>
          <w:sz w:val="24"/>
          <w:u w:val="none"/>
        </w:rPr>
        <w:t>&gt;[Accessed 15 December 2021]</w:t>
      </w:r>
    </w:p>
    <w:p>
      <w:pPr>
        <w:wordWrap w:val="0"/>
        <w:spacing w:line="360" w:lineRule="auto"/>
        <w:rPr>
          <w:rFonts w:ascii="Times New Roman" w:hAnsi="Times New Roman" w:cs="Times New Roman"/>
          <w:sz w:val="24"/>
          <w:u w:val="none"/>
        </w:rPr>
      </w:pPr>
    </w:p>
    <w:p>
      <w:pPr>
        <w:spacing w:line="360" w:lineRule="auto"/>
        <w:rPr>
          <w:rFonts w:ascii="Times New Roman" w:hAnsi="Times New Roman" w:cs="Times New Roman"/>
          <w:sz w:val="24"/>
        </w:rPr>
      </w:pPr>
    </w:p>
    <w:p>
      <w:pPr>
        <w:jc w:val="left"/>
        <w:rPr>
          <w:rFonts w:ascii="Times New Roman" w:hAnsi="Times New Roman" w:eastAsia="宋体" w:cs="Times New Roman"/>
          <w:color w:val="222222"/>
          <w:sz w:val="24"/>
          <w:u w:val="none"/>
          <w:shd w:val="clear" w:color="auto" w:fill="FFFFFF"/>
        </w:rPr>
      </w:pPr>
    </w:p>
    <w:p>
      <w:pPr>
        <w:jc w:val="left"/>
        <w:rPr>
          <w:rFonts w:ascii="Times New Roman" w:hAnsi="Times New Roman" w:cs="Times New Roman"/>
          <w:b/>
          <w:bCs/>
          <w:sz w:val="24"/>
          <w:u w:val="none"/>
        </w:rPr>
      </w:pPr>
    </w:p>
    <w:p>
      <w:pPr>
        <w:jc w:val="left"/>
        <w:rPr>
          <w:rFonts w:ascii="Times New Roman Bold" w:hAnsi="Times New Roman Bold" w:cs="Times New Roman Bold"/>
          <w:sz w:val="30"/>
          <w:szCs w:val="30"/>
        </w:rPr>
      </w:pPr>
    </w:p>
    <w:p>
      <w:pPr>
        <w:jc w:val="left"/>
        <w:rPr>
          <w:rFonts w:ascii="Times New Roman" w:hAnsi="Times New Roman" w:cs="Times New Roman"/>
          <w:b/>
          <w:bCs/>
          <w:sz w:val="24"/>
          <w:u w:val="none"/>
        </w:rPr>
      </w:pPr>
    </w:p>
    <w:sectPr>
      <w:pgSz w:w="11906" w:h="16838"/>
      <w:pgMar w:top="1157" w:right="1746" w:bottom="1157" w:left="1746"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imes New Roman Regular">
    <w:altName w:val="Times New Roman"/>
    <w:panose1 w:val="00000000000000000000"/>
    <w:charset w:val="00"/>
    <w:family w:val="auto"/>
    <w:pitch w:val="default"/>
    <w:sig w:usb0="00000000" w:usb1="00000000" w:usb2="00000009" w:usb3="00000000" w:csb0="400001FF" w:csb1="FFFF0000"/>
  </w:font>
  <w:font w:name="Times New Roman Bold">
    <w:altName w:val="Times New Roman"/>
    <w:panose1 w:val="02020803070505020304"/>
    <w:charset w:val="00"/>
    <w:family w:val="auto"/>
    <w:pitch w:val="default"/>
    <w:sig w:usb0="00000000" w:usb1="00000000"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8E0B641"/>
    <w:multiLevelType w:val="singleLevel"/>
    <w:tmpl w:val="78E0B641"/>
    <w:lvl w:ilvl="0" w:tentative="0">
      <w:start w:val="1"/>
      <w:numFmt w:val="decimal"/>
      <w:lvlText w:val="%1."/>
      <w:lvlJc w:val="left"/>
      <w:pPr>
        <w:ind w:left="425" w:hanging="425"/>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2A27"/>
    <w:rsid w:val="000F05C3"/>
    <w:rsid w:val="00172A27"/>
    <w:rsid w:val="001F3EE1"/>
    <w:rsid w:val="00220A02"/>
    <w:rsid w:val="08893A75"/>
    <w:rsid w:val="0A1D5DD1"/>
    <w:rsid w:val="14780A94"/>
    <w:rsid w:val="1A8F7490"/>
    <w:rsid w:val="21360B44"/>
    <w:rsid w:val="22C00CF5"/>
    <w:rsid w:val="25CA5365"/>
    <w:rsid w:val="3C3446E2"/>
    <w:rsid w:val="425475AD"/>
    <w:rsid w:val="4D132868"/>
    <w:rsid w:val="4EB3001E"/>
    <w:rsid w:val="545216FF"/>
    <w:rsid w:val="5F1335C9"/>
    <w:rsid w:val="614B44EA"/>
    <w:rsid w:val="62450D7D"/>
    <w:rsid w:val="63F4269F"/>
    <w:rsid w:val="66D73FA3"/>
    <w:rsid w:val="6B496CED"/>
    <w:rsid w:val="708C66D4"/>
    <w:rsid w:val="7325524A"/>
    <w:rsid w:val="7404122E"/>
    <w:rsid w:val="7B207C69"/>
    <w:rsid w:val="7F01767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qFormat="1"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u w:val="single"/>
      <w:lang w:val="en-US" w:eastAsia="zh-CN" w:bidi="ar-SA"/>
    </w:rPr>
  </w:style>
  <w:style w:type="paragraph" w:styleId="2">
    <w:name w:val="heading 1"/>
    <w:basedOn w:val="1"/>
    <w:next w:val="1"/>
    <w:qFormat/>
    <w:uiPriority w:val="0"/>
    <w:pPr>
      <w:spacing w:beforeAutospacing="1" w:afterAutospacing="1"/>
      <w:jc w:val="left"/>
      <w:outlineLvl w:val="0"/>
    </w:pPr>
    <w:rPr>
      <w:rFonts w:hint="eastAsia" w:ascii="宋体" w:hAnsi="宋体" w:eastAsia="宋体" w:cs="Times New Roman"/>
      <w:b/>
      <w:bCs/>
      <w:kern w:val="44"/>
      <w:sz w:val="48"/>
      <w:szCs w:val="48"/>
    </w:rPr>
  </w:style>
  <w:style w:type="paragraph" w:styleId="3">
    <w:name w:val="heading 2"/>
    <w:basedOn w:val="1"/>
    <w:next w:val="1"/>
    <w:semiHidden/>
    <w:unhideWhenUsed/>
    <w:qFormat/>
    <w:uiPriority w:val="0"/>
    <w:pPr>
      <w:spacing w:beforeAutospacing="1" w:afterAutospacing="1"/>
      <w:jc w:val="left"/>
      <w:outlineLvl w:val="1"/>
    </w:pPr>
    <w:rPr>
      <w:rFonts w:hint="eastAsia" w:ascii="宋体" w:hAnsi="宋体" w:eastAsia="宋体" w:cs="Times New Roman"/>
      <w:b/>
      <w:bCs/>
      <w:kern w:val="0"/>
      <w:sz w:val="36"/>
      <w:szCs w:val="36"/>
    </w:rPr>
  </w:style>
  <w:style w:type="paragraph" w:styleId="4">
    <w:name w:val="heading 3"/>
    <w:basedOn w:val="1"/>
    <w:next w:val="1"/>
    <w:semiHidden/>
    <w:unhideWhenUsed/>
    <w:qFormat/>
    <w:uiPriority w:val="0"/>
    <w:pPr>
      <w:spacing w:beforeAutospacing="1" w:afterAutospacing="1"/>
      <w:jc w:val="left"/>
      <w:outlineLvl w:val="2"/>
    </w:pPr>
    <w:rPr>
      <w:rFonts w:hint="eastAsia" w:ascii="宋体" w:hAnsi="宋体" w:eastAsia="宋体" w:cs="Times New Roman"/>
      <w:b/>
      <w:bCs/>
      <w:kern w:val="0"/>
      <w:sz w:val="27"/>
      <w:szCs w:val="27"/>
    </w:rPr>
  </w:style>
  <w:style w:type="character" w:default="1" w:styleId="8">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5">
    <w:name w:val="Normal (Web)"/>
    <w:basedOn w:val="1"/>
    <w:qFormat/>
    <w:uiPriority w:val="0"/>
    <w:pPr>
      <w:spacing w:beforeAutospacing="1" w:afterAutospacing="1"/>
      <w:jc w:val="left"/>
    </w:pPr>
    <w:rPr>
      <w:rFonts w:cs="Times New Roman"/>
      <w:kern w:val="0"/>
      <w:sz w:val="24"/>
    </w:rPr>
  </w:style>
  <w:style w:type="table" w:styleId="7">
    <w:name w:val="Table Grid"/>
    <w:basedOn w:val="6"/>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9">
    <w:name w:val="Strong"/>
    <w:basedOn w:val="8"/>
    <w:qFormat/>
    <w:uiPriority w:val="0"/>
    <w:rPr>
      <w:b/>
    </w:rPr>
  </w:style>
  <w:style w:type="character" w:styleId="10">
    <w:name w:val="Emphasis"/>
    <w:basedOn w:val="8"/>
    <w:qFormat/>
    <w:uiPriority w:val="0"/>
    <w:rPr>
      <w:i/>
    </w:rPr>
  </w:style>
  <w:style w:type="character" w:styleId="11">
    <w:name w:val="Hyperlink"/>
    <w:basedOn w:val="8"/>
    <w:qFormat/>
    <w:uiPriority w:val="0"/>
    <w:rPr>
      <w:color w:val="0000FF"/>
      <w:u w:val="single"/>
    </w:rPr>
  </w:style>
  <w:style w:type="paragraph" w:customStyle="1" w:styleId="12">
    <w:name w:val="List Paragraph1"/>
    <w:basedOn w:val="1"/>
    <w:qFormat/>
    <w:uiPriority w:val="99"/>
    <w:pPr>
      <w:ind w:firstLine="420" w:firstLineChars="200"/>
    </w:p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14</Pages>
  <Words>3445</Words>
  <Characters>19640</Characters>
  <Lines>163</Lines>
  <Paragraphs>46</Paragraphs>
  <TotalTime>11</TotalTime>
  <ScaleCrop>false</ScaleCrop>
  <LinksUpToDate>false</LinksUpToDate>
  <CharactersWithSpaces>23039</CharactersWithSpaces>
  <Application>WPS Office_11.1.0.11115_F1E327BC-269C-435d-A152-05C5408002CA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2021-12-20T12:47:00Z</dcterms:created>
  <dc:creator>幕盯丁木</dc:creator>
  <cp:lastModifiedBy>幕盯丁木</cp:lastModifiedBy>
  <dcterms:modified xsi:type="dcterms:W3CDTF">2022-01-06T08:29:20Z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2052-11.1.0.11115</vt:lpwstr>
  </property>
  <property fmtid="{D5CDD505-2E9C-101B-9397-08002B2CF9AE}" pid="3" name="ICV">
    <vt:lpwstr>47ABC664F5844B26BC71A29D2806A903</vt:lpwstr>
  </property>
</Properties>
</file>