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8BBE16" w14:textId="437B3361" w:rsidR="006B336C" w:rsidRPr="002E19DF" w:rsidRDefault="002E19DF" w:rsidP="002E19DF">
      <w:pPr>
        <w:jc w:val="center"/>
        <w:rPr>
          <w:rFonts w:ascii="Times New Roman" w:hAnsi="Times New Roman" w:cs="Times New Roman"/>
          <w:b/>
          <w:bCs/>
          <w:color w:val="000000"/>
          <w:kern w:val="0"/>
          <w:sz w:val="48"/>
          <w:szCs w:val="48"/>
        </w:rPr>
      </w:pPr>
      <w:r w:rsidRPr="002E19DF">
        <w:rPr>
          <w:rFonts w:ascii="Times New Roman" w:hAnsi="Times New Roman" w:cs="Times New Roman"/>
          <w:b/>
          <w:bCs/>
          <w:color w:val="000000"/>
          <w:kern w:val="0"/>
          <w:sz w:val="48"/>
          <w:szCs w:val="48"/>
        </w:rPr>
        <w:t>Strategic Management and Sustainability</w:t>
      </w:r>
    </w:p>
    <w:p w14:paraId="465D084D" w14:textId="77777777" w:rsidR="002E19DF" w:rsidRDefault="002E19DF">
      <w:pPr>
        <w:rPr>
          <w:rFonts w:ascii="Arial" w:hAnsi="Arial" w:cs="Arial"/>
          <w:b/>
          <w:bCs/>
          <w:color w:val="000000"/>
          <w:kern w:val="0"/>
          <w:sz w:val="22"/>
          <w:szCs w:val="22"/>
        </w:rPr>
      </w:pPr>
    </w:p>
    <w:p w14:paraId="7A6A9CAD" w14:textId="77777777" w:rsidR="002E19DF" w:rsidRDefault="002E19DF"/>
    <w:p w14:paraId="5DC95C87" w14:textId="77777777" w:rsidR="002E19DF" w:rsidRDefault="002E19DF"/>
    <w:p w14:paraId="4FF3A6FB" w14:textId="77777777" w:rsidR="002E19DF" w:rsidRDefault="002E19DF"/>
    <w:p w14:paraId="7A169DCD" w14:textId="77777777" w:rsidR="002E19DF" w:rsidRDefault="002E19DF"/>
    <w:p w14:paraId="248203F2" w14:textId="77777777" w:rsidR="002E19DF" w:rsidRDefault="002E19DF"/>
    <w:p w14:paraId="27CBD69C" w14:textId="77777777" w:rsidR="002E19DF" w:rsidRDefault="002E19DF"/>
    <w:p w14:paraId="39CF9ABA" w14:textId="77777777" w:rsidR="002E19DF" w:rsidRDefault="002E19DF"/>
    <w:p w14:paraId="0FAE73BF" w14:textId="77777777" w:rsidR="002E19DF" w:rsidRDefault="002E19DF"/>
    <w:p w14:paraId="05192F7E" w14:textId="77777777" w:rsidR="002E19DF" w:rsidRDefault="002E19DF"/>
    <w:p w14:paraId="500C6693" w14:textId="77777777" w:rsidR="002E19DF" w:rsidRDefault="002E19DF"/>
    <w:p w14:paraId="41769512" w14:textId="77777777" w:rsidR="002E19DF" w:rsidRDefault="002E19DF"/>
    <w:p w14:paraId="5D4EA0C5" w14:textId="77777777" w:rsidR="002E19DF" w:rsidRDefault="002E19DF"/>
    <w:p w14:paraId="7300843E" w14:textId="77777777" w:rsidR="002E19DF" w:rsidRDefault="002E19DF"/>
    <w:p w14:paraId="69220270" w14:textId="77777777" w:rsidR="002E19DF" w:rsidRDefault="002E19DF"/>
    <w:p w14:paraId="027A1D8F" w14:textId="77777777" w:rsidR="002E19DF" w:rsidRDefault="002E19DF"/>
    <w:p w14:paraId="462B4CD2" w14:textId="77777777" w:rsidR="002E19DF" w:rsidRDefault="002E19DF"/>
    <w:p w14:paraId="51301CA2" w14:textId="77777777" w:rsidR="002E19DF" w:rsidRDefault="002E19DF"/>
    <w:p w14:paraId="24797595" w14:textId="77777777" w:rsidR="002E19DF" w:rsidRPr="002E19DF" w:rsidRDefault="002E19DF">
      <w:pPr>
        <w:rPr>
          <w:rFonts w:ascii="Times New Roman" w:hAnsi="Times New Roman" w:cs="Times New Roman"/>
        </w:rPr>
      </w:pPr>
    </w:p>
    <w:p w14:paraId="47ECA2B5" w14:textId="77777777" w:rsidR="002E19DF" w:rsidRPr="002E19DF" w:rsidRDefault="002E19DF">
      <w:pPr>
        <w:rPr>
          <w:rFonts w:ascii="Times New Roman" w:hAnsi="Times New Roman" w:cs="Times New Roman"/>
        </w:rPr>
      </w:pPr>
    </w:p>
    <w:p w14:paraId="029AB9D5" w14:textId="77777777" w:rsidR="002E19DF" w:rsidRPr="002E19DF" w:rsidRDefault="002E19DF" w:rsidP="002E19DF">
      <w:pPr>
        <w:rPr>
          <w:rFonts w:ascii="Times New Roman" w:hAnsi="Times New Roman" w:cs="Times New Roman"/>
        </w:rPr>
      </w:pPr>
      <w:r w:rsidRPr="002E19DF">
        <w:rPr>
          <w:rFonts w:ascii="Times New Roman" w:hAnsi="Times New Roman" w:cs="Times New Roman"/>
        </w:rPr>
        <w:t>Student name: Mihaela Ruxandra Iancu</w:t>
      </w:r>
    </w:p>
    <w:p w14:paraId="04D7D3DC" w14:textId="77777777" w:rsidR="002E19DF" w:rsidRPr="002E19DF" w:rsidRDefault="002E19DF" w:rsidP="002E19DF">
      <w:pPr>
        <w:rPr>
          <w:rFonts w:ascii="Times New Roman" w:hAnsi="Times New Roman" w:cs="Times New Roman"/>
        </w:rPr>
      </w:pPr>
    </w:p>
    <w:p w14:paraId="66E74A3B" w14:textId="77777777" w:rsidR="002E19DF" w:rsidRPr="002E19DF" w:rsidRDefault="002E19DF" w:rsidP="002E19DF">
      <w:pPr>
        <w:rPr>
          <w:rFonts w:ascii="Times New Roman" w:hAnsi="Times New Roman" w:cs="Times New Roman"/>
        </w:rPr>
      </w:pPr>
      <w:r w:rsidRPr="002E19DF">
        <w:rPr>
          <w:rFonts w:ascii="Times New Roman" w:hAnsi="Times New Roman" w:cs="Times New Roman"/>
        </w:rPr>
        <w:t>Student number: 2133740</w:t>
      </w:r>
    </w:p>
    <w:p w14:paraId="5217A9D1" w14:textId="77777777" w:rsidR="002E19DF" w:rsidRDefault="002E19DF" w:rsidP="002E19DF"/>
    <w:p w14:paraId="725D5BE1" w14:textId="77777777" w:rsidR="002E19DF" w:rsidRDefault="002E19DF"/>
    <w:p w14:paraId="2253D19C" w14:textId="77777777" w:rsidR="002E19DF" w:rsidRDefault="002E19DF"/>
    <w:p w14:paraId="1658DF72" w14:textId="77777777" w:rsidR="002E19DF" w:rsidRDefault="002E19DF"/>
    <w:p w14:paraId="6AD872F6" w14:textId="77777777" w:rsidR="002E19DF" w:rsidRDefault="002E19DF"/>
    <w:p w14:paraId="20940483" w14:textId="77777777" w:rsidR="002E19DF" w:rsidRDefault="002E19DF"/>
    <w:p w14:paraId="1DEFD0CD" w14:textId="77777777" w:rsidR="002E19DF" w:rsidRDefault="002E19DF"/>
    <w:p w14:paraId="2C17AF68" w14:textId="77777777" w:rsidR="002E19DF" w:rsidRDefault="002E19DF"/>
    <w:p w14:paraId="539CBA89" w14:textId="77777777" w:rsidR="002E19DF" w:rsidRDefault="002E19DF"/>
    <w:p w14:paraId="0C80540B" w14:textId="77777777" w:rsidR="002E19DF" w:rsidRDefault="002E19DF"/>
    <w:p w14:paraId="4EACB5F6" w14:textId="77777777" w:rsidR="002E19DF" w:rsidRDefault="002E19DF"/>
    <w:p w14:paraId="2EC8C398" w14:textId="77777777" w:rsidR="002E19DF" w:rsidRDefault="002E19DF"/>
    <w:p w14:paraId="2CCFFF0D" w14:textId="77777777" w:rsidR="002E19DF" w:rsidRDefault="002E19DF"/>
    <w:p w14:paraId="201DA757" w14:textId="77777777" w:rsidR="002E19DF" w:rsidRDefault="002E19DF"/>
    <w:p w14:paraId="7F4922E7" w14:textId="77777777" w:rsidR="002E19DF" w:rsidRDefault="002E19DF"/>
    <w:p w14:paraId="5851FAB3" w14:textId="77777777" w:rsidR="002E19DF" w:rsidRDefault="002E19DF"/>
    <w:p w14:paraId="4472C9C1" w14:textId="77777777" w:rsidR="002E19DF" w:rsidRDefault="002E19DF"/>
    <w:p w14:paraId="200CA538" w14:textId="77777777" w:rsidR="002E19DF" w:rsidRDefault="002E19DF"/>
    <w:p w14:paraId="323FB7F3" w14:textId="77777777" w:rsidR="002E19DF" w:rsidRDefault="002E19DF"/>
    <w:p w14:paraId="536A30FC" w14:textId="77777777" w:rsidR="002E19DF" w:rsidRDefault="002E19DF"/>
    <w:p w14:paraId="32B0AB3E" w14:textId="77777777" w:rsidR="002E19DF" w:rsidRDefault="002E19DF"/>
    <w:p w14:paraId="0A4825E9" w14:textId="77777777" w:rsidR="002E19DF" w:rsidRDefault="002E19DF"/>
    <w:p w14:paraId="7EB39F53" w14:textId="77777777" w:rsidR="002E19DF" w:rsidRDefault="002E19DF"/>
    <w:p w14:paraId="6EF0EAA9" w14:textId="77777777" w:rsidR="002E19DF" w:rsidRPr="007E275E" w:rsidRDefault="002E19DF" w:rsidP="007E275E">
      <w:pPr>
        <w:pStyle w:val="Titlu1"/>
      </w:pPr>
    </w:p>
    <w:p w14:paraId="20CD0A31" w14:textId="6A64FD4D" w:rsidR="00D36B33" w:rsidRPr="007E275E" w:rsidRDefault="00D36B33" w:rsidP="007E275E">
      <w:pPr>
        <w:pStyle w:val="Titlu1"/>
      </w:pPr>
      <w:bookmarkStart w:id="0" w:name="_Toc214821435"/>
      <w:r w:rsidRPr="007E275E">
        <w:t>Executive Summary</w:t>
      </w:r>
      <w:bookmarkEnd w:id="0"/>
    </w:p>
    <w:p w14:paraId="15BB5746" w14:textId="77777777" w:rsidR="007E275E" w:rsidRPr="007E275E" w:rsidRDefault="007E275E"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UK automotive industry is approaching a life-threatening stage, with electrification, digitalisation and increasing environmental control changing the competitive landscape at Jaguar Land Rover (JLR). It is still a large UK producer of vehicles with luxury brands that are widely recognised in the global market, but the transition to high-end electric vehicles and a more stringent system of emissions regulations puts strain on its traditional business and technology base. Meanwhile, there are emerging EV competitors and established high-end competitors that worsen the competition.</w:t>
      </w:r>
    </w:p>
    <w:p w14:paraId="4F0FD4D2" w14:textId="33C9F1C3" w:rsidR="007E275E" w:rsidRPr="007E275E" w:rsidRDefault="007E275E"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As explained, the external pressures on JLR are high because of regulatory change, technological disruption and economic volatility. The company has a good brand equity, design capacity and engineering advantages, but it is faced with high production cost, reliance on external supply of batteries and slower pace in integrating digitally. The general SWOT suggests that JLR has a massive potential in high-end EV segments, but only with JLR increasing the pace of its capability building and enhancing its operational efficiency.</w:t>
      </w:r>
    </w:p>
    <w:p w14:paraId="41D45850" w14:textId="2D646591" w:rsidR="00D36B33" w:rsidRDefault="007E275E"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suggested strategic path lays more emphasis on rapid premium electrification and digitalisation, as financialised and sustainability plans. The most important are increasing the EV platforms development, establishment of technological alliances, enhancing the efficiency of plants and advancing the spheres of the circular economy to become more long term competitive.</w:t>
      </w:r>
    </w:p>
    <w:p w14:paraId="47F2A3BF" w14:textId="77777777" w:rsidR="007E275E" w:rsidRDefault="007E275E" w:rsidP="007E275E">
      <w:pPr>
        <w:spacing w:line="360" w:lineRule="auto"/>
        <w:jc w:val="both"/>
        <w:rPr>
          <w:rFonts w:ascii="Times New Roman" w:hAnsi="Times New Roman" w:cs="Times New Roman"/>
          <w:lang w:eastAsia="en-GB"/>
        </w:rPr>
      </w:pPr>
    </w:p>
    <w:p w14:paraId="5B60507C" w14:textId="77777777" w:rsidR="007E275E" w:rsidRDefault="007E275E" w:rsidP="007E275E">
      <w:pPr>
        <w:spacing w:line="360" w:lineRule="auto"/>
        <w:jc w:val="both"/>
        <w:rPr>
          <w:rFonts w:ascii="Times New Roman" w:hAnsi="Times New Roman" w:cs="Times New Roman"/>
          <w:lang w:eastAsia="en-GB"/>
        </w:rPr>
      </w:pPr>
    </w:p>
    <w:p w14:paraId="2D9BEE19" w14:textId="77777777" w:rsidR="007E275E" w:rsidRDefault="007E275E" w:rsidP="007E275E">
      <w:pPr>
        <w:spacing w:line="360" w:lineRule="auto"/>
        <w:jc w:val="both"/>
        <w:rPr>
          <w:rFonts w:ascii="Times New Roman" w:hAnsi="Times New Roman" w:cs="Times New Roman"/>
          <w:lang w:eastAsia="en-GB"/>
        </w:rPr>
      </w:pPr>
    </w:p>
    <w:p w14:paraId="65759637" w14:textId="77777777" w:rsidR="007E275E" w:rsidRDefault="007E275E" w:rsidP="007E275E">
      <w:pPr>
        <w:spacing w:line="360" w:lineRule="auto"/>
        <w:jc w:val="both"/>
        <w:rPr>
          <w:rFonts w:ascii="Times New Roman" w:hAnsi="Times New Roman" w:cs="Times New Roman"/>
          <w:lang w:eastAsia="en-GB"/>
        </w:rPr>
      </w:pPr>
    </w:p>
    <w:p w14:paraId="72591611" w14:textId="77777777" w:rsidR="00A242FD" w:rsidRDefault="00A242FD" w:rsidP="007E275E">
      <w:pPr>
        <w:spacing w:line="360" w:lineRule="auto"/>
        <w:jc w:val="both"/>
        <w:rPr>
          <w:rFonts w:ascii="Times New Roman" w:hAnsi="Times New Roman" w:cs="Times New Roman"/>
          <w:lang w:eastAsia="en-GB"/>
        </w:rPr>
      </w:pPr>
    </w:p>
    <w:p w14:paraId="33B13478" w14:textId="77777777" w:rsidR="00A242FD" w:rsidRDefault="00A242FD" w:rsidP="007E275E">
      <w:pPr>
        <w:spacing w:line="360" w:lineRule="auto"/>
        <w:jc w:val="both"/>
        <w:rPr>
          <w:rFonts w:ascii="Times New Roman" w:hAnsi="Times New Roman" w:cs="Times New Roman"/>
          <w:lang w:eastAsia="en-GB"/>
        </w:rPr>
      </w:pPr>
    </w:p>
    <w:p w14:paraId="3D46D693" w14:textId="77777777" w:rsidR="00A242FD" w:rsidRDefault="00A242FD" w:rsidP="007E275E">
      <w:pPr>
        <w:spacing w:line="360" w:lineRule="auto"/>
        <w:jc w:val="both"/>
        <w:rPr>
          <w:rFonts w:ascii="Times New Roman" w:hAnsi="Times New Roman" w:cs="Times New Roman"/>
          <w:lang w:eastAsia="en-GB"/>
        </w:rPr>
      </w:pPr>
    </w:p>
    <w:p w14:paraId="384DAD7A" w14:textId="77777777" w:rsidR="00A242FD" w:rsidRDefault="00A242FD" w:rsidP="007E275E">
      <w:pPr>
        <w:spacing w:line="360" w:lineRule="auto"/>
        <w:jc w:val="both"/>
        <w:rPr>
          <w:rFonts w:ascii="Times New Roman" w:hAnsi="Times New Roman" w:cs="Times New Roman"/>
          <w:lang w:eastAsia="en-GB"/>
        </w:rPr>
      </w:pPr>
    </w:p>
    <w:p w14:paraId="7BCB2BD9" w14:textId="77777777" w:rsidR="007E275E" w:rsidRDefault="007E275E" w:rsidP="007E275E">
      <w:pPr>
        <w:spacing w:line="360" w:lineRule="auto"/>
        <w:jc w:val="both"/>
        <w:rPr>
          <w:rFonts w:ascii="Times New Roman" w:hAnsi="Times New Roman" w:cs="Times New Roman"/>
          <w:lang w:eastAsia="en-GB"/>
        </w:rPr>
      </w:pPr>
    </w:p>
    <w:p w14:paraId="0020DB79" w14:textId="77777777" w:rsidR="007E275E" w:rsidRDefault="007E275E" w:rsidP="007E275E">
      <w:pPr>
        <w:spacing w:line="360" w:lineRule="auto"/>
        <w:jc w:val="both"/>
        <w:rPr>
          <w:rFonts w:ascii="Times New Roman" w:hAnsi="Times New Roman" w:cs="Times New Roman"/>
          <w:lang w:eastAsia="en-GB"/>
        </w:rPr>
      </w:pPr>
    </w:p>
    <w:sdt>
      <w:sdtPr>
        <w:rPr>
          <w:rFonts w:asciiTheme="minorHAnsi" w:eastAsiaTheme="minorHAnsi" w:hAnsiTheme="minorHAnsi" w:cstheme="minorBidi"/>
          <w:b w:val="0"/>
          <w:bCs w:val="0"/>
          <w:color w:val="auto"/>
          <w:kern w:val="2"/>
          <w:sz w:val="24"/>
          <w:szCs w:val="24"/>
          <w:lang w:val="en-GB"/>
          <w14:ligatures w14:val="standardContextual"/>
        </w:rPr>
        <w:id w:val="-1137187462"/>
        <w:docPartObj>
          <w:docPartGallery w:val="Table of Contents"/>
          <w:docPartUnique/>
        </w:docPartObj>
      </w:sdtPr>
      <w:sdtEndPr>
        <w:rPr>
          <w:noProof/>
        </w:rPr>
      </w:sdtEndPr>
      <w:sdtContent>
        <w:p w14:paraId="77390D7A" w14:textId="3CFA0198" w:rsidR="00A242FD" w:rsidRDefault="00A242FD">
          <w:pPr>
            <w:pStyle w:val="Titlucuprins"/>
          </w:pPr>
          <w:r>
            <w:t>Table of Contents</w:t>
          </w:r>
        </w:p>
        <w:p w14:paraId="22C36A89" w14:textId="3EBAA163" w:rsidR="00A242FD" w:rsidRDefault="00A242FD">
          <w:pPr>
            <w:pStyle w:val="Cuprins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14821435" w:history="1">
            <w:r w:rsidRPr="00D9549C">
              <w:rPr>
                <w:rStyle w:val="Hyperlink"/>
                <w:noProof/>
              </w:rPr>
              <w:t>Executive Summary</w:t>
            </w:r>
            <w:r>
              <w:rPr>
                <w:noProof/>
                <w:webHidden/>
              </w:rPr>
              <w:tab/>
            </w:r>
            <w:r>
              <w:rPr>
                <w:noProof/>
                <w:webHidden/>
              </w:rPr>
              <w:fldChar w:fldCharType="begin"/>
            </w:r>
            <w:r>
              <w:rPr>
                <w:noProof/>
                <w:webHidden/>
              </w:rPr>
              <w:instrText xml:space="preserve"> PAGEREF _Toc214821435 \h </w:instrText>
            </w:r>
            <w:r>
              <w:rPr>
                <w:noProof/>
                <w:webHidden/>
              </w:rPr>
            </w:r>
            <w:r>
              <w:rPr>
                <w:noProof/>
                <w:webHidden/>
              </w:rPr>
              <w:fldChar w:fldCharType="separate"/>
            </w:r>
            <w:r>
              <w:rPr>
                <w:noProof/>
                <w:webHidden/>
              </w:rPr>
              <w:t>2</w:t>
            </w:r>
            <w:r>
              <w:rPr>
                <w:noProof/>
                <w:webHidden/>
              </w:rPr>
              <w:fldChar w:fldCharType="end"/>
            </w:r>
          </w:hyperlink>
        </w:p>
        <w:p w14:paraId="3DDAD632" w14:textId="3AAA94B6" w:rsidR="00A242FD" w:rsidRDefault="00A242FD">
          <w:pPr>
            <w:pStyle w:val="Cuprins1"/>
            <w:tabs>
              <w:tab w:val="right" w:leader="dot" w:pos="9016"/>
            </w:tabs>
            <w:rPr>
              <w:noProof/>
            </w:rPr>
          </w:pPr>
          <w:hyperlink w:anchor="_Toc214821436" w:history="1">
            <w:r w:rsidRPr="00D9549C">
              <w:rPr>
                <w:rStyle w:val="Hyperlink"/>
                <w:noProof/>
              </w:rPr>
              <w:t>1. Introduction</w:t>
            </w:r>
            <w:r>
              <w:rPr>
                <w:noProof/>
                <w:webHidden/>
              </w:rPr>
              <w:tab/>
            </w:r>
            <w:r>
              <w:rPr>
                <w:noProof/>
                <w:webHidden/>
              </w:rPr>
              <w:fldChar w:fldCharType="begin"/>
            </w:r>
            <w:r>
              <w:rPr>
                <w:noProof/>
                <w:webHidden/>
              </w:rPr>
              <w:instrText xml:space="preserve"> PAGEREF _Toc214821436 \h </w:instrText>
            </w:r>
            <w:r>
              <w:rPr>
                <w:noProof/>
                <w:webHidden/>
              </w:rPr>
            </w:r>
            <w:r>
              <w:rPr>
                <w:noProof/>
                <w:webHidden/>
              </w:rPr>
              <w:fldChar w:fldCharType="separate"/>
            </w:r>
            <w:r>
              <w:rPr>
                <w:noProof/>
                <w:webHidden/>
              </w:rPr>
              <w:t>2</w:t>
            </w:r>
            <w:r>
              <w:rPr>
                <w:noProof/>
                <w:webHidden/>
              </w:rPr>
              <w:fldChar w:fldCharType="end"/>
            </w:r>
          </w:hyperlink>
        </w:p>
        <w:p w14:paraId="0F58207F" w14:textId="59D8B0EE" w:rsidR="00A242FD" w:rsidRDefault="00A242FD">
          <w:pPr>
            <w:pStyle w:val="Cuprins1"/>
            <w:tabs>
              <w:tab w:val="right" w:leader="dot" w:pos="9016"/>
            </w:tabs>
            <w:rPr>
              <w:noProof/>
            </w:rPr>
          </w:pPr>
          <w:hyperlink w:anchor="_Toc214821437" w:history="1">
            <w:r w:rsidRPr="00D9549C">
              <w:rPr>
                <w:rStyle w:val="Hyperlink"/>
                <w:noProof/>
              </w:rPr>
              <w:t>2. Strategy Analysis – Jaguar Land Rover</w:t>
            </w:r>
            <w:r>
              <w:rPr>
                <w:noProof/>
                <w:webHidden/>
              </w:rPr>
              <w:tab/>
            </w:r>
            <w:r>
              <w:rPr>
                <w:noProof/>
                <w:webHidden/>
              </w:rPr>
              <w:fldChar w:fldCharType="begin"/>
            </w:r>
            <w:r>
              <w:rPr>
                <w:noProof/>
                <w:webHidden/>
              </w:rPr>
              <w:instrText xml:space="preserve"> PAGEREF _Toc214821437 \h </w:instrText>
            </w:r>
            <w:r>
              <w:rPr>
                <w:noProof/>
                <w:webHidden/>
              </w:rPr>
            </w:r>
            <w:r>
              <w:rPr>
                <w:noProof/>
                <w:webHidden/>
              </w:rPr>
              <w:fldChar w:fldCharType="separate"/>
            </w:r>
            <w:r>
              <w:rPr>
                <w:noProof/>
                <w:webHidden/>
              </w:rPr>
              <w:t>3</w:t>
            </w:r>
            <w:r>
              <w:rPr>
                <w:noProof/>
                <w:webHidden/>
              </w:rPr>
              <w:fldChar w:fldCharType="end"/>
            </w:r>
          </w:hyperlink>
        </w:p>
        <w:p w14:paraId="42E363EE" w14:textId="08A6CE81" w:rsidR="00A242FD" w:rsidRDefault="00A242FD">
          <w:pPr>
            <w:pStyle w:val="Cuprins2"/>
            <w:tabs>
              <w:tab w:val="right" w:leader="dot" w:pos="9016"/>
            </w:tabs>
            <w:rPr>
              <w:noProof/>
            </w:rPr>
          </w:pPr>
          <w:hyperlink w:anchor="_Toc214821438" w:history="1">
            <w:r w:rsidRPr="00D9549C">
              <w:rPr>
                <w:rStyle w:val="Hyperlink"/>
                <w:rFonts w:eastAsia="Times New Roman"/>
                <w:noProof/>
                <w:lang w:eastAsia="en-GB"/>
              </w:rPr>
              <w:t>2.1 External Environment Audit</w:t>
            </w:r>
            <w:r>
              <w:rPr>
                <w:noProof/>
                <w:webHidden/>
              </w:rPr>
              <w:tab/>
            </w:r>
            <w:r>
              <w:rPr>
                <w:noProof/>
                <w:webHidden/>
              </w:rPr>
              <w:fldChar w:fldCharType="begin"/>
            </w:r>
            <w:r>
              <w:rPr>
                <w:noProof/>
                <w:webHidden/>
              </w:rPr>
              <w:instrText xml:space="preserve"> PAGEREF _Toc214821438 \h </w:instrText>
            </w:r>
            <w:r>
              <w:rPr>
                <w:noProof/>
                <w:webHidden/>
              </w:rPr>
            </w:r>
            <w:r>
              <w:rPr>
                <w:noProof/>
                <w:webHidden/>
              </w:rPr>
              <w:fldChar w:fldCharType="separate"/>
            </w:r>
            <w:r>
              <w:rPr>
                <w:noProof/>
                <w:webHidden/>
              </w:rPr>
              <w:t>3</w:t>
            </w:r>
            <w:r>
              <w:rPr>
                <w:noProof/>
                <w:webHidden/>
              </w:rPr>
              <w:fldChar w:fldCharType="end"/>
            </w:r>
          </w:hyperlink>
        </w:p>
        <w:p w14:paraId="287D795B" w14:textId="5AF1B627" w:rsidR="00A242FD" w:rsidRDefault="00A242FD">
          <w:pPr>
            <w:pStyle w:val="Cuprins3"/>
            <w:tabs>
              <w:tab w:val="right" w:leader="dot" w:pos="9016"/>
            </w:tabs>
            <w:rPr>
              <w:noProof/>
            </w:rPr>
          </w:pPr>
          <w:hyperlink w:anchor="_Toc214821439" w:history="1">
            <w:r w:rsidRPr="00D9549C">
              <w:rPr>
                <w:rStyle w:val="Hyperlink"/>
                <w:rFonts w:eastAsia="Times New Roman"/>
                <w:noProof/>
                <w:lang w:eastAsia="en-GB"/>
              </w:rPr>
              <w:t>2.1.1 PESTLE Analysis</w:t>
            </w:r>
            <w:r>
              <w:rPr>
                <w:noProof/>
                <w:webHidden/>
              </w:rPr>
              <w:tab/>
            </w:r>
            <w:r>
              <w:rPr>
                <w:noProof/>
                <w:webHidden/>
              </w:rPr>
              <w:fldChar w:fldCharType="begin"/>
            </w:r>
            <w:r>
              <w:rPr>
                <w:noProof/>
                <w:webHidden/>
              </w:rPr>
              <w:instrText xml:space="preserve"> PAGEREF _Toc214821439 \h </w:instrText>
            </w:r>
            <w:r>
              <w:rPr>
                <w:noProof/>
                <w:webHidden/>
              </w:rPr>
            </w:r>
            <w:r>
              <w:rPr>
                <w:noProof/>
                <w:webHidden/>
              </w:rPr>
              <w:fldChar w:fldCharType="separate"/>
            </w:r>
            <w:r>
              <w:rPr>
                <w:noProof/>
                <w:webHidden/>
              </w:rPr>
              <w:t>3</w:t>
            </w:r>
            <w:r>
              <w:rPr>
                <w:noProof/>
                <w:webHidden/>
              </w:rPr>
              <w:fldChar w:fldCharType="end"/>
            </w:r>
          </w:hyperlink>
        </w:p>
        <w:p w14:paraId="70A54E01" w14:textId="60B993BD" w:rsidR="00A242FD" w:rsidRDefault="00A242FD">
          <w:pPr>
            <w:pStyle w:val="Cuprins3"/>
            <w:tabs>
              <w:tab w:val="right" w:leader="dot" w:pos="9016"/>
            </w:tabs>
            <w:rPr>
              <w:noProof/>
            </w:rPr>
          </w:pPr>
          <w:hyperlink w:anchor="_Toc214821440" w:history="1">
            <w:r w:rsidRPr="00D9549C">
              <w:rPr>
                <w:rStyle w:val="Hyperlink"/>
                <w:noProof/>
                <w:lang w:eastAsia="en-GB"/>
              </w:rPr>
              <w:t>2.1.2 Porter’s Five Forces</w:t>
            </w:r>
            <w:r>
              <w:rPr>
                <w:noProof/>
                <w:webHidden/>
              </w:rPr>
              <w:tab/>
            </w:r>
            <w:r>
              <w:rPr>
                <w:noProof/>
                <w:webHidden/>
              </w:rPr>
              <w:fldChar w:fldCharType="begin"/>
            </w:r>
            <w:r>
              <w:rPr>
                <w:noProof/>
                <w:webHidden/>
              </w:rPr>
              <w:instrText xml:space="preserve"> PAGEREF _Toc214821440 \h </w:instrText>
            </w:r>
            <w:r>
              <w:rPr>
                <w:noProof/>
                <w:webHidden/>
              </w:rPr>
            </w:r>
            <w:r>
              <w:rPr>
                <w:noProof/>
                <w:webHidden/>
              </w:rPr>
              <w:fldChar w:fldCharType="separate"/>
            </w:r>
            <w:r>
              <w:rPr>
                <w:noProof/>
                <w:webHidden/>
              </w:rPr>
              <w:t>4</w:t>
            </w:r>
            <w:r>
              <w:rPr>
                <w:noProof/>
                <w:webHidden/>
              </w:rPr>
              <w:fldChar w:fldCharType="end"/>
            </w:r>
          </w:hyperlink>
        </w:p>
        <w:p w14:paraId="10AE742D" w14:textId="38BB25F0" w:rsidR="00A242FD" w:rsidRDefault="00A242FD">
          <w:pPr>
            <w:pStyle w:val="Cuprins2"/>
            <w:tabs>
              <w:tab w:val="right" w:leader="dot" w:pos="9016"/>
            </w:tabs>
            <w:rPr>
              <w:noProof/>
            </w:rPr>
          </w:pPr>
          <w:hyperlink w:anchor="_Toc214821441" w:history="1">
            <w:r w:rsidRPr="00D9549C">
              <w:rPr>
                <w:rStyle w:val="Hyperlink"/>
                <w:noProof/>
                <w:lang w:eastAsia="en-GB"/>
              </w:rPr>
              <w:t>2.2 Internal Environment Audit</w:t>
            </w:r>
            <w:r>
              <w:rPr>
                <w:noProof/>
                <w:webHidden/>
              </w:rPr>
              <w:tab/>
            </w:r>
            <w:r>
              <w:rPr>
                <w:noProof/>
                <w:webHidden/>
              </w:rPr>
              <w:fldChar w:fldCharType="begin"/>
            </w:r>
            <w:r>
              <w:rPr>
                <w:noProof/>
                <w:webHidden/>
              </w:rPr>
              <w:instrText xml:space="preserve"> PAGEREF _Toc214821441 \h </w:instrText>
            </w:r>
            <w:r>
              <w:rPr>
                <w:noProof/>
                <w:webHidden/>
              </w:rPr>
            </w:r>
            <w:r>
              <w:rPr>
                <w:noProof/>
                <w:webHidden/>
              </w:rPr>
              <w:fldChar w:fldCharType="separate"/>
            </w:r>
            <w:r>
              <w:rPr>
                <w:noProof/>
                <w:webHidden/>
              </w:rPr>
              <w:t>5</w:t>
            </w:r>
            <w:r>
              <w:rPr>
                <w:noProof/>
                <w:webHidden/>
              </w:rPr>
              <w:fldChar w:fldCharType="end"/>
            </w:r>
          </w:hyperlink>
        </w:p>
        <w:p w14:paraId="0FABA6E9" w14:textId="0781A137" w:rsidR="00A242FD" w:rsidRDefault="00A242FD">
          <w:pPr>
            <w:pStyle w:val="Cuprins3"/>
            <w:tabs>
              <w:tab w:val="right" w:leader="dot" w:pos="9016"/>
            </w:tabs>
            <w:rPr>
              <w:noProof/>
            </w:rPr>
          </w:pPr>
          <w:hyperlink w:anchor="_Toc214821442" w:history="1">
            <w:r w:rsidRPr="00D9549C">
              <w:rPr>
                <w:rStyle w:val="Hyperlink"/>
                <w:noProof/>
                <w:lang w:eastAsia="en-GB"/>
              </w:rPr>
              <w:t>2.2.1 Value Chain Analysis</w:t>
            </w:r>
            <w:r>
              <w:rPr>
                <w:noProof/>
                <w:webHidden/>
              </w:rPr>
              <w:tab/>
            </w:r>
            <w:r>
              <w:rPr>
                <w:noProof/>
                <w:webHidden/>
              </w:rPr>
              <w:fldChar w:fldCharType="begin"/>
            </w:r>
            <w:r>
              <w:rPr>
                <w:noProof/>
                <w:webHidden/>
              </w:rPr>
              <w:instrText xml:space="preserve"> PAGEREF _Toc214821442 \h </w:instrText>
            </w:r>
            <w:r>
              <w:rPr>
                <w:noProof/>
                <w:webHidden/>
              </w:rPr>
            </w:r>
            <w:r>
              <w:rPr>
                <w:noProof/>
                <w:webHidden/>
              </w:rPr>
              <w:fldChar w:fldCharType="separate"/>
            </w:r>
            <w:r>
              <w:rPr>
                <w:noProof/>
                <w:webHidden/>
              </w:rPr>
              <w:t>5</w:t>
            </w:r>
            <w:r>
              <w:rPr>
                <w:noProof/>
                <w:webHidden/>
              </w:rPr>
              <w:fldChar w:fldCharType="end"/>
            </w:r>
          </w:hyperlink>
        </w:p>
        <w:p w14:paraId="472EF3D6" w14:textId="45638D55" w:rsidR="00A242FD" w:rsidRDefault="00A242FD">
          <w:pPr>
            <w:pStyle w:val="Cuprins3"/>
            <w:tabs>
              <w:tab w:val="right" w:leader="dot" w:pos="9016"/>
            </w:tabs>
            <w:rPr>
              <w:noProof/>
            </w:rPr>
          </w:pPr>
          <w:hyperlink w:anchor="_Toc214821443" w:history="1">
            <w:r w:rsidRPr="00D9549C">
              <w:rPr>
                <w:rStyle w:val="Hyperlink"/>
                <w:noProof/>
                <w:lang w:eastAsia="en-GB"/>
              </w:rPr>
              <w:t>2.2.2 Resource-Based View (RBV)</w:t>
            </w:r>
            <w:r>
              <w:rPr>
                <w:noProof/>
                <w:webHidden/>
              </w:rPr>
              <w:tab/>
            </w:r>
            <w:r>
              <w:rPr>
                <w:noProof/>
                <w:webHidden/>
              </w:rPr>
              <w:fldChar w:fldCharType="begin"/>
            </w:r>
            <w:r>
              <w:rPr>
                <w:noProof/>
                <w:webHidden/>
              </w:rPr>
              <w:instrText xml:space="preserve"> PAGEREF _Toc214821443 \h </w:instrText>
            </w:r>
            <w:r>
              <w:rPr>
                <w:noProof/>
                <w:webHidden/>
              </w:rPr>
            </w:r>
            <w:r>
              <w:rPr>
                <w:noProof/>
                <w:webHidden/>
              </w:rPr>
              <w:fldChar w:fldCharType="separate"/>
            </w:r>
            <w:r>
              <w:rPr>
                <w:noProof/>
                <w:webHidden/>
              </w:rPr>
              <w:t>6</w:t>
            </w:r>
            <w:r>
              <w:rPr>
                <w:noProof/>
                <w:webHidden/>
              </w:rPr>
              <w:fldChar w:fldCharType="end"/>
            </w:r>
          </w:hyperlink>
        </w:p>
        <w:p w14:paraId="6F4D459C" w14:textId="6AD2B058" w:rsidR="00A242FD" w:rsidRDefault="00A242FD">
          <w:pPr>
            <w:pStyle w:val="Cuprins3"/>
            <w:tabs>
              <w:tab w:val="right" w:leader="dot" w:pos="9016"/>
            </w:tabs>
            <w:rPr>
              <w:noProof/>
            </w:rPr>
          </w:pPr>
          <w:hyperlink w:anchor="_Toc214821444" w:history="1">
            <w:r w:rsidRPr="00D9549C">
              <w:rPr>
                <w:rStyle w:val="Hyperlink"/>
                <w:noProof/>
                <w:lang w:eastAsia="en-GB"/>
              </w:rPr>
              <w:t>2.2.3 VRIO Evaluation</w:t>
            </w:r>
            <w:r>
              <w:rPr>
                <w:noProof/>
                <w:webHidden/>
              </w:rPr>
              <w:tab/>
            </w:r>
            <w:r>
              <w:rPr>
                <w:noProof/>
                <w:webHidden/>
              </w:rPr>
              <w:fldChar w:fldCharType="begin"/>
            </w:r>
            <w:r>
              <w:rPr>
                <w:noProof/>
                <w:webHidden/>
              </w:rPr>
              <w:instrText xml:space="preserve"> PAGEREF _Toc214821444 \h </w:instrText>
            </w:r>
            <w:r>
              <w:rPr>
                <w:noProof/>
                <w:webHidden/>
              </w:rPr>
            </w:r>
            <w:r>
              <w:rPr>
                <w:noProof/>
                <w:webHidden/>
              </w:rPr>
              <w:fldChar w:fldCharType="separate"/>
            </w:r>
            <w:r>
              <w:rPr>
                <w:noProof/>
                <w:webHidden/>
              </w:rPr>
              <w:t>6</w:t>
            </w:r>
            <w:r>
              <w:rPr>
                <w:noProof/>
                <w:webHidden/>
              </w:rPr>
              <w:fldChar w:fldCharType="end"/>
            </w:r>
          </w:hyperlink>
        </w:p>
        <w:p w14:paraId="02746EF5" w14:textId="0FD9E357" w:rsidR="00A242FD" w:rsidRDefault="00A242FD">
          <w:pPr>
            <w:pStyle w:val="Cuprins2"/>
            <w:tabs>
              <w:tab w:val="right" w:leader="dot" w:pos="9016"/>
            </w:tabs>
            <w:rPr>
              <w:noProof/>
            </w:rPr>
          </w:pPr>
          <w:hyperlink w:anchor="_Toc214821445" w:history="1">
            <w:r w:rsidRPr="00D9549C">
              <w:rPr>
                <w:rStyle w:val="Hyperlink"/>
                <w:noProof/>
                <w:lang w:eastAsia="en-GB"/>
              </w:rPr>
              <w:t>2.3 SWOT Synthesis</w:t>
            </w:r>
            <w:r>
              <w:rPr>
                <w:noProof/>
                <w:webHidden/>
              </w:rPr>
              <w:tab/>
            </w:r>
            <w:r>
              <w:rPr>
                <w:noProof/>
                <w:webHidden/>
              </w:rPr>
              <w:fldChar w:fldCharType="begin"/>
            </w:r>
            <w:r>
              <w:rPr>
                <w:noProof/>
                <w:webHidden/>
              </w:rPr>
              <w:instrText xml:space="preserve"> PAGEREF _Toc214821445 \h </w:instrText>
            </w:r>
            <w:r>
              <w:rPr>
                <w:noProof/>
                <w:webHidden/>
              </w:rPr>
            </w:r>
            <w:r>
              <w:rPr>
                <w:noProof/>
                <w:webHidden/>
              </w:rPr>
              <w:fldChar w:fldCharType="separate"/>
            </w:r>
            <w:r>
              <w:rPr>
                <w:noProof/>
                <w:webHidden/>
              </w:rPr>
              <w:t>7</w:t>
            </w:r>
            <w:r>
              <w:rPr>
                <w:noProof/>
                <w:webHidden/>
              </w:rPr>
              <w:fldChar w:fldCharType="end"/>
            </w:r>
          </w:hyperlink>
        </w:p>
        <w:p w14:paraId="47D15517" w14:textId="73A89E33" w:rsidR="00A242FD" w:rsidRDefault="00A242FD">
          <w:pPr>
            <w:pStyle w:val="Cuprins1"/>
            <w:tabs>
              <w:tab w:val="right" w:leader="dot" w:pos="9016"/>
            </w:tabs>
            <w:rPr>
              <w:noProof/>
            </w:rPr>
          </w:pPr>
          <w:hyperlink w:anchor="_Toc214821446" w:history="1">
            <w:r w:rsidRPr="00D9549C">
              <w:rPr>
                <w:rStyle w:val="Hyperlink"/>
                <w:rFonts w:eastAsia="Times New Roman"/>
                <w:noProof/>
                <w:lang w:eastAsia="en-GB"/>
              </w:rPr>
              <w:t>3. Strategy Formulation for JLR</w:t>
            </w:r>
            <w:r>
              <w:rPr>
                <w:noProof/>
                <w:webHidden/>
              </w:rPr>
              <w:tab/>
            </w:r>
            <w:r>
              <w:rPr>
                <w:noProof/>
                <w:webHidden/>
              </w:rPr>
              <w:fldChar w:fldCharType="begin"/>
            </w:r>
            <w:r>
              <w:rPr>
                <w:noProof/>
                <w:webHidden/>
              </w:rPr>
              <w:instrText xml:space="preserve"> PAGEREF _Toc214821446 \h </w:instrText>
            </w:r>
            <w:r>
              <w:rPr>
                <w:noProof/>
                <w:webHidden/>
              </w:rPr>
            </w:r>
            <w:r>
              <w:rPr>
                <w:noProof/>
                <w:webHidden/>
              </w:rPr>
              <w:fldChar w:fldCharType="separate"/>
            </w:r>
            <w:r>
              <w:rPr>
                <w:noProof/>
                <w:webHidden/>
              </w:rPr>
              <w:t>7</w:t>
            </w:r>
            <w:r>
              <w:rPr>
                <w:noProof/>
                <w:webHidden/>
              </w:rPr>
              <w:fldChar w:fldCharType="end"/>
            </w:r>
          </w:hyperlink>
        </w:p>
        <w:p w14:paraId="44BA3404" w14:textId="2EFF25C9" w:rsidR="00A242FD" w:rsidRDefault="00A242FD">
          <w:pPr>
            <w:pStyle w:val="Cuprins2"/>
            <w:tabs>
              <w:tab w:val="right" w:leader="dot" w:pos="9016"/>
            </w:tabs>
            <w:rPr>
              <w:noProof/>
            </w:rPr>
          </w:pPr>
          <w:hyperlink w:anchor="_Toc214821447" w:history="1">
            <w:r w:rsidRPr="00D9549C">
              <w:rPr>
                <w:rStyle w:val="Hyperlink"/>
                <w:rFonts w:eastAsia="Times New Roman"/>
                <w:noProof/>
                <w:lang w:eastAsia="en-GB"/>
              </w:rPr>
              <w:t>3.1 Criteria for Evaluating Strategic Options</w:t>
            </w:r>
            <w:r>
              <w:rPr>
                <w:noProof/>
                <w:webHidden/>
              </w:rPr>
              <w:tab/>
            </w:r>
            <w:r>
              <w:rPr>
                <w:noProof/>
                <w:webHidden/>
              </w:rPr>
              <w:fldChar w:fldCharType="begin"/>
            </w:r>
            <w:r>
              <w:rPr>
                <w:noProof/>
                <w:webHidden/>
              </w:rPr>
              <w:instrText xml:space="preserve"> PAGEREF _Toc214821447 \h </w:instrText>
            </w:r>
            <w:r>
              <w:rPr>
                <w:noProof/>
                <w:webHidden/>
              </w:rPr>
            </w:r>
            <w:r>
              <w:rPr>
                <w:noProof/>
                <w:webHidden/>
              </w:rPr>
              <w:fldChar w:fldCharType="separate"/>
            </w:r>
            <w:r>
              <w:rPr>
                <w:noProof/>
                <w:webHidden/>
              </w:rPr>
              <w:t>7</w:t>
            </w:r>
            <w:r>
              <w:rPr>
                <w:noProof/>
                <w:webHidden/>
              </w:rPr>
              <w:fldChar w:fldCharType="end"/>
            </w:r>
          </w:hyperlink>
        </w:p>
        <w:p w14:paraId="366A5412" w14:textId="36763A2D" w:rsidR="00A242FD" w:rsidRDefault="00A242FD">
          <w:pPr>
            <w:pStyle w:val="Cuprins2"/>
            <w:tabs>
              <w:tab w:val="right" w:leader="dot" w:pos="9016"/>
            </w:tabs>
            <w:rPr>
              <w:noProof/>
            </w:rPr>
          </w:pPr>
          <w:hyperlink w:anchor="_Toc214821448" w:history="1">
            <w:r w:rsidRPr="00D9549C">
              <w:rPr>
                <w:rStyle w:val="Hyperlink"/>
                <w:noProof/>
              </w:rPr>
              <w:t>3.2 Strategic Alternative 1: Accelerated Premium EV and Digital Strategy</w:t>
            </w:r>
            <w:r>
              <w:rPr>
                <w:noProof/>
                <w:webHidden/>
              </w:rPr>
              <w:tab/>
            </w:r>
            <w:r>
              <w:rPr>
                <w:noProof/>
                <w:webHidden/>
              </w:rPr>
              <w:fldChar w:fldCharType="begin"/>
            </w:r>
            <w:r>
              <w:rPr>
                <w:noProof/>
                <w:webHidden/>
              </w:rPr>
              <w:instrText xml:space="preserve"> PAGEREF _Toc214821448 \h </w:instrText>
            </w:r>
            <w:r>
              <w:rPr>
                <w:noProof/>
                <w:webHidden/>
              </w:rPr>
            </w:r>
            <w:r>
              <w:rPr>
                <w:noProof/>
                <w:webHidden/>
              </w:rPr>
              <w:fldChar w:fldCharType="separate"/>
            </w:r>
            <w:r>
              <w:rPr>
                <w:noProof/>
                <w:webHidden/>
              </w:rPr>
              <w:t>8</w:t>
            </w:r>
            <w:r>
              <w:rPr>
                <w:noProof/>
                <w:webHidden/>
              </w:rPr>
              <w:fldChar w:fldCharType="end"/>
            </w:r>
          </w:hyperlink>
        </w:p>
        <w:p w14:paraId="28280F7B" w14:textId="2C7E9891" w:rsidR="00A242FD" w:rsidRDefault="00A242FD">
          <w:pPr>
            <w:pStyle w:val="Cuprins2"/>
            <w:tabs>
              <w:tab w:val="right" w:leader="dot" w:pos="9016"/>
            </w:tabs>
            <w:rPr>
              <w:noProof/>
            </w:rPr>
          </w:pPr>
          <w:hyperlink w:anchor="_Toc214821449" w:history="1">
            <w:r w:rsidRPr="00D9549C">
              <w:rPr>
                <w:rStyle w:val="Hyperlink"/>
                <w:noProof/>
              </w:rPr>
              <w:t>3.3 Strategic Alternative 2: Operational Excellence and Cost Restructuring</w:t>
            </w:r>
            <w:r>
              <w:rPr>
                <w:noProof/>
                <w:webHidden/>
              </w:rPr>
              <w:tab/>
            </w:r>
            <w:r>
              <w:rPr>
                <w:noProof/>
                <w:webHidden/>
              </w:rPr>
              <w:fldChar w:fldCharType="begin"/>
            </w:r>
            <w:r>
              <w:rPr>
                <w:noProof/>
                <w:webHidden/>
              </w:rPr>
              <w:instrText xml:space="preserve"> PAGEREF _Toc214821449 \h </w:instrText>
            </w:r>
            <w:r>
              <w:rPr>
                <w:noProof/>
                <w:webHidden/>
              </w:rPr>
            </w:r>
            <w:r>
              <w:rPr>
                <w:noProof/>
                <w:webHidden/>
              </w:rPr>
              <w:fldChar w:fldCharType="separate"/>
            </w:r>
            <w:r>
              <w:rPr>
                <w:noProof/>
                <w:webHidden/>
              </w:rPr>
              <w:t>8</w:t>
            </w:r>
            <w:r>
              <w:rPr>
                <w:noProof/>
                <w:webHidden/>
              </w:rPr>
              <w:fldChar w:fldCharType="end"/>
            </w:r>
          </w:hyperlink>
        </w:p>
        <w:p w14:paraId="23E6AC77" w14:textId="63CD5213" w:rsidR="00A242FD" w:rsidRDefault="00A242FD">
          <w:pPr>
            <w:pStyle w:val="Cuprins2"/>
            <w:tabs>
              <w:tab w:val="right" w:leader="dot" w:pos="9016"/>
            </w:tabs>
            <w:rPr>
              <w:noProof/>
            </w:rPr>
          </w:pPr>
          <w:hyperlink w:anchor="_Toc214821450" w:history="1">
            <w:r w:rsidRPr="00D9549C">
              <w:rPr>
                <w:rStyle w:val="Hyperlink"/>
                <w:noProof/>
              </w:rPr>
              <w:t>3.4 Strategic Alternative 3: Sustainability and Circular Economy Leadership</w:t>
            </w:r>
            <w:r>
              <w:rPr>
                <w:noProof/>
                <w:webHidden/>
              </w:rPr>
              <w:tab/>
            </w:r>
            <w:r>
              <w:rPr>
                <w:noProof/>
                <w:webHidden/>
              </w:rPr>
              <w:fldChar w:fldCharType="begin"/>
            </w:r>
            <w:r>
              <w:rPr>
                <w:noProof/>
                <w:webHidden/>
              </w:rPr>
              <w:instrText xml:space="preserve"> PAGEREF _Toc214821450 \h </w:instrText>
            </w:r>
            <w:r>
              <w:rPr>
                <w:noProof/>
                <w:webHidden/>
              </w:rPr>
            </w:r>
            <w:r>
              <w:rPr>
                <w:noProof/>
                <w:webHidden/>
              </w:rPr>
              <w:fldChar w:fldCharType="separate"/>
            </w:r>
            <w:r>
              <w:rPr>
                <w:noProof/>
                <w:webHidden/>
              </w:rPr>
              <w:t>9</w:t>
            </w:r>
            <w:r>
              <w:rPr>
                <w:noProof/>
                <w:webHidden/>
              </w:rPr>
              <w:fldChar w:fldCharType="end"/>
            </w:r>
          </w:hyperlink>
        </w:p>
        <w:p w14:paraId="63730F58" w14:textId="679A6D91" w:rsidR="00A242FD" w:rsidRDefault="00A242FD">
          <w:pPr>
            <w:pStyle w:val="Cuprins2"/>
            <w:tabs>
              <w:tab w:val="right" w:leader="dot" w:pos="9016"/>
            </w:tabs>
            <w:rPr>
              <w:noProof/>
            </w:rPr>
          </w:pPr>
          <w:hyperlink w:anchor="_Toc214821451" w:history="1">
            <w:r w:rsidRPr="00D9549C">
              <w:rPr>
                <w:rStyle w:val="Hyperlink"/>
                <w:noProof/>
              </w:rPr>
              <w:t>3.5 Comparative Evaluation and Preferred Strategy</w:t>
            </w:r>
            <w:r>
              <w:rPr>
                <w:noProof/>
                <w:webHidden/>
              </w:rPr>
              <w:tab/>
            </w:r>
            <w:r>
              <w:rPr>
                <w:noProof/>
                <w:webHidden/>
              </w:rPr>
              <w:fldChar w:fldCharType="begin"/>
            </w:r>
            <w:r>
              <w:rPr>
                <w:noProof/>
                <w:webHidden/>
              </w:rPr>
              <w:instrText xml:space="preserve"> PAGEREF _Toc214821451 \h </w:instrText>
            </w:r>
            <w:r>
              <w:rPr>
                <w:noProof/>
                <w:webHidden/>
              </w:rPr>
            </w:r>
            <w:r>
              <w:rPr>
                <w:noProof/>
                <w:webHidden/>
              </w:rPr>
              <w:fldChar w:fldCharType="separate"/>
            </w:r>
            <w:r>
              <w:rPr>
                <w:noProof/>
                <w:webHidden/>
              </w:rPr>
              <w:t>9</w:t>
            </w:r>
            <w:r>
              <w:rPr>
                <w:noProof/>
                <w:webHidden/>
              </w:rPr>
              <w:fldChar w:fldCharType="end"/>
            </w:r>
          </w:hyperlink>
        </w:p>
        <w:p w14:paraId="50209310" w14:textId="4B23BBCA" w:rsidR="00A242FD" w:rsidRDefault="00A242FD">
          <w:pPr>
            <w:pStyle w:val="Cuprins1"/>
            <w:tabs>
              <w:tab w:val="right" w:leader="dot" w:pos="9016"/>
            </w:tabs>
            <w:rPr>
              <w:noProof/>
            </w:rPr>
          </w:pPr>
          <w:hyperlink w:anchor="_Toc214821452" w:history="1">
            <w:r w:rsidRPr="00D9549C">
              <w:rPr>
                <w:rStyle w:val="Hyperlink"/>
                <w:rFonts w:eastAsia="Times New Roman"/>
                <w:noProof/>
                <w:lang w:eastAsia="en-GB"/>
              </w:rPr>
              <w:t>4. Conclusion and Recommendations for JLR</w:t>
            </w:r>
            <w:r>
              <w:rPr>
                <w:noProof/>
                <w:webHidden/>
              </w:rPr>
              <w:tab/>
            </w:r>
            <w:r>
              <w:rPr>
                <w:noProof/>
                <w:webHidden/>
              </w:rPr>
              <w:fldChar w:fldCharType="begin"/>
            </w:r>
            <w:r>
              <w:rPr>
                <w:noProof/>
                <w:webHidden/>
              </w:rPr>
              <w:instrText xml:space="preserve"> PAGEREF _Toc214821452 \h </w:instrText>
            </w:r>
            <w:r>
              <w:rPr>
                <w:noProof/>
                <w:webHidden/>
              </w:rPr>
            </w:r>
            <w:r>
              <w:rPr>
                <w:noProof/>
                <w:webHidden/>
              </w:rPr>
              <w:fldChar w:fldCharType="separate"/>
            </w:r>
            <w:r>
              <w:rPr>
                <w:noProof/>
                <w:webHidden/>
              </w:rPr>
              <w:t>9</w:t>
            </w:r>
            <w:r>
              <w:rPr>
                <w:noProof/>
                <w:webHidden/>
              </w:rPr>
              <w:fldChar w:fldCharType="end"/>
            </w:r>
          </w:hyperlink>
        </w:p>
        <w:p w14:paraId="0CB69C77" w14:textId="48001527" w:rsidR="00A242FD" w:rsidRDefault="00A242FD">
          <w:pPr>
            <w:pStyle w:val="Cuprins2"/>
            <w:tabs>
              <w:tab w:val="right" w:leader="dot" w:pos="9016"/>
            </w:tabs>
            <w:rPr>
              <w:noProof/>
            </w:rPr>
          </w:pPr>
          <w:hyperlink w:anchor="_Toc214821453" w:history="1">
            <w:r w:rsidRPr="00D9549C">
              <w:rPr>
                <w:rStyle w:val="Hyperlink"/>
                <w:noProof/>
              </w:rPr>
              <w:t>4.1 Overall Conclusion</w:t>
            </w:r>
            <w:r>
              <w:rPr>
                <w:noProof/>
                <w:webHidden/>
              </w:rPr>
              <w:tab/>
            </w:r>
            <w:r>
              <w:rPr>
                <w:noProof/>
                <w:webHidden/>
              </w:rPr>
              <w:fldChar w:fldCharType="begin"/>
            </w:r>
            <w:r>
              <w:rPr>
                <w:noProof/>
                <w:webHidden/>
              </w:rPr>
              <w:instrText xml:space="preserve"> PAGEREF _Toc214821453 \h </w:instrText>
            </w:r>
            <w:r>
              <w:rPr>
                <w:noProof/>
                <w:webHidden/>
              </w:rPr>
            </w:r>
            <w:r>
              <w:rPr>
                <w:noProof/>
                <w:webHidden/>
              </w:rPr>
              <w:fldChar w:fldCharType="separate"/>
            </w:r>
            <w:r>
              <w:rPr>
                <w:noProof/>
                <w:webHidden/>
              </w:rPr>
              <w:t>9</w:t>
            </w:r>
            <w:r>
              <w:rPr>
                <w:noProof/>
                <w:webHidden/>
              </w:rPr>
              <w:fldChar w:fldCharType="end"/>
            </w:r>
          </w:hyperlink>
        </w:p>
        <w:p w14:paraId="549D37ED" w14:textId="782BD889" w:rsidR="00A242FD" w:rsidRDefault="00A242FD">
          <w:pPr>
            <w:pStyle w:val="Cuprins2"/>
            <w:tabs>
              <w:tab w:val="right" w:leader="dot" w:pos="9016"/>
            </w:tabs>
            <w:rPr>
              <w:noProof/>
            </w:rPr>
          </w:pPr>
          <w:hyperlink w:anchor="_Toc214821454" w:history="1">
            <w:r w:rsidRPr="00D9549C">
              <w:rPr>
                <w:rStyle w:val="Hyperlink"/>
                <w:noProof/>
              </w:rPr>
              <w:t>4.2 Actionable Recommendations</w:t>
            </w:r>
            <w:r>
              <w:rPr>
                <w:noProof/>
                <w:webHidden/>
              </w:rPr>
              <w:tab/>
            </w:r>
            <w:r>
              <w:rPr>
                <w:noProof/>
                <w:webHidden/>
              </w:rPr>
              <w:fldChar w:fldCharType="begin"/>
            </w:r>
            <w:r>
              <w:rPr>
                <w:noProof/>
                <w:webHidden/>
              </w:rPr>
              <w:instrText xml:space="preserve"> PAGEREF _Toc214821454 \h </w:instrText>
            </w:r>
            <w:r>
              <w:rPr>
                <w:noProof/>
                <w:webHidden/>
              </w:rPr>
            </w:r>
            <w:r>
              <w:rPr>
                <w:noProof/>
                <w:webHidden/>
              </w:rPr>
              <w:fldChar w:fldCharType="separate"/>
            </w:r>
            <w:r>
              <w:rPr>
                <w:noProof/>
                <w:webHidden/>
              </w:rPr>
              <w:t>10</w:t>
            </w:r>
            <w:r>
              <w:rPr>
                <w:noProof/>
                <w:webHidden/>
              </w:rPr>
              <w:fldChar w:fldCharType="end"/>
            </w:r>
          </w:hyperlink>
        </w:p>
        <w:p w14:paraId="2E776FDE" w14:textId="50A80CB4" w:rsidR="00A242FD" w:rsidRDefault="00A242FD">
          <w:pPr>
            <w:pStyle w:val="Cuprins1"/>
            <w:tabs>
              <w:tab w:val="right" w:leader="dot" w:pos="9016"/>
            </w:tabs>
            <w:rPr>
              <w:noProof/>
            </w:rPr>
          </w:pPr>
          <w:hyperlink w:anchor="_Toc214821455" w:history="1">
            <w:r w:rsidRPr="00D9549C">
              <w:rPr>
                <w:rStyle w:val="Hyperlink"/>
                <w:rFonts w:eastAsia="Times New Roman"/>
                <w:noProof/>
                <w:lang w:eastAsia="en-GB"/>
              </w:rPr>
              <w:t>5. References</w:t>
            </w:r>
            <w:r>
              <w:rPr>
                <w:noProof/>
                <w:webHidden/>
              </w:rPr>
              <w:tab/>
            </w:r>
            <w:r>
              <w:rPr>
                <w:noProof/>
                <w:webHidden/>
              </w:rPr>
              <w:fldChar w:fldCharType="begin"/>
            </w:r>
            <w:r>
              <w:rPr>
                <w:noProof/>
                <w:webHidden/>
              </w:rPr>
              <w:instrText xml:space="preserve"> PAGEREF _Toc214821455 \h </w:instrText>
            </w:r>
            <w:r>
              <w:rPr>
                <w:noProof/>
                <w:webHidden/>
              </w:rPr>
            </w:r>
            <w:r>
              <w:rPr>
                <w:noProof/>
                <w:webHidden/>
              </w:rPr>
              <w:fldChar w:fldCharType="separate"/>
            </w:r>
            <w:r>
              <w:rPr>
                <w:noProof/>
                <w:webHidden/>
              </w:rPr>
              <w:t>10</w:t>
            </w:r>
            <w:r>
              <w:rPr>
                <w:noProof/>
                <w:webHidden/>
              </w:rPr>
              <w:fldChar w:fldCharType="end"/>
            </w:r>
          </w:hyperlink>
        </w:p>
        <w:p w14:paraId="62C6F66E" w14:textId="59FC3E97" w:rsidR="00A242FD" w:rsidRDefault="00A242FD">
          <w:r>
            <w:rPr>
              <w:b/>
              <w:bCs/>
              <w:noProof/>
            </w:rPr>
            <w:fldChar w:fldCharType="end"/>
          </w:r>
        </w:p>
      </w:sdtContent>
    </w:sdt>
    <w:p w14:paraId="4847750F" w14:textId="77777777" w:rsidR="007E275E" w:rsidRDefault="007E275E" w:rsidP="007E275E">
      <w:pPr>
        <w:spacing w:line="360" w:lineRule="auto"/>
        <w:jc w:val="both"/>
        <w:rPr>
          <w:rFonts w:ascii="Times New Roman" w:hAnsi="Times New Roman" w:cs="Times New Roman"/>
          <w:lang w:eastAsia="en-GB"/>
        </w:rPr>
      </w:pPr>
    </w:p>
    <w:p w14:paraId="068F25C0" w14:textId="77777777" w:rsidR="00A242FD" w:rsidRDefault="00A242FD" w:rsidP="007E275E">
      <w:pPr>
        <w:spacing w:line="360" w:lineRule="auto"/>
        <w:jc w:val="both"/>
        <w:rPr>
          <w:rFonts w:ascii="Times New Roman" w:hAnsi="Times New Roman" w:cs="Times New Roman"/>
          <w:lang w:eastAsia="en-GB"/>
        </w:rPr>
      </w:pPr>
    </w:p>
    <w:p w14:paraId="1360E742" w14:textId="77777777" w:rsidR="00A242FD" w:rsidRDefault="00A242FD" w:rsidP="007E275E">
      <w:pPr>
        <w:spacing w:line="360" w:lineRule="auto"/>
        <w:jc w:val="both"/>
        <w:rPr>
          <w:rFonts w:ascii="Times New Roman" w:hAnsi="Times New Roman" w:cs="Times New Roman"/>
          <w:lang w:eastAsia="en-GB"/>
        </w:rPr>
      </w:pPr>
    </w:p>
    <w:p w14:paraId="6A378CF6" w14:textId="77777777" w:rsidR="00A242FD" w:rsidRDefault="00A242FD" w:rsidP="007E275E">
      <w:pPr>
        <w:spacing w:line="360" w:lineRule="auto"/>
        <w:jc w:val="both"/>
        <w:rPr>
          <w:rFonts w:ascii="Times New Roman" w:hAnsi="Times New Roman" w:cs="Times New Roman"/>
          <w:lang w:eastAsia="en-GB"/>
        </w:rPr>
      </w:pPr>
    </w:p>
    <w:p w14:paraId="3D51FB5E" w14:textId="77777777" w:rsidR="00A242FD" w:rsidRDefault="00A242FD" w:rsidP="007E275E">
      <w:pPr>
        <w:spacing w:line="360" w:lineRule="auto"/>
        <w:jc w:val="both"/>
        <w:rPr>
          <w:rFonts w:ascii="Times New Roman" w:hAnsi="Times New Roman" w:cs="Times New Roman"/>
          <w:lang w:eastAsia="en-GB"/>
        </w:rPr>
      </w:pPr>
    </w:p>
    <w:p w14:paraId="65FA0C5F" w14:textId="77777777" w:rsidR="00A242FD" w:rsidRDefault="00A242FD" w:rsidP="007E275E">
      <w:pPr>
        <w:spacing w:line="360" w:lineRule="auto"/>
        <w:jc w:val="both"/>
        <w:rPr>
          <w:rFonts w:ascii="Times New Roman" w:hAnsi="Times New Roman" w:cs="Times New Roman"/>
          <w:lang w:eastAsia="en-GB"/>
        </w:rPr>
      </w:pPr>
    </w:p>
    <w:p w14:paraId="1B86DFCC" w14:textId="77777777" w:rsidR="00A242FD" w:rsidRDefault="00A242FD" w:rsidP="007E275E">
      <w:pPr>
        <w:spacing w:line="360" w:lineRule="auto"/>
        <w:jc w:val="both"/>
        <w:rPr>
          <w:rFonts w:ascii="Times New Roman" w:hAnsi="Times New Roman" w:cs="Times New Roman"/>
          <w:lang w:eastAsia="en-GB"/>
        </w:rPr>
      </w:pPr>
    </w:p>
    <w:p w14:paraId="79F44DE1" w14:textId="77777777" w:rsidR="00A242FD" w:rsidRDefault="00A242FD" w:rsidP="007E275E">
      <w:pPr>
        <w:spacing w:line="360" w:lineRule="auto"/>
        <w:jc w:val="both"/>
        <w:rPr>
          <w:rFonts w:ascii="Times New Roman" w:hAnsi="Times New Roman" w:cs="Times New Roman"/>
          <w:lang w:eastAsia="en-GB"/>
        </w:rPr>
      </w:pPr>
    </w:p>
    <w:p w14:paraId="7C16929F" w14:textId="77777777" w:rsidR="00A242FD" w:rsidRDefault="00A242FD" w:rsidP="007E275E">
      <w:pPr>
        <w:spacing w:line="360" w:lineRule="auto"/>
        <w:jc w:val="both"/>
        <w:rPr>
          <w:rFonts w:ascii="Times New Roman" w:hAnsi="Times New Roman" w:cs="Times New Roman"/>
          <w:lang w:eastAsia="en-GB"/>
        </w:rPr>
      </w:pPr>
    </w:p>
    <w:p w14:paraId="7AFED071" w14:textId="77777777" w:rsidR="007E275E" w:rsidRPr="007E275E" w:rsidRDefault="007E275E" w:rsidP="007E275E">
      <w:pPr>
        <w:spacing w:line="360" w:lineRule="auto"/>
        <w:jc w:val="both"/>
        <w:rPr>
          <w:rFonts w:ascii="Times New Roman" w:hAnsi="Times New Roman" w:cs="Times New Roman"/>
          <w:lang w:eastAsia="en-GB"/>
        </w:rPr>
      </w:pPr>
    </w:p>
    <w:p w14:paraId="0A4CCADC" w14:textId="77777777" w:rsidR="00D36B33" w:rsidRPr="007E275E" w:rsidRDefault="00D36B33" w:rsidP="007E275E">
      <w:pPr>
        <w:pStyle w:val="Titlu1"/>
      </w:pPr>
      <w:bookmarkStart w:id="1" w:name="_Toc214821436"/>
      <w:r w:rsidRPr="007E275E">
        <w:t>1. Introduction</w:t>
      </w:r>
      <w:bookmarkEnd w:id="1"/>
    </w:p>
    <w:p w14:paraId="32C3F65C" w14:textId="72EF9033"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 xml:space="preserve">The UK automotive industry needs strategic management due to the industry being in the environment where companies are operating under the influence of the fast electrification, integration of digital processes, and eco-friendly regulations. These forces necessitate firms to reconsider their long term course, resources and competitor positioning instead of depending on the incremental change. The modern approach to strategy emphasizes that organisations </w:t>
      </w:r>
      <w:r w:rsidR="007E275E" w:rsidRPr="007E275E">
        <w:rPr>
          <w:rFonts w:ascii="Times New Roman" w:hAnsi="Times New Roman" w:cs="Times New Roman"/>
          <w:lang w:eastAsia="en-GB"/>
        </w:rPr>
        <w:t>must</w:t>
      </w:r>
      <w:r w:rsidRPr="007E275E">
        <w:rPr>
          <w:rFonts w:ascii="Times New Roman" w:hAnsi="Times New Roman" w:cs="Times New Roman"/>
          <w:lang w:eastAsia="en-GB"/>
        </w:rPr>
        <w:t xml:space="preserve"> adjust to the external turbulence and align internal potential to the new opportunities (Grant, 2021). Meanwhile, sustainability has turned into a fundamental component of strategic decision making and manufacturers are under regulatory pressures and consumer expectations to reduce emissions and adopt responsible supply chains (KPMG, 2023).</w:t>
      </w:r>
    </w:p>
    <w:p w14:paraId="22CEFAE5"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Jaguar Land Rover (JLR) is the largest manufacturer of automotive productions in the UK that has its brand name as Jaguar, Land Rover and Range Rover which are premium brands. Tata Motors has experienced significant shifts in the past decade since it became the owner of the company during which time it was acquired in 2008 by Tata Motors. The company is still as well-known as a luxury brand and has the power of engineering, but it is under serious threat of worldwide competitors in the high-end EV market, such as Tesla, BMW and Mercedes. JLR still has a strong presence within the UK because of the production presence, research and development investment and employment base albeit competitive positions are challenged by increased costs and transformation of technology.</w:t>
      </w:r>
    </w:p>
    <w:p w14:paraId="797BE400"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vision of JLR is to be a modern luxury leader and it is backed with its strategy of Reimagine, which pledges the business to be totally electrified by the decade ending (JLR, 2023). The current strategic goals are on electrification, recovering profitability, high margin, low volume brand repositioning and sustainable manufacturing.</w:t>
      </w:r>
    </w:p>
    <w:p w14:paraId="5F28B120" w14:textId="5B19306E" w:rsidR="00D36B33"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report reviews the external and internal environment of JLR, generalises the main findings, assesses strategic options, and gives a conclusion on sustainable growth.</w:t>
      </w:r>
    </w:p>
    <w:p w14:paraId="10168E16" w14:textId="77777777" w:rsidR="009E433F" w:rsidRPr="007E275E" w:rsidRDefault="009E433F" w:rsidP="007E275E">
      <w:pPr>
        <w:pStyle w:val="Titlu1"/>
      </w:pPr>
      <w:bookmarkStart w:id="2" w:name="_Toc214821437"/>
      <w:r w:rsidRPr="007E275E">
        <w:t>2. Strategy Analysis – Jaguar Land Rover</w:t>
      </w:r>
      <w:bookmarkEnd w:id="2"/>
    </w:p>
    <w:p w14:paraId="4C55AB32" w14:textId="77777777" w:rsidR="009E433F" w:rsidRPr="007E275E" w:rsidRDefault="009E433F" w:rsidP="007E275E">
      <w:pPr>
        <w:pStyle w:val="Titlu2"/>
        <w:rPr>
          <w:rFonts w:eastAsia="Times New Roman"/>
          <w:lang w:eastAsia="en-GB"/>
        </w:rPr>
      </w:pPr>
      <w:bookmarkStart w:id="3" w:name="_Toc214821438"/>
      <w:r w:rsidRPr="007E275E">
        <w:rPr>
          <w:rFonts w:eastAsia="Times New Roman"/>
          <w:lang w:eastAsia="en-GB"/>
        </w:rPr>
        <w:t>2.1 External Environment Audit</w:t>
      </w:r>
      <w:bookmarkEnd w:id="3"/>
    </w:p>
    <w:p w14:paraId="0D9588C4" w14:textId="77777777" w:rsidR="009E433F" w:rsidRPr="007E275E" w:rsidRDefault="009E433F" w:rsidP="007E275E">
      <w:pPr>
        <w:pStyle w:val="Titlu3"/>
        <w:rPr>
          <w:rFonts w:eastAsia="Times New Roman"/>
          <w:lang w:eastAsia="en-GB"/>
        </w:rPr>
      </w:pPr>
      <w:bookmarkStart w:id="4" w:name="_Toc214821439"/>
      <w:r w:rsidRPr="007E275E">
        <w:rPr>
          <w:rFonts w:eastAsia="Times New Roman"/>
          <w:lang w:eastAsia="en-GB"/>
        </w:rPr>
        <w:t>2.1.1 PESTLE Analysis</w:t>
      </w:r>
      <w:bookmarkEnd w:id="4"/>
    </w:p>
    <w:p w14:paraId="49969A13"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UK automotive industry is informed by political interests in the strategy of industry, energy security and post-Brexit trade policy. The policies of the government regarding electrification and net-zero goals, as well as battery production incentives, both provide an incentive and pressure to companies like JLR (UK Government, 2023). Simultaneously, Brexit-related frictions and rules of origin add the cost and complexity of exporting automobiles to the EU, one of the primary markets.</w:t>
      </w:r>
    </w:p>
    <w:p w14:paraId="31A1BA3F"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High inflation, interest rate increases and declining consumer purchasing power have reduced demand in high-end vehicles economically, and Exchange rate volatility presents increased uncertainty to a business that could have global supply chains and international sales (Bank of England, 2023). Prices of EV components, especially batteries, have been fluctuating as well, potentially hurting the margins of companies that are already deep into electrification.</w:t>
      </w:r>
    </w:p>
    <w:p w14:paraId="2472D995"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Social trends present a change in the demands of the consumers to sustainable mobility, yet premium customers still regard performance, comfort and brand identity as values. This puts JLR in a dilemma where luxury positioning must be maintained with the issue of the environment. The attitude towards giant SUVs also shifts, as some customers change their preferences to smaller and more efficient EVs (PwC, 2023).</w:t>
      </w:r>
    </w:p>
    <w:p w14:paraId="6511E2AC"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One of the most influential external forces is the technological change. The competition is being transformed by developments in battery chemistry, autonomous systems and software-defined vehicles. The software integration and digital services as the features of manufacturers become the field of competition as the old companies are pressured by the tech-focused new ones (McKinsey, 2022). OTA updates, connectivity and high driver assistance systems are now critical to competitiveness.</w:t>
      </w:r>
    </w:p>
    <w:p w14:paraId="7A31CD80"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Legal burdens keep becoming stricter, specifically in the fields of emissions, cybersecurity, as well as vehicle safety. The enforcement of the Euro 7 regulations and the UK-specific environmental regulations will demand additional design redesigns of the current models and increased investment in new EV platforms (European Commission, 2023). The operations are also influenced by the developments in the labour law, especially, considering that JLR has a considerable number of employees in the UK.</w:t>
      </w:r>
    </w:p>
    <w:p w14:paraId="63A5B2B7"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pressures of the environment are kept in the limelight. The 2050 net-zero objective of the UK, low lifecycle emissions, and sustainable supply chains encourage the necessity to manufacture greener materials and use them (Climate Change Committee, 2023). JLR is under scrutiny because of the environmental footprint of the luxury SUVs and the intensity of battery production.</w:t>
      </w:r>
    </w:p>
    <w:p w14:paraId="5575AADF" w14:textId="77777777" w:rsidR="009E433F" w:rsidRPr="007E275E" w:rsidRDefault="009E433F" w:rsidP="007E275E">
      <w:pPr>
        <w:pStyle w:val="Titlu3"/>
        <w:rPr>
          <w:lang w:eastAsia="en-GB"/>
        </w:rPr>
      </w:pPr>
      <w:bookmarkStart w:id="5" w:name="_Toc214821440"/>
      <w:r w:rsidRPr="007E275E">
        <w:rPr>
          <w:lang w:eastAsia="en-GB"/>
        </w:rPr>
        <w:t>2.1.2 Porter’s Five Forces</w:t>
      </w:r>
      <w:bookmarkEnd w:id="5"/>
    </w:p>
    <w:p w14:paraId="1E2903B5"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There is a heightened threat of new entrants because of emergence of EV-oriented companies, especially Chinese companies that produce competitive priced electric vehicles. Digital-first models of production allow a reduction in certain traditional entry barriers despite the high level of capital requirements, brand building, and regulatory barriers (Chen et al., 2023). In the case of JLR, it represents a heightened rivalry in the areas that used to be regarded as the safe haven of brand heritage.</w:t>
      </w:r>
    </w:p>
    <w:p w14:paraId="267FF04D"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power of suppliers is considerable since EV manufacturing is dependent on specific inputs that include batteries, semiconductors and computer systems. The suppliers of batteries especially have leverage as there are only a few suppliers and a great demand. Supplier power is also increased by the fact that addictions to global supply chains revealed by recent shocks (International Energy Agency, 2022). The strategies of localising battery alliances that are planned by JLR partially alleviate this without eliminating vulnerability.</w:t>
      </w:r>
    </w:p>
    <w:p w14:paraId="153280A2"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premium market has a moderate to high buyer power. The segment customers can find good alternatives and are getting more knowledge about sustainability credentials and digital capabilities. There is also the influence of fleet buyers and leasing companies with procurement standards that give more focus on emissions and total cost of ownership (SMMT, 2023). This means that JLR needs to differentiate based on technology and customer experience and not necessarily brand.</w:t>
      </w:r>
    </w:p>
    <w:p w14:paraId="4D7D8557"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threat of substitutes is still applicable. In cities, public transport and shared mobility space can be used, and smaller and cheaper EVs are attractive to environment-sensitive customers. But in the case of luxury customers, non-car substitutes are not so appealing, thus the threat is realized but it is not that high.</w:t>
      </w:r>
    </w:p>
    <w:p w14:paraId="6371472D"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level of competitive rivalry is high. Old premium brands like BMW, Audi and Mercedes are still developing at a high rate in EV and digital capabilities. Tesla puts extra stress as a software innovation and charging infrastructure benchmark. New Chinese brands, such as BYD and NIO, are very aggressive in terms of value and technology, which puts traditional manufacturers in greater difficulty (Forbes, 2023).</w:t>
      </w:r>
    </w:p>
    <w:p w14:paraId="09404D0D" w14:textId="77777777" w:rsidR="009E433F" w:rsidRPr="007E275E" w:rsidRDefault="009E433F" w:rsidP="007E275E">
      <w:pPr>
        <w:pStyle w:val="Titlu2"/>
        <w:rPr>
          <w:lang w:eastAsia="en-GB"/>
        </w:rPr>
      </w:pPr>
      <w:bookmarkStart w:id="6" w:name="_Toc214821441"/>
      <w:r w:rsidRPr="007E275E">
        <w:rPr>
          <w:lang w:eastAsia="en-GB"/>
        </w:rPr>
        <w:t>2.2 Internal Environment Audit</w:t>
      </w:r>
      <w:bookmarkEnd w:id="6"/>
    </w:p>
    <w:p w14:paraId="02D8A486" w14:textId="77777777" w:rsidR="009E433F" w:rsidRPr="007E275E" w:rsidRDefault="009E433F" w:rsidP="007E275E">
      <w:pPr>
        <w:pStyle w:val="Titlu3"/>
        <w:rPr>
          <w:lang w:eastAsia="en-GB"/>
        </w:rPr>
      </w:pPr>
      <w:bookmarkStart w:id="7" w:name="_Toc214821442"/>
      <w:r w:rsidRPr="007E275E">
        <w:rPr>
          <w:lang w:eastAsia="en-GB"/>
        </w:rPr>
        <w:t>2.2.1 Value Chain Analysis</w:t>
      </w:r>
      <w:bookmarkEnd w:id="7"/>
    </w:p>
    <w:p w14:paraId="4C2C5004"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JLR uses international suppliers in the inbound logistics of parts, such as semiconductors and battery systems, which makes it susceptible to disruption. The company has centred its operations in the UK plants (Solihull, Halewood and Wolverhampton), which offer good engineering capabilities though are vulnerable to high labour and production costs. Switching to EV platforms implies reconfigurability of these facilities, which both opportunities and challenges.</w:t>
      </w:r>
    </w:p>
    <w:p w14:paraId="5B069128"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outbound logistics rely on the UK distribution channels and export markets especially to Europe, North America and China. These flows have been complicated by the addition of costs and complexity by border changes after Brexit. Sales and marketing strategies focus on the luxury positioning with the help of digital shopping experience and effective dealership network. Post-sales support is also a major value addition factor, particularly to high-end clients who anticipate one-on-one services and software upgrade.</w:t>
      </w:r>
    </w:p>
    <w:p w14:paraId="25FB84FF"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support activities also encompass firm infrastructure which is being restructured as part of the Reimagine programme so as to simplify things and minimize complexity (JLR, 2023). Digital and electrification skills are being invested in by the human resources, although retraining requirements are high. One of the main strengths is technology development, where it has invested heavily in EV platforms, autonomous systems and software engineering. Procurement is still facing the challenge of depending on outsourced suppliers of batteries and chips.</w:t>
      </w:r>
    </w:p>
    <w:p w14:paraId="3D29FFD5"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Design capability, off-road engineering, luxury interior creation and brand experience have the greatest value creation. High production cost, the complexity of legacy models, slowness in digitizing the models against the competition leaders result in value loss.</w:t>
      </w:r>
    </w:p>
    <w:p w14:paraId="0F485603" w14:textId="77777777" w:rsidR="009E433F" w:rsidRPr="007E275E" w:rsidRDefault="009E433F" w:rsidP="007E275E">
      <w:pPr>
        <w:pStyle w:val="Titlu3"/>
        <w:rPr>
          <w:lang w:eastAsia="en-GB"/>
        </w:rPr>
      </w:pPr>
      <w:bookmarkStart w:id="8" w:name="_Toc214821443"/>
      <w:r w:rsidRPr="007E275E">
        <w:rPr>
          <w:lang w:eastAsia="en-GB"/>
        </w:rPr>
        <w:t>2.2.2 Resource-Based View (RBV)</w:t>
      </w:r>
      <w:bookmarkEnd w:id="8"/>
    </w:p>
    <w:p w14:paraId="65187D71"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JLR owns a number of physical resources which consist of the modern manufacturing plants, testing facilities and research and development centres. More strategically important are its intangible resources: a large brand equity that is related to the British luxury, their extensive experience with engineering knowledge in the off-road and SUV design, and their customer base across the globe. JLR has also established strategic partnerships in electrification and digital technology, albeit to different levels of sophistication and maturity.</w:t>
      </w:r>
    </w:p>
    <w:p w14:paraId="77913569"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RBV perspective sees competition advantage as a result of having resources that are not easily duplicated and are put into profitable use (Barney and Hesterly, 2021). Competitiveness in the luxury market: JLR has a history, design and brand recognition which provide differentiation in the high-end market. Yet, new EV players have diminished the technology gap and are viewed as equal in quality, diminishing the distinctiveness of certain traditional advantages. Software development and battery integration capabilities are in their developmental stage and are yet to be developed to a point that ensures continued benefit.</w:t>
      </w:r>
    </w:p>
    <w:p w14:paraId="18BAE36D" w14:textId="77777777" w:rsidR="009E433F" w:rsidRPr="007E275E" w:rsidRDefault="009E433F" w:rsidP="007E275E">
      <w:pPr>
        <w:pStyle w:val="Titlu3"/>
        <w:rPr>
          <w:lang w:eastAsia="en-GB"/>
        </w:rPr>
      </w:pPr>
      <w:bookmarkStart w:id="9" w:name="_Toc214821444"/>
      <w:r w:rsidRPr="007E275E">
        <w:rPr>
          <w:lang w:eastAsia="en-GB"/>
        </w:rPr>
        <w:t>2.2.3 VRIO Evaluation</w:t>
      </w:r>
      <w:bookmarkEnd w:id="9"/>
    </w:p>
    <w:p w14:paraId="54B37DD3"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Luxury SUV engineering strength of JLR is a valuable and hard to replicate asset, which is decades of experience in specialists. It is a great competitive edge especially to the Land Rover and Range Rover models. JLR is structured to leverage this ability fully providing it with a lasting competitive edge.</w:t>
      </w:r>
    </w:p>
    <w:p w14:paraId="04EEEE75"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strength of the brand can also be considered good and is uncommon in the global luxury automotive industry. Although brand identity can have its aspects copied, JLR has a short-term to long-term competitive strength in its heritage and design differentiation, depending on the segment.</w:t>
      </w:r>
    </w:p>
    <w:p w14:paraId="5D3EBA12"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capability to be off-road, which has been developed in the engineering culture of JLR, is useful and difficult to imitate. Nonetheless, its role in the future competitiveness of EVs is unclear meaning that its advantage can be short-term.</w:t>
      </w:r>
    </w:p>
    <w:p w14:paraId="4A752DE3"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presence of battery and software features is not as exceptional and cannot be imitated. Tesla and BMW already are more competent in their abilities, which does not give JLR an upper hand. Organisational capability is to be established through investment and partnerships.</w:t>
      </w:r>
    </w:p>
    <w:p w14:paraId="0C6E4625"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flexibility in manufacturing is not so valuable and constrained by the legacy systems and complexity in production. This capability can be a benefit but does not provide much benefit at the present as JLR simplifies model architectures and shifts to EV platforms.</w:t>
      </w:r>
    </w:p>
    <w:p w14:paraId="0ADA7579" w14:textId="77777777" w:rsidR="009E433F" w:rsidRPr="007E275E" w:rsidRDefault="009E433F" w:rsidP="007E275E">
      <w:pPr>
        <w:pStyle w:val="Titlu2"/>
        <w:rPr>
          <w:lang w:eastAsia="en-GB"/>
        </w:rPr>
      </w:pPr>
      <w:bookmarkStart w:id="10" w:name="_Toc214821445"/>
      <w:r w:rsidRPr="007E275E">
        <w:rPr>
          <w:lang w:eastAsia="en-GB"/>
        </w:rPr>
        <w:t>2.3 SWOT Synthesis</w:t>
      </w:r>
      <w:bookmarkEnd w:id="10"/>
    </w:p>
    <w:p w14:paraId="79D94858"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strength of JLR lies in the fact that it has well-established luxury brands across the world, engineering heritage and powerful design skills. These are complemented by a well-established base of manufacturing in the UK and a massive investment in R&amp;D. High costs of production, external battery suppliers, complexity of legacy models, and slower digitalization of its products, compared to the top EV producers, are some weaknesses.</w:t>
      </w:r>
    </w:p>
    <w:p w14:paraId="1FB94A50"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opportunities are due to the growing need to use higher quality electric vehicles, governmental assistance to develop green production and new technologies in batteries and software. JLR has an opportunity to tap into the more profitable luxury EV market segments using its brand strength. The threats involve a high level of competition with traditional premium competitors and disruptive EV competitors, environmental regulations regarding emissions, and susceptibility of the supply chain.</w:t>
      </w:r>
    </w:p>
    <w:p w14:paraId="152EB6C5" w14:textId="77777777" w:rsidR="009E433F" w:rsidRPr="007E275E" w:rsidRDefault="009E433F" w:rsidP="007E275E">
      <w:pPr>
        <w:pStyle w:val="Titlu1"/>
        <w:rPr>
          <w:rFonts w:eastAsia="Times New Roman"/>
          <w:lang w:eastAsia="en-GB"/>
        </w:rPr>
      </w:pPr>
      <w:bookmarkStart w:id="11" w:name="_Toc214821446"/>
      <w:r w:rsidRPr="007E275E">
        <w:rPr>
          <w:rFonts w:eastAsia="Times New Roman"/>
          <w:lang w:eastAsia="en-GB"/>
        </w:rPr>
        <w:t>3. Strategy Formulation for JLR</w:t>
      </w:r>
      <w:bookmarkEnd w:id="11"/>
    </w:p>
    <w:p w14:paraId="3C2666ED" w14:textId="77777777" w:rsidR="009E433F" w:rsidRPr="007E275E" w:rsidRDefault="009E433F" w:rsidP="007E275E">
      <w:pPr>
        <w:pStyle w:val="Titlu2"/>
        <w:rPr>
          <w:rFonts w:eastAsia="Times New Roman"/>
          <w:lang w:eastAsia="en-GB"/>
        </w:rPr>
      </w:pPr>
      <w:bookmarkStart w:id="12" w:name="_Toc214821447"/>
      <w:r w:rsidRPr="007E275E">
        <w:rPr>
          <w:rFonts w:eastAsia="Times New Roman"/>
          <w:lang w:eastAsia="en-GB"/>
        </w:rPr>
        <w:t>3.1 Criteria for Evaluating Strategic Options</w:t>
      </w:r>
      <w:bookmarkEnd w:id="12"/>
    </w:p>
    <w:p w14:paraId="339CBAF1"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four criteria are used to evaluate the strategic options. The strategic fit is based on the compatibility with the vision of a modern luxury of JLR and the strengths of the brand, engineering and design that it has. Sustainability and long term viability assess the support of the alternatives to the commitment of JLR to electrification, reduction of emissions and responsible supply chain. Capital requirements include financial feasibility and risk, which represent the possible returns and exposure to technological or market risk (Grant, 2021). Lastly, fit to the external trends ensures that an option is sensitive to regulatory pressure, electrification and digitalisation in the automotive industry (KPMG, 2023). These standards facilitate a comparative analysis which is regular and supported by evidence.</w:t>
      </w:r>
    </w:p>
    <w:p w14:paraId="05BBDE6C" w14:textId="77777777" w:rsidR="009E433F" w:rsidRPr="007E275E" w:rsidRDefault="009E433F" w:rsidP="007E275E">
      <w:pPr>
        <w:pStyle w:val="Titlu2"/>
      </w:pPr>
      <w:bookmarkStart w:id="13" w:name="_Toc214821448"/>
      <w:r w:rsidRPr="007E275E">
        <w:t>3.2 Strategic Alternative 1: Accelerated Premium EV and Digital Strategy</w:t>
      </w:r>
      <w:bookmarkEnd w:id="13"/>
    </w:p>
    <w:p w14:paraId="41517A1D" w14:textId="6212C928"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This alternative targets to accelerate the electrification of Jaguar and Land Rover vehicles and create high-end EV platforms and software-defined vehicles. It encompasses also investment in digital services like connected functionality and over-the-air updates. PESTLE analysis noted a high rate of EV development, increased emissions regulations and the evolving demand of increased digital capabilities. According to the findings of the VRIO, the strong premium EV proposal can be backed up by the brand equity and expertise of the design of JLR.</w:t>
      </w:r>
    </w:p>
    <w:p w14:paraId="6DC68067"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advantages are associated with enhanced competitiveness in the high-end EV market, increased adherence to the regulation of emissions and the elevated customer experience. Examples of risks include heavy capital investment and reliance on external battery and semiconductor source. Increasing internal software ability will demand long-term investment and possible ventures.</w:t>
      </w:r>
    </w:p>
    <w:p w14:paraId="455342C7" w14:textId="77777777" w:rsidR="009E433F" w:rsidRPr="007E275E" w:rsidRDefault="009E433F" w:rsidP="007E275E">
      <w:pPr>
        <w:pStyle w:val="Titlu2"/>
      </w:pPr>
      <w:bookmarkStart w:id="14" w:name="_Toc214821449"/>
      <w:r w:rsidRPr="007E275E">
        <w:t>3.3 Strategic Alternative 2: Operational Excellence and Cost Restructuring</w:t>
      </w:r>
      <w:bookmarkEnd w:id="14"/>
    </w:p>
    <w:p w14:paraId="6579701E" w14:textId="4E845239"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This alternative focuses on simplifying operations by standardising the platform, optimisation of supply chain and enhancement of the efficiency of the plant. It deals with the internal weaknesses that have been discussed in the value chain which are high production cost and complexity of operations. The role of leaner is becoming critical because the EV margins are unstable, and supply chains are still being disrupted (McKinsey, 2022).</w:t>
      </w:r>
    </w:p>
    <w:p w14:paraId="7ECF16AC"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There are such benefits as increased financial strength and efficiency in the process of transition to EVs. Workforce resistance, possible disruption in the process of restructuring and difficulties in implementing everything in the short term are risks. Nevertheless, the alternative would free up resources to be electrified and enhance long term competitiveness.</w:t>
      </w:r>
    </w:p>
    <w:p w14:paraId="176C91FF" w14:textId="77777777" w:rsidR="009E433F" w:rsidRPr="007E275E" w:rsidRDefault="009E433F" w:rsidP="007E275E">
      <w:pPr>
        <w:pStyle w:val="Titlu2"/>
      </w:pPr>
      <w:bookmarkStart w:id="15" w:name="_Toc214821450"/>
      <w:r w:rsidRPr="007E275E">
        <w:t>3.4 Strategic Alternative 3: Sustainability and Circular Economy Leadership</w:t>
      </w:r>
      <w:bookmarkEnd w:id="15"/>
    </w:p>
    <w:p w14:paraId="1501E1EF" w14:textId="2A36E7EF"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It is an alternative that makes JLR a sustainable luxury brand by utilizing low carbon production, using more recycled materials, and recycling batteries. PESTLE factors demonstrate an increasing pressure on the environment and society, and the RBV analysis reveals the probability to develop specific sustainability skills that would strengthen the brand identity (Bocken and Short, 2021).</w:t>
      </w:r>
    </w:p>
    <w:p w14:paraId="04455503" w14:textId="77777777" w:rsidR="009E433F"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positive aspects are that it has reduced regulatory risk, enhanced brand differentiation and resilience to resource constraints. It faces such challenges as the intricacy of its supply chain and the necessity to work closely with recycling and materials partners.</w:t>
      </w:r>
    </w:p>
    <w:p w14:paraId="0514773D" w14:textId="77777777" w:rsidR="009E433F" w:rsidRPr="007E275E" w:rsidRDefault="009E433F" w:rsidP="007E275E">
      <w:pPr>
        <w:pStyle w:val="Titlu2"/>
      </w:pPr>
      <w:bookmarkStart w:id="16" w:name="_Toc214821451"/>
      <w:r w:rsidRPr="007E275E">
        <w:t>3.5 Comparative Evaluation and Preferred Strategy</w:t>
      </w:r>
      <w:bookmarkEnd w:id="16"/>
    </w:p>
    <w:p w14:paraId="084740EC" w14:textId="521B86F0" w:rsidR="00D36B33" w:rsidRPr="007E275E" w:rsidRDefault="009E433F"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Through the criteria, Alternative 1 provides the best strategic fit and is the one that is the most responsive to technological and regulatory pressures. Alternative 3 is better than this as it would boost the sustainability credentials of JLR, whereas Alternative 2 would help it be financially viable. The most balanced way to go is to choose a combined approach, facilitated by the specific elements of Alternatives 2 and 3 that can be backed by Alternative 1.</w:t>
      </w:r>
    </w:p>
    <w:p w14:paraId="30925B2D" w14:textId="77777777" w:rsidR="00D36B33" w:rsidRPr="007E275E" w:rsidRDefault="00D36B33" w:rsidP="007E275E">
      <w:pPr>
        <w:pStyle w:val="Titlu1"/>
        <w:rPr>
          <w:rFonts w:eastAsia="Times New Roman"/>
          <w:lang w:eastAsia="en-GB"/>
        </w:rPr>
      </w:pPr>
      <w:bookmarkStart w:id="17" w:name="_Toc214821452"/>
      <w:r w:rsidRPr="007E275E">
        <w:rPr>
          <w:rFonts w:eastAsia="Times New Roman"/>
          <w:lang w:eastAsia="en-GB"/>
        </w:rPr>
        <w:t>4. Conclusion and Recommendations for JLR</w:t>
      </w:r>
      <w:bookmarkEnd w:id="17"/>
    </w:p>
    <w:p w14:paraId="272D23E2" w14:textId="2BDAA817" w:rsidR="00D36B33" w:rsidRPr="007E275E" w:rsidRDefault="009E433F" w:rsidP="007E275E">
      <w:pPr>
        <w:pStyle w:val="Titlu2"/>
      </w:pPr>
      <w:bookmarkStart w:id="18" w:name="_Toc214821453"/>
      <w:r w:rsidRPr="007E275E">
        <w:t>4.1 Overall Conclusion</w:t>
      </w:r>
      <w:bookmarkEnd w:id="18"/>
    </w:p>
    <w:p w14:paraId="0C88310E" w14:textId="77777777" w:rsidR="007E275E" w:rsidRPr="007E275E" w:rsidRDefault="007E275E"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JLR is competing in a very competitive global automotive industry that is rapidly electrifying, becoming more digitalised and highly regulated by the environmental protection. On the external front, the company needs to react to technological unrest, increasing sustainability pressures and price pressures in the UK and other international markets. JLR has some of its strongest strengths that include brand equity, design capability and engineering strengths, that it has developed internally but has to deal with high production costs and quicken its pace in developing EV and software capabilities.</w:t>
      </w:r>
    </w:p>
    <w:p w14:paraId="2E1896B5" w14:textId="5FCE8ACD" w:rsidR="009E433F" w:rsidRPr="007E275E" w:rsidRDefault="007E275E"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The analysis indicates that accelerated premium EV and digital strategy is the most appropriate strategic direction, which should be supported by the improvement of operational efficiency and the clear devotion to sustainability. This integrated practice reinforces the competitiveness, goes with the regulatory and market trends, and taps in the heritage of JLR and bridges serious performance gaps.</w:t>
      </w:r>
    </w:p>
    <w:p w14:paraId="3B6F04D7" w14:textId="77777777" w:rsidR="007E275E" w:rsidRPr="007E275E" w:rsidRDefault="007E275E" w:rsidP="007E275E">
      <w:pPr>
        <w:pStyle w:val="Titlu2"/>
      </w:pPr>
      <w:bookmarkStart w:id="19" w:name="_Toc214821454"/>
      <w:r w:rsidRPr="007E275E">
        <w:t>4.2 Actionable Recommendations</w:t>
      </w:r>
      <w:bookmarkEnd w:id="19"/>
    </w:p>
    <w:p w14:paraId="1CAAF27A" w14:textId="6AECE550" w:rsidR="007E275E" w:rsidRPr="007E275E" w:rsidRDefault="007E275E" w:rsidP="007E275E">
      <w:pPr>
        <w:spacing w:line="360" w:lineRule="auto"/>
        <w:jc w:val="both"/>
        <w:rPr>
          <w:rFonts w:ascii="Times New Roman" w:hAnsi="Times New Roman" w:cs="Times New Roman"/>
          <w:lang w:eastAsia="en-GB"/>
        </w:rPr>
      </w:pPr>
      <w:r w:rsidRPr="007E275E">
        <w:rPr>
          <w:rFonts w:ascii="Times New Roman" w:hAnsi="Times New Roman" w:cs="Times New Roman"/>
          <w:lang w:eastAsia="en-GB"/>
        </w:rPr>
        <w:t>Short term, JLR must speed up the design of major premium EV models, expand relationships on batteries and software, and take a targeted cost-cutting programme throughout its UK plants so as to free up money to electrify. Internal digital capability also needs to be fortified by recruiting and retraining the targeted employees. In the medium-term, JLR needs to redesign its production facilities to produce low-carbon products, increase its battery recycles, and incorporate design philosophies that are responsive to sustainability. All these are in line with the favoured strategy as they enhance competitiveness, decrease regulatory risk and strengthen the JLR presence in the high-end electric vehicle market.</w:t>
      </w:r>
    </w:p>
    <w:p w14:paraId="289B960A" w14:textId="5FE9C589" w:rsidR="00D36B33" w:rsidRDefault="00D36B33" w:rsidP="007E275E">
      <w:pPr>
        <w:pStyle w:val="Titlu1"/>
        <w:rPr>
          <w:rFonts w:eastAsia="Times New Roman"/>
          <w:lang w:eastAsia="en-GB"/>
        </w:rPr>
      </w:pPr>
      <w:bookmarkStart w:id="20" w:name="_Toc214821455"/>
      <w:r w:rsidRPr="007E275E">
        <w:rPr>
          <w:rFonts w:eastAsia="Times New Roman"/>
          <w:lang w:eastAsia="en-GB"/>
        </w:rPr>
        <w:t>5. Reference</w:t>
      </w:r>
      <w:r w:rsidR="009E433F" w:rsidRPr="007E275E">
        <w:rPr>
          <w:rFonts w:eastAsia="Times New Roman"/>
          <w:lang w:eastAsia="en-GB"/>
        </w:rPr>
        <w:t>s</w:t>
      </w:r>
      <w:bookmarkEnd w:id="20"/>
    </w:p>
    <w:p w14:paraId="17479A13" w14:textId="77777777" w:rsidR="007E275E" w:rsidRPr="007E275E" w:rsidRDefault="007E275E" w:rsidP="007E275E">
      <w:pPr>
        <w:pStyle w:val="NormalWeb"/>
        <w:spacing w:line="360" w:lineRule="auto"/>
        <w:rPr>
          <w:color w:val="000000" w:themeColor="text1"/>
        </w:rPr>
      </w:pPr>
      <w:r w:rsidRPr="007E275E">
        <w:rPr>
          <w:color w:val="000000" w:themeColor="text1"/>
        </w:rPr>
        <w:t>Bank of England (2023)</w:t>
      </w:r>
      <w:r w:rsidRPr="007E275E">
        <w:rPr>
          <w:rStyle w:val="apple-converted-space"/>
          <w:rFonts w:eastAsiaTheme="majorEastAsia"/>
          <w:color w:val="000000" w:themeColor="text1"/>
        </w:rPr>
        <w:t> </w:t>
      </w:r>
      <w:r w:rsidRPr="007E275E">
        <w:rPr>
          <w:rStyle w:val="Accentuat"/>
          <w:rFonts w:eastAsiaTheme="majorEastAsia"/>
          <w:color w:val="000000" w:themeColor="text1"/>
        </w:rPr>
        <w:t>Monetary Policy Report – November 2023</w:t>
      </w:r>
      <w:r w:rsidRPr="007E275E">
        <w:rPr>
          <w:color w:val="000000" w:themeColor="text1"/>
        </w:rPr>
        <w:t>. Available at:</w:t>
      </w:r>
      <w:r w:rsidRPr="007E275E">
        <w:rPr>
          <w:rStyle w:val="apple-converted-space"/>
          <w:rFonts w:eastAsiaTheme="majorEastAsia"/>
          <w:color w:val="000000" w:themeColor="text1"/>
        </w:rPr>
        <w:t> </w:t>
      </w:r>
      <w:hyperlink r:id="rId8" w:tgtFrame="_new" w:history="1">
        <w:r w:rsidRPr="007E275E">
          <w:rPr>
            <w:rStyle w:val="Hyperlink"/>
            <w:rFonts w:eastAsiaTheme="majorEastAsia"/>
            <w:color w:val="000000" w:themeColor="text1"/>
          </w:rPr>
          <w:t>https://www.bankofengland.co.uk</w:t>
        </w:r>
      </w:hyperlink>
      <w:r w:rsidRPr="007E275E">
        <w:rPr>
          <w:color w:val="000000" w:themeColor="text1"/>
        </w:rPr>
        <w:t>(Accessed: 18 November 2025).</w:t>
      </w:r>
    </w:p>
    <w:p w14:paraId="30EE9682" w14:textId="77777777" w:rsidR="007E275E" w:rsidRPr="007E275E" w:rsidRDefault="007E275E" w:rsidP="007E275E">
      <w:pPr>
        <w:pStyle w:val="NormalWeb"/>
        <w:spacing w:line="360" w:lineRule="auto"/>
        <w:rPr>
          <w:color w:val="000000" w:themeColor="text1"/>
        </w:rPr>
      </w:pPr>
      <w:r w:rsidRPr="007E275E">
        <w:rPr>
          <w:color w:val="000000" w:themeColor="text1"/>
        </w:rPr>
        <w:t>Barney, J. and Hesterly, W. (2021)</w:t>
      </w:r>
      <w:r w:rsidRPr="007E275E">
        <w:rPr>
          <w:rStyle w:val="apple-converted-space"/>
          <w:rFonts w:eastAsiaTheme="majorEastAsia"/>
          <w:color w:val="000000" w:themeColor="text1"/>
        </w:rPr>
        <w:t> </w:t>
      </w:r>
      <w:r w:rsidRPr="007E275E">
        <w:rPr>
          <w:rStyle w:val="Accentuat"/>
          <w:rFonts w:eastAsiaTheme="majorEastAsia"/>
          <w:color w:val="000000" w:themeColor="text1"/>
        </w:rPr>
        <w:t>Strategic Management and Competitive Advantage: Concepts and Cases</w:t>
      </w:r>
      <w:r w:rsidRPr="007E275E">
        <w:rPr>
          <w:color w:val="000000" w:themeColor="text1"/>
        </w:rPr>
        <w:t>. 7th edn. Harlow: Pearson.</w:t>
      </w:r>
    </w:p>
    <w:p w14:paraId="4C10B744" w14:textId="77777777" w:rsidR="007E275E" w:rsidRPr="007E275E" w:rsidRDefault="007E275E" w:rsidP="007E275E">
      <w:pPr>
        <w:pStyle w:val="NormalWeb"/>
        <w:spacing w:line="360" w:lineRule="auto"/>
        <w:rPr>
          <w:color w:val="000000" w:themeColor="text1"/>
        </w:rPr>
      </w:pPr>
      <w:r w:rsidRPr="007E275E">
        <w:rPr>
          <w:color w:val="000000" w:themeColor="text1"/>
        </w:rPr>
        <w:t>Bocken, N. and Short, S. (2021) ‘Towards a sufficiency-driven business model: Experiences and opportunities’,</w:t>
      </w:r>
      <w:r w:rsidRPr="007E275E">
        <w:rPr>
          <w:rStyle w:val="apple-converted-space"/>
          <w:rFonts w:eastAsiaTheme="majorEastAsia"/>
          <w:color w:val="000000" w:themeColor="text1"/>
        </w:rPr>
        <w:t> </w:t>
      </w:r>
      <w:r w:rsidRPr="007E275E">
        <w:rPr>
          <w:rStyle w:val="Accentuat"/>
          <w:rFonts w:eastAsiaTheme="majorEastAsia"/>
          <w:color w:val="000000" w:themeColor="text1"/>
        </w:rPr>
        <w:t>Journal of Cleaner Production</w:t>
      </w:r>
      <w:r w:rsidRPr="007E275E">
        <w:rPr>
          <w:color w:val="000000" w:themeColor="text1"/>
        </w:rPr>
        <w:t>, 285, pp. 1–14.</w:t>
      </w:r>
    </w:p>
    <w:p w14:paraId="385394D4" w14:textId="77777777" w:rsidR="007E275E" w:rsidRPr="007E275E" w:rsidRDefault="007E275E" w:rsidP="007E275E">
      <w:pPr>
        <w:pStyle w:val="NormalWeb"/>
        <w:spacing w:line="360" w:lineRule="auto"/>
        <w:rPr>
          <w:color w:val="000000" w:themeColor="text1"/>
        </w:rPr>
      </w:pPr>
      <w:r w:rsidRPr="007E275E">
        <w:rPr>
          <w:color w:val="000000" w:themeColor="text1"/>
        </w:rPr>
        <w:t>Chen, Y., Wang, L. and Li, T. (2023) ‘The rise of Chinese electric vehicle manufacturers and global competitive dynamics’,</w:t>
      </w:r>
      <w:r w:rsidRPr="007E275E">
        <w:rPr>
          <w:rStyle w:val="apple-converted-space"/>
          <w:rFonts w:eastAsiaTheme="majorEastAsia"/>
          <w:color w:val="000000" w:themeColor="text1"/>
        </w:rPr>
        <w:t> </w:t>
      </w:r>
      <w:r w:rsidRPr="007E275E">
        <w:rPr>
          <w:rStyle w:val="Accentuat"/>
          <w:rFonts w:eastAsiaTheme="majorEastAsia"/>
          <w:color w:val="000000" w:themeColor="text1"/>
        </w:rPr>
        <w:t>Technological Forecasting and Social Change</w:t>
      </w:r>
      <w:r w:rsidRPr="007E275E">
        <w:rPr>
          <w:color w:val="000000" w:themeColor="text1"/>
        </w:rPr>
        <w:t>, 192, pp. 1–12.</w:t>
      </w:r>
    </w:p>
    <w:p w14:paraId="79815CC8" w14:textId="77777777" w:rsidR="007E275E" w:rsidRPr="007E275E" w:rsidRDefault="007E275E" w:rsidP="007E275E">
      <w:pPr>
        <w:pStyle w:val="NormalWeb"/>
        <w:spacing w:line="360" w:lineRule="auto"/>
        <w:rPr>
          <w:color w:val="000000" w:themeColor="text1"/>
        </w:rPr>
      </w:pPr>
      <w:r w:rsidRPr="007E275E">
        <w:rPr>
          <w:color w:val="000000" w:themeColor="text1"/>
        </w:rPr>
        <w:t>Climate Change Committee (2023)</w:t>
      </w:r>
      <w:r w:rsidRPr="007E275E">
        <w:rPr>
          <w:rStyle w:val="apple-converted-space"/>
          <w:rFonts w:eastAsiaTheme="majorEastAsia"/>
          <w:color w:val="000000" w:themeColor="text1"/>
        </w:rPr>
        <w:t> </w:t>
      </w:r>
      <w:r w:rsidRPr="007E275E">
        <w:rPr>
          <w:rStyle w:val="Accentuat"/>
          <w:rFonts w:eastAsiaTheme="majorEastAsia"/>
          <w:color w:val="000000" w:themeColor="text1"/>
        </w:rPr>
        <w:t>Progress in Reducing UK Emissions: 2023 Report to Parliament</w:t>
      </w:r>
      <w:r w:rsidRPr="007E275E">
        <w:rPr>
          <w:color w:val="000000" w:themeColor="text1"/>
        </w:rPr>
        <w:t>. Available at:</w:t>
      </w:r>
      <w:r w:rsidRPr="007E275E">
        <w:rPr>
          <w:rStyle w:val="apple-converted-space"/>
          <w:rFonts w:eastAsiaTheme="majorEastAsia"/>
          <w:color w:val="000000" w:themeColor="text1"/>
        </w:rPr>
        <w:t> </w:t>
      </w:r>
      <w:hyperlink r:id="rId9" w:tgtFrame="_new" w:history="1">
        <w:r w:rsidRPr="007E275E">
          <w:rPr>
            <w:rStyle w:val="Hyperlink"/>
            <w:rFonts w:eastAsiaTheme="majorEastAsia"/>
            <w:color w:val="000000" w:themeColor="text1"/>
          </w:rPr>
          <w:t>https://www.theccc.org.uk</w:t>
        </w:r>
      </w:hyperlink>
      <w:r w:rsidRPr="007E275E">
        <w:rPr>
          <w:rStyle w:val="apple-converted-space"/>
          <w:rFonts w:eastAsiaTheme="majorEastAsia"/>
          <w:color w:val="000000" w:themeColor="text1"/>
        </w:rPr>
        <w:t> </w:t>
      </w:r>
      <w:r w:rsidRPr="007E275E">
        <w:rPr>
          <w:color w:val="000000" w:themeColor="text1"/>
        </w:rPr>
        <w:t>(Accessed: 21 November 2025).</w:t>
      </w:r>
    </w:p>
    <w:p w14:paraId="72D167B4" w14:textId="77777777" w:rsidR="007E275E" w:rsidRPr="007E275E" w:rsidRDefault="007E275E" w:rsidP="007E275E">
      <w:pPr>
        <w:pStyle w:val="NormalWeb"/>
        <w:spacing w:line="360" w:lineRule="auto"/>
        <w:rPr>
          <w:color w:val="000000" w:themeColor="text1"/>
        </w:rPr>
      </w:pPr>
      <w:r w:rsidRPr="007E275E">
        <w:rPr>
          <w:color w:val="000000" w:themeColor="text1"/>
        </w:rPr>
        <w:t>European Commission (2023)</w:t>
      </w:r>
      <w:r w:rsidRPr="007E275E">
        <w:rPr>
          <w:rStyle w:val="apple-converted-space"/>
          <w:rFonts w:eastAsiaTheme="majorEastAsia"/>
          <w:color w:val="000000" w:themeColor="text1"/>
        </w:rPr>
        <w:t> </w:t>
      </w:r>
      <w:r w:rsidRPr="007E275E">
        <w:rPr>
          <w:rStyle w:val="Accentuat"/>
          <w:rFonts w:eastAsiaTheme="majorEastAsia"/>
          <w:color w:val="000000" w:themeColor="text1"/>
        </w:rPr>
        <w:t>Euro 7 Vehicle Emissions Standards</w:t>
      </w:r>
      <w:r w:rsidRPr="007E275E">
        <w:rPr>
          <w:color w:val="000000" w:themeColor="text1"/>
        </w:rPr>
        <w:t>. Available at:</w:t>
      </w:r>
      <w:r w:rsidRPr="007E275E">
        <w:rPr>
          <w:rStyle w:val="apple-converted-space"/>
          <w:rFonts w:eastAsiaTheme="majorEastAsia"/>
          <w:color w:val="000000" w:themeColor="text1"/>
        </w:rPr>
        <w:t> </w:t>
      </w:r>
      <w:hyperlink r:id="rId10" w:tgtFrame="_new" w:history="1">
        <w:r w:rsidRPr="007E275E">
          <w:rPr>
            <w:rStyle w:val="Hyperlink"/>
            <w:rFonts w:eastAsiaTheme="majorEastAsia"/>
            <w:color w:val="000000" w:themeColor="text1"/>
          </w:rPr>
          <w:t>https://ec.europa.eu</w:t>
        </w:r>
      </w:hyperlink>
      <w:r w:rsidRPr="007E275E">
        <w:rPr>
          <w:rStyle w:val="apple-converted-space"/>
          <w:rFonts w:eastAsiaTheme="majorEastAsia"/>
          <w:color w:val="000000" w:themeColor="text1"/>
        </w:rPr>
        <w:t> </w:t>
      </w:r>
      <w:r w:rsidRPr="007E275E">
        <w:rPr>
          <w:color w:val="000000" w:themeColor="text1"/>
        </w:rPr>
        <w:t>(Accessed: 26 November 2025).</w:t>
      </w:r>
    </w:p>
    <w:p w14:paraId="668458C1" w14:textId="77777777" w:rsidR="007E275E" w:rsidRPr="007E275E" w:rsidRDefault="007E275E" w:rsidP="007E275E">
      <w:pPr>
        <w:pStyle w:val="NormalWeb"/>
        <w:spacing w:line="360" w:lineRule="auto"/>
        <w:rPr>
          <w:color w:val="000000" w:themeColor="text1"/>
        </w:rPr>
      </w:pPr>
      <w:r w:rsidRPr="007E275E">
        <w:rPr>
          <w:color w:val="000000" w:themeColor="text1"/>
        </w:rPr>
        <w:t>Forbes (2023) ‘Europe’s EV market heats up as new entrants challenge legacy manufacturers’. Available at:</w:t>
      </w:r>
      <w:r w:rsidRPr="007E275E">
        <w:rPr>
          <w:rStyle w:val="apple-converted-space"/>
          <w:rFonts w:eastAsiaTheme="majorEastAsia"/>
          <w:color w:val="000000" w:themeColor="text1"/>
        </w:rPr>
        <w:t> </w:t>
      </w:r>
      <w:hyperlink r:id="rId11" w:tgtFrame="_new" w:history="1">
        <w:r w:rsidRPr="007E275E">
          <w:rPr>
            <w:rStyle w:val="Hyperlink"/>
            <w:rFonts w:eastAsiaTheme="majorEastAsia"/>
            <w:color w:val="000000" w:themeColor="text1"/>
          </w:rPr>
          <w:t>https://www.forbes.com</w:t>
        </w:r>
      </w:hyperlink>
      <w:r w:rsidRPr="007E275E">
        <w:rPr>
          <w:rStyle w:val="apple-converted-space"/>
          <w:rFonts w:eastAsiaTheme="majorEastAsia"/>
          <w:color w:val="000000" w:themeColor="text1"/>
        </w:rPr>
        <w:t> </w:t>
      </w:r>
      <w:r w:rsidRPr="007E275E">
        <w:rPr>
          <w:color w:val="000000" w:themeColor="text1"/>
        </w:rPr>
        <w:t>(Accessed: 16 November 2025).</w:t>
      </w:r>
    </w:p>
    <w:p w14:paraId="7E4DC165" w14:textId="77777777" w:rsidR="007E275E" w:rsidRPr="007E275E" w:rsidRDefault="007E275E" w:rsidP="007E275E">
      <w:pPr>
        <w:pStyle w:val="NormalWeb"/>
        <w:spacing w:line="360" w:lineRule="auto"/>
        <w:rPr>
          <w:color w:val="000000" w:themeColor="text1"/>
        </w:rPr>
      </w:pPr>
      <w:r w:rsidRPr="007E275E">
        <w:rPr>
          <w:color w:val="000000" w:themeColor="text1"/>
        </w:rPr>
        <w:t>Grant, R. (2021)</w:t>
      </w:r>
      <w:r w:rsidRPr="007E275E">
        <w:rPr>
          <w:rStyle w:val="apple-converted-space"/>
          <w:rFonts w:eastAsiaTheme="majorEastAsia"/>
          <w:color w:val="000000" w:themeColor="text1"/>
        </w:rPr>
        <w:t> </w:t>
      </w:r>
      <w:r w:rsidRPr="007E275E">
        <w:rPr>
          <w:rStyle w:val="Accentuat"/>
          <w:rFonts w:eastAsiaTheme="majorEastAsia"/>
          <w:color w:val="000000" w:themeColor="text1"/>
        </w:rPr>
        <w:t>Contemporary Strategy Analysis</w:t>
      </w:r>
      <w:r w:rsidRPr="007E275E">
        <w:rPr>
          <w:color w:val="000000" w:themeColor="text1"/>
        </w:rPr>
        <w:t>. 11th edn. Hoboken: Wiley.</w:t>
      </w:r>
    </w:p>
    <w:p w14:paraId="0801455E" w14:textId="77777777" w:rsidR="007E275E" w:rsidRPr="007E275E" w:rsidRDefault="007E275E" w:rsidP="007E275E">
      <w:pPr>
        <w:pStyle w:val="NormalWeb"/>
        <w:spacing w:line="360" w:lineRule="auto"/>
        <w:rPr>
          <w:color w:val="000000" w:themeColor="text1"/>
        </w:rPr>
      </w:pPr>
      <w:r w:rsidRPr="007E275E">
        <w:rPr>
          <w:color w:val="000000" w:themeColor="text1"/>
        </w:rPr>
        <w:t>International Energy Agency (2022)</w:t>
      </w:r>
      <w:r w:rsidRPr="007E275E">
        <w:rPr>
          <w:rStyle w:val="apple-converted-space"/>
          <w:rFonts w:eastAsiaTheme="majorEastAsia"/>
          <w:color w:val="000000" w:themeColor="text1"/>
        </w:rPr>
        <w:t> </w:t>
      </w:r>
      <w:r w:rsidRPr="007E275E">
        <w:rPr>
          <w:rStyle w:val="Accentuat"/>
          <w:rFonts w:eastAsiaTheme="majorEastAsia"/>
          <w:color w:val="000000" w:themeColor="text1"/>
        </w:rPr>
        <w:t>Global Supply Chains of EV Batteries</w:t>
      </w:r>
      <w:r w:rsidRPr="007E275E">
        <w:rPr>
          <w:color w:val="000000" w:themeColor="text1"/>
        </w:rPr>
        <w:t>. Available at:</w:t>
      </w:r>
      <w:r w:rsidRPr="007E275E">
        <w:rPr>
          <w:rStyle w:val="apple-converted-space"/>
          <w:rFonts w:eastAsiaTheme="majorEastAsia"/>
          <w:color w:val="000000" w:themeColor="text1"/>
        </w:rPr>
        <w:t> </w:t>
      </w:r>
      <w:hyperlink r:id="rId12" w:tgtFrame="_new" w:history="1">
        <w:r w:rsidRPr="007E275E">
          <w:rPr>
            <w:rStyle w:val="Hyperlink"/>
            <w:rFonts w:eastAsiaTheme="majorEastAsia"/>
            <w:color w:val="000000" w:themeColor="text1"/>
          </w:rPr>
          <w:t>https://www.iea.org</w:t>
        </w:r>
      </w:hyperlink>
      <w:r w:rsidRPr="007E275E">
        <w:rPr>
          <w:color w:val="000000" w:themeColor="text1"/>
        </w:rPr>
        <w:t>(Accessed: 19 November 2025).</w:t>
      </w:r>
    </w:p>
    <w:p w14:paraId="33CEDC6C" w14:textId="77777777" w:rsidR="007E275E" w:rsidRPr="007E275E" w:rsidRDefault="007E275E" w:rsidP="007E275E">
      <w:pPr>
        <w:pStyle w:val="NormalWeb"/>
        <w:spacing w:line="360" w:lineRule="auto"/>
        <w:rPr>
          <w:color w:val="000000" w:themeColor="text1"/>
        </w:rPr>
      </w:pPr>
      <w:r w:rsidRPr="007E275E">
        <w:rPr>
          <w:color w:val="000000" w:themeColor="text1"/>
        </w:rPr>
        <w:t>JLR (2023)</w:t>
      </w:r>
      <w:r w:rsidRPr="007E275E">
        <w:rPr>
          <w:rStyle w:val="apple-converted-space"/>
          <w:rFonts w:eastAsiaTheme="majorEastAsia"/>
          <w:color w:val="000000" w:themeColor="text1"/>
        </w:rPr>
        <w:t> </w:t>
      </w:r>
      <w:r w:rsidRPr="007E275E">
        <w:rPr>
          <w:rStyle w:val="Accentuat"/>
          <w:rFonts w:eastAsiaTheme="majorEastAsia"/>
          <w:color w:val="000000" w:themeColor="text1"/>
        </w:rPr>
        <w:t>Jaguar Land Rover Annual Report 2023</w:t>
      </w:r>
      <w:r w:rsidRPr="007E275E">
        <w:rPr>
          <w:color w:val="000000" w:themeColor="text1"/>
        </w:rPr>
        <w:t>. Available at:</w:t>
      </w:r>
      <w:r w:rsidRPr="007E275E">
        <w:rPr>
          <w:rStyle w:val="apple-converted-space"/>
          <w:rFonts w:eastAsiaTheme="majorEastAsia"/>
          <w:color w:val="000000" w:themeColor="text1"/>
        </w:rPr>
        <w:t> </w:t>
      </w:r>
      <w:hyperlink r:id="rId13" w:tgtFrame="_new" w:history="1">
        <w:r w:rsidRPr="007E275E">
          <w:rPr>
            <w:rStyle w:val="Hyperlink"/>
            <w:rFonts w:eastAsiaTheme="majorEastAsia"/>
            <w:color w:val="000000" w:themeColor="text1"/>
          </w:rPr>
          <w:t>https://www.jaguarlandrover.com</w:t>
        </w:r>
      </w:hyperlink>
      <w:r w:rsidRPr="007E275E">
        <w:rPr>
          <w:rStyle w:val="apple-converted-space"/>
          <w:rFonts w:eastAsiaTheme="majorEastAsia"/>
          <w:color w:val="000000" w:themeColor="text1"/>
        </w:rPr>
        <w:t> </w:t>
      </w:r>
      <w:r w:rsidRPr="007E275E">
        <w:rPr>
          <w:color w:val="000000" w:themeColor="text1"/>
        </w:rPr>
        <w:t>(Accessed: 25 November 2025).</w:t>
      </w:r>
    </w:p>
    <w:p w14:paraId="21EAFAB2" w14:textId="77777777" w:rsidR="007E275E" w:rsidRPr="007E275E" w:rsidRDefault="007E275E" w:rsidP="007E275E">
      <w:pPr>
        <w:pStyle w:val="NormalWeb"/>
        <w:spacing w:line="360" w:lineRule="auto"/>
        <w:rPr>
          <w:color w:val="000000" w:themeColor="text1"/>
        </w:rPr>
      </w:pPr>
      <w:r w:rsidRPr="007E275E">
        <w:rPr>
          <w:color w:val="000000" w:themeColor="text1"/>
        </w:rPr>
        <w:t>KPMG (2023)</w:t>
      </w:r>
      <w:r w:rsidRPr="007E275E">
        <w:rPr>
          <w:rStyle w:val="apple-converted-space"/>
          <w:rFonts w:eastAsiaTheme="majorEastAsia"/>
          <w:color w:val="000000" w:themeColor="text1"/>
        </w:rPr>
        <w:t> </w:t>
      </w:r>
      <w:r w:rsidRPr="007E275E">
        <w:rPr>
          <w:rStyle w:val="Accentuat"/>
          <w:rFonts w:eastAsiaTheme="majorEastAsia"/>
          <w:color w:val="000000" w:themeColor="text1"/>
        </w:rPr>
        <w:t>Automotive Industry Outlook 2023: Electrification, Regulation and Market Shifts</w:t>
      </w:r>
      <w:r w:rsidRPr="007E275E">
        <w:rPr>
          <w:color w:val="000000" w:themeColor="text1"/>
        </w:rPr>
        <w:t>. Available at:</w:t>
      </w:r>
      <w:r w:rsidRPr="007E275E">
        <w:rPr>
          <w:rStyle w:val="apple-converted-space"/>
          <w:rFonts w:eastAsiaTheme="majorEastAsia"/>
          <w:color w:val="000000" w:themeColor="text1"/>
        </w:rPr>
        <w:t> </w:t>
      </w:r>
      <w:r w:rsidRPr="007E275E">
        <w:rPr>
          <w:color w:val="000000" w:themeColor="text1"/>
        </w:rPr>
        <w:t>https://www.kpmg.com</w:t>
      </w:r>
      <w:r w:rsidRPr="007E275E">
        <w:rPr>
          <w:rStyle w:val="apple-converted-space"/>
          <w:rFonts w:eastAsiaTheme="majorEastAsia"/>
          <w:color w:val="000000" w:themeColor="text1"/>
        </w:rPr>
        <w:t> </w:t>
      </w:r>
      <w:r w:rsidRPr="007E275E">
        <w:rPr>
          <w:color w:val="000000" w:themeColor="text1"/>
        </w:rPr>
        <w:t>(Accessed: 15 November 2025).</w:t>
      </w:r>
    </w:p>
    <w:p w14:paraId="4EA041E0" w14:textId="77777777" w:rsidR="007E275E" w:rsidRPr="007E275E" w:rsidRDefault="007E275E" w:rsidP="007E275E">
      <w:pPr>
        <w:pStyle w:val="NormalWeb"/>
        <w:spacing w:line="360" w:lineRule="auto"/>
        <w:rPr>
          <w:color w:val="000000" w:themeColor="text1"/>
        </w:rPr>
      </w:pPr>
      <w:r w:rsidRPr="007E275E">
        <w:rPr>
          <w:color w:val="000000" w:themeColor="text1"/>
        </w:rPr>
        <w:t>McKinsey &amp; Company (2022)</w:t>
      </w:r>
      <w:r w:rsidRPr="007E275E">
        <w:rPr>
          <w:rStyle w:val="apple-converted-space"/>
          <w:rFonts w:eastAsiaTheme="majorEastAsia"/>
          <w:color w:val="000000" w:themeColor="text1"/>
        </w:rPr>
        <w:t> </w:t>
      </w:r>
      <w:r w:rsidRPr="007E275E">
        <w:rPr>
          <w:rStyle w:val="Accentuat"/>
          <w:rFonts w:eastAsiaTheme="majorEastAsia"/>
          <w:color w:val="000000" w:themeColor="text1"/>
        </w:rPr>
        <w:t>The Future of Automotive: Software, Supply Chains and Electrification</w:t>
      </w:r>
      <w:r w:rsidRPr="007E275E">
        <w:rPr>
          <w:color w:val="000000" w:themeColor="text1"/>
        </w:rPr>
        <w:t>. Available at:</w:t>
      </w:r>
      <w:r w:rsidRPr="007E275E">
        <w:rPr>
          <w:rStyle w:val="apple-converted-space"/>
          <w:rFonts w:eastAsiaTheme="majorEastAsia"/>
          <w:color w:val="000000" w:themeColor="text1"/>
        </w:rPr>
        <w:t> </w:t>
      </w:r>
      <w:hyperlink r:id="rId14" w:tgtFrame="_new" w:history="1">
        <w:r w:rsidRPr="007E275E">
          <w:rPr>
            <w:rStyle w:val="Hyperlink"/>
            <w:rFonts w:eastAsiaTheme="majorEastAsia"/>
            <w:color w:val="000000" w:themeColor="text1"/>
          </w:rPr>
          <w:t>https://www.mckinsey.com</w:t>
        </w:r>
      </w:hyperlink>
      <w:r w:rsidRPr="007E275E">
        <w:rPr>
          <w:rStyle w:val="apple-converted-space"/>
          <w:rFonts w:eastAsiaTheme="majorEastAsia"/>
          <w:color w:val="000000" w:themeColor="text1"/>
        </w:rPr>
        <w:t> </w:t>
      </w:r>
      <w:r w:rsidRPr="007E275E">
        <w:rPr>
          <w:color w:val="000000" w:themeColor="text1"/>
        </w:rPr>
        <w:t>(Accessed: 27 November 2025).</w:t>
      </w:r>
    </w:p>
    <w:p w14:paraId="750C0597" w14:textId="77777777" w:rsidR="007E275E" w:rsidRPr="007E275E" w:rsidRDefault="007E275E" w:rsidP="007E275E">
      <w:pPr>
        <w:pStyle w:val="NormalWeb"/>
        <w:spacing w:line="360" w:lineRule="auto"/>
        <w:rPr>
          <w:color w:val="000000" w:themeColor="text1"/>
        </w:rPr>
      </w:pPr>
      <w:r w:rsidRPr="007E275E">
        <w:rPr>
          <w:color w:val="000000" w:themeColor="text1"/>
        </w:rPr>
        <w:t>PwC (2023)</w:t>
      </w:r>
      <w:r w:rsidRPr="007E275E">
        <w:rPr>
          <w:rStyle w:val="apple-converted-space"/>
          <w:rFonts w:eastAsiaTheme="majorEastAsia"/>
          <w:color w:val="000000" w:themeColor="text1"/>
        </w:rPr>
        <w:t> </w:t>
      </w:r>
      <w:r w:rsidRPr="007E275E">
        <w:rPr>
          <w:rStyle w:val="Accentuat"/>
          <w:rFonts w:eastAsiaTheme="majorEastAsia"/>
          <w:color w:val="000000" w:themeColor="text1"/>
        </w:rPr>
        <w:t>UK Automotive Sector: Consumer Trends and Electrification</w:t>
      </w:r>
      <w:r w:rsidRPr="007E275E">
        <w:rPr>
          <w:color w:val="000000" w:themeColor="text1"/>
        </w:rPr>
        <w:t>. Available at:</w:t>
      </w:r>
      <w:r w:rsidRPr="007E275E">
        <w:rPr>
          <w:rStyle w:val="apple-converted-space"/>
          <w:rFonts w:eastAsiaTheme="majorEastAsia"/>
          <w:color w:val="000000" w:themeColor="text1"/>
        </w:rPr>
        <w:t> </w:t>
      </w:r>
      <w:hyperlink r:id="rId15" w:tgtFrame="_new" w:history="1">
        <w:r w:rsidRPr="007E275E">
          <w:rPr>
            <w:rStyle w:val="Hyperlink"/>
            <w:rFonts w:eastAsiaTheme="majorEastAsia"/>
            <w:color w:val="000000" w:themeColor="text1"/>
          </w:rPr>
          <w:t>https://www.pwc.co.uk</w:t>
        </w:r>
      </w:hyperlink>
      <w:r w:rsidRPr="007E275E">
        <w:rPr>
          <w:color w:val="000000" w:themeColor="text1"/>
        </w:rPr>
        <w:t>(Accessed: 22 November 2025).</w:t>
      </w:r>
    </w:p>
    <w:p w14:paraId="693F5C2D" w14:textId="77777777" w:rsidR="007E275E" w:rsidRPr="007E275E" w:rsidRDefault="007E275E" w:rsidP="007E275E">
      <w:pPr>
        <w:pStyle w:val="NormalWeb"/>
        <w:spacing w:line="360" w:lineRule="auto"/>
        <w:rPr>
          <w:color w:val="000000" w:themeColor="text1"/>
        </w:rPr>
      </w:pPr>
      <w:r w:rsidRPr="007E275E">
        <w:rPr>
          <w:color w:val="000000" w:themeColor="text1"/>
        </w:rPr>
        <w:t>SMMT (2023)</w:t>
      </w:r>
      <w:r w:rsidRPr="007E275E">
        <w:rPr>
          <w:rStyle w:val="apple-converted-space"/>
          <w:rFonts w:eastAsiaTheme="majorEastAsia"/>
          <w:color w:val="000000" w:themeColor="text1"/>
        </w:rPr>
        <w:t> </w:t>
      </w:r>
      <w:r w:rsidRPr="007E275E">
        <w:rPr>
          <w:rStyle w:val="Accentuat"/>
          <w:rFonts w:eastAsiaTheme="majorEastAsia"/>
          <w:color w:val="000000" w:themeColor="text1"/>
        </w:rPr>
        <w:t>UK New Car Market Report 2023</w:t>
      </w:r>
      <w:r w:rsidRPr="007E275E">
        <w:rPr>
          <w:color w:val="000000" w:themeColor="text1"/>
        </w:rPr>
        <w:t>. Available at:</w:t>
      </w:r>
      <w:r w:rsidRPr="007E275E">
        <w:rPr>
          <w:rStyle w:val="apple-converted-space"/>
          <w:rFonts w:eastAsiaTheme="majorEastAsia"/>
          <w:color w:val="000000" w:themeColor="text1"/>
        </w:rPr>
        <w:t> </w:t>
      </w:r>
      <w:hyperlink r:id="rId16" w:tgtFrame="_new" w:history="1">
        <w:r w:rsidRPr="007E275E">
          <w:rPr>
            <w:rStyle w:val="Hyperlink"/>
            <w:rFonts w:eastAsiaTheme="majorEastAsia"/>
            <w:color w:val="000000" w:themeColor="text1"/>
          </w:rPr>
          <w:t>https://www.smmt.co.uk</w:t>
        </w:r>
      </w:hyperlink>
      <w:r w:rsidRPr="007E275E">
        <w:rPr>
          <w:rStyle w:val="apple-converted-space"/>
          <w:rFonts w:eastAsiaTheme="majorEastAsia"/>
          <w:color w:val="000000" w:themeColor="text1"/>
        </w:rPr>
        <w:t> </w:t>
      </w:r>
      <w:r w:rsidRPr="007E275E">
        <w:rPr>
          <w:color w:val="000000" w:themeColor="text1"/>
        </w:rPr>
        <w:t>(Accessed: 17 November 2025).</w:t>
      </w:r>
    </w:p>
    <w:p w14:paraId="3EC020F6" w14:textId="77777777" w:rsidR="007E275E" w:rsidRPr="007E275E" w:rsidRDefault="007E275E" w:rsidP="007E275E">
      <w:pPr>
        <w:pStyle w:val="NormalWeb"/>
        <w:spacing w:line="360" w:lineRule="auto"/>
        <w:rPr>
          <w:color w:val="000000" w:themeColor="text1"/>
        </w:rPr>
      </w:pPr>
      <w:r w:rsidRPr="007E275E">
        <w:rPr>
          <w:color w:val="000000" w:themeColor="text1"/>
        </w:rPr>
        <w:t>UK Government (2023)</w:t>
      </w:r>
      <w:r w:rsidRPr="007E275E">
        <w:rPr>
          <w:rStyle w:val="apple-converted-space"/>
          <w:rFonts w:eastAsiaTheme="majorEastAsia"/>
          <w:color w:val="000000" w:themeColor="text1"/>
        </w:rPr>
        <w:t> </w:t>
      </w:r>
      <w:r w:rsidRPr="007E275E">
        <w:rPr>
          <w:rStyle w:val="Accentuat"/>
          <w:rFonts w:eastAsiaTheme="majorEastAsia"/>
          <w:color w:val="000000" w:themeColor="text1"/>
        </w:rPr>
        <w:t>Net Zero Strategy: Build Back Greener – 2023 Update</w:t>
      </w:r>
      <w:r w:rsidRPr="007E275E">
        <w:rPr>
          <w:color w:val="000000" w:themeColor="text1"/>
        </w:rPr>
        <w:t>. Available at:</w:t>
      </w:r>
      <w:r w:rsidRPr="007E275E">
        <w:rPr>
          <w:rStyle w:val="apple-converted-space"/>
          <w:rFonts w:eastAsiaTheme="majorEastAsia"/>
          <w:color w:val="000000" w:themeColor="text1"/>
        </w:rPr>
        <w:t> </w:t>
      </w:r>
      <w:hyperlink r:id="rId17" w:tgtFrame="_new" w:history="1">
        <w:r w:rsidRPr="007E275E">
          <w:rPr>
            <w:rStyle w:val="Hyperlink"/>
            <w:rFonts w:eastAsiaTheme="majorEastAsia"/>
            <w:color w:val="000000" w:themeColor="text1"/>
          </w:rPr>
          <w:t>https://www.gov.uk</w:t>
        </w:r>
      </w:hyperlink>
      <w:r w:rsidRPr="007E275E">
        <w:rPr>
          <w:color w:val="000000" w:themeColor="text1"/>
        </w:rPr>
        <w:t>(Accessed: 23 November 2025).</w:t>
      </w:r>
    </w:p>
    <w:p w14:paraId="586E6AA1" w14:textId="77777777" w:rsidR="007E275E" w:rsidRPr="007E275E" w:rsidRDefault="007E275E" w:rsidP="007E275E">
      <w:pPr>
        <w:rPr>
          <w:lang w:eastAsia="en-GB"/>
        </w:rPr>
      </w:pPr>
    </w:p>
    <w:p w14:paraId="36965CF8" w14:textId="77777777" w:rsidR="002E19DF" w:rsidRDefault="002E19DF"/>
    <w:sectPr w:rsidR="002E19DF">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42C7D" w14:textId="77777777" w:rsidR="000144F6" w:rsidRDefault="000144F6" w:rsidP="003026FF">
      <w:r>
        <w:separator/>
      </w:r>
    </w:p>
  </w:endnote>
  <w:endnote w:type="continuationSeparator" w:id="0">
    <w:p w14:paraId="1BA90ABB" w14:textId="77777777" w:rsidR="000144F6" w:rsidRDefault="000144F6" w:rsidP="003026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umrdepagin"/>
      </w:rPr>
      <w:id w:val="-550536125"/>
      <w:docPartObj>
        <w:docPartGallery w:val="Page Numbers (Bottom of Page)"/>
        <w:docPartUnique/>
      </w:docPartObj>
    </w:sdtPr>
    <w:sdtEndPr>
      <w:rPr>
        <w:rStyle w:val="Numrdepagin"/>
      </w:rPr>
    </w:sdtEndPr>
    <w:sdtContent>
      <w:p w14:paraId="188EE753" w14:textId="539E00F9" w:rsidR="003026FF" w:rsidRDefault="003026FF" w:rsidP="00445619">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34B4D652" w14:textId="77777777" w:rsidR="003026FF" w:rsidRDefault="003026FF" w:rsidP="003026FF">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umrdepagin"/>
      </w:rPr>
      <w:id w:val="323787559"/>
      <w:docPartObj>
        <w:docPartGallery w:val="Page Numbers (Bottom of Page)"/>
        <w:docPartUnique/>
      </w:docPartObj>
    </w:sdtPr>
    <w:sdtEndPr>
      <w:rPr>
        <w:rStyle w:val="Numrdepagin"/>
      </w:rPr>
    </w:sdtEndPr>
    <w:sdtContent>
      <w:p w14:paraId="45B71EA9" w14:textId="6C5DBBF8" w:rsidR="003026FF" w:rsidRDefault="003026FF" w:rsidP="00445619">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37EACC94" w14:textId="77777777" w:rsidR="003026FF" w:rsidRDefault="003026FF" w:rsidP="003026FF">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68D5CB" w14:textId="77777777" w:rsidR="000144F6" w:rsidRDefault="000144F6" w:rsidP="003026FF">
      <w:r>
        <w:separator/>
      </w:r>
    </w:p>
  </w:footnote>
  <w:footnote w:type="continuationSeparator" w:id="0">
    <w:p w14:paraId="33E36E99" w14:textId="77777777" w:rsidR="000144F6" w:rsidRDefault="000144F6" w:rsidP="003026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A4E40"/>
    <w:multiLevelType w:val="multilevel"/>
    <w:tmpl w:val="72024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8F6415"/>
    <w:multiLevelType w:val="multilevel"/>
    <w:tmpl w:val="6AFCAA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6A6732"/>
    <w:multiLevelType w:val="multilevel"/>
    <w:tmpl w:val="90463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4B1BAE"/>
    <w:multiLevelType w:val="multilevel"/>
    <w:tmpl w:val="266E9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00535F"/>
    <w:multiLevelType w:val="multilevel"/>
    <w:tmpl w:val="3FB0B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672E8C"/>
    <w:multiLevelType w:val="multilevel"/>
    <w:tmpl w:val="BE5E9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B37278"/>
    <w:multiLevelType w:val="multilevel"/>
    <w:tmpl w:val="80FA8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BB1FF3"/>
    <w:multiLevelType w:val="multilevel"/>
    <w:tmpl w:val="C5AAA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3A6D5A"/>
    <w:multiLevelType w:val="multilevel"/>
    <w:tmpl w:val="B1D4B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FF55A0"/>
    <w:multiLevelType w:val="hybridMultilevel"/>
    <w:tmpl w:val="588A1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717A10"/>
    <w:multiLevelType w:val="multilevel"/>
    <w:tmpl w:val="243202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7E5BC1"/>
    <w:multiLevelType w:val="multilevel"/>
    <w:tmpl w:val="844A7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4D43B0"/>
    <w:multiLevelType w:val="multilevel"/>
    <w:tmpl w:val="F2B23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D5156C"/>
    <w:multiLevelType w:val="multilevel"/>
    <w:tmpl w:val="126AE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511FCF"/>
    <w:multiLevelType w:val="multilevel"/>
    <w:tmpl w:val="196A3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D53187"/>
    <w:multiLevelType w:val="multilevel"/>
    <w:tmpl w:val="806C3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B40A04"/>
    <w:multiLevelType w:val="multilevel"/>
    <w:tmpl w:val="BD46D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102014"/>
    <w:multiLevelType w:val="multilevel"/>
    <w:tmpl w:val="AA061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824879"/>
    <w:multiLevelType w:val="multilevel"/>
    <w:tmpl w:val="0ED44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D27256E"/>
    <w:multiLevelType w:val="multilevel"/>
    <w:tmpl w:val="4D7CE1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9162862">
    <w:abstractNumId w:val="19"/>
  </w:num>
  <w:num w:numId="2" w16cid:durableId="247353451">
    <w:abstractNumId w:val="4"/>
  </w:num>
  <w:num w:numId="3" w16cid:durableId="885993860">
    <w:abstractNumId w:val="15"/>
  </w:num>
  <w:num w:numId="4" w16cid:durableId="2108453985">
    <w:abstractNumId w:val="12"/>
  </w:num>
  <w:num w:numId="5" w16cid:durableId="1902211034">
    <w:abstractNumId w:val="0"/>
  </w:num>
  <w:num w:numId="6" w16cid:durableId="1947997394">
    <w:abstractNumId w:val="11"/>
  </w:num>
  <w:num w:numId="7" w16cid:durableId="1166822839">
    <w:abstractNumId w:val="17"/>
  </w:num>
  <w:num w:numId="8" w16cid:durableId="589585872">
    <w:abstractNumId w:val="8"/>
  </w:num>
  <w:num w:numId="9" w16cid:durableId="1581869093">
    <w:abstractNumId w:val="14"/>
  </w:num>
  <w:num w:numId="10" w16cid:durableId="1878199844">
    <w:abstractNumId w:val="6"/>
  </w:num>
  <w:num w:numId="11" w16cid:durableId="1199591091">
    <w:abstractNumId w:val="7"/>
  </w:num>
  <w:num w:numId="12" w16cid:durableId="1658337824">
    <w:abstractNumId w:val="16"/>
  </w:num>
  <w:num w:numId="13" w16cid:durableId="1677533219">
    <w:abstractNumId w:val="5"/>
  </w:num>
  <w:num w:numId="14" w16cid:durableId="309334820">
    <w:abstractNumId w:val="3"/>
  </w:num>
  <w:num w:numId="15" w16cid:durableId="613439964">
    <w:abstractNumId w:val="18"/>
  </w:num>
  <w:num w:numId="16" w16cid:durableId="573708657">
    <w:abstractNumId w:val="2"/>
  </w:num>
  <w:num w:numId="17" w16cid:durableId="1471559985">
    <w:abstractNumId w:val="13"/>
  </w:num>
  <w:num w:numId="18" w16cid:durableId="296305528">
    <w:abstractNumId w:val="10"/>
  </w:num>
  <w:num w:numId="19" w16cid:durableId="1241208665">
    <w:abstractNumId w:val="1"/>
  </w:num>
  <w:num w:numId="20" w16cid:durableId="13163773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removePersonalInformation/>
  <w:removeDateAndTime/>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9DF"/>
    <w:rsid w:val="000144F6"/>
    <w:rsid w:val="000C5618"/>
    <w:rsid w:val="00274DEF"/>
    <w:rsid w:val="002E19DF"/>
    <w:rsid w:val="003026FF"/>
    <w:rsid w:val="00515FD9"/>
    <w:rsid w:val="00692B26"/>
    <w:rsid w:val="006B336C"/>
    <w:rsid w:val="007E275E"/>
    <w:rsid w:val="009E433F"/>
    <w:rsid w:val="00A242FD"/>
    <w:rsid w:val="00D05014"/>
    <w:rsid w:val="00D36B33"/>
    <w:rsid w:val="00F17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3B0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2E19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2E19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2E19DF"/>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rsid w:val="002E19DF"/>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2E19DF"/>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2E19DF"/>
    <w:pPr>
      <w:keepNext/>
      <w:keepLines/>
      <w:spacing w:before="4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2E19DF"/>
    <w:pPr>
      <w:keepNext/>
      <w:keepLines/>
      <w:spacing w:before="4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2E19DF"/>
    <w:pPr>
      <w:keepNext/>
      <w:keepLines/>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2E19DF"/>
    <w:pPr>
      <w:keepNext/>
      <w:keepLines/>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E19DF"/>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2E19DF"/>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sid w:val="002E19DF"/>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rsid w:val="002E19DF"/>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2E19DF"/>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2E19D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2E19D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2E19D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2E19DF"/>
    <w:rPr>
      <w:rFonts w:eastAsiaTheme="majorEastAsia" w:cstheme="majorBidi"/>
      <w:color w:val="272727" w:themeColor="text1" w:themeTint="D8"/>
    </w:rPr>
  </w:style>
  <w:style w:type="paragraph" w:styleId="Titlu">
    <w:name w:val="Title"/>
    <w:basedOn w:val="Normal"/>
    <w:next w:val="Normal"/>
    <w:link w:val="TitluCaracter"/>
    <w:uiPriority w:val="10"/>
    <w:qFormat/>
    <w:rsid w:val="002E19DF"/>
    <w:pPr>
      <w:spacing w:after="80"/>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2E19D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2E19DF"/>
    <w:pPr>
      <w:numPr>
        <w:ilvl w:val="1"/>
      </w:numPr>
      <w:spacing w:after="160"/>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2E19DF"/>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2E19DF"/>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2E19DF"/>
    <w:rPr>
      <w:i/>
      <w:iCs/>
      <w:color w:val="404040" w:themeColor="text1" w:themeTint="BF"/>
    </w:rPr>
  </w:style>
  <w:style w:type="paragraph" w:styleId="Listparagraf">
    <w:name w:val="List Paragraph"/>
    <w:basedOn w:val="Normal"/>
    <w:uiPriority w:val="34"/>
    <w:qFormat/>
    <w:rsid w:val="002E19DF"/>
    <w:pPr>
      <w:ind w:left="720"/>
      <w:contextualSpacing/>
    </w:pPr>
  </w:style>
  <w:style w:type="character" w:styleId="Accentuareintens">
    <w:name w:val="Intense Emphasis"/>
    <w:basedOn w:val="Fontdeparagrafimplicit"/>
    <w:uiPriority w:val="21"/>
    <w:qFormat/>
    <w:rsid w:val="002E19DF"/>
    <w:rPr>
      <w:i/>
      <w:iCs/>
      <w:color w:val="0F4761" w:themeColor="accent1" w:themeShade="BF"/>
    </w:rPr>
  </w:style>
  <w:style w:type="paragraph" w:styleId="Citatintens">
    <w:name w:val="Intense Quote"/>
    <w:basedOn w:val="Normal"/>
    <w:next w:val="Normal"/>
    <w:link w:val="CitatintensCaracter"/>
    <w:uiPriority w:val="30"/>
    <w:qFormat/>
    <w:rsid w:val="002E19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2E19DF"/>
    <w:rPr>
      <w:i/>
      <w:iCs/>
      <w:color w:val="0F4761" w:themeColor="accent1" w:themeShade="BF"/>
    </w:rPr>
  </w:style>
  <w:style w:type="character" w:styleId="Referireintens">
    <w:name w:val="Intense Reference"/>
    <w:basedOn w:val="Fontdeparagrafimplicit"/>
    <w:uiPriority w:val="32"/>
    <w:qFormat/>
    <w:rsid w:val="002E19DF"/>
    <w:rPr>
      <w:b/>
      <w:bCs/>
      <w:smallCaps/>
      <w:color w:val="0F4761" w:themeColor="accent1" w:themeShade="BF"/>
      <w:spacing w:val="5"/>
    </w:rPr>
  </w:style>
  <w:style w:type="paragraph" w:styleId="Subsol">
    <w:name w:val="footer"/>
    <w:basedOn w:val="Normal"/>
    <w:link w:val="SubsolCaracter"/>
    <w:uiPriority w:val="99"/>
    <w:unhideWhenUsed/>
    <w:rsid w:val="003026FF"/>
    <w:pPr>
      <w:tabs>
        <w:tab w:val="center" w:pos="4513"/>
        <w:tab w:val="right" w:pos="9026"/>
      </w:tabs>
    </w:pPr>
  </w:style>
  <w:style w:type="character" w:customStyle="1" w:styleId="SubsolCaracter">
    <w:name w:val="Subsol Caracter"/>
    <w:basedOn w:val="Fontdeparagrafimplicit"/>
    <w:link w:val="Subsol"/>
    <w:uiPriority w:val="99"/>
    <w:rsid w:val="003026FF"/>
  </w:style>
  <w:style w:type="character" w:styleId="Numrdepagin">
    <w:name w:val="page number"/>
    <w:basedOn w:val="Fontdeparagrafimplicit"/>
    <w:uiPriority w:val="99"/>
    <w:semiHidden/>
    <w:unhideWhenUsed/>
    <w:rsid w:val="003026FF"/>
  </w:style>
  <w:style w:type="paragraph" w:styleId="NormalWeb">
    <w:name w:val="Normal (Web)"/>
    <w:basedOn w:val="Normal"/>
    <w:uiPriority w:val="99"/>
    <w:semiHidden/>
    <w:unhideWhenUsed/>
    <w:rsid w:val="00D36B3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Robust">
    <w:name w:val="Strong"/>
    <w:basedOn w:val="Fontdeparagrafimplicit"/>
    <w:uiPriority w:val="22"/>
    <w:qFormat/>
    <w:rsid w:val="00D36B33"/>
    <w:rPr>
      <w:b/>
      <w:bCs/>
    </w:rPr>
  </w:style>
  <w:style w:type="character" w:customStyle="1" w:styleId="apple-converted-space">
    <w:name w:val="apple-converted-space"/>
    <w:basedOn w:val="Fontdeparagrafimplicit"/>
    <w:rsid w:val="00D36B33"/>
  </w:style>
  <w:style w:type="character" w:styleId="Accentuat">
    <w:name w:val="Emphasis"/>
    <w:basedOn w:val="Fontdeparagrafimplicit"/>
    <w:uiPriority w:val="20"/>
    <w:qFormat/>
    <w:rsid w:val="00D36B33"/>
    <w:rPr>
      <w:i/>
      <w:iCs/>
    </w:rPr>
  </w:style>
  <w:style w:type="character" w:styleId="Hyperlink">
    <w:name w:val="Hyperlink"/>
    <w:basedOn w:val="Fontdeparagrafimplicit"/>
    <w:uiPriority w:val="99"/>
    <w:unhideWhenUsed/>
    <w:rsid w:val="007E275E"/>
    <w:rPr>
      <w:color w:val="0000FF"/>
      <w:u w:val="single"/>
    </w:rPr>
  </w:style>
  <w:style w:type="paragraph" w:styleId="Titlucuprins">
    <w:name w:val="TOC Heading"/>
    <w:basedOn w:val="Titlu1"/>
    <w:next w:val="Normal"/>
    <w:uiPriority w:val="39"/>
    <w:unhideWhenUsed/>
    <w:qFormat/>
    <w:rsid w:val="00A242FD"/>
    <w:pPr>
      <w:spacing w:before="480" w:after="0" w:line="276" w:lineRule="auto"/>
      <w:outlineLvl w:val="9"/>
    </w:pPr>
    <w:rPr>
      <w:b/>
      <w:bCs/>
      <w:kern w:val="0"/>
      <w:sz w:val="28"/>
      <w:szCs w:val="28"/>
      <w:lang w:val="en-US"/>
      <w14:ligatures w14:val="none"/>
    </w:rPr>
  </w:style>
  <w:style w:type="paragraph" w:styleId="Cuprins1">
    <w:name w:val="toc 1"/>
    <w:basedOn w:val="Normal"/>
    <w:next w:val="Normal"/>
    <w:autoRedefine/>
    <w:uiPriority w:val="39"/>
    <w:unhideWhenUsed/>
    <w:rsid w:val="00A242FD"/>
    <w:pPr>
      <w:spacing w:before="120"/>
    </w:pPr>
    <w:rPr>
      <w:b/>
      <w:bCs/>
      <w:i/>
      <w:iCs/>
    </w:rPr>
  </w:style>
  <w:style w:type="paragraph" w:styleId="Cuprins2">
    <w:name w:val="toc 2"/>
    <w:basedOn w:val="Normal"/>
    <w:next w:val="Normal"/>
    <w:autoRedefine/>
    <w:uiPriority w:val="39"/>
    <w:unhideWhenUsed/>
    <w:rsid w:val="00A242FD"/>
    <w:pPr>
      <w:spacing w:before="120"/>
      <w:ind w:left="240"/>
    </w:pPr>
    <w:rPr>
      <w:b/>
      <w:bCs/>
      <w:sz w:val="22"/>
      <w:szCs w:val="22"/>
    </w:rPr>
  </w:style>
  <w:style w:type="paragraph" w:styleId="Cuprins3">
    <w:name w:val="toc 3"/>
    <w:basedOn w:val="Normal"/>
    <w:next w:val="Normal"/>
    <w:autoRedefine/>
    <w:uiPriority w:val="39"/>
    <w:unhideWhenUsed/>
    <w:rsid w:val="00A242FD"/>
    <w:pPr>
      <w:ind w:left="480"/>
    </w:pPr>
    <w:rPr>
      <w:sz w:val="20"/>
      <w:szCs w:val="20"/>
    </w:rPr>
  </w:style>
  <w:style w:type="paragraph" w:styleId="Cuprins4">
    <w:name w:val="toc 4"/>
    <w:basedOn w:val="Normal"/>
    <w:next w:val="Normal"/>
    <w:autoRedefine/>
    <w:uiPriority w:val="39"/>
    <w:semiHidden/>
    <w:unhideWhenUsed/>
    <w:rsid w:val="00A242FD"/>
    <w:pPr>
      <w:ind w:left="720"/>
    </w:pPr>
    <w:rPr>
      <w:sz w:val="20"/>
      <w:szCs w:val="20"/>
    </w:rPr>
  </w:style>
  <w:style w:type="paragraph" w:styleId="Cuprins5">
    <w:name w:val="toc 5"/>
    <w:basedOn w:val="Normal"/>
    <w:next w:val="Normal"/>
    <w:autoRedefine/>
    <w:uiPriority w:val="39"/>
    <w:semiHidden/>
    <w:unhideWhenUsed/>
    <w:rsid w:val="00A242FD"/>
    <w:pPr>
      <w:ind w:left="960"/>
    </w:pPr>
    <w:rPr>
      <w:sz w:val="20"/>
      <w:szCs w:val="20"/>
    </w:rPr>
  </w:style>
  <w:style w:type="paragraph" w:styleId="Cuprins6">
    <w:name w:val="toc 6"/>
    <w:basedOn w:val="Normal"/>
    <w:next w:val="Normal"/>
    <w:autoRedefine/>
    <w:uiPriority w:val="39"/>
    <w:semiHidden/>
    <w:unhideWhenUsed/>
    <w:rsid w:val="00A242FD"/>
    <w:pPr>
      <w:ind w:left="1200"/>
    </w:pPr>
    <w:rPr>
      <w:sz w:val="20"/>
      <w:szCs w:val="20"/>
    </w:rPr>
  </w:style>
  <w:style w:type="paragraph" w:styleId="Cuprins7">
    <w:name w:val="toc 7"/>
    <w:basedOn w:val="Normal"/>
    <w:next w:val="Normal"/>
    <w:autoRedefine/>
    <w:uiPriority w:val="39"/>
    <w:semiHidden/>
    <w:unhideWhenUsed/>
    <w:rsid w:val="00A242FD"/>
    <w:pPr>
      <w:ind w:left="1440"/>
    </w:pPr>
    <w:rPr>
      <w:sz w:val="20"/>
      <w:szCs w:val="20"/>
    </w:rPr>
  </w:style>
  <w:style w:type="paragraph" w:styleId="Cuprins8">
    <w:name w:val="toc 8"/>
    <w:basedOn w:val="Normal"/>
    <w:next w:val="Normal"/>
    <w:autoRedefine/>
    <w:uiPriority w:val="39"/>
    <w:semiHidden/>
    <w:unhideWhenUsed/>
    <w:rsid w:val="00A242FD"/>
    <w:pPr>
      <w:ind w:left="1680"/>
    </w:pPr>
    <w:rPr>
      <w:sz w:val="20"/>
      <w:szCs w:val="20"/>
    </w:rPr>
  </w:style>
  <w:style w:type="paragraph" w:styleId="Cuprins9">
    <w:name w:val="toc 9"/>
    <w:basedOn w:val="Normal"/>
    <w:next w:val="Normal"/>
    <w:autoRedefine/>
    <w:uiPriority w:val="39"/>
    <w:semiHidden/>
    <w:unhideWhenUsed/>
    <w:rsid w:val="00A242FD"/>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nkofengland.co.uk/" TargetMode="External" /><Relationship Id="rId13" Type="http://schemas.openxmlformats.org/officeDocument/2006/relationships/hyperlink" Target="https://www.jaguarlandrover.com/" TargetMode="External" /><Relationship Id="rId18" Type="http://schemas.openxmlformats.org/officeDocument/2006/relationships/footer" Target="footer1.xm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www.iea.org/" TargetMode="External" /><Relationship Id="rId17" Type="http://schemas.openxmlformats.org/officeDocument/2006/relationships/hyperlink" Target="https://www.gov.uk/" TargetMode="External" /><Relationship Id="rId2" Type="http://schemas.openxmlformats.org/officeDocument/2006/relationships/numbering" Target="numbering.xml" /><Relationship Id="rId16" Type="http://schemas.openxmlformats.org/officeDocument/2006/relationships/hyperlink" Target="https://www.smmt.co.uk/"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forbes.com/" TargetMode="External" /><Relationship Id="rId5" Type="http://schemas.openxmlformats.org/officeDocument/2006/relationships/webSettings" Target="webSettings.xml" /><Relationship Id="rId15" Type="http://schemas.openxmlformats.org/officeDocument/2006/relationships/hyperlink" Target="https://www.pwc.co.uk/" TargetMode="External" /><Relationship Id="rId10" Type="http://schemas.openxmlformats.org/officeDocument/2006/relationships/hyperlink" Target="https://ec.europa.eu/" TargetMode="External" /><Relationship Id="rId19"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hyperlink" Target="https://www.theccc.org.uk/" TargetMode="External" /><Relationship Id="rId14" Type="http://schemas.openxmlformats.org/officeDocument/2006/relationships/hyperlink" Target="https://www.mckinsey.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E0B6B-4F89-6542-9DCA-76B0225295E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3668</Words>
  <Characters>21277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2025-11-28T21:51:00Z</dcterms:created>
  <dcterms:modified xsi:type="dcterms:W3CDTF">2025-11-28T21:51:00Z</dcterms:modified>
</cp:coreProperties>
</file>