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222C9C" w14:textId="77777777" w:rsidR="00B75D83" w:rsidRPr="00AD3DF2" w:rsidRDefault="00B75D83" w:rsidP="00AD3DF2">
      <w:pPr>
        <w:jc w:val="both"/>
      </w:pPr>
      <w:r w:rsidRPr="00E7541D">
        <w:rPr>
          <w:rFonts w:ascii="Arial" w:hAnsi="Arial" w:cs="Arial"/>
          <w:noProof/>
        </w:rPr>
        <w:drawing>
          <wp:inline distT="0" distB="0" distL="114300" distR="114300" wp14:anchorId="356AA9F1" wp14:editId="58064C5B">
            <wp:extent cx="5274310" cy="19785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pic:cNvPicPr>
                  </pic:nvPicPr>
                  <pic:blipFill>
                    <a:blip r:embed="rId8"/>
                    <a:stretch>
                      <a:fillRect/>
                    </a:stretch>
                  </pic:blipFill>
                  <pic:spPr>
                    <a:xfrm>
                      <a:off x="0" y="0"/>
                      <a:ext cx="5274310" cy="1978544"/>
                    </a:xfrm>
                    <a:prstGeom prst="rect">
                      <a:avLst/>
                    </a:prstGeom>
                    <a:noFill/>
                    <a:ln>
                      <a:noFill/>
                    </a:ln>
                  </pic:spPr>
                </pic:pic>
              </a:graphicData>
            </a:graphic>
          </wp:inline>
        </w:drawing>
      </w:r>
    </w:p>
    <w:p w14:paraId="2F166604" w14:textId="77777777" w:rsidR="00B75D83" w:rsidRPr="00AD3DF2" w:rsidRDefault="00B75D83" w:rsidP="00AD3DF2">
      <w:pPr>
        <w:jc w:val="both"/>
      </w:pPr>
    </w:p>
    <w:p w14:paraId="09547F59" w14:textId="77777777" w:rsidR="00B75D83" w:rsidRPr="00AD3DF2" w:rsidRDefault="00B75D83" w:rsidP="00AD3DF2">
      <w:pPr>
        <w:jc w:val="both"/>
      </w:pPr>
    </w:p>
    <w:p w14:paraId="09A62F49" w14:textId="77777777" w:rsidR="00B75D83" w:rsidRDefault="00E7541D" w:rsidP="00AD3DF2">
      <w:pPr>
        <w:jc w:val="both"/>
        <w:rPr>
          <w:rFonts w:ascii="Arial" w:hAnsi="Arial" w:cs="Arial"/>
          <w:b/>
          <w:sz w:val="24"/>
          <w:szCs w:val="24"/>
        </w:rPr>
      </w:pPr>
      <w:r w:rsidRPr="00E7541D">
        <w:rPr>
          <w:rFonts w:ascii="Arial" w:hAnsi="Arial" w:cs="Arial"/>
          <w:b/>
          <w:sz w:val="24"/>
          <w:szCs w:val="24"/>
        </w:rPr>
        <w:t>PRINIPLES OF HEALTH AND SOIAL CARE PRACTICE COURSE</w:t>
      </w:r>
    </w:p>
    <w:p w14:paraId="4770AE9A" w14:textId="77777777" w:rsidR="00E7541D" w:rsidRPr="00E7541D" w:rsidRDefault="00E7541D" w:rsidP="00AD3DF2">
      <w:pPr>
        <w:jc w:val="both"/>
        <w:rPr>
          <w:rFonts w:ascii="Arial" w:hAnsi="Arial" w:cs="Arial"/>
          <w:b/>
          <w:sz w:val="24"/>
          <w:szCs w:val="24"/>
        </w:rPr>
      </w:pPr>
      <w:r w:rsidRPr="00E7541D">
        <w:rPr>
          <w:rFonts w:ascii="Arial" w:hAnsi="Arial" w:cs="Arial"/>
          <w:b/>
          <w:sz w:val="24"/>
          <w:szCs w:val="24"/>
        </w:rPr>
        <w:t>INDIVIDUAL WRITTEN ASSIGNMENT (SELF REFLACTIVE)</w:t>
      </w:r>
    </w:p>
    <w:p w14:paraId="48E734CB" w14:textId="77777777" w:rsidR="00B75D83" w:rsidRPr="00AD3DF2" w:rsidRDefault="00B75D83" w:rsidP="00AD3DF2">
      <w:pPr>
        <w:jc w:val="both"/>
      </w:pPr>
    </w:p>
    <w:p w14:paraId="68E12A55" w14:textId="77777777" w:rsidR="00B75D83" w:rsidRPr="00E7541D" w:rsidRDefault="00B75D83" w:rsidP="00AD3DF2">
      <w:pPr>
        <w:jc w:val="both"/>
        <w:rPr>
          <w:rFonts w:ascii="Arial" w:hAnsi="Arial" w:cs="Arial"/>
          <w:b/>
          <w:sz w:val="24"/>
          <w:szCs w:val="24"/>
        </w:rPr>
      </w:pPr>
      <w:r w:rsidRPr="00E7541D">
        <w:rPr>
          <w:rFonts w:ascii="Arial" w:hAnsi="Arial" w:cs="Arial"/>
          <w:b/>
          <w:sz w:val="24"/>
          <w:szCs w:val="24"/>
        </w:rPr>
        <w:t>Name</w:t>
      </w:r>
      <w:proofErr w:type="gramStart"/>
      <w:r w:rsidRPr="00E7541D">
        <w:rPr>
          <w:rFonts w:ascii="Arial" w:hAnsi="Arial" w:cs="Arial"/>
          <w:b/>
          <w:sz w:val="24"/>
          <w:szCs w:val="24"/>
        </w:rPr>
        <w:t xml:space="preserve">:  </w:t>
      </w:r>
      <w:r w:rsidRPr="00671FBB">
        <w:rPr>
          <w:rFonts w:ascii="Arial" w:hAnsi="Arial" w:cs="Arial"/>
          <w:bCs/>
          <w:sz w:val="24"/>
          <w:szCs w:val="24"/>
        </w:rPr>
        <w:t>Meskerem</w:t>
      </w:r>
      <w:proofErr w:type="gramEnd"/>
      <w:r w:rsidRPr="00671FBB">
        <w:rPr>
          <w:rFonts w:ascii="Arial" w:hAnsi="Arial" w:cs="Arial"/>
          <w:bCs/>
          <w:sz w:val="24"/>
          <w:szCs w:val="24"/>
        </w:rPr>
        <w:t xml:space="preserve"> Demissie Beyene</w:t>
      </w:r>
    </w:p>
    <w:p w14:paraId="2121EFDF" w14:textId="77777777" w:rsidR="00B75D83" w:rsidRPr="00E7541D" w:rsidRDefault="00B75D83" w:rsidP="00AD3DF2">
      <w:pPr>
        <w:jc w:val="both"/>
        <w:rPr>
          <w:rFonts w:ascii="Arial" w:hAnsi="Arial" w:cs="Arial"/>
          <w:b/>
          <w:sz w:val="24"/>
          <w:szCs w:val="24"/>
        </w:rPr>
      </w:pPr>
      <w:r w:rsidRPr="00E7541D">
        <w:rPr>
          <w:rFonts w:ascii="Arial" w:hAnsi="Arial" w:cs="Arial"/>
          <w:b/>
          <w:sz w:val="24"/>
          <w:szCs w:val="24"/>
        </w:rPr>
        <w:t xml:space="preserve">Student ID: </w:t>
      </w:r>
      <w:r w:rsidR="0061726A" w:rsidRPr="00671FBB">
        <w:rPr>
          <w:rFonts w:ascii="Arial" w:hAnsi="Arial" w:cs="Arial"/>
          <w:bCs/>
          <w:sz w:val="24"/>
          <w:szCs w:val="24"/>
        </w:rPr>
        <w:t>2414543</w:t>
      </w:r>
    </w:p>
    <w:p w14:paraId="2DFC148E" w14:textId="77777777" w:rsidR="00B75D83" w:rsidRPr="00E7541D" w:rsidRDefault="0061726A" w:rsidP="00AD3DF2">
      <w:pPr>
        <w:jc w:val="both"/>
        <w:rPr>
          <w:rFonts w:ascii="Arial" w:hAnsi="Arial" w:cs="Arial"/>
          <w:b/>
          <w:sz w:val="24"/>
          <w:szCs w:val="24"/>
        </w:rPr>
      </w:pPr>
      <w:r w:rsidRPr="00E7541D">
        <w:rPr>
          <w:rFonts w:ascii="Arial" w:hAnsi="Arial" w:cs="Arial"/>
          <w:b/>
          <w:sz w:val="24"/>
          <w:szCs w:val="24"/>
        </w:rPr>
        <w:t>Module Code:</w:t>
      </w:r>
      <w:r w:rsidRPr="00671FBB">
        <w:rPr>
          <w:rFonts w:ascii="Arial" w:hAnsi="Arial" w:cs="Arial"/>
          <w:bCs/>
          <w:sz w:val="24"/>
          <w:szCs w:val="24"/>
        </w:rPr>
        <w:t xml:space="preserve"> BMHP5016</w:t>
      </w:r>
    </w:p>
    <w:p w14:paraId="3AAD5D8F" w14:textId="77777777" w:rsidR="0061726A" w:rsidRPr="00671FBB" w:rsidRDefault="00B75D83" w:rsidP="00AD3DF2">
      <w:pPr>
        <w:jc w:val="both"/>
        <w:rPr>
          <w:rFonts w:ascii="Arial" w:hAnsi="Arial" w:cs="Arial"/>
          <w:bCs/>
          <w:sz w:val="24"/>
          <w:szCs w:val="24"/>
        </w:rPr>
      </w:pPr>
      <w:r w:rsidRPr="00E7541D">
        <w:rPr>
          <w:rFonts w:ascii="Arial" w:hAnsi="Arial" w:cs="Arial"/>
          <w:b/>
          <w:sz w:val="24"/>
          <w:szCs w:val="24"/>
        </w:rPr>
        <w:t xml:space="preserve">Module: </w:t>
      </w:r>
      <w:r w:rsidR="0061726A" w:rsidRPr="00671FBB">
        <w:rPr>
          <w:rFonts w:ascii="Arial" w:hAnsi="Arial" w:cs="Arial"/>
          <w:bCs/>
          <w:sz w:val="24"/>
          <w:szCs w:val="24"/>
        </w:rPr>
        <w:t>Principle of Health and Social care Practice</w:t>
      </w:r>
    </w:p>
    <w:p w14:paraId="27EB05DA" w14:textId="579831D3" w:rsidR="00B75D83" w:rsidRPr="00E7541D" w:rsidRDefault="00B75D83" w:rsidP="00AD3DF2">
      <w:pPr>
        <w:jc w:val="both"/>
        <w:rPr>
          <w:rFonts w:ascii="Arial" w:hAnsi="Arial" w:cs="Arial"/>
          <w:b/>
          <w:sz w:val="24"/>
          <w:szCs w:val="24"/>
        </w:rPr>
      </w:pPr>
      <w:r w:rsidRPr="00E7541D">
        <w:rPr>
          <w:rFonts w:ascii="Arial" w:hAnsi="Arial" w:cs="Arial"/>
          <w:b/>
          <w:sz w:val="24"/>
          <w:szCs w:val="24"/>
        </w:rPr>
        <w:t>Lecturer:</w:t>
      </w:r>
      <w:r w:rsidR="00671FBB" w:rsidRPr="00671FBB">
        <w:rPr>
          <w:rFonts w:ascii="Arial" w:hAnsi="Arial" w:cs="Arial"/>
          <w:bCs/>
          <w:sz w:val="24"/>
          <w:szCs w:val="24"/>
        </w:rPr>
        <w:t xml:space="preserve"> DR</w:t>
      </w:r>
      <w:r w:rsidRPr="00671FBB">
        <w:rPr>
          <w:rFonts w:ascii="Arial" w:hAnsi="Arial" w:cs="Arial"/>
          <w:bCs/>
          <w:sz w:val="24"/>
          <w:szCs w:val="24"/>
        </w:rPr>
        <w:t xml:space="preserve"> </w:t>
      </w:r>
      <w:proofErr w:type="spellStart"/>
      <w:r w:rsidR="0061726A" w:rsidRPr="00671FBB">
        <w:rPr>
          <w:rFonts w:ascii="Arial" w:hAnsi="Arial" w:cs="Arial"/>
          <w:bCs/>
          <w:sz w:val="24"/>
          <w:szCs w:val="24"/>
        </w:rPr>
        <w:t>Itse</w:t>
      </w:r>
      <w:proofErr w:type="spellEnd"/>
      <w:r w:rsidR="0061726A" w:rsidRPr="00671FBB">
        <w:rPr>
          <w:rFonts w:ascii="Arial" w:hAnsi="Arial" w:cs="Arial"/>
          <w:bCs/>
          <w:sz w:val="24"/>
          <w:szCs w:val="24"/>
        </w:rPr>
        <w:t xml:space="preserve"> Olaoye</w:t>
      </w:r>
    </w:p>
    <w:p w14:paraId="7E4C39EF" w14:textId="77777777" w:rsidR="00B75D83" w:rsidRPr="00E7541D" w:rsidRDefault="00B75D83" w:rsidP="00AD3DF2">
      <w:pPr>
        <w:jc w:val="both"/>
        <w:rPr>
          <w:rFonts w:ascii="Arial" w:hAnsi="Arial" w:cs="Arial"/>
          <w:b/>
          <w:sz w:val="24"/>
          <w:szCs w:val="24"/>
        </w:rPr>
      </w:pPr>
    </w:p>
    <w:p w14:paraId="4D577970" w14:textId="77777777" w:rsidR="00B75D83" w:rsidRPr="00E7541D" w:rsidRDefault="00B75D83" w:rsidP="00AD3DF2">
      <w:pPr>
        <w:jc w:val="both"/>
        <w:rPr>
          <w:rFonts w:ascii="Arial" w:hAnsi="Arial" w:cs="Arial"/>
          <w:b/>
          <w:sz w:val="24"/>
          <w:szCs w:val="24"/>
        </w:rPr>
      </w:pPr>
    </w:p>
    <w:p w14:paraId="2FDAA205" w14:textId="77777777" w:rsidR="00B75D83" w:rsidRPr="00E7541D" w:rsidRDefault="00B75D83" w:rsidP="00AD3DF2">
      <w:pPr>
        <w:jc w:val="both"/>
        <w:rPr>
          <w:rFonts w:ascii="Arial" w:hAnsi="Arial" w:cs="Arial"/>
          <w:b/>
          <w:sz w:val="24"/>
          <w:szCs w:val="24"/>
        </w:rPr>
      </w:pPr>
    </w:p>
    <w:p w14:paraId="7186559B" w14:textId="77777777" w:rsidR="00B75D83" w:rsidRPr="00E7541D" w:rsidRDefault="00B75D83" w:rsidP="00AD3DF2">
      <w:pPr>
        <w:jc w:val="both"/>
        <w:rPr>
          <w:rFonts w:ascii="Arial" w:hAnsi="Arial" w:cs="Arial"/>
          <w:b/>
          <w:sz w:val="24"/>
          <w:szCs w:val="24"/>
        </w:rPr>
      </w:pPr>
      <w:r w:rsidRPr="00E7541D">
        <w:rPr>
          <w:rFonts w:ascii="Arial" w:hAnsi="Arial" w:cs="Arial"/>
          <w:b/>
          <w:sz w:val="24"/>
          <w:szCs w:val="24"/>
        </w:rPr>
        <w:t xml:space="preserve">SUMISSTION DATE: </w:t>
      </w:r>
      <w:r w:rsidR="0061726A" w:rsidRPr="00E7541D">
        <w:rPr>
          <w:rFonts w:ascii="Arial" w:hAnsi="Arial" w:cs="Arial"/>
          <w:b/>
          <w:sz w:val="24"/>
          <w:szCs w:val="24"/>
        </w:rPr>
        <w:t>December 12/2025</w:t>
      </w:r>
    </w:p>
    <w:p w14:paraId="498F1990" w14:textId="77777777" w:rsidR="008D4B84" w:rsidRPr="00AD3DF2" w:rsidRDefault="008D4B84" w:rsidP="00AD3DF2">
      <w:pPr>
        <w:jc w:val="both"/>
        <w:sectPr w:rsidR="008D4B84" w:rsidRPr="00AD3DF2" w:rsidSect="00DF678B">
          <w:footerReference w:type="default" r:id="rId9"/>
          <w:pgSz w:w="12240" w:h="15840"/>
          <w:pgMar w:top="1440" w:right="1440" w:bottom="1440" w:left="1440" w:header="720" w:footer="720" w:gutter="0"/>
          <w:cols w:space="720"/>
          <w:titlePg/>
          <w:docGrid w:linePitch="360"/>
        </w:sectPr>
      </w:pPr>
    </w:p>
    <w:sdt>
      <w:sdtPr>
        <w:id w:val="-2037493114"/>
        <w:docPartObj>
          <w:docPartGallery w:val="Table of Contents"/>
          <w:docPartUnique/>
        </w:docPartObj>
      </w:sdtPr>
      <w:sdtEndPr>
        <w:rPr>
          <w:noProof/>
        </w:rPr>
      </w:sdtEndPr>
      <w:sdtContent>
        <w:p w14:paraId="11D485B4" w14:textId="77777777" w:rsidR="008D4B84" w:rsidRPr="00BC62F2" w:rsidRDefault="008D4B84" w:rsidP="00BC62F2">
          <w:pPr>
            <w:spacing w:before="120" w:after="120" w:line="360" w:lineRule="auto"/>
            <w:jc w:val="both"/>
            <w:rPr>
              <w:rFonts w:ascii="Arial" w:hAnsi="Arial" w:cs="Arial"/>
              <w:sz w:val="20"/>
              <w:szCs w:val="20"/>
            </w:rPr>
          </w:pPr>
          <w:r w:rsidRPr="00BC62F2">
            <w:rPr>
              <w:rFonts w:ascii="Arial" w:hAnsi="Arial" w:cs="Arial"/>
              <w:sz w:val="20"/>
              <w:szCs w:val="20"/>
            </w:rPr>
            <w:t>Contents</w:t>
          </w:r>
        </w:p>
        <w:p w14:paraId="2119FC72" w14:textId="77777777" w:rsidR="00E215BD" w:rsidRPr="00BC62F2" w:rsidRDefault="008D4B84" w:rsidP="00BC62F2">
          <w:pPr>
            <w:pStyle w:val="TOC1"/>
            <w:tabs>
              <w:tab w:val="right" w:leader="dot" w:pos="9350"/>
            </w:tabs>
            <w:spacing w:before="120" w:after="120" w:line="360" w:lineRule="auto"/>
            <w:jc w:val="both"/>
            <w:rPr>
              <w:rFonts w:ascii="Arial" w:eastAsiaTheme="minorEastAsia" w:hAnsi="Arial" w:cs="Arial"/>
              <w:noProof/>
              <w:sz w:val="20"/>
              <w:szCs w:val="20"/>
            </w:rPr>
          </w:pPr>
          <w:r w:rsidRPr="00BC62F2">
            <w:rPr>
              <w:rFonts w:ascii="Arial" w:hAnsi="Arial" w:cs="Arial"/>
              <w:sz w:val="20"/>
              <w:szCs w:val="20"/>
            </w:rPr>
            <w:fldChar w:fldCharType="begin"/>
          </w:r>
          <w:r w:rsidRPr="00BC62F2">
            <w:rPr>
              <w:rFonts w:ascii="Arial" w:hAnsi="Arial" w:cs="Arial"/>
              <w:sz w:val="20"/>
              <w:szCs w:val="20"/>
            </w:rPr>
            <w:instrText xml:space="preserve"> TOC \o "1-3" \h \z \u </w:instrText>
          </w:r>
          <w:r w:rsidRPr="00BC62F2">
            <w:rPr>
              <w:rFonts w:ascii="Arial" w:hAnsi="Arial" w:cs="Arial"/>
              <w:sz w:val="20"/>
              <w:szCs w:val="20"/>
            </w:rPr>
            <w:fldChar w:fldCharType="separate"/>
          </w:r>
          <w:hyperlink w:anchor="_Toc216414043" w:history="1">
            <w:r w:rsidR="00E215BD" w:rsidRPr="00BC62F2">
              <w:rPr>
                <w:rStyle w:val="Hyperlink"/>
                <w:rFonts w:ascii="Arial" w:hAnsi="Arial" w:cs="Arial"/>
                <w:noProof/>
                <w:sz w:val="20"/>
                <w:szCs w:val="20"/>
              </w:rPr>
              <w:t>1.  Introduction</w:t>
            </w:r>
            <w:r w:rsidR="00E215BD" w:rsidRPr="00BC62F2">
              <w:rPr>
                <w:rFonts w:ascii="Arial" w:hAnsi="Arial" w:cs="Arial"/>
                <w:noProof/>
                <w:webHidden/>
                <w:sz w:val="20"/>
                <w:szCs w:val="20"/>
              </w:rPr>
              <w:tab/>
            </w:r>
            <w:r w:rsidR="00E215BD" w:rsidRPr="00BC62F2">
              <w:rPr>
                <w:rFonts w:ascii="Arial" w:hAnsi="Arial" w:cs="Arial"/>
                <w:noProof/>
                <w:webHidden/>
                <w:sz w:val="20"/>
                <w:szCs w:val="20"/>
              </w:rPr>
              <w:fldChar w:fldCharType="begin"/>
            </w:r>
            <w:r w:rsidR="00E215BD" w:rsidRPr="00BC62F2">
              <w:rPr>
                <w:rFonts w:ascii="Arial" w:hAnsi="Arial" w:cs="Arial"/>
                <w:noProof/>
                <w:webHidden/>
                <w:sz w:val="20"/>
                <w:szCs w:val="20"/>
              </w:rPr>
              <w:instrText xml:space="preserve"> PAGEREF _Toc216414043 \h </w:instrText>
            </w:r>
            <w:r w:rsidR="00E215BD" w:rsidRPr="00BC62F2">
              <w:rPr>
                <w:rFonts w:ascii="Arial" w:hAnsi="Arial" w:cs="Arial"/>
                <w:noProof/>
                <w:webHidden/>
                <w:sz w:val="20"/>
                <w:szCs w:val="20"/>
              </w:rPr>
            </w:r>
            <w:r w:rsidR="00E215BD" w:rsidRPr="00BC62F2">
              <w:rPr>
                <w:rFonts w:ascii="Arial" w:hAnsi="Arial" w:cs="Arial"/>
                <w:noProof/>
                <w:webHidden/>
                <w:sz w:val="20"/>
                <w:szCs w:val="20"/>
              </w:rPr>
              <w:fldChar w:fldCharType="separate"/>
            </w:r>
            <w:r w:rsidR="00E215BD" w:rsidRPr="00BC62F2">
              <w:rPr>
                <w:rFonts w:ascii="Arial" w:hAnsi="Arial" w:cs="Arial"/>
                <w:noProof/>
                <w:webHidden/>
                <w:sz w:val="20"/>
                <w:szCs w:val="20"/>
              </w:rPr>
              <w:t>1</w:t>
            </w:r>
            <w:r w:rsidR="00E215BD" w:rsidRPr="00BC62F2">
              <w:rPr>
                <w:rFonts w:ascii="Arial" w:hAnsi="Arial" w:cs="Arial"/>
                <w:noProof/>
                <w:webHidden/>
                <w:sz w:val="20"/>
                <w:szCs w:val="20"/>
              </w:rPr>
              <w:fldChar w:fldCharType="end"/>
            </w:r>
          </w:hyperlink>
        </w:p>
        <w:p w14:paraId="7CF661C6" w14:textId="77777777" w:rsidR="00E215BD" w:rsidRPr="00BC62F2" w:rsidRDefault="00E215BD" w:rsidP="00BC62F2">
          <w:pPr>
            <w:pStyle w:val="TOC1"/>
            <w:tabs>
              <w:tab w:val="right" w:leader="dot" w:pos="9350"/>
            </w:tabs>
            <w:spacing w:before="120" w:after="120" w:line="360" w:lineRule="auto"/>
            <w:jc w:val="both"/>
            <w:rPr>
              <w:rFonts w:ascii="Arial" w:eastAsiaTheme="minorEastAsia" w:hAnsi="Arial" w:cs="Arial"/>
              <w:noProof/>
              <w:sz w:val="20"/>
              <w:szCs w:val="20"/>
            </w:rPr>
          </w:pPr>
          <w:hyperlink w:anchor="_Toc216414044" w:history="1">
            <w:r w:rsidRPr="00BC62F2">
              <w:rPr>
                <w:rStyle w:val="Hyperlink"/>
                <w:rFonts w:ascii="Arial" w:hAnsi="Arial" w:cs="Arial"/>
                <w:noProof/>
                <w:sz w:val="20"/>
                <w:szCs w:val="20"/>
              </w:rPr>
              <w:t>2. The Development of the Ethics of Care</w:t>
            </w:r>
            <w:r w:rsidRPr="00BC62F2">
              <w:rPr>
                <w:rFonts w:ascii="Arial" w:hAnsi="Arial" w:cs="Arial"/>
                <w:noProof/>
                <w:webHidden/>
                <w:sz w:val="20"/>
                <w:szCs w:val="20"/>
              </w:rPr>
              <w:tab/>
            </w:r>
            <w:r w:rsidRPr="00BC62F2">
              <w:rPr>
                <w:rFonts w:ascii="Arial" w:hAnsi="Arial" w:cs="Arial"/>
                <w:noProof/>
                <w:webHidden/>
                <w:sz w:val="20"/>
                <w:szCs w:val="20"/>
              </w:rPr>
              <w:fldChar w:fldCharType="begin"/>
            </w:r>
            <w:r w:rsidRPr="00BC62F2">
              <w:rPr>
                <w:rFonts w:ascii="Arial" w:hAnsi="Arial" w:cs="Arial"/>
                <w:noProof/>
                <w:webHidden/>
                <w:sz w:val="20"/>
                <w:szCs w:val="20"/>
              </w:rPr>
              <w:instrText xml:space="preserve"> PAGEREF _Toc216414044 \h </w:instrText>
            </w:r>
            <w:r w:rsidRPr="00BC62F2">
              <w:rPr>
                <w:rFonts w:ascii="Arial" w:hAnsi="Arial" w:cs="Arial"/>
                <w:noProof/>
                <w:webHidden/>
                <w:sz w:val="20"/>
                <w:szCs w:val="20"/>
              </w:rPr>
            </w:r>
            <w:r w:rsidRPr="00BC62F2">
              <w:rPr>
                <w:rFonts w:ascii="Arial" w:hAnsi="Arial" w:cs="Arial"/>
                <w:noProof/>
                <w:webHidden/>
                <w:sz w:val="20"/>
                <w:szCs w:val="20"/>
              </w:rPr>
              <w:fldChar w:fldCharType="separate"/>
            </w:r>
            <w:r w:rsidRPr="00BC62F2">
              <w:rPr>
                <w:rFonts w:ascii="Arial" w:hAnsi="Arial" w:cs="Arial"/>
                <w:noProof/>
                <w:webHidden/>
                <w:sz w:val="20"/>
                <w:szCs w:val="20"/>
              </w:rPr>
              <w:t>1</w:t>
            </w:r>
            <w:r w:rsidRPr="00BC62F2">
              <w:rPr>
                <w:rFonts w:ascii="Arial" w:hAnsi="Arial" w:cs="Arial"/>
                <w:noProof/>
                <w:webHidden/>
                <w:sz w:val="20"/>
                <w:szCs w:val="20"/>
              </w:rPr>
              <w:fldChar w:fldCharType="end"/>
            </w:r>
          </w:hyperlink>
        </w:p>
        <w:p w14:paraId="1311EA42" w14:textId="77777777" w:rsidR="00E215BD" w:rsidRPr="00BC62F2" w:rsidRDefault="00E215BD" w:rsidP="00BC62F2">
          <w:pPr>
            <w:pStyle w:val="TOC1"/>
            <w:tabs>
              <w:tab w:val="right" w:leader="dot" w:pos="9350"/>
            </w:tabs>
            <w:spacing w:before="120" w:after="120" w:line="360" w:lineRule="auto"/>
            <w:jc w:val="both"/>
            <w:rPr>
              <w:rFonts w:ascii="Arial" w:eastAsiaTheme="minorEastAsia" w:hAnsi="Arial" w:cs="Arial"/>
              <w:noProof/>
              <w:sz w:val="20"/>
              <w:szCs w:val="20"/>
            </w:rPr>
          </w:pPr>
          <w:hyperlink w:anchor="_Toc216414045" w:history="1">
            <w:r w:rsidRPr="00BC62F2">
              <w:rPr>
                <w:rStyle w:val="Hyperlink"/>
                <w:rFonts w:ascii="Arial" w:hAnsi="Arial" w:cs="Arial"/>
                <w:noProof/>
                <w:sz w:val="20"/>
                <w:szCs w:val="20"/>
              </w:rPr>
              <w:t>3. Application of the Ethics of Care in Health and Social Care Policy and Practice</w:t>
            </w:r>
            <w:r w:rsidRPr="00BC62F2">
              <w:rPr>
                <w:rFonts w:ascii="Arial" w:hAnsi="Arial" w:cs="Arial"/>
                <w:noProof/>
                <w:webHidden/>
                <w:sz w:val="20"/>
                <w:szCs w:val="20"/>
              </w:rPr>
              <w:tab/>
            </w:r>
            <w:r w:rsidRPr="00BC62F2">
              <w:rPr>
                <w:rFonts w:ascii="Arial" w:hAnsi="Arial" w:cs="Arial"/>
                <w:noProof/>
                <w:webHidden/>
                <w:sz w:val="20"/>
                <w:szCs w:val="20"/>
              </w:rPr>
              <w:fldChar w:fldCharType="begin"/>
            </w:r>
            <w:r w:rsidRPr="00BC62F2">
              <w:rPr>
                <w:rFonts w:ascii="Arial" w:hAnsi="Arial" w:cs="Arial"/>
                <w:noProof/>
                <w:webHidden/>
                <w:sz w:val="20"/>
                <w:szCs w:val="20"/>
              </w:rPr>
              <w:instrText xml:space="preserve"> PAGEREF _Toc216414045 \h </w:instrText>
            </w:r>
            <w:r w:rsidRPr="00BC62F2">
              <w:rPr>
                <w:rFonts w:ascii="Arial" w:hAnsi="Arial" w:cs="Arial"/>
                <w:noProof/>
                <w:webHidden/>
                <w:sz w:val="20"/>
                <w:szCs w:val="20"/>
              </w:rPr>
            </w:r>
            <w:r w:rsidRPr="00BC62F2">
              <w:rPr>
                <w:rFonts w:ascii="Arial" w:hAnsi="Arial" w:cs="Arial"/>
                <w:noProof/>
                <w:webHidden/>
                <w:sz w:val="20"/>
                <w:szCs w:val="20"/>
              </w:rPr>
              <w:fldChar w:fldCharType="separate"/>
            </w:r>
            <w:r w:rsidRPr="00BC62F2">
              <w:rPr>
                <w:rFonts w:ascii="Arial" w:hAnsi="Arial" w:cs="Arial"/>
                <w:noProof/>
                <w:webHidden/>
                <w:sz w:val="20"/>
                <w:szCs w:val="20"/>
              </w:rPr>
              <w:t>3</w:t>
            </w:r>
            <w:r w:rsidRPr="00BC62F2">
              <w:rPr>
                <w:rFonts w:ascii="Arial" w:hAnsi="Arial" w:cs="Arial"/>
                <w:noProof/>
                <w:webHidden/>
                <w:sz w:val="20"/>
                <w:szCs w:val="20"/>
              </w:rPr>
              <w:fldChar w:fldCharType="end"/>
            </w:r>
          </w:hyperlink>
        </w:p>
        <w:p w14:paraId="3154AD3C" w14:textId="77777777" w:rsidR="00E215BD" w:rsidRPr="00BC62F2" w:rsidRDefault="00E215BD" w:rsidP="00BC62F2">
          <w:pPr>
            <w:pStyle w:val="TOC1"/>
            <w:tabs>
              <w:tab w:val="right" w:leader="dot" w:pos="9350"/>
            </w:tabs>
            <w:spacing w:before="120" w:after="120" w:line="360" w:lineRule="auto"/>
            <w:jc w:val="both"/>
            <w:rPr>
              <w:rFonts w:ascii="Arial" w:eastAsiaTheme="minorEastAsia" w:hAnsi="Arial" w:cs="Arial"/>
              <w:noProof/>
              <w:sz w:val="20"/>
              <w:szCs w:val="20"/>
            </w:rPr>
          </w:pPr>
          <w:hyperlink w:anchor="_Toc216414046" w:history="1">
            <w:r w:rsidRPr="00BC62F2">
              <w:rPr>
                <w:rStyle w:val="Hyperlink"/>
                <w:rFonts w:ascii="Arial" w:hAnsi="Arial" w:cs="Arial"/>
                <w:noProof/>
                <w:sz w:val="20"/>
                <w:szCs w:val="20"/>
              </w:rPr>
              <w:t>4. Recommendations for Health and Social Care Policy and Practice</w:t>
            </w:r>
            <w:r w:rsidRPr="00BC62F2">
              <w:rPr>
                <w:rFonts w:ascii="Arial" w:hAnsi="Arial" w:cs="Arial"/>
                <w:noProof/>
                <w:webHidden/>
                <w:sz w:val="20"/>
                <w:szCs w:val="20"/>
              </w:rPr>
              <w:tab/>
            </w:r>
            <w:r w:rsidRPr="00BC62F2">
              <w:rPr>
                <w:rFonts w:ascii="Arial" w:hAnsi="Arial" w:cs="Arial"/>
                <w:noProof/>
                <w:webHidden/>
                <w:sz w:val="20"/>
                <w:szCs w:val="20"/>
              </w:rPr>
              <w:fldChar w:fldCharType="begin"/>
            </w:r>
            <w:r w:rsidRPr="00BC62F2">
              <w:rPr>
                <w:rFonts w:ascii="Arial" w:hAnsi="Arial" w:cs="Arial"/>
                <w:noProof/>
                <w:webHidden/>
                <w:sz w:val="20"/>
                <w:szCs w:val="20"/>
              </w:rPr>
              <w:instrText xml:space="preserve"> PAGEREF _Toc216414046 \h </w:instrText>
            </w:r>
            <w:r w:rsidRPr="00BC62F2">
              <w:rPr>
                <w:rFonts w:ascii="Arial" w:hAnsi="Arial" w:cs="Arial"/>
                <w:noProof/>
                <w:webHidden/>
                <w:sz w:val="20"/>
                <w:szCs w:val="20"/>
              </w:rPr>
            </w:r>
            <w:r w:rsidRPr="00BC62F2">
              <w:rPr>
                <w:rFonts w:ascii="Arial" w:hAnsi="Arial" w:cs="Arial"/>
                <w:noProof/>
                <w:webHidden/>
                <w:sz w:val="20"/>
                <w:szCs w:val="20"/>
              </w:rPr>
              <w:fldChar w:fldCharType="separate"/>
            </w:r>
            <w:r w:rsidRPr="00BC62F2">
              <w:rPr>
                <w:rFonts w:ascii="Arial" w:hAnsi="Arial" w:cs="Arial"/>
                <w:noProof/>
                <w:webHidden/>
                <w:sz w:val="20"/>
                <w:szCs w:val="20"/>
              </w:rPr>
              <w:t>4</w:t>
            </w:r>
            <w:r w:rsidRPr="00BC62F2">
              <w:rPr>
                <w:rFonts w:ascii="Arial" w:hAnsi="Arial" w:cs="Arial"/>
                <w:noProof/>
                <w:webHidden/>
                <w:sz w:val="20"/>
                <w:szCs w:val="20"/>
              </w:rPr>
              <w:fldChar w:fldCharType="end"/>
            </w:r>
          </w:hyperlink>
        </w:p>
        <w:p w14:paraId="1886A6AC" w14:textId="77777777" w:rsidR="00E215BD" w:rsidRPr="00BC62F2" w:rsidRDefault="00E215BD" w:rsidP="00BC62F2">
          <w:pPr>
            <w:pStyle w:val="TOC1"/>
            <w:tabs>
              <w:tab w:val="right" w:leader="dot" w:pos="9350"/>
            </w:tabs>
            <w:spacing w:before="120" w:after="120" w:line="360" w:lineRule="auto"/>
            <w:jc w:val="both"/>
            <w:rPr>
              <w:rFonts w:ascii="Arial" w:eastAsiaTheme="minorEastAsia" w:hAnsi="Arial" w:cs="Arial"/>
              <w:noProof/>
              <w:sz w:val="20"/>
              <w:szCs w:val="20"/>
            </w:rPr>
          </w:pPr>
          <w:hyperlink w:anchor="_Toc216414047" w:history="1">
            <w:r w:rsidRPr="00BC62F2">
              <w:rPr>
                <w:rStyle w:val="Hyperlink"/>
                <w:rFonts w:ascii="Arial" w:hAnsi="Arial" w:cs="Arial"/>
                <w:noProof/>
                <w:sz w:val="20"/>
                <w:szCs w:val="20"/>
              </w:rPr>
              <w:t>5. Conclusion</w:t>
            </w:r>
            <w:r w:rsidRPr="00BC62F2">
              <w:rPr>
                <w:rFonts w:ascii="Arial" w:hAnsi="Arial" w:cs="Arial"/>
                <w:noProof/>
                <w:webHidden/>
                <w:sz w:val="20"/>
                <w:szCs w:val="20"/>
              </w:rPr>
              <w:tab/>
            </w:r>
            <w:r w:rsidRPr="00BC62F2">
              <w:rPr>
                <w:rFonts w:ascii="Arial" w:hAnsi="Arial" w:cs="Arial"/>
                <w:noProof/>
                <w:webHidden/>
                <w:sz w:val="20"/>
                <w:szCs w:val="20"/>
              </w:rPr>
              <w:fldChar w:fldCharType="begin"/>
            </w:r>
            <w:r w:rsidRPr="00BC62F2">
              <w:rPr>
                <w:rFonts w:ascii="Arial" w:hAnsi="Arial" w:cs="Arial"/>
                <w:noProof/>
                <w:webHidden/>
                <w:sz w:val="20"/>
                <w:szCs w:val="20"/>
              </w:rPr>
              <w:instrText xml:space="preserve"> PAGEREF _Toc216414047 \h </w:instrText>
            </w:r>
            <w:r w:rsidRPr="00BC62F2">
              <w:rPr>
                <w:rFonts w:ascii="Arial" w:hAnsi="Arial" w:cs="Arial"/>
                <w:noProof/>
                <w:webHidden/>
                <w:sz w:val="20"/>
                <w:szCs w:val="20"/>
              </w:rPr>
            </w:r>
            <w:r w:rsidRPr="00BC62F2">
              <w:rPr>
                <w:rFonts w:ascii="Arial" w:hAnsi="Arial" w:cs="Arial"/>
                <w:noProof/>
                <w:webHidden/>
                <w:sz w:val="20"/>
                <w:szCs w:val="20"/>
              </w:rPr>
              <w:fldChar w:fldCharType="separate"/>
            </w:r>
            <w:r w:rsidRPr="00BC62F2">
              <w:rPr>
                <w:rFonts w:ascii="Arial" w:hAnsi="Arial" w:cs="Arial"/>
                <w:noProof/>
                <w:webHidden/>
                <w:sz w:val="20"/>
                <w:szCs w:val="20"/>
              </w:rPr>
              <w:t>5</w:t>
            </w:r>
            <w:r w:rsidRPr="00BC62F2">
              <w:rPr>
                <w:rFonts w:ascii="Arial" w:hAnsi="Arial" w:cs="Arial"/>
                <w:noProof/>
                <w:webHidden/>
                <w:sz w:val="20"/>
                <w:szCs w:val="20"/>
              </w:rPr>
              <w:fldChar w:fldCharType="end"/>
            </w:r>
          </w:hyperlink>
        </w:p>
        <w:p w14:paraId="00B4E017" w14:textId="77777777" w:rsidR="00E215BD" w:rsidRPr="00BC62F2" w:rsidRDefault="00E215BD" w:rsidP="00BC62F2">
          <w:pPr>
            <w:pStyle w:val="TOC1"/>
            <w:tabs>
              <w:tab w:val="right" w:leader="dot" w:pos="9350"/>
            </w:tabs>
            <w:spacing w:before="120" w:after="120" w:line="360" w:lineRule="auto"/>
            <w:jc w:val="both"/>
            <w:rPr>
              <w:rFonts w:ascii="Arial" w:eastAsiaTheme="minorEastAsia" w:hAnsi="Arial" w:cs="Arial"/>
              <w:noProof/>
              <w:sz w:val="20"/>
              <w:szCs w:val="20"/>
            </w:rPr>
          </w:pPr>
          <w:hyperlink w:anchor="_Toc216414048" w:history="1">
            <w:r w:rsidRPr="00BC62F2">
              <w:rPr>
                <w:rStyle w:val="Hyperlink"/>
                <w:rFonts w:ascii="Arial" w:hAnsi="Arial" w:cs="Arial"/>
                <w:noProof/>
                <w:sz w:val="20"/>
                <w:szCs w:val="20"/>
              </w:rPr>
              <w:t>Reference</w:t>
            </w:r>
            <w:r w:rsidRPr="00BC62F2">
              <w:rPr>
                <w:rFonts w:ascii="Arial" w:hAnsi="Arial" w:cs="Arial"/>
                <w:noProof/>
                <w:webHidden/>
                <w:sz w:val="20"/>
                <w:szCs w:val="20"/>
              </w:rPr>
              <w:tab/>
            </w:r>
            <w:r w:rsidRPr="00BC62F2">
              <w:rPr>
                <w:rFonts w:ascii="Arial" w:hAnsi="Arial" w:cs="Arial"/>
                <w:noProof/>
                <w:webHidden/>
                <w:sz w:val="20"/>
                <w:szCs w:val="20"/>
              </w:rPr>
              <w:fldChar w:fldCharType="begin"/>
            </w:r>
            <w:r w:rsidRPr="00BC62F2">
              <w:rPr>
                <w:rFonts w:ascii="Arial" w:hAnsi="Arial" w:cs="Arial"/>
                <w:noProof/>
                <w:webHidden/>
                <w:sz w:val="20"/>
                <w:szCs w:val="20"/>
              </w:rPr>
              <w:instrText xml:space="preserve"> PAGEREF _Toc216414048 \h </w:instrText>
            </w:r>
            <w:r w:rsidRPr="00BC62F2">
              <w:rPr>
                <w:rFonts w:ascii="Arial" w:hAnsi="Arial" w:cs="Arial"/>
                <w:noProof/>
                <w:webHidden/>
                <w:sz w:val="20"/>
                <w:szCs w:val="20"/>
              </w:rPr>
            </w:r>
            <w:r w:rsidRPr="00BC62F2">
              <w:rPr>
                <w:rFonts w:ascii="Arial" w:hAnsi="Arial" w:cs="Arial"/>
                <w:noProof/>
                <w:webHidden/>
                <w:sz w:val="20"/>
                <w:szCs w:val="20"/>
              </w:rPr>
              <w:fldChar w:fldCharType="separate"/>
            </w:r>
            <w:r w:rsidRPr="00BC62F2">
              <w:rPr>
                <w:rFonts w:ascii="Arial" w:hAnsi="Arial" w:cs="Arial"/>
                <w:noProof/>
                <w:webHidden/>
                <w:sz w:val="20"/>
                <w:szCs w:val="20"/>
              </w:rPr>
              <w:t>I</w:t>
            </w:r>
            <w:r w:rsidRPr="00BC62F2">
              <w:rPr>
                <w:rFonts w:ascii="Arial" w:hAnsi="Arial" w:cs="Arial"/>
                <w:noProof/>
                <w:webHidden/>
                <w:sz w:val="20"/>
                <w:szCs w:val="20"/>
              </w:rPr>
              <w:fldChar w:fldCharType="end"/>
            </w:r>
          </w:hyperlink>
        </w:p>
        <w:p w14:paraId="36059066" w14:textId="77777777" w:rsidR="008D4B84" w:rsidRPr="00AD3DF2" w:rsidRDefault="008D4B84" w:rsidP="00BC62F2">
          <w:pPr>
            <w:spacing w:before="120" w:after="120" w:line="360" w:lineRule="auto"/>
            <w:jc w:val="both"/>
          </w:pPr>
          <w:r w:rsidRPr="00BC62F2">
            <w:rPr>
              <w:rFonts w:ascii="Arial" w:hAnsi="Arial" w:cs="Arial"/>
              <w:noProof/>
              <w:sz w:val="20"/>
              <w:szCs w:val="20"/>
            </w:rPr>
            <w:fldChar w:fldCharType="end"/>
          </w:r>
        </w:p>
      </w:sdtContent>
    </w:sdt>
    <w:p w14:paraId="0E815BD2" w14:textId="77777777" w:rsidR="000C7042" w:rsidRPr="00AD3DF2" w:rsidRDefault="000C7042" w:rsidP="00AD3DF2">
      <w:pPr>
        <w:jc w:val="both"/>
      </w:pPr>
    </w:p>
    <w:p w14:paraId="13AC402A" w14:textId="77777777" w:rsidR="000C7042" w:rsidRPr="00AD3DF2" w:rsidRDefault="000C7042" w:rsidP="00AD3DF2">
      <w:pPr>
        <w:jc w:val="both"/>
      </w:pPr>
    </w:p>
    <w:p w14:paraId="52263990" w14:textId="77777777" w:rsidR="000C7042" w:rsidRPr="00AD3DF2" w:rsidRDefault="000C7042" w:rsidP="00AD3DF2">
      <w:pPr>
        <w:jc w:val="both"/>
      </w:pPr>
    </w:p>
    <w:p w14:paraId="1F7B2CE5" w14:textId="77777777" w:rsidR="000C7042" w:rsidRPr="00AD3DF2" w:rsidRDefault="000C7042" w:rsidP="00AD3DF2">
      <w:pPr>
        <w:jc w:val="both"/>
      </w:pPr>
    </w:p>
    <w:p w14:paraId="53761007" w14:textId="77777777" w:rsidR="000C7042" w:rsidRPr="00AD3DF2" w:rsidRDefault="000C7042" w:rsidP="00AD3DF2">
      <w:pPr>
        <w:jc w:val="both"/>
      </w:pPr>
    </w:p>
    <w:p w14:paraId="7351B747" w14:textId="77777777" w:rsidR="000C7042" w:rsidRPr="00AD3DF2" w:rsidRDefault="000C7042" w:rsidP="00AD3DF2">
      <w:pPr>
        <w:jc w:val="both"/>
      </w:pPr>
    </w:p>
    <w:p w14:paraId="20F11DB9" w14:textId="77777777" w:rsidR="000C7042" w:rsidRPr="00AD3DF2" w:rsidRDefault="000C7042" w:rsidP="00AD3DF2">
      <w:pPr>
        <w:jc w:val="both"/>
      </w:pPr>
    </w:p>
    <w:p w14:paraId="5D0E10A8" w14:textId="77777777" w:rsidR="000C7042" w:rsidRPr="00AD3DF2" w:rsidRDefault="000C7042" w:rsidP="00AD3DF2">
      <w:pPr>
        <w:jc w:val="both"/>
      </w:pPr>
    </w:p>
    <w:p w14:paraId="7FA1DDAF" w14:textId="77777777" w:rsidR="000C7042" w:rsidRPr="00AD3DF2" w:rsidRDefault="000C7042" w:rsidP="00AD3DF2">
      <w:pPr>
        <w:jc w:val="both"/>
      </w:pPr>
    </w:p>
    <w:p w14:paraId="7FC28EE9" w14:textId="77777777" w:rsidR="000C7042" w:rsidRPr="00AD3DF2" w:rsidRDefault="000C7042" w:rsidP="00AD3DF2">
      <w:pPr>
        <w:jc w:val="both"/>
      </w:pPr>
    </w:p>
    <w:p w14:paraId="65F18916" w14:textId="77777777" w:rsidR="000C7042" w:rsidRPr="00AD3DF2" w:rsidRDefault="000C7042" w:rsidP="00AD3DF2">
      <w:pPr>
        <w:jc w:val="both"/>
      </w:pPr>
    </w:p>
    <w:p w14:paraId="7E250859" w14:textId="77777777" w:rsidR="000C7042" w:rsidRPr="00AD3DF2" w:rsidRDefault="000C7042" w:rsidP="00AD3DF2">
      <w:pPr>
        <w:jc w:val="both"/>
      </w:pPr>
    </w:p>
    <w:p w14:paraId="6DBE4C18" w14:textId="77777777" w:rsidR="000C7042" w:rsidRPr="00AD3DF2" w:rsidRDefault="000C7042" w:rsidP="00AD3DF2">
      <w:pPr>
        <w:jc w:val="both"/>
      </w:pPr>
    </w:p>
    <w:p w14:paraId="387A2809" w14:textId="77777777" w:rsidR="000C7042" w:rsidRPr="00AD3DF2" w:rsidRDefault="000C7042" w:rsidP="00AD3DF2">
      <w:pPr>
        <w:jc w:val="both"/>
      </w:pPr>
    </w:p>
    <w:p w14:paraId="415EA9BA" w14:textId="77777777" w:rsidR="000C7042" w:rsidRPr="00AD3DF2" w:rsidRDefault="000C7042" w:rsidP="00AD3DF2">
      <w:pPr>
        <w:jc w:val="both"/>
      </w:pPr>
    </w:p>
    <w:p w14:paraId="67A210D8" w14:textId="77777777" w:rsidR="008D4B84" w:rsidRPr="00AD3DF2" w:rsidRDefault="008D4B84" w:rsidP="00AD3DF2">
      <w:pPr>
        <w:jc w:val="both"/>
        <w:sectPr w:rsidR="008D4B84" w:rsidRPr="00AD3DF2" w:rsidSect="0094722F">
          <w:pgSz w:w="12240" w:h="15840"/>
          <w:pgMar w:top="1440" w:right="1440" w:bottom="1440" w:left="1440" w:header="720" w:footer="720" w:gutter="0"/>
          <w:pgNumType w:fmt="upperRoman" w:start="1"/>
          <w:cols w:space="720"/>
          <w:titlePg/>
          <w:docGrid w:linePitch="360"/>
        </w:sectPr>
      </w:pPr>
    </w:p>
    <w:p w14:paraId="4F6D2B39" w14:textId="77777777" w:rsidR="00EF6A87" w:rsidRPr="00671FBB" w:rsidRDefault="008265CA" w:rsidP="008E7ABC">
      <w:pPr>
        <w:pStyle w:val="Heading1"/>
        <w:spacing w:before="120" w:after="120" w:line="360" w:lineRule="auto"/>
        <w:rPr>
          <w:rStyle w:val="extn-css-0"/>
          <w:rFonts w:ascii="Arial" w:hAnsi="Arial" w:cs="Arial"/>
          <w:bCs w:val="0"/>
          <w:color w:val="000000" w:themeColor="text1"/>
          <w:sz w:val="22"/>
          <w:szCs w:val="22"/>
        </w:rPr>
      </w:pPr>
      <w:bookmarkStart w:id="0" w:name="_Toc216414043"/>
      <w:r w:rsidRPr="00671FBB">
        <w:rPr>
          <w:rStyle w:val="FooterChar"/>
          <w:rFonts w:ascii="Arial" w:hAnsi="Arial" w:cs="Arial"/>
          <w:bCs w:val="0"/>
          <w:color w:val="000000" w:themeColor="text1"/>
          <w:sz w:val="22"/>
          <w:szCs w:val="22"/>
        </w:rPr>
        <w:lastRenderedPageBreak/>
        <w:t>1</w:t>
      </w:r>
      <w:proofErr w:type="gramStart"/>
      <w:r w:rsidRPr="00671FBB">
        <w:rPr>
          <w:rStyle w:val="FooterChar"/>
          <w:rFonts w:ascii="Arial" w:hAnsi="Arial" w:cs="Arial"/>
          <w:bCs w:val="0"/>
          <w:color w:val="000000" w:themeColor="text1"/>
          <w:sz w:val="22"/>
          <w:szCs w:val="22"/>
        </w:rPr>
        <w:t>.  </w:t>
      </w:r>
      <w:r w:rsidR="00EF6A87" w:rsidRPr="00671FBB">
        <w:rPr>
          <w:rStyle w:val="extn-css-0"/>
          <w:rFonts w:ascii="Arial" w:hAnsi="Arial" w:cs="Arial"/>
          <w:bCs w:val="0"/>
          <w:color w:val="000000" w:themeColor="text1"/>
          <w:sz w:val="22"/>
          <w:szCs w:val="22"/>
        </w:rPr>
        <w:t>Introduction</w:t>
      </w:r>
      <w:bookmarkEnd w:id="0"/>
      <w:proofErr w:type="gramEnd"/>
    </w:p>
    <w:p w14:paraId="2A20141B"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Promoting respect, dignity, and individuality is at the heart of person-centered health and social care. Instead of treating persons receiving support as passive users of services, a person-centered approach acknowledges that they are autonomous individuals whose choices, histories, and lived experiences should lead decision-making (SCIE, 2022). This viewpoint emphasizes how each individual has distinct objectives, values, and preferences that should influence their care. Additionally, it encourages practitioners to perceive people holistically, taking into account their physical, emotional, social, and cultural needs, and aims to guarantee active participation in planning (NHS England, 2023). By doing this, practitioners are more equipped to foster a person's ownership of their care journey, increase choice, and establish cooperative, trustworthy relationships that result in better experiences and outcomes.</w:t>
      </w:r>
    </w:p>
    <w:p w14:paraId="2BB026F4"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 xml:space="preserve"> These ideas are firmly supported by the ethics of care theoretical framework in contrast to conventional rule-based or utilitarian ethics. It emphasizes that moral life is focused on connections, empathy, and responsiveness (Held, 2006). It questions presumptions that portray people as solitary rational actors and has its roots in feminist philosophy of the 1980s. Scholars like Gilligan (1982) and </w:t>
      </w:r>
      <w:proofErr w:type="spellStart"/>
      <w:r w:rsidRPr="00AD3DF2">
        <w:rPr>
          <w:rStyle w:val="extn-css-0"/>
          <w:rFonts w:ascii="Arial" w:hAnsi="Arial" w:cs="Arial"/>
          <w:color w:val="000000" w:themeColor="text1"/>
          <w:sz w:val="20"/>
          <w:szCs w:val="20"/>
        </w:rPr>
        <w:t>Noddings</w:t>
      </w:r>
      <w:proofErr w:type="spellEnd"/>
      <w:r w:rsidRPr="00AD3DF2">
        <w:rPr>
          <w:rStyle w:val="extn-css-0"/>
          <w:rFonts w:ascii="Arial" w:hAnsi="Arial" w:cs="Arial"/>
          <w:color w:val="000000" w:themeColor="text1"/>
          <w:sz w:val="20"/>
          <w:szCs w:val="20"/>
        </w:rPr>
        <w:t xml:space="preserve"> (1984) contend that societal obligations and relationships develop people's innate relationality and interdependence. In actuality, this paradigm enables health and social care professionals to actively listen, recognize emotions, react tactfully, and identify both strengths and vulnerabilities.</w:t>
      </w:r>
    </w:p>
    <w:p w14:paraId="1FD31BA2"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 xml:space="preserve"> This method is important because it replaces detached professionalism with compassion, relational awareness, and true human connection in ethical reasoning. It emphasizes that meaningful relationships based on empathy and respect rather than just processes or efficiency are what define high-quality care (</w:t>
      </w:r>
      <w:proofErr w:type="spellStart"/>
      <w:r w:rsidRPr="00AD3DF2">
        <w:rPr>
          <w:rStyle w:val="extn-css-0"/>
          <w:rFonts w:ascii="Arial" w:hAnsi="Arial" w:cs="Arial"/>
          <w:color w:val="000000" w:themeColor="text1"/>
          <w:sz w:val="20"/>
          <w:szCs w:val="20"/>
        </w:rPr>
        <w:t>Tronto</w:t>
      </w:r>
      <w:proofErr w:type="spellEnd"/>
      <w:r w:rsidRPr="00AD3DF2">
        <w:rPr>
          <w:rStyle w:val="extn-css-0"/>
          <w:rFonts w:ascii="Arial" w:hAnsi="Arial" w:cs="Arial"/>
          <w:color w:val="000000" w:themeColor="text1"/>
          <w:sz w:val="20"/>
          <w:szCs w:val="20"/>
        </w:rPr>
        <w:t>, 1993). This essay analyzes the evolution of the ethics of care and considers its place in current UK health and social care policy and practice. Identifies obstacles and offers evidence-based suggestions for enhancing person-centered methods, all of which require an understanding of these underpinnings.</w:t>
      </w:r>
    </w:p>
    <w:p w14:paraId="00D7EA26" w14:textId="77777777" w:rsidR="00EF6A87" w:rsidRPr="00671FBB" w:rsidRDefault="00EF6A87" w:rsidP="001D1C00">
      <w:pPr>
        <w:pStyle w:val="Heading1"/>
        <w:spacing w:before="120" w:after="120" w:line="360" w:lineRule="auto"/>
        <w:rPr>
          <w:rStyle w:val="FooterChar"/>
          <w:rFonts w:ascii="Arial" w:hAnsi="Arial" w:cs="Arial"/>
          <w:bCs w:val="0"/>
          <w:color w:val="000000" w:themeColor="text1"/>
          <w:sz w:val="22"/>
          <w:szCs w:val="22"/>
        </w:rPr>
      </w:pPr>
      <w:bookmarkStart w:id="1" w:name="_Toc216414044"/>
      <w:r w:rsidRPr="00671FBB">
        <w:rPr>
          <w:rStyle w:val="FooterChar"/>
          <w:rFonts w:ascii="Arial" w:hAnsi="Arial" w:cs="Arial"/>
          <w:bCs w:val="0"/>
          <w:color w:val="000000" w:themeColor="text1"/>
          <w:sz w:val="22"/>
          <w:szCs w:val="22"/>
        </w:rPr>
        <w:t>2. The Development of the Ethics of Care</w:t>
      </w:r>
      <w:bookmarkEnd w:id="1"/>
    </w:p>
    <w:p w14:paraId="763E748A"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The prevailing Western moral theories, which have historically focused on justice, autonomy, and unbiased laws, were criticized by the ethics of care. By claiming that theories like Kohlberg's stages of moral development favored justice-based reasoning while ignoring moral perspectives based on empathy, relationships, and responsibility, Carol Gilligan's seminal work In a Different Voice (1982) contested the universality of these frameworks. According to Gilligan (1982), these relational methods of thinking were not inferior; rather, they reflected a different moral voice that was fashioned by contextual sensitivity and connection. According to her study, especially on women's moral reasoning, people frequently base their moral judgments on reciprocity, caring, and the welfare of others. This suggests that care-oriented thinking is equally valid and essential to human morality.</w:t>
      </w:r>
    </w:p>
    <w:p w14:paraId="5509CFF0"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 xml:space="preserve"> Nel </w:t>
      </w:r>
      <w:proofErr w:type="spellStart"/>
      <w:r w:rsidRPr="00AD3DF2">
        <w:rPr>
          <w:rStyle w:val="extn-css-0"/>
          <w:rFonts w:ascii="Arial" w:hAnsi="Arial" w:cs="Arial"/>
          <w:color w:val="000000" w:themeColor="text1"/>
          <w:sz w:val="20"/>
          <w:szCs w:val="20"/>
        </w:rPr>
        <w:t>Noddings</w:t>
      </w:r>
      <w:proofErr w:type="spellEnd"/>
      <w:r w:rsidRPr="00AD3DF2">
        <w:rPr>
          <w:rStyle w:val="extn-css-0"/>
          <w:rFonts w:ascii="Arial" w:hAnsi="Arial" w:cs="Arial"/>
          <w:color w:val="000000" w:themeColor="text1"/>
          <w:sz w:val="20"/>
          <w:szCs w:val="20"/>
        </w:rPr>
        <w:t xml:space="preserve"> (1984) expanded on Gilligan's ideas by emphasizing the importance of caring relationships in an ethical life. She maintained that when someone acknowledges the vulnerability of another and </w:t>
      </w:r>
      <w:r w:rsidRPr="00AD3DF2">
        <w:rPr>
          <w:rStyle w:val="extn-css-0"/>
          <w:rFonts w:ascii="Arial" w:hAnsi="Arial" w:cs="Arial"/>
          <w:color w:val="000000" w:themeColor="text1"/>
          <w:sz w:val="20"/>
          <w:szCs w:val="20"/>
        </w:rPr>
        <w:lastRenderedPageBreak/>
        <w:t xml:space="preserve">reacts with consideration, empathy, dedication, and reciprocity, ethical behavior emerges. </w:t>
      </w:r>
      <w:proofErr w:type="spellStart"/>
      <w:r w:rsidRPr="00AD3DF2">
        <w:rPr>
          <w:rStyle w:val="extn-css-0"/>
          <w:rFonts w:ascii="Arial" w:hAnsi="Arial" w:cs="Arial"/>
          <w:color w:val="000000" w:themeColor="text1"/>
          <w:sz w:val="20"/>
          <w:szCs w:val="20"/>
        </w:rPr>
        <w:t>Noddings</w:t>
      </w:r>
      <w:proofErr w:type="spellEnd"/>
      <w:r w:rsidRPr="00AD3DF2">
        <w:rPr>
          <w:rStyle w:val="extn-css-0"/>
          <w:rFonts w:ascii="Arial" w:hAnsi="Arial" w:cs="Arial"/>
          <w:color w:val="000000" w:themeColor="text1"/>
          <w:sz w:val="20"/>
          <w:szCs w:val="20"/>
        </w:rPr>
        <w:t xml:space="preserve"> (1984) asserts that caring is an active, context-dependent activity that develops inside actual human connections rather than an abstract, universal guideline. This viewpoint emphasizes that moral action happens via tangible interactions in which people respond to the needs of others with compassion and relational awareness, rejecting detached, rationalistic approaches to ethics.</w:t>
      </w:r>
    </w:p>
    <w:p w14:paraId="747B0EAA"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 xml:space="preserve">Later researchers contributed to the ongoing development of the ethics of care. Joan Tronto (1993) added political, economic, and institutional aspects to the theory, extending it beyond interpersonal connections. Caring about, taking care of, caregiving, receiving care, and caring with are the five interrelated phases of care that </w:t>
      </w:r>
      <w:proofErr w:type="spellStart"/>
      <w:r w:rsidRPr="00AD3DF2">
        <w:rPr>
          <w:rStyle w:val="extn-css-0"/>
          <w:rFonts w:ascii="Arial" w:hAnsi="Arial" w:cs="Arial"/>
          <w:color w:val="000000" w:themeColor="text1"/>
          <w:sz w:val="20"/>
          <w:szCs w:val="20"/>
        </w:rPr>
        <w:t>Tronto</w:t>
      </w:r>
      <w:proofErr w:type="spellEnd"/>
      <w:r w:rsidRPr="00AD3DF2">
        <w:rPr>
          <w:rStyle w:val="extn-css-0"/>
          <w:rFonts w:ascii="Arial" w:hAnsi="Arial" w:cs="Arial"/>
          <w:color w:val="000000" w:themeColor="text1"/>
          <w:sz w:val="20"/>
          <w:szCs w:val="20"/>
        </w:rPr>
        <w:t xml:space="preserve"> described, demonstrating that care is a complicated, continuous activity ingrained in larger social structures. Her work brought attention to concerns of power, injustice, and the distribution of caring obligations throughout society, redefining care as a moral and political endeavor. Additionally, </w:t>
      </w:r>
      <w:proofErr w:type="spellStart"/>
      <w:r w:rsidRPr="00AD3DF2">
        <w:rPr>
          <w:rStyle w:val="extn-css-0"/>
          <w:rFonts w:ascii="Arial" w:hAnsi="Arial" w:cs="Arial"/>
          <w:color w:val="000000" w:themeColor="text1"/>
          <w:sz w:val="20"/>
          <w:szCs w:val="20"/>
        </w:rPr>
        <w:t>Tronto</w:t>
      </w:r>
      <w:proofErr w:type="spellEnd"/>
      <w:r w:rsidRPr="00AD3DF2">
        <w:rPr>
          <w:rStyle w:val="extn-css-0"/>
          <w:rFonts w:ascii="Arial" w:hAnsi="Arial" w:cs="Arial"/>
          <w:color w:val="000000" w:themeColor="text1"/>
          <w:sz w:val="20"/>
          <w:szCs w:val="20"/>
        </w:rPr>
        <w:t xml:space="preserve"> (1993) contended that care necessitates expertise, responsiveness, and integrity, highlighting its applicability in professional settings like social and health care.</w:t>
      </w:r>
    </w:p>
    <w:p w14:paraId="2FEE7FDA"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By arguing that care is not just a personal virtue but also a basis for social justice, democratic engagement, and civic life, Virginia Held (2006) expanded the concept of care ethics. According to Held (2006), care needs to be seen as a fundamental moral principle that directs organizations, laws, and public services. Care ethics provides a more realistic understanding of human fragility, dependency, and social connection by acknowledging human interdependence and challenging individualistic assumptions found in many classic systems.</w:t>
      </w:r>
    </w:p>
    <w:p w14:paraId="6BAB9DD7"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The ethics of care has been criticized in a number of ways despite its impact. According to some academics, it is extremely subjective and lacks clear guidelines for making decisions, which could lead to inconsistent or overly emotional behavior (Held, 2006). In health and social care contexts, where emotional intimacy must be balanced with safeguarding and ethical behavior, concerns have also been expressed that a relational focus could obfuscate professional boundaries. According to early detractors, identifying women with caregiving responsibilities runs the risk of perpetuating old gender stereotypes (</w:t>
      </w:r>
      <w:proofErr w:type="spellStart"/>
      <w:r w:rsidRPr="00AD3DF2">
        <w:rPr>
          <w:rStyle w:val="extn-css-0"/>
          <w:rFonts w:ascii="Arial" w:hAnsi="Arial" w:cs="Arial"/>
          <w:color w:val="000000" w:themeColor="text1"/>
          <w:sz w:val="20"/>
          <w:szCs w:val="20"/>
        </w:rPr>
        <w:t>Tronto</w:t>
      </w:r>
      <w:proofErr w:type="spellEnd"/>
      <w:r w:rsidRPr="00AD3DF2">
        <w:rPr>
          <w:rStyle w:val="extn-css-0"/>
          <w:rFonts w:ascii="Arial" w:hAnsi="Arial" w:cs="Arial"/>
          <w:color w:val="000000" w:themeColor="text1"/>
          <w:sz w:val="20"/>
          <w:szCs w:val="20"/>
        </w:rPr>
        <w:t>, 1993). Later theorists, however, argue that both men and women engage in caring interactions and that care is a universal human value. Modern interpretations place a strong emphasis on responsible, thoughtful, and competent care that is consistent with equity ideals and professional standards (Held, 2006).</w:t>
      </w:r>
    </w:p>
    <w:p w14:paraId="31D34488"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The ethics of care are now generally acknowledged in the practice and education of health and social care. It offers a precise conceptual vocabulary for expressing moral dimensions of care that are difficult for clinical or administrative frameworks to convey, like compassion, dignity, attentiveness, trust, and relational comprehension. Its adherence to UK person-centered care policy, which includes the NHS Constitution's tenets (NHS, 2015), shows its ongoing significance in forming human-centered, compassionate, and responsive care throughout contemporary care settings.</w:t>
      </w:r>
    </w:p>
    <w:p w14:paraId="10F8DFF7" w14:textId="77777777" w:rsidR="00EF6A87" w:rsidRPr="001D1C00" w:rsidRDefault="00EF6A87" w:rsidP="001D1C00">
      <w:pPr>
        <w:pStyle w:val="Heading1"/>
        <w:spacing w:before="120" w:after="120" w:line="360" w:lineRule="auto"/>
        <w:rPr>
          <w:rStyle w:val="FooterChar"/>
          <w:rFonts w:ascii="Arial" w:hAnsi="Arial" w:cs="Arial"/>
          <w:b w:val="0"/>
          <w:color w:val="000000" w:themeColor="text1"/>
          <w:sz w:val="22"/>
          <w:szCs w:val="22"/>
        </w:rPr>
      </w:pPr>
      <w:bookmarkStart w:id="2" w:name="_Toc216414045"/>
      <w:r w:rsidRPr="001D1C00">
        <w:rPr>
          <w:rStyle w:val="FooterChar"/>
          <w:rFonts w:ascii="Arial" w:hAnsi="Arial" w:cs="Arial"/>
          <w:b w:val="0"/>
          <w:color w:val="000000" w:themeColor="text1"/>
          <w:sz w:val="22"/>
          <w:szCs w:val="22"/>
        </w:rPr>
        <w:lastRenderedPageBreak/>
        <w:t>3</w:t>
      </w:r>
      <w:r w:rsidRPr="00671FBB">
        <w:rPr>
          <w:rStyle w:val="FooterChar"/>
          <w:rFonts w:ascii="Arial" w:hAnsi="Arial" w:cs="Arial"/>
          <w:bCs w:val="0"/>
          <w:color w:val="000000" w:themeColor="text1"/>
          <w:sz w:val="22"/>
          <w:szCs w:val="22"/>
        </w:rPr>
        <w:t>. Application of the Ethics of Care in Health and Social Care Policy and Practice</w:t>
      </w:r>
      <w:bookmarkEnd w:id="2"/>
    </w:p>
    <w:p w14:paraId="36B4AFF1"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By incorporating moral concepts into professional standards, policy, and daily practice, the ethics of care plays a crucial role in developing health and social care systems in the United Kingdom. It goes beyond procedural or rule-based approaches by highlighting the significance of relational knowledge, empathy, and responsiveness in all facets of care. This influence is best illustrated by the Care Act of 2014, which centers care delivery on individual well-being, independence, and active involvement. By encouraging professionals to use methods that are sensitive, flexible, and customized to each service user's particular needs and circumstances, the law promotes moral, person-centered practice (Care Act, 2014). Comparably, the NHS Constitution delineates fundamental principles such as empathy, dignity, enhancing lives, and cooperation, which give clinical and administrative decision-making a solid ethical basis and operationalize relational responsibility (NHS Constitution, 2015). By highlighting these principles, UK policy strongly corresponds with care ethics, showing that attentiveness, responsiveness, and mutual respect—rather than just abstract or procedural rules—are the foundation of high-quality care.</w:t>
      </w:r>
    </w:p>
    <w:p w14:paraId="4CCE86A5"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Care-ethical ideas are becoming more and more reflected in contemporary professional practices. Relational involvement is prioritized, and service users' autonomy is supported via person-centered planning, collaborative decision-making, trauma-informed practice, and strengths-based approaches. These models challenge paternalistic presumptions and encourage meaningful engagement in care decisions by acknowledging persons as entrenched within social networks, histories, and complicated life experiences (SCIE, 2022). In order to ensure that interventions are both successful and morally sound, practitioners are urged to pay close attention, comprehend human narratives, and collaborate on creating care plans that represent individual priorities.</w:t>
      </w:r>
    </w:p>
    <w:p w14:paraId="2A103678"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Care ethics are demonstrated in clinical settings when nurses, physicians, and other allied health professionals take the time to learn about a patient's life story, communicate effectively, encourage informed decision-making, and maintain dignity despite resource constraints (NHS England, 2023). Small but important actions that show attentiveness, sensitivity, and social engagement include keeping eye contact, clarifying processes, tailoring treatment to cultural preferences, and identifying emotional reactions. In the end, these procedures improve therapy relationships, validate experiences, and promote trust, all of which improve patient satisfaction and outcomes (CQC, 2023).</w:t>
      </w:r>
    </w:p>
    <w:p w14:paraId="4B065ADB"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Care ethics serves as the foundation for family support, safeguarding, and collaborative care planning in social work. Practitioners must strike a balance between protection and autonomy, using caution and contextual awareness while upholding professional boundaries and developing relationships of trust with those who are vulnerable. SCIE (2022) and NHS Safeguarding (2023). Care ethics ensures that interventions are both morally and practically sound by guiding professionals to behave with empathy, responsiveness, and integrity in complicated, high-stakes circumstances.</w:t>
      </w:r>
    </w:p>
    <w:p w14:paraId="4DD8656A"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 xml:space="preserve">Integrating care ethics into practice and policy has many advantages. These include enhanced professional collaboration that promotes empathy and lessens workplace conflict; a comprehensive </w:t>
      </w:r>
      <w:r w:rsidRPr="00AD3DF2">
        <w:rPr>
          <w:rStyle w:val="extn-css-0"/>
          <w:rFonts w:ascii="Arial" w:hAnsi="Arial" w:cs="Arial"/>
          <w:color w:val="000000" w:themeColor="text1"/>
          <w:sz w:val="20"/>
          <w:szCs w:val="20"/>
        </w:rPr>
        <w:lastRenderedPageBreak/>
        <w:t>understanding of social, psychological, and cultural factors; empowerment through shared decision-making in accordance with legal frameworks like the Mental Capacity Act 2005; and strengthened relational trust (NHS England, 2023; SCIE, 2022; King's Fund, 2020).</w:t>
      </w:r>
    </w:p>
    <w:p w14:paraId="01B775E5"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Still, there are obstacles. Opportunities for meaningful relationship involvement may be limited by institutional factors such as performance-driven cultures, personnel shortages, and excessive caseloads (CQC, 2023). If not sufficiently supported, ongoing empathic engagement can potentially result in emotional strain, burnout, or compassion fatigue (NHS England, 2023). Teams with power disparities may find it difficult to collaborate, so practitioners must continue to be self-aware and reflective (</w:t>
      </w:r>
      <w:proofErr w:type="spellStart"/>
      <w:r w:rsidRPr="00AD3DF2">
        <w:rPr>
          <w:rStyle w:val="extn-css-0"/>
          <w:rFonts w:ascii="Arial" w:hAnsi="Arial" w:cs="Arial"/>
          <w:color w:val="000000" w:themeColor="text1"/>
          <w:sz w:val="20"/>
          <w:szCs w:val="20"/>
        </w:rPr>
        <w:t>Tronto</w:t>
      </w:r>
      <w:proofErr w:type="spellEnd"/>
      <w:r w:rsidRPr="00AD3DF2">
        <w:rPr>
          <w:rStyle w:val="extn-css-0"/>
          <w:rFonts w:ascii="Arial" w:hAnsi="Arial" w:cs="Arial"/>
          <w:color w:val="000000" w:themeColor="text1"/>
          <w:sz w:val="20"/>
          <w:szCs w:val="20"/>
        </w:rPr>
        <w:t>, 1993). Cultural variety increases complexity and necessitates cultural humility to prevent presumptions and guarantee fair treatment (SCIE, 2022). Care-ethical workplaces that enable sustainable relational practice by offering reflective supervision, reasonable workloads, and continual professional development boost employee morale, happiness, and retention (King's Fund, 2020).</w:t>
      </w:r>
    </w:p>
    <w:p w14:paraId="76327242"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To sum up, the ethics of care provides a useful, interpersonal, and morally sound framework for providing high-quality health and social services. At the individual and organizational levels, its tenets uphold dignity, trust, empowerment, and comprehensive understanding. Achieving compassionate, person-centered, and efficient care in modern UK health and social care settings requires integrating care-ethical concepts into policy, practice, and workplace culture—despite persistent obstacles.</w:t>
      </w:r>
    </w:p>
    <w:p w14:paraId="0856444B" w14:textId="77777777" w:rsidR="00EF6A87" w:rsidRPr="00671FBB" w:rsidRDefault="00EF6A87" w:rsidP="001D1C00">
      <w:pPr>
        <w:pStyle w:val="Heading1"/>
        <w:spacing w:before="120" w:after="120" w:line="360" w:lineRule="auto"/>
        <w:rPr>
          <w:rStyle w:val="FooterChar"/>
          <w:rFonts w:ascii="Arial" w:hAnsi="Arial" w:cs="Arial"/>
          <w:bCs w:val="0"/>
          <w:color w:val="000000" w:themeColor="text1"/>
          <w:sz w:val="22"/>
          <w:szCs w:val="22"/>
        </w:rPr>
      </w:pPr>
      <w:bookmarkStart w:id="3" w:name="_Toc216414046"/>
      <w:r w:rsidRPr="00671FBB">
        <w:rPr>
          <w:rStyle w:val="FooterChar"/>
          <w:rFonts w:ascii="Arial" w:hAnsi="Arial" w:cs="Arial"/>
          <w:bCs w:val="0"/>
          <w:color w:val="000000" w:themeColor="text1"/>
          <w:sz w:val="22"/>
          <w:szCs w:val="22"/>
        </w:rPr>
        <w:t>4. Recommendations for Health and Social Care Policy and Practice</w:t>
      </w:r>
      <w:bookmarkEnd w:id="3"/>
    </w:p>
    <w:p w14:paraId="7086B474"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Strengthening the ethics of care across health and social care systems requires an all-encompassing approach that guarantees relational, compassionate, and person-centered approaches are constantly integrated at every level of practice.</w:t>
      </w:r>
    </w:p>
    <w:p w14:paraId="7AC5C3B8"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Boost professional education and oversight.</w:t>
      </w:r>
    </w:p>
    <w:p w14:paraId="0FF2542C"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Strong professional training and oversight are essential components. In order to help practitioners comprehend the moral implications of their job, training programs should specifically incorporate care ethics into their curricula through case studies, reflective practice, and experiential learning (HEE, 2023). By incorporating care ethics into education, professionals are guaranteed to acquire not only clinical or procedural abilities but also a comprehension of relational responsibility, empathy, and attentiveness. Frequent supervision is equally crucial because it gives practitioners a place to deal with emotional difficulties, consider moral conundrums, and create boundary-management techniques. Supervision fosters resilience, averts burnout, and improves the standard of care by offering continuous assistance.</w:t>
      </w:r>
    </w:p>
    <w:p w14:paraId="5E93C5DE"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Foster compassionate organizational cultures.</w:t>
      </w:r>
    </w:p>
    <w:p w14:paraId="661AC417"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 xml:space="preserve">Maintaining care-ethical practices depends heavily on organizational culture. Relationship values should be modeled by leadership, who should make decisions with empathy, decency, and ethical consideration. Systems for staff development and appraisal should assess not only technical proficiency but also teamwork, emotional intelligence, communication skills, and the capacity to interact sympathetically with </w:t>
      </w:r>
      <w:r w:rsidRPr="00AD3DF2">
        <w:rPr>
          <w:rStyle w:val="extn-css-0"/>
          <w:rFonts w:ascii="Arial" w:hAnsi="Arial" w:cs="Arial"/>
          <w:color w:val="000000" w:themeColor="text1"/>
          <w:sz w:val="20"/>
          <w:szCs w:val="20"/>
        </w:rPr>
        <w:lastRenderedPageBreak/>
        <w:t>coworkers and service consumers (Skills for Care, 2023). Organizational reinforcement of relational values fosters an environment where moral, person-centered care is valued, encouraged, and rewarded.</w:t>
      </w:r>
    </w:p>
    <w:p w14:paraId="2BE19C85"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Boost cooperation and co-production.</w:t>
      </w:r>
    </w:p>
    <w:p w14:paraId="093E5EF4"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Engaging service users and carers in meaningful ways is also necessary to strengthen care ethics. Through advisory groups, feedback forums, and consultation panels, co-production in service design guarantees that care systems represent the interests, values, and lived experiences of individuals receiving support (SCIE, 2022). Sincere cooperation builds trust in the delivery of care, empowers service users, and validates their viewpoints.</w:t>
      </w:r>
    </w:p>
    <w:p w14:paraId="38CD78CE"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Resolve workload pressures and structural injustices.</w:t>
      </w:r>
    </w:p>
    <w:p w14:paraId="3DA03939"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Relational care may be compromised by structural and systemic problems such as staffing shortages, unequal compensation, and unmanageable workloads. In order to give practitioners the time and ability to interact with service users in an ethical and attentive manner, it is essential to have sufficient staffing levels and manageable caseloads (NHS England, 2023).</w:t>
      </w:r>
    </w:p>
    <w:p w14:paraId="46C01700"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Keep professionalism and empathy in check.</w:t>
      </w:r>
    </w:p>
    <w:p w14:paraId="523F25ED"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Lastly, practitioners can sustain compassion and relational involvement without fatigue by receiving training in resilience, mindfulness, and emotional awareness (King's Fund, 2020). Health and social care systems can incorporate the ethics of care as a long-lasting, useful, and ethically sound framework for providing high-quality services by combining organizational support, professional development, and reflective practice.</w:t>
      </w:r>
    </w:p>
    <w:p w14:paraId="5B9EE783" w14:textId="77777777" w:rsidR="00EF6A87" w:rsidRPr="00671FBB" w:rsidRDefault="00EF6A87" w:rsidP="001D1C00">
      <w:pPr>
        <w:pStyle w:val="Heading1"/>
        <w:spacing w:before="120" w:after="120" w:line="360" w:lineRule="auto"/>
        <w:rPr>
          <w:rStyle w:val="FooterChar"/>
          <w:rFonts w:ascii="Arial" w:hAnsi="Arial" w:cs="Arial"/>
          <w:bCs w:val="0"/>
          <w:color w:val="000000" w:themeColor="text1"/>
          <w:sz w:val="22"/>
          <w:szCs w:val="22"/>
        </w:rPr>
      </w:pPr>
      <w:bookmarkStart w:id="4" w:name="_Toc216414047"/>
      <w:r w:rsidRPr="00671FBB">
        <w:rPr>
          <w:rStyle w:val="FooterChar"/>
          <w:rFonts w:ascii="Arial" w:hAnsi="Arial" w:cs="Arial"/>
          <w:bCs w:val="0"/>
          <w:color w:val="000000" w:themeColor="text1"/>
          <w:sz w:val="22"/>
          <w:szCs w:val="22"/>
        </w:rPr>
        <w:t>5. Conclusion</w:t>
      </w:r>
      <w:bookmarkEnd w:id="4"/>
    </w:p>
    <w:p w14:paraId="7A247470" w14:textId="77777777" w:rsidR="00EF6A87" w:rsidRPr="00AD3DF2" w:rsidRDefault="00EF6A87" w:rsidP="00AD3DF2">
      <w:pPr>
        <w:spacing w:before="120" w:after="120" w:line="360" w:lineRule="auto"/>
        <w:jc w:val="both"/>
        <w:rPr>
          <w:rStyle w:val="extn-css-0"/>
          <w:rFonts w:ascii="Arial" w:hAnsi="Arial" w:cs="Arial"/>
          <w:color w:val="000000" w:themeColor="text1"/>
          <w:sz w:val="20"/>
          <w:szCs w:val="20"/>
        </w:rPr>
      </w:pPr>
      <w:r w:rsidRPr="00AD3DF2">
        <w:rPr>
          <w:rStyle w:val="extn-css-0"/>
          <w:rFonts w:ascii="Arial" w:hAnsi="Arial" w:cs="Arial"/>
          <w:color w:val="000000" w:themeColor="text1"/>
          <w:sz w:val="20"/>
          <w:szCs w:val="20"/>
        </w:rPr>
        <w:t>By highlighting empathy, responsiveness, and relational knowledge as essential components of ethical behavior, the ethics of care offers a solid and long-lasting framework for person-centered health and social care. The framework has evolved into a universal approach that acknowledges the significance of dignity, compassion, and human connection in all encounters between practitioners and service users, despite its roots in feminist thought (Gilligan, 1982; Held, 2006). Care ethics encourages practitioners to actively listen, respond compassionately, and recognize each person's uniqueness by emphasizing connections rather than just rules or procedures. This improves the moral and practical quality of care.</w:t>
      </w:r>
    </w:p>
    <w:p w14:paraId="6393E372" w14:textId="77777777" w:rsidR="00B87D29" w:rsidRPr="00AD3DF2" w:rsidRDefault="00EF6A87" w:rsidP="00AD3DF2">
      <w:pPr>
        <w:spacing w:before="120" w:after="120" w:line="360" w:lineRule="auto"/>
        <w:jc w:val="both"/>
        <w:rPr>
          <w:rStyle w:val="extn-css-0"/>
          <w:rFonts w:ascii="Arial" w:hAnsi="Arial" w:cs="Arial"/>
          <w:sz w:val="20"/>
          <w:szCs w:val="20"/>
        </w:rPr>
      </w:pPr>
      <w:r w:rsidRPr="00AD3DF2">
        <w:rPr>
          <w:rStyle w:val="extn-css-0"/>
          <w:rFonts w:ascii="Arial" w:hAnsi="Arial" w:cs="Arial"/>
          <w:color w:val="000000" w:themeColor="text1"/>
          <w:sz w:val="20"/>
          <w:szCs w:val="20"/>
        </w:rPr>
        <w:t>Its tenets are in line with UK policy frameworks that place a high priority on well-being, autonomy, and participatory involvement, such as the NHS Constitution and the Care Act of 2014. Targeted training, encouraging leadership, and organizational cultures that prioritize relational practice can fully embed care principles, making health and social care more compassionate, efficient, and humane—despite ongoing obstacles like heavy workloads, time constraints, and emotional strain.</w:t>
      </w:r>
      <w:r w:rsidR="008265CA" w:rsidRPr="00AD3DF2">
        <w:rPr>
          <w:rStyle w:val="extn-css-0"/>
          <w:rFonts w:ascii="Arial" w:hAnsi="Arial" w:cs="Arial"/>
          <w:b/>
          <w:color w:val="000000" w:themeColor="text1"/>
          <w:sz w:val="20"/>
          <w:szCs w:val="20"/>
        </w:rPr>
        <w:t xml:space="preserve">   </w:t>
      </w:r>
    </w:p>
    <w:p w14:paraId="3B8988DF" w14:textId="77777777" w:rsidR="00B87D29" w:rsidRPr="00AD3DF2" w:rsidRDefault="00B87D29" w:rsidP="00AD3DF2">
      <w:pPr>
        <w:jc w:val="both"/>
        <w:rPr>
          <w:rStyle w:val="extn-css-0"/>
          <w:rFonts w:ascii="Arial" w:hAnsi="Arial" w:cs="Arial"/>
          <w:sz w:val="20"/>
          <w:szCs w:val="20"/>
        </w:rPr>
      </w:pPr>
    </w:p>
    <w:p w14:paraId="2654A18A" w14:textId="77777777" w:rsidR="00B87D29" w:rsidRPr="00AD3DF2" w:rsidRDefault="00B87D29" w:rsidP="00AD3DF2">
      <w:pPr>
        <w:jc w:val="both"/>
        <w:rPr>
          <w:rStyle w:val="extn-css-0"/>
          <w:rFonts w:ascii="Arial" w:hAnsi="Arial" w:cs="Arial"/>
          <w:sz w:val="20"/>
          <w:szCs w:val="20"/>
        </w:rPr>
      </w:pPr>
    </w:p>
    <w:p w14:paraId="17C5EC66" w14:textId="77777777" w:rsidR="00B87D29" w:rsidRPr="00AD3DF2" w:rsidRDefault="00B87D29" w:rsidP="00AD3DF2">
      <w:pPr>
        <w:jc w:val="both"/>
        <w:rPr>
          <w:rStyle w:val="extn-css-0"/>
          <w:rFonts w:ascii="Arial" w:hAnsi="Arial" w:cs="Arial"/>
          <w:sz w:val="20"/>
          <w:szCs w:val="20"/>
        </w:rPr>
      </w:pPr>
    </w:p>
    <w:p w14:paraId="1F0AC08D" w14:textId="77777777" w:rsidR="00B87D29" w:rsidRPr="00AD3DF2" w:rsidRDefault="00B87D29" w:rsidP="00AD3DF2">
      <w:pPr>
        <w:jc w:val="both"/>
        <w:rPr>
          <w:rStyle w:val="extn-css-0"/>
          <w:rFonts w:ascii="Arial" w:hAnsi="Arial" w:cs="Arial"/>
          <w:sz w:val="20"/>
          <w:szCs w:val="20"/>
        </w:rPr>
      </w:pPr>
    </w:p>
    <w:p w14:paraId="7A899D3D" w14:textId="77777777" w:rsidR="00B87D29" w:rsidRPr="00AD3DF2" w:rsidRDefault="00B87D29" w:rsidP="00AD3DF2">
      <w:pPr>
        <w:jc w:val="both"/>
        <w:rPr>
          <w:rStyle w:val="extn-css-0"/>
          <w:rFonts w:ascii="Arial" w:hAnsi="Arial" w:cs="Arial"/>
          <w:sz w:val="20"/>
          <w:szCs w:val="20"/>
        </w:rPr>
      </w:pPr>
    </w:p>
    <w:p w14:paraId="0C6219F6" w14:textId="77777777" w:rsidR="00B87D29" w:rsidRPr="00AD3DF2" w:rsidRDefault="00B87D29" w:rsidP="00AD3DF2">
      <w:pPr>
        <w:jc w:val="both"/>
        <w:rPr>
          <w:rStyle w:val="extn-css-0"/>
          <w:rFonts w:ascii="Arial" w:hAnsi="Arial" w:cs="Arial"/>
          <w:sz w:val="20"/>
          <w:szCs w:val="20"/>
        </w:rPr>
      </w:pPr>
    </w:p>
    <w:p w14:paraId="2A8A9BF4" w14:textId="77777777" w:rsidR="00B87D29" w:rsidRPr="00AD3DF2" w:rsidRDefault="00B87D29" w:rsidP="00AD3DF2">
      <w:pPr>
        <w:jc w:val="both"/>
        <w:rPr>
          <w:rStyle w:val="extn-css-0"/>
          <w:rFonts w:ascii="Arial" w:hAnsi="Arial" w:cs="Arial"/>
          <w:sz w:val="20"/>
          <w:szCs w:val="20"/>
        </w:rPr>
      </w:pPr>
    </w:p>
    <w:p w14:paraId="228DB237" w14:textId="77777777" w:rsidR="00B87D29" w:rsidRPr="00AD3DF2" w:rsidRDefault="00B87D29" w:rsidP="00AD3DF2">
      <w:pPr>
        <w:jc w:val="both"/>
        <w:rPr>
          <w:rStyle w:val="extn-css-0"/>
          <w:rFonts w:ascii="Arial" w:hAnsi="Arial" w:cs="Arial"/>
          <w:sz w:val="20"/>
          <w:szCs w:val="20"/>
        </w:rPr>
      </w:pPr>
    </w:p>
    <w:p w14:paraId="30FAA1E7" w14:textId="77777777" w:rsidR="00B87D29" w:rsidRPr="00AD3DF2" w:rsidRDefault="00B87D29" w:rsidP="00AD3DF2">
      <w:pPr>
        <w:jc w:val="both"/>
        <w:rPr>
          <w:rStyle w:val="extn-css-0"/>
          <w:rFonts w:ascii="Arial" w:hAnsi="Arial" w:cs="Arial"/>
          <w:sz w:val="20"/>
          <w:szCs w:val="20"/>
        </w:rPr>
      </w:pPr>
    </w:p>
    <w:p w14:paraId="1A21DE0E" w14:textId="77777777" w:rsidR="00B87D29" w:rsidRPr="00AD3DF2" w:rsidRDefault="00B87D29" w:rsidP="00AD3DF2">
      <w:pPr>
        <w:jc w:val="both"/>
        <w:rPr>
          <w:rStyle w:val="extn-css-0"/>
          <w:rFonts w:ascii="Arial" w:hAnsi="Arial" w:cs="Arial"/>
          <w:sz w:val="20"/>
          <w:szCs w:val="20"/>
        </w:rPr>
      </w:pPr>
    </w:p>
    <w:p w14:paraId="20508F56" w14:textId="77777777" w:rsidR="00B87D29" w:rsidRPr="00AD3DF2" w:rsidRDefault="00B87D29" w:rsidP="00AD3DF2">
      <w:pPr>
        <w:jc w:val="both"/>
        <w:rPr>
          <w:rStyle w:val="extn-css-0"/>
          <w:rFonts w:ascii="Arial" w:hAnsi="Arial" w:cs="Arial"/>
          <w:sz w:val="20"/>
          <w:szCs w:val="20"/>
        </w:rPr>
      </w:pPr>
    </w:p>
    <w:p w14:paraId="4D979E53" w14:textId="77777777" w:rsidR="00B87D29" w:rsidRPr="00AD3DF2" w:rsidRDefault="00B87D29" w:rsidP="00AD3DF2">
      <w:pPr>
        <w:jc w:val="both"/>
        <w:rPr>
          <w:rStyle w:val="extn-css-0"/>
          <w:rFonts w:ascii="Arial" w:hAnsi="Arial" w:cs="Arial"/>
          <w:sz w:val="20"/>
          <w:szCs w:val="20"/>
        </w:rPr>
      </w:pPr>
    </w:p>
    <w:p w14:paraId="4CA1A5F3" w14:textId="77777777" w:rsidR="00B87D29" w:rsidRPr="00AD3DF2" w:rsidRDefault="00B87D29" w:rsidP="00AD3DF2">
      <w:pPr>
        <w:jc w:val="both"/>
        <w:rPr>
          <w:rStyle w:val="extn-css-0"/>
          <w:rFonts w:ascii="Arial" w:hAnsi="Arial" w:cs="Arial"/>
          <w:sz w:val="20"/>
          <w:szCs w:val="20"/>
        </w:rPr>
      </w:pPr>
    </w:p>
    <w:p w14:paraId="70684646" w14:textId="77777777" w:rsidR="00B87D29" w:rsidRPr="00AD3DF2" w:rsidRDefault="00B87D29" w:rsidP="00AD3DF2">
      <w:pPr>
        <w:jc w:val="both"/>
        <w:rPr>
          <w:rStyle w:val="extn-css-0"/>
          <w:rFonts w:ascii="Arial" w:hAnsi="Arial" w:cs="Arial"/>
          <w:sz w:val="20"/>
          <w:szCs w:val="20"/>
        </w:rPr>
      </w:pPr>
    </w:p>
    <w:p w14:paraId="6B5CD3F4" w14:textId="77777777" w:rsidR="00B87D29" w:rsidRPr="00AD3DF2" w:rsidRDefault="00B87D29" w:rsidP="00AD3DF2">
      <w:pPr>
        <w:jc w:val="both"/>
        <w:rPr>
          <w:rStyle w:val="extn-css-0"/>
          <w:rFonts w:ascii="Arial" w:hAnsi="Arial" w:cs="Arial"/>
          <w:sz w:val="20"/>
          <w:szCs w:val="20"/>
        </w:rPr>
      </w:pPr>
    </w:p>
    <w:p w14:paraId="633C2077" w14:textId="77777777" w:rsidR="00B87D29" w:rsidRPr="00AD3DF2" w:rsidRDefault="00B87D29" w:rsidP="00AD3DF2">
      <w:pPr>
        <w:jc w:val="both"/>
        <w:rPr>
          <w:rStyle w:val="extn-css-0"/>
          <w:rFonts w:ascii="Arial" w:hAnsi="Arial" w:cs="Arial"/>
          <w:sz w:val="20"/>
          <w:szCs w:val="20"/>
        </w:rPr>
      </w:pPr>
    </w:p>
    <w:p w14:paraId="14B65391" w14:textId="77777777" w:rsidR="00B87D29" w:rsidRPr="00AD3DF2" w:rsidRDefault="00B87D29" w:rsidP="00AD3DF2">
      <w:pPr>
        <w:jc w:val="both"/>
        <w:rPr>
          <w:rStyle w:val="extn-css-0"/>
          <w:rFonts w:ascii="Arial" w:hAnsi="Arial" w:cs="Arial"/>
          <w:sz w:val="20"/>
          <w:szCs w:val="20"/>
        </w:rPr>
      </w:pPr>
    </w:p>
    <w:p w14:paraId="31B0AF74" w14:textId="77777777" w:rsidR="004010CC" w:rsidRPr="00AD3DF2" w:rsidRDefault="004010CC" w:rsidP="00AD3DF2">
      <w:pPr>
        <w:jc w:val="both"/>
        <w:rPr>
          <w:rStyle w:val="extn-css-0"/>
          <w:rFonts w:ascii="Arial" w:hAnsi="Arial" w:cs="Arial"/>
          <w:sz w:val="20"/>
          <w:szCs w:val="20"/>
        </w:rPr>
        <w:sectPr w:rsidR="004010CC" w:rsidRPr="00AD3DF2" w:rsidSect="001C4473">
          <w:pgSz w:w="12240" w:h="15840"/>
          <w:pgMar w:top="1440" w:right="1440" w:bottom="1440" w:left="1440" w:header="720" w:footer="720" w:gutter="0"/>
          <w:pgNumType w:start="1"/>
          <w:cols w:space="720"/>
          <w:docGrid w:linePitch="360"/>
        </w:sectPr>
      </w:pPr>
    </w:p>
    <w:p w14:paraId="6247BD72" w14:textId="77777777" w:rsidR="00B87D29" w:rsidRPr="00671FBB" w:rsidRDefault="00B87D29" w:rsidP="001D1C00">
      <w:pPr>
        <w:pStyle w:val="Heading1"/>
        <w:spacing w:before="120" w:after="120" w:line="360" w:lineRule="auto"/>
        <w:rPr>
          <w:rStyle w:val="FooterChar"/>
          <w:rFonts w:ascii="Arial" w:hAnsi="Arial" w:cs="Arial"/>
          <w:bCs w:val="0"/>
          <w:color w:val="000000" w:themeColor="text1"/>
          <w:sz w:val="22"/>
          <w:szCs w:val="22"/>
        </w:rPr>
      </w:pPr>
      <w:bookmarkStart w:id="5" w:name="_Toc216414048"/>
      <w:r w:rsidRPr="00671FBB">
        <w:rPr>
          <w:rStyle w:val="FooterChar"/>
          <w:rFonts w:ascii="Arial" w:hAnsi="Arial" w:cs="Arial"/>
          <w:bCs w:val="0"/>
          <w:color w:val="000000" w:themeColor="text1"/>
          <w:sz w:val="22"/>
          <w:szCs w:val="22"/>
        </w:rPr>
        <w:lastRenderedPageBreak/>
        <w:t>Reference</w:t>
      </w:r>
      <w:bookmarkEnd w:id="5"/>
      <w:r w:rsidRPr="00671FBB">
        <w:rPr>
          <w:rStyle w:val="FooterChar"/>
          <w:rFonts w:ascii="Arial" w:hAnsi="Arial" w:cs="Arial"/>
          <w:bCs w:val="0"/>
          <w:color w:val="000000" w:themeColor="text1"/>
          <w:sz w:val="22"/>
          <w:szCs w:val="22"/>
        </w:rPr>
        <w:t xml:space="preserve"> </w:t>
      </w:r>
    </w:p>
    <w:p w14:paraId="753BA31D" w14:textId="77777777" w:rsidR="00B87D29" w:rsidRPr="00AD3DF2" w:rsidRDefault="00B87D29" w:rsidP="00FD565B">
      <w:pPr>
        <w:spacing w:before="120" w:after="120" w:line="360" w:lineRule="auto"/>
        <w:jc w:val="both"/>
        <w:rPr>
          <w:rStyle w:val="extn-css-0"/>
          <w:rFonts w:ascii="Arial" w:hAnsi="Arial" w:cs="Arial"/>
          <w:sz w:val="20"/>
          <w:szCs w:val="20"/>
        </w:rPr>
      </w:pPr>
      <w:r w:rsidRPr="00AD3DF2">
        <w:rPr>
          <w:rStyle w:val="extn-css-0"/>
          <w:rFonts w:ascii="Arial" w:hAnsi="Arial" w:cs="Arial"/>
          <w:sz w:val="20"/>
          <w:szCs w:val="20"/>
        </w:rPr>
        <w:t>CQC. (2023) The state of health care and adult social care in England 2022/23. London: Care Quality Commission.</w:t>
      </w:r>
    </w:p>
    <w:p w14:paraId="0BED9489" w14:textId="77777777" w:rsidR="00B87D29" w:rsidRPr="00AD3DF2" w:rsidRDefault="00B87D29" w:rsidP="00FD565B">
      <w:pPr>
        <w:spacing w:before="120" w:after="120" w:line="360" w:lineRule="auto"/>
        <w:jc w:val="both"/>
        <w:rPr>
          <w:rStyle w:val="extn-css-0"/>
          <w:rFonts w:ascii="Arial" w:hAnsi="Arial" w:cs="Arial"/>
          <w:sz w:val="20"/>
          <w:szCs w:val="20"/>
        </w:rPr>
      </w:pPr>
      <w:r w:rsidRPr="00AD3DF2">
        <w:rPr>
          <w:rStyle w:val="extn-css-0"/>
          <w:rFonts w:ascii="Arial" w:hAnsi="Arial" w:cs="Arial"/>
          <w:sz w:val="20"/>
          <w:szCs w:val="20"/>
        </w:rPr>
        <w:t>Gilligan, C. (1982) In a different voice: Psychological theory and women’s development. Cambridge, MA: Harvard University Press.</w:t>
      </w:r>
    </w:p>
    <w:p w14:paraId="34680F22" w14:textId="77777777" w:rsidR="00B87D29" w:rsidRPr="00AD3DF2" w:rsidRDefault="00B87D29" w:rsidP="00FD565B">
      <w:pPr>
        <w:spacing w:before="120" w:after="120" w:line="360" w:lineRule="auto"/>
        <w:jc w:val="both"/>
        <w:rPr>
          <w:rStyle w:val="extn-css-0"/>
          <w:rFonts w:ascii="Arial" w:hAnsi="Arial" w:cs="Arial"/>
          <w:sz w:val="20"/>
          <w:szCs w:val="20"/>
        </w:rPr>
      </w:pPr>
      <w:r w:rsidRPr="00AD3DF2">
        <w:rPr>
          <w:rStyle w:val="extn-css-0"/>
          <w:rFonts w:ascii="Arial" w:hAnsi="Arial" w:cs="Arial"/>
          <w:sz w:val="20"/>
          <w:szCs w:val="20"/>
        </w:rPr>
        <w:t>HEE. (2023) Health Education England: Professional education and training guidance. London: Health Education England.</w:t>
      </w:r>
    </w:p>
    <w:p w14:paraId="17194A25" w14:textId="77777777" w:rsidR="00B87D29" w:rsidRPr="00AD3DF2" w:rsidRDefault="00B87D29" w:rsidP="00FD565B">
      <w:pPr>
        <w:spacing w:before="120" w:after="120" w:line="360" w:lineRule="auto"/>
        <w:jc w:val="both"/>
        <w:rPr>
          <w:rStyle w:val="extn-css-0"/>
          <w:rFonts w:ascii="Arial" w:hAnsi="Arial" w:cs="Arial"/>
          <w:sz w:val="20"/>
          <w:szCs w:val="20"/>
        </w:rPr>
      </w:pPr>
      <w:r w:rsidRPr="00AD3DF2">
        <w:rPr>
          <w:rStyle w:val="extn-css-0"/>
          <w:rFonts w:ascii="Arial" w:hAnsi="Arial" w:cs="Arial"/>
          <w:sz w:val="20"/>
          <w:szCs w:val="20"/>
        </w:rPr>
        <w:t>Held, V. (2006) The ethics of care: Personal, political, and global. Oxford: Oxford University Press.</w:t>
      </w:r>
    </w:p>
    <w:p w14:paraId="403E2929" w14:textId="77777777" w:rsidR="00B87D29" w:rsidRPr="00AD3DF2" w:rsidRDefault="00B87D29" w:rsidP="00FD565B">
      <w:pPr>
        <w:spacing w:before="120" w:after="120" w:line="360" w:lineRule="auto"/>
        <w:jc w:val="both"/>
        <w:rPr>
          <w:rStyle w:val="extn-css-0"/>
          <w:rFonts w:ascii="Arial" w:hAnsi="Arial" w:cs="Arial"/>
          <w:sz w:val="20"/>
          <w:szCs w:val="20"/>
        </w:rPr>
      </w:pPr>
      <w:r w:rsidRPr="00AD3DF2">
        <w:rPr>
          <w:rStyle w:val="extn-css-0"/>
          <w:rFonts w:ascii="Arial" w:hAnsi="Arial" w:cs="Arial"/>
          <w:sz w:val="20"/>
          <w:szCs w:val="20"/>
        </w:rPr>
        <w:t>King’s Fund. (2020) Developing a culture of compassionate care: Lessons from the NHS. London: King’s Fund.</w:t>
      </w:r>
    </w:p>
    <w:p w14:paraId="2BBDDAD2" w14:textId="77777777" w:rsidR="00B87D29" w:rsidRPr="00AD3DF2" w:rsidRDefault="00B87D29" w:rsidP="00FD565B">
      <w:pPr>
        <w:spacing w:before="120" w:after="120" w:line="360" w:lineRule="auto"/>
        <w:jc w:val="both"/>
        <w:rPr>
          <w:rStyle w:val="extn-css-0"/>
          <w:rFonts w:ascii="Arial" w:hAnsi="Arial" w:cs="Arial"/>
          <w:sz w:val="20"/>
          <w:szCs w:val="20"/>
        </w:rPr>
      </w:pPr>
      <w:r w:rsidRPr="00AD3DF2">
        <w:rPr>
          <w:rStyle w:val="extn-css-0"/>
          <w:rFonts w:ascii="Arial" w:hAnsi="Arial" w:cs="Arial"/>
          <w:sz w:val="20"/>
          <w:szCs w:val="20"/>
        </w:rPr>
        <w:t>MCA. (2005) Mental Capacity Act 2005. London: The Stationery Office.</w:t>
      </w:r>
    </w:p>
    <w:p w14:paraId="2D80645C" w14:textId="77777777" w:rsidR="00B87D29" w:rsidRPr="00AD3DF2" w:rsidRDefault="00B87D29" w:rsidP="00FD565B">
      <w:pPr>
        <w:spacing w:before="120" w:after="120" w:line="360" w:lineRule="auto"/>
        <w:jc w:val="both"/>
        <w:rPr>
          <w:rStyle w:val="extn-css-0"/>
          <w:rFonts w:ascii="Arial" w:hAnsi="Arial" w:cs="Arial"/>
          <w:sz w:val="20"/>
          <w:szCs w:val="20"/>
        </w:rPr>
      </w:pPr>
      <w:r w:rsidRPr="00AD3DF2">
        <w:rPr>
          <w:rStyle w:val="extn-css-0"/>
          <w:rFonts w:ascii="Arial" w:hAnsi="Arial" w:cs="Arial"/>
          <w:sz w:val="20"/>
          <w:szCs w:val="20"/>
        </w:rPr>
        <w:t>NHS Constitution. (2015) The NHS Constitution for England. London: Department of Health and Social Care.</w:t>
      </w:r>
    </w:p>
    <w:p w14:paraId="3196EE7F" w14:textId="77777777" w:rsidR="00B87D29" w:rsidRPr="00AD3DF2" w:rsidRDefault="00B87D29" w:rsidP="00FD565B">
      <w:pPr>
        <w:spacing w:before="120" w:after="120" w:line="360" w:lineRule="auto"/>
        <w:jc w:val="both"/>
        <w:rPr>
          <w:rStyle w:val="extn-css-0"/>
          <w:rFonts w:ascii="Arial" w:hAnsi="Arial" w:cs="Arial"/>
          <w:sz w:val="20"/>
          <w:szCs w:val="20"/>
        </w:rPr>
      </w:pPr>
      <w:r w:rsidRPr="00AD3DF2">
        <w:rPr>
          <w:rStyle w:val="extn-css-0"/>
          <w:rFonts w:ascii="Arial" w:hAnsi="Arial" w:cs="Arial"/>
          <w:sz w:val="20"/>
          <w:szCs w:val="20"/>
        </w:rPr>
        <w:t>NHS England. (2023) Person-</w:t>
      </w:r>
      <w:proofErr w:type="spellStart"/>
      <w:r w:rsidRPr="00AD3DF2">
        <w:rPr>
          <w:rStyle w:val="extn-css-0"/>
          <w:rFonts w:ascii="Arial" w:hAnsi="Arial" w:cs="Arial"/>
          <w:sz w:val="20"/>
          <w:szCs w:val="20"/>
        </w:rPr>
        <w:t>centred</w:t>
      </w:r>
      <w:proofErr w:type="spellEnd"/>
      <w:r w:rsidRPr="00AD3DF2">
        <w:rPr>
          <w:rStyle w:val="extn-css-0"/>
          <w:rFonts w:ascii="Arial" w:hAnsi="Arial" w:cs="Arial"/>
          <w:sz w:val="20"/>
          <w:szCs w:val="20"/>
        </w:rPr>
        <w:t xml:space="preserve"> care and practice guidance. London: NHS England.</w:t>
      </w:r>
    </w:p>
    <w:p w14:paraId="06484626" w14:textId="77777777" w:rsidR="00B87D29" w:rsidRPr="00AD3DF2" w:rsidRDefault="00B87D29" w:rsidP="00FD565B">
      <w:pPr>
        <w:spacing w:before="120" w:after="120" w:line="360" w:lineRule="auto"/>
        <w:jc w:val="both"/>
        <w:rPr>
          <w:rStyle w:val="extn-css-0"/>
          <w:rFonts w:ascii="Arial" w:hAnsi="Arial" w:cs="Arial"/>
          <w:sz w:val="20"/>
          <w:szCs w:val="20"/>
        </w:rPr>
      </w:pPr>
      <w:r w:rsidRPr="00AD3DF2">
        <w:rPr>
          <w:rStyle w:val="extn-css-0"/>
          <w:rFonts w:ascii="Arial" w:hAnsi="Arial" w:cs="Arial"/>
          <w:sz w:val="20"/>
          <w:szCs w:val="20"/>
        </w:rPr>
        <w:t>NHS Safeguarding. (2023) Adult safeguarding: Roles and responsibilities in health and social care. London: NHS England.</w:t>
      </w:r>
    </w:p>
    <w:p w14:paraId="1DB7C246" w14:textId="77777777" w:rsidR="00B87D29" w:rsidRPr="00AD3DF2" w:rsidRDefault="00B87D29" w:rsidP="00FD565B">
      <w:pPr>
        <w:spacing w:before="120" w:after="120" w:line="360" w:lineRule="auto"/>
        <w:jc w:val="both"/>
        <w:rPr>
          <w:rStyle w:val="extn-css-0"/>
          <w:rFonts w:ascii="Arial" w:hAnsi="Arial" w:cs="Arial"/>
          <w:sz w:val="20"/>
          <w:szCs w:val="20"/>
        </w:rPr>
      </w:pPr>
      <w:proofErr w:type="spellStart"/>
      <w:r w:rsidRPr="00AD3DF2">
        <w:rPr>
          <w:rStyle w:val="extn-css-0"/>
          <w:rFonts w:ascii="Arial" w:hAnsi="Arial" w:cs="Arial"/>
          <w:sz w:val="20"/>
          <w:szCs w:val="20"/>
        </w:rPr>
        <w:t>Noddings</w:t>
      </w:r>
      <w:proofErr w:type="spellEnd"/>
      <w:r w:rsidRPr="00AD3DF2">
        <w:rPr>
          <w:rStyle w:val="extn-css-0"/>
          <w:rFonts w:ascii="Arial" w:hAnsi="Arial" w:cs="Arial"/>
          <w:sz w:val="20"/>
          <w:szCs w:val="20"/>
        </w:rPr>
        <w:t>, N. (1984) Caring: A feminine approach to ethics and moral education. Berkeley, CA: University of California Press.</w:t>
      </w:r>
    </w:p>
    <w:p w14:paraId="2DA4C030" w14:textId="77777777" w:rsidR="00B87D29" w:rsidRPr="00AD3DF2" w:rsidRDefault="00B87D29" w:rsidP="00FD565B">
      <w:pPr>
        <w:spacing w:before="120" w:after="120" w:line="360" w:lineRule="auto"/>
        <w:jc w:val="both"/>
        <w:rPr>
          <w:rStyle w:val="extn-css-0"/>
          <w:rFonts w:ascii="Arial" w:hAnsi="Arial" w:cs="Arial"/>
          <w:sz w:val="20"/>
          <w:szCs w:val="20"/>
        </w:rPr>
      </w:pPr>
      <w:r w:rsidRPr="00AD3DF2">
        <w:rPr>
          <w:rStyle w:val="extn-css-0"/>
          <w:rFonts w:ascii="Arial" w:hAnsi="Arial" w:cs="Arial"/>
          <w:sz w:val="20"/>
          <w:szCs w:val="20"/>
        </w:rPr>
        <w:t>SCIE. (2022) Person-</w:t>
      </w:r>
      <w:proofErr w:type="spellStart"/>
      <w:r w:rsidRPr="00AD3DF2">
        <w:rPr>
          <w:rStyle w:val="extn-css-0"/>
          <w:rFonts w:ascii="Arial" w:hAnsi="Arial" w:cs="Arial"/>
          <w:sz w:val="20"/>
          <w:szCs w:val="20"/>
        </w:rPr>
        <w:t>centred</w:t>
      </w:r>
      <w:proofErr w:type="spellEnd"/>
      <w:r w:rsidRPr="00AD3DF2">
        <w:rPr>
          <w:rStyle w:val="extn-css-0"/>
          <w:rFonts w:ascii="Arial" w:hAnsi="Arial" w:cs="Arial"/>
          <w:sz w:val="20"/>
          <w:szCs w:val="20"/>
        </w:rPr>
        <w:t xml:space="preserve"> approaches in health and social care. London: Social Care Institute for Excellence.</w:t>
      </w:r>
    </w:p>
    <w:p w14:paraId="246DB33A" w14:textId="77777777" w:rsidR="00B87D29" w:rsidRPr="00AD3DF2" w:rsidRDefault="00B87D29" w:rsidP="00FD565B">
      <w:pPr>
        <w:spacing w:before="120" w:after="120" w:line="360" w:lineRule="auto"/>
        <w:jc w:val="both"/>
        <w:rPr>
          <w:rStyle w:val="extn-css-0"/>
          <w:rFonts w:ascii="Arial" w:hAnsi="Arial" w:cs="Arial"/>
          <w:sz w:val="20"/>
          <w:szCs w:val="20"/>
        </w:rPr>
      </w:pPr>
      <w:r w:rsidRPr="00AD3DF2">
        <w:rPr>
          <w:rStyle w:val="extn-css-0"/>
          <w:rFonts w:ascii="Arial" w:hAnsi="Arial" w:cs="Arial"/>
          <w:sz w:val="20"/>
          <w:szCs w:val="20"/>
        </w:rPr>
        <w:t>Skills for Care. (2023) Building compassionate and effective workplace cultures. Leeds: Skills for Care.</w:t>
      </w:r>
    </w:p>
    <w:p w14:paraId="1F817DFB" w14:textId="77777777" w:rsidR="00B87D29" w:rsidRPr="00AD3DF2" w:rsidRDefault="00B87D29" w:rsidP="00FD565B">
      <w:pPr>
        <w:spacing w:before="120" w:after="120" w:line="360" w:lineRule="auto"/>
        <w:jc w:val="both"/>
        <w:rPr>
          <w:rStyle w:val="extn-css-0"/>
          <w:rFonts w:ascii="Arial" w:hAnsi="Arial" w:cs="Arial"/>
          <w:sz w:val="20"/>
          <w:szCs w:val="20"/>
        </w:rPr>
      </w:pPr>
      <w:proofErr w:type="spellStart"/>
      <w:r w:rsidRPr="00AD3DF2">
        <w:rPr>
          <w:rStyle w:val="extn-css-0"/>
          <w:rFonts w:ascii="Arial" w:hAnsi="Arial" w:cs="Arial"/>
          <w:sz w:val="20"/>
          <w:szCs w:val="20"/>
        </w:rPr>
        <w:t>Tronto</w:t>
      </w:r>
      <w:proofErr w:type="spellEnd"/>
      <w:r w:rsidRPr="00AD3DF2">
        <w:rPr>
          <w:rStyle w:val="extn-css-0"/>
          <w:rFonts w:ascii="Arial" w:hAnsi="Arial" w:cs="Arial"/>
          <w:sz w:val="20"/>
          <w:szCs w:val="20"/>
        </w:rPr>
        <w:t>, J. (1993) Moral boundaries: A political argument for an ethic of care. New York: Routledge.</w:t>
      </w:r>
    </w:p>
    <w:p w14:paraId="45CACBB8" w14:textId="77777777" w:rsidR="008265CA" w:rsidRPr="00AD3DF2" w:rsidRDefault="00B87D29" w:rsidP="00FD565B">
      <w:pPr>
        <w:spacing w:before="120" w:after="120" w:line="360" w:lineRule="auto"/>
        <w:jc w:val="both"/>
        <w:rPr>
          <w:rStyle w:val="extn-css-0"/>
          <w:rFonts w:ascii="Arial" w:hAnsi="Arial" w:cs="Arial"/>
          <w:sz w:val="20"/>
          <w:szCs w:val="20"/>
        </w:rPr>
      </w:pPr>
      <w:proofErr w:type="spellStart"/>
      <w:r w:rsidRPr="00AD3DF2">
        <w:rPr>
          <w:rStyle w:val="extn-css-0"/>
          <w:rFonts w:ascii="Arial" w:hAnsi="Arial" w:cs="Arial"/>
          <w:sz w:val="20"/>
          <w:szCs w:val="20"/>
        </w:rPr>
        <w:t>Tronto</w:t>
      </w:r>
      <w:proofErr w:type="spellEnd"/>
      <w:r w:rsidRPr="00AD3DF2">
        <w:rPr>
          <w:rStyle w:val="extn-css-0"/>
          <w:rFonts w:ascii="Arial" w:hAnsi="Arial" w:cs="Arial"/>
          <w:sz w:val="20"/>
          <w:szCs w:val="20"/>
        </w:rPr>
        <w:t>, J. (2013) Caring democracy: Markets, equality, and justice. New York: New York University Press.</w:t>
      </w:r>
    </w:p>
    <w:p w14:paraId="0FF61AE7" w14:textId="77777777" w:rsidR="008265CA" w:rsidRPr="00AD3DF2" w:rsidRDefault="008265CA" w:rsidP="00AD3DF2">
      <w:pPr>
        <w:jc w:val="both"/>
        <w:rPr>
          <w:rStyle w:val="extn-css-0"/>
          <w:rFonts w:ascii="Arial" w:hAnsi="Arial" w:cs="Arial"/>
          <w:sz w:val="20"/>
          <w:szCs w:val="20"/>
        </w:rPr>
      </w:pPr>
      <w:r w:rsidRPr="00AD3DF2">
        <w:rPr>
          <w:rStyle w:val="extn-css-0"/>
          <w:rFonts w:ascii="Arial" w:hAnsi="Arial" w:cs="Arial"/>
          <w:sz w:val="20"/>
          <w:szCs w:val="20"/>
        </w:rPr>
        <w:t> </w:t>
      </w:r>
    </w:p>
    <w:p w14:paraId="6F72C736" w14:textId="77777777" w:rsidR="008265CA" w:rsidRPr="00AD3DF2" w:rsidRDefault="008265CA" w:rsidP="00AD3DF2">
      <w:pPr>
        <w:jc w:val="both"/>
        <w:rPr>
          <w:rStyle w:val="extn-css-0"/>
          <w:rFonts w:ascii="Arial" w:hAnsi="Arial" w:cs="Arial"/>
          <w:sz w:val="20"/>
          <w:szCs w:val="20"/>
        </w:rPr>
      </w:pPr>
    </w:p>
    <w:p w14:paraId="215164C5" w14:textId="77777777" w:rsidR="008265CA" w:rsidRPr="00AD3DF2" w:rsidRDefault="008265CA" w:rsidP="00AD3DF2">
      <w:pPr>
        <w:jc w:val="both"/>
        <w:rPr>
          <w:rStyle w:val="extn-css-0"/>
          <w:rFonts w:ascii="Arial" w:hAnsi="Arial" w:cs="Arial"/>
          <w:sz w:val="20"/>
          <w:szCs w:val="20"/>
        </w:rPr>
      </w:pPr>
      <w:r w:rsidRPr="00AD3DF2">
        <w:rPr>
          <w:rStyle w:val="extn-css-0"/>
          <w:rFonts w:ascii="Arial" w:hAnsi="Arial" w:cs="Arial"/>
          <w:sz w:val="20"/>
          <w:szCs w:val="20"/>
        </w:rPr>
        <w:t> </w:t>
      </w:r>
    </w:p>
    <w:p w14:paraId="4A93A0AC" w14:textId="77777777" w:rsidR="008265CA" w:rsidRPr="00AD3DF2" w:rsidRDefault="008265CA" w:rsidP="00AD3DF2">
      <w:pPr>
        <w:jc w:val="both"/>
        <w:rPr>
          <w:rStyle w:val="extn-css-0"/>
          <w:rFonts w:ascii="Arial" w:hAnsi="Arial" w:cs="Arial"/>
          <w:sz w:val="20"/>
          <w:szCs w:val="20"/>
        </w:rPr>
      </w:pPr>
    </w:p>
    <w:p w14:paraId="1C87CEC9" w14:textId="77777777" w:rsidR="008265CA" w:rsidRPr="00AD3DF2" w:rsidRDefault="008265CA" w:rsidP="00AD3DF2">
      <w:pPr>
        <w:jc w:val="both"/>
        <w:rPr>
          <w:rStyle w:val="extn-css-0"/>
          <w:rFonts w:ascii="Arial" w:hAnsi="Arial" w:cs="Arial"/>
          <w:sz w:val="20"/>
          <w:szCs w:val="20"/>
        </w:rPr>
      </w:pPr>
      <w:r w:rsidRPr="00AD3DF2">
        <w:rPr>
          <w:rStyle w:val="extn-css-0"/>
          <w:rFonts w:ascii="Arial" w:hAnsi="Arial" w:cs="Arial"/>
          <w:sz w:val="20"/>
          <w:szCs w:val="20"/>
        </w:rPr>
        <w:t> </w:t>
      </w:r>
    </w:p>
    <w:p w14:paraId="2114C8DE" w14:textId="77777777" w:rsidR="00B27CC3" w:rsidRPr="00AD3DF2" w:rsidRDefault="00B27CC3" w:rsidP="00AD3DF2">
      <w:pPr>
        <w:jc w:val="both"/>
      </w:pPr>
    </w:p>
    <w:sectPr w:rsidR="00B27CC3" w:rsidRPr="00AD3DF2" w:rsidSect="004010CC">
      <w:pgSz w:w="12240" w:h="15840"/>
      <w:pgMar w:top="1440" w:right="1440" w:bottom="1440" w:left="1440" w:header="720" w:footer="720" w:gutter="0"/>
      <w:pgNumType w:fmt="upperRoman"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2EA93" w14:textId="77777777" w:rsidR="00A03400" w:rsidRDefault="00A03400" w:rsidP="00FE36AB">
      <w:pPr>
        <w:spacing w:after="0" w:line="240" w:lineRule="auto"/>
      </w:pPr>
      <w:r>
        <w:separator/>
      </w:r>
    </w:p>
  </w:endnote>
  <w:endnote w:type="continuationSeparator" w:id="0">
    <w:p w14:paraId="57DA5C3F" w14:textId="77777777" w:rsidR="00A03400" w:rsidRDefault="00A03400" w:rsidP="00FE36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4426594"/>
      <w:docPartObj>
        <w:docPartGallery w:val="Page Numbers (Bottom of Page)"/>
        <w:docPartUnique/>
      </w:docPartObj>
    </w:sdtPr>
    <w:sdtEndPr>
      <w:rPr>
        <w:noProof/>
      </w:rPr>
    </w:sdtEndPr>
    <w:sdtContent>
      <w:p w14:paraId="13689469" w14:textId="77777777" w:rsidR="00FE36AB" w:rsidRDefault="00FE36AB">
        <w:pPr>
          <w:pStyle w:val="Footer"/>
          <w:jc w:val="right"/>
        </w:pPr>
        <w:r>
          <w:fldChar w:fldCharType="begin"/>
        </w:r>
        <w:r>
          <w:instrText xml:space="preserve"> PAGE   \* MERGEFORMAT </w:instrText>
        </w:r>
        <w:r>
          <w:fldChar w:fldCharType="separate"/>
        </w:r>
        <w:r w:rsidR="00EF1C55">
          <w:rPr>
            <w:noProof/>
          </w:rPr>
          <w:t>I</w:t>
        </w:r>
        <w:r>
          <w:rPr>
            <w:noProof/>
          </w:rPr>
          <w:fldChar w:fldCharType="end"/>
        </w:r>
      </w:p>
    </w:sdtContent>
  </w:sdt>
  <w:p w14:paraId="2E1249CD" w14:textId="77777777" w:rsidR="00000000" w:rsidRDefault="00000000" w:rsidP="001D594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07F49D" w14:textId="77777777" w:rsidR="00A03400" w:rsidRDefault="00A03400" w:rsidP="00FE36AB">
      <w:pPr>
        <w:spacing w:after="0" w:line="240" w:lineRule="auto"/>
      </w:pPr>
      <w:r>
        <w:separator/>
      </w:r>
    </w:p>
  </w:footnote>
  <w:footnote w:type="continuationSeparator" w:id="0">
    <w:p w14:paraId="5AF745DD" w14:textId="77777777" w:rsidR="00A03400" w:rsidRDefault="00A03400" w:rsidP="00FE36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B84729"/>
    <w:multiLevelType w:val="hybridMultilevel"/>
    <w:tmpl w:val="4198D0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78877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D4A"/>
    <w:rsid w:val="00003564"/>
    <w:rsid w:val="00084EC8"/>
    <w:rsid w:val="000C5D4A"/>
    <w:rsid w:val="000C7042"/>
    <w:rsid w:val="00157B5D"/>
    <w:rsid w:val="001754B4"/>
    <w:rsid w:val="0019294D"/>
    <w:rsid w:val="001933B2"/>
    <w:rsid w:val="001C4473"/>
    <w:rsid w:val="001D1C00"/>
    <w:rsid w:val="00214E93"/>
    <w:rsid w:val="002242CA"/>
    <w:rsid w:val="002E18ED"/>
    <w:rsid w:val="002F015E"/>
    <w:rsid w:val="00303A0E"/>
    <w:rsid w:val="003507E4"/>
    <w:rsid w:val="003A23A8"/>
    <w:rsid w:val="003A68DE"/>
    <w:rsid w:val="004010CC"/>
    <w:rsid w:val="00431B08"/>
    <w:rsid w:val="00435442"/>
    <w:rsid w:val="004C0EB2"/>
    <w:rsid w:val="005D2158"/>
    <w:rsid w:val="005D5A3E"/>
    <w:rsid w:val="005D5B50"/>
    <w:rsid w:val="0061726A"/>
    <w:rsid w:val="00666284"/>
    <w:rsid w:val="00671FBB"/>
    <w:rsid w:val="006F11D5"/>
    <w:rsid w:val="007423AA"/>
    <w:rsid w:val="00783EBB"/>
    <w:rsid w:val="007E2F0B"/>
    <w:rsid w:val="007F16B0"/>
    <w:rsid w:val="008265CA"/>
    <w:rsid w:val="008376C3"/>
    <w:rsid w:val="00844CC5"/>
    <w:rsid w:val="008620B5"/>
    <w:rsid w:val="008D4B84"/>
    <w:rsid w:val="008E7ABC"/>
    <w:rsid w:val="00924960"/>
    <w:rsid w:val="0094722F"/>
    <w:rsid w:val="00962DE8"/>
    <w:rsid w:val="00997576"/>
    <w:rsid w:val="009D5DF2"/>
    <w:rsid w:val="00A03400"/>
    <w:rsid w:val="00A32ACC"/>
    <w:rsid w:val="00A51DEA"/>
    <w:rsid w:val="00A61F19"/>
    <w:rsid w:val="00AB2BD4"/>
    <w:rsid w:val="00AB7714"/>
    <w:rsid w:val="00AD3DF2"/>
    <w:rsid w:val="00AF079D"/>
    <w:rsid w:val="00B27CC3"/>
    <w:rsid w:val="00B41719"/>
    <w:rsid w:val="00B75D83"/>
    <w:rsid w:val="00B87D29"/>
    <w:rsid w:val="00BC62F2"/>
    <w:rsid w:val="00CD644C"/>
    <w:rsid w:val="00D52C00"/>
    <w:rsid w:val="00D760B9"/>
    <w:rsid w:val="00DD164C"/>
    <w:rsid w:val="00DE01ED"/>
    <w:rsid w:val="00E038A0"/>
    <w:rsid w:val="00E215BD"/>
    <w:rsid w:val="00E7541D"/>
    <w:rsid w:val="00ED12ED"/>
    <w:rsid w:val="00EF1C55"/>
    <w:rsid w:val="00EF6A87"/>
    <w:rsid w:val="00F07CEF"/>
    <w:rsid w:val="00FD565B"/>
    <w:rsid w:val="00FE36AB"/>
    <w:rsid w:val="00FE68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E71BA"/>
  <w15:docId w15:val="{6D5697B2-D596-4BAE-88D2-828D4FFA0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28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284"/>
    <w:rPr>
      <w:rFonts w:asciiTheme="majorHAnsi" w:eastAsiaTheme="majorEastAsia" w:hAnsiTheme="majorHAnsi" w:cstheme="majorBidi"/>
      <w:b/>
      <w:bCs/>
      <w:color w:val="365F91" w:themeColor="accent1" w:themeShade="BF"/>
      <w:sz w:val="28"/>
      <w:szCs w:val="28"/>
    </w:rPr>
  </w:style>
  <w:style w:type="paragraph" w:styleId="Footer">
    <w:name w:val="footer"/>
    <w:basedOn w:val="Normal"/>
    <w:link w:val="FooterChar"/>
    <w:uiPriority w:val="99"/>
    <w:unhideWhenUsed/>
    <w:rsid w:val="00B75D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5D83"/>
  </w:style>
  <w:style w:type="paragraph" w:styleId="BalloonText">
    <w:name w:val="Balloon Text"/>
    <w:basedOn w:val="Normal"/>
    <w:link w:val="BalloonTextChar"/>
    <w:uiPriority w:val="99"/>
    <w:semiHidden/>
    <w:unhideWhenUsed/>
    <w:rsid w:val="00B75D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5D83"/>
    <w:rPr>
      <w:rFonts w:ascii="Tahoma" w:hAnsi="Tahoma" w:cs="Tahoma"/>
      <w:sz w:val="16"/>
      <w:szCs w:val="16"/>
    </w:rPr>
  </w:style>
  <w:style w:type="paragraph" w:styleId="TOCHeading">
    <w:name w:val="TOC Heading"/>
    <w:basedOn w:val="Heading1"/>
    <w:next w:val="Normal"/>
    <w:uiPriority w:val="39"/>
    <w:semiHidden/>
    <w:unhideWhenUsed/>
    <w:qFormat/>
    <w:rsid w:val="008D4B84"/>
    <w:pPr>
      <w:outlineLvl w:val="9"/>
    </w:pPr>
    <w:rPr>
      <w:lang w:eastAsia="ja-JP"/>
    </w:rPr>
  </w:style>
  <w:style w:type="paragraph" w:styleId="TOC1">
    <w:name w:val="toc 1"/>
    <w:basedOn w:val="Normal"/>
    <w:next w:val="Normal"/>
    <w:autoRedefine/>
    <w:uiPriority w:val="39"/>
    <w:unhideWhenUsed/>
    <w:rsid w:val="008D4B84"/>
    <w:pPr>
      <w:spacing w:after="100"/>
    </w:pPr>
  </w:style>
  <w:style w:type="character" w:styleId="Hyperlink">
    <w:name w:val="Hyperlink"/>
    <w:basedOn w:val="DefaultParagraphFont"/>
    <w:uiPriority w:val="99"/>
    <w:unhideWhenUsed/>
    <w:rsid w:val="008D4B84"/>
    <w:rPr>
      <w:color w:val="0000FF" w:themeColor="hyperlink"/>
      <w:u w:val="single"/>
    </w:rPr>
  </w:style>
  <w:style w:type="paragraph" w:styleId="Header">
    <w:name w:val="header"/>
    <w:basedOn w:val="Normal"/>
    <w:link w:val="HeaderChar"/>
    <w:uiPriority w:val="99"/>
    <w:unhideWhenUsed/>
    <w:rsid w:val="00FE36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36AB"/>
  </w:style>
  <w:style w:type="character" w:customStyle="1" w:styleId="extn-css-0">
    <w:name w:val="extn-css-0"/>
    <w:basedOn w:val="DefaultParagraphFont"/>
    <w:rsid w:val="00826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65E0B2-1005-4F06-AA0A-6A17BCBC4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2811</Words>
  <Characters>16024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Meskerem Beyene (2414543)</cp:lastModifiedBy>
  <cp:revision>2</cp:revision>
  <dcterms:created xsi:type="dcterms:W3CDTF">2025-12-12T11:00:00Z</dcterms:created>
  <dcterms:modified xsi:type="dcterms:W3CDTF">2025-12-12T11:00:00Z</dcterms:modified>
</cp:coreProperties>
</file>