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5966395"/>
        <w:docPartObj>
          <w:docPartGallery w:val="Cover Pages"/>
          <w:docPartUnique/>
        </w:docPartObj>
      </w:sdtPr>
      <w:sdtEndPr>
        <w:rPr>
          <w:sz w:val="48"/>
          <w:szCs w:val="48"/>
        </w:rPr>
      </w:sdtEndPr>
      <w:sdtContent>
        <w:p w14:paraId="18939455" w14:textId="101B1A05" w:rsidR="00C541C7" w:rsidRDefault="00C541C7">
          <w:pPr>
            <w:pStyle w:val="NoSpacing"/>
          </w:pPr>
          <w:r>
            <w:rPr>
              <w:noProof/>
            </w:rPr>
            <mc:AlternateContent>
              <mc:Choice Requires="wpg">
                <w:drawing>
                  <wp:anchor distT="0" distB="0" distL="114300" distR="114300" simplePos="0" relativeHeight="251659264" behindDoc="1" locked="0" layoutInCell="1" allowOverlap="1" wp14:anchorId="70AE5120" wp14:editId="6A6B271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584C6C" w14:textId="3D2173ED" w:rsidR="00C541C7" w:rsidRDefault="00C541C7">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AE5120"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p w14:paraId="04584C6C" w14:textId="3D2173ED" w:rsidR="00C541C7" w:rsidRDefault="00C541C7">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BC6AD7D" wp14:editId="7FFA66F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DD538" w14:textId="77777777" w:rsidR="00353ACE" w:rsidRDefault="00353ACE" w:rsidP="00353ACE">
                                <w:pPr>
                                  <w:pStyle w:val="NoSpacing"/>
                                  <w:rPr>
                                    <w:color w:val="156082" w:themeColor="accent1"/>
                                    <w:sz w:val="26"/>
                                    <w:szCs w:val="26"/>
                                  </w:rPr>
                                </w:pPr>
                                <w:r>
                                  <w:rPr>
                                    <w:color w:val="156082" w:themeColor="accent1"/>
                                    <w:sz w:val="26"/>
                                    <w:szCs w:val="26"/>
                                  </w:rPr>
                                  <w:t>University of Wales Trinity Saint David</w:t>
                                </w:r>
                              </w:p>
                              <w:p w14:paraId="0F4A8041" w14:textId="65835117" w:rsidR="00C541C7" w:rsidRDefault="00000000">
                                <w:pPr>
                                  <w:pStyle w:val="NoSpacing"/>
                                  <w:rPr>
                                    <w:color w:val="595959" w:themeColor="text1" w:themeTint="A6"/>
                                  </w:rPr>
                                </w:pPr>
                                <w:sdt>
                                  <w:sdtPr>
                                    <w:rPr>
                                      <w:caps/>
                                      <w:color w:val="595959" w:themeColor="text1" w:themeTint="A6"/>
                                      <w:lang w:val="en-US" w:eastAsia="en-US"/>
                                    </w:rPr>
                                    <w:alias w:val="Company"/>
                                    <w:tag w:val=""/>
                                    <w:id w:val="1558814826"/>
                                    <w:dataBinding w:prefixMappings="xmlns:ns0='http://schemas.openxmlformats.org/officeDocument/2006/extended-properties' " w:xpath="/ns0:Properties[1]/ns0:Company[1]" w:storeItemID="{6668398D-A668-4E3E-A5EB-62B293D839F1}"/>
                                    <w:text/>
                                  </w:sdtPr>
                                  <w:sdtContent>
                                    <w:r w:rsidR="00353ACE" w:rsidRPr="00353ACE">
                                      <w:rPr>
                                        <w:caps/>
                                        <w:color w:val="595959" w:themeColor="text1" w:themeTint="A6"/>
                                        <w:lang w:val="en-US" w:eastAsia="en-US"/>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BC6AD7D"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A4DD538" w14:textId="77777777" w:rsidR="00353ACE" w:rsidRDefault="00353ACE" w:rsidP="00353ACE">
                          <w:pPr>
                            <w:pStyle w:val="NoSpacing"/>
                            <w:rPr>
                              <w:color w:val="156082" w:themeColor="accent1"/>
                              <w:sz w:val="26"/>
                              <w:szCs w:val="26"/>
                            </w:rPr>
                          </w:pPr>
                          <w:r>
                            <w:rPr>
                              <w:color w:val="156082" w:themeColor="accent1"/>
                              <w:sz w:val="26"/>
                              <w:szCs w:val="26"/>
                            </w:rPr>
                            <w:t>University of Wales Trinity Saint David</w:t>
                          </w:r>
                        </w:p>
                        <w:p w14:paraId="0F4A8041" w14:textId="65835117" w:rsidR="00C541C7" w:rsidRDefault="00000000">
                          <w:pPr>
                            <w:pStyle w:val="NoSpacing"/>
                            <w:rPr>
                              <w:color w:val="595959" w:themeColor="text1" w:themeTint="A6"/>
                            </w:rPr>
                          </w:pPr>
                          <w:sdt>
                            <w:sdtPr>
                              <w:rPr>
                                <w:caps/>
                                <w:color w:val="595959" w:themeColor="text1" w:themeTint="A6"/>
                                <w:lang w:val="en-US" w:eastAsia="en-US"/>
                              </w:rPr>
                              <w:alias w:val="Company"/>
                              <w:tag w:val=""/>
                              <w:id w:val="1558814826"/>
                              <w:dataBinding w:prefixMappings="xmlns:ns0='http://schemas.openxmlformats.org/officeDocument/2006/extended-properties' " w:xpath="/ns0:Properties[1]/ns0:Company[1]" w:storeItemID="{6668398D-A668-4E3E-A5EB-62B293D839F1}"/>
                              <w:text/>
                            </w:sdtPr>
                            <w:sdtContent>
                              <w:r w:rsidR="00353ACE" w:rsidRPr="00353ACE">
                                <w:rPr>
                                  <w:caps/>
                                  <w:color w:val="595959" w:themeColor="text1" w:themeTint="A6"/>
                                  <w:lang w:val="en-US" w:eastAsia="en-US"/>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44D8B77" wp14:editId="6DEC3DC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0CDEC" w14:textId="1551D11F" w:rsidR="00C541C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4295C" w:rsidRPr="00E4295C">
                                      <w:rPr>
                                        <w:rFonts w:asciiTheme="majorHAnsi" w:eastAsiaTheme="majorEastAsia" w:hAnsiTheme="majorHAnsi" w:cstheme="majorBidi"/>
                                        <w:color w:val="262626" w:themeColor="text1" w:themeTint="D9"/>
                                        <w:sz w:val="72"/>
                                        <w:szCs w:val="72"/>
                                      </w:rPr>
                                      <w:t>Data Security and Compliance</w:t>
                                    </w:r>
                                  </w:sdtContent>
                                </w:sdt>
                              </w:p>
                              <w:p w14:paraId="5628C04F" w14:textId="736F90BF" w:rsidR="00C541C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4295C" w:rsidRPr="00E4295C">
                                      <w:rPr>
                                        <w:color w:val="404040" w:themeColor="text1" w:themeTint="BF"/>
                                        <w:sz w:val="36"/>
                                        <w:szCs w:val="36"/>
                                      </w:rPr>
                                      <w:t>ACCA5034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44D8B77"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940CDEC" w14:textId="1551D11F" w:rsidR="00C541C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4295C" w:rsidRPr="00E4295C">
                                <w:rPr>
                                  <w:rFonts w:asciiTheme="majorHAnsi" w:eastAsiaTheme="majorEastAsia" w:hAnsiTheme="majorHAnsi" w:cstheme="majorBidi"/>
                                  <w:color w:val="262626" w:themeColor="text1" w:themeTint="D9"/>
                                  <w:sz w:val="72"/>
                                  <w:szCs w:val="72"/>
                                </w:rPr>
                                <w:t>Data Security and Compliance</w:t>
                              </w:r>
                            </w:sdtContent>
                          </w:sdt>
                        </w:p>
                        <w:p w14:paraId="5628C04F" w14:textId="736F90BF" w:rsidR="00C541C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4295C" w:rsidRPr="00E4295C">
                                <w:rPr>
                                  <w:color w:val="404040" w:themeColor="text1" w:themeTint="BF"/>
                                  <w:sz w:val="36"/>
                                  <w:szCs w:val="36"/>
                                </w:rPr>
                                <w:t>ACCA5034</w:t>
                              </w:r>
                            </w:sdtContent>
                          </w:sdt>
                        </w:p>
                      </w:txbxContent>
                    </v:textbox>
                    <w10:wrap anchorx="page" anchory="page"/>
                  </v:shape>
                </w:pict>
              </mc:Fallback>
            </mc:AlternateContent>
          </w:r>
        </w:p>
        <w:p w14:paraId="381FC4F6" w14:textId="632B6499" w:rsidR="00C541C7" w:rsidRDefault="00E4295C">
          <w:pPr>
            <w:rPr>
              <w:sz w:val="48"/>
              <w:szCs w:val="48"/>
            </w:rPr>
          </w:pPr>
          <w:r w:rsidRPr="008554B1">
            <w:rPr>
              <w:rFonts w:ascii="Arial" w:hAnsi="Arial" w:cs="Arial"/>
              <w:noProof/>
            </w:rPr>
            <mc:AlternateContent>
              <mc:Choice Requires="wps">
                <w:drawing>
                  <wp:anchor distT="45720" distB="45720" distL="114300" distR="114300" simplePos="0" relativeHeight="251663360" behindDoc="0" locked="0" layoutInCell="1" allowOverlap="1" wp14:anchorId="12BF2324" wp14:editId="323AB4D5">
                    <wp:simplePos x="0" y="0"/>
                    <wp:positionH relativeFrom="margin">
                      <wp:posOffset>2742565</wp:posOffset>
                    </wp:positionH>
                    <wp:positionV relativeFrom="paragraph">
                      <wp:posOffset>5604510</wp:posOffset>
                    </wp:positionV>
                    <wp:extent cx="3790950" cy="1981835"/>
                    <wp:effectExtent l="0" t="0" r="1905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1981835"/>
                            </a:xfrm>
                            <a:prstGeom prst="rect">
                              <a:avLst/>
                            </a:prstGeom>
                            <a:solidFill>
                              <a:srgbClr val="FFFFFF"/>
                            </a:solidFill>
                            <a:ln w="9525">
                              <a:solidFill>
                                <a:srgbClr val="000000"/>
                              </a:solidFill>
                              <a:miter lim="800000"/>
                              <a:headEnd/>
                              <a:tailEnd/>
                            </a:ln>
                          </wps:spPr>
                          <wps:txbx>
                            <w:txbxContent>
                              <w:p w14:paraId="05955BE2" w14:textId="77777777" w:rsidR="00D24DD2" w:rsidRDefault="00E4295C" w:rsidP="00E4295C">
                                <w:pPr>
                                  <w:rPr>
                                    <w:sz w:val="32"/>
                                    <w:szCs w:val="32"/>
                                  </w:rPr>
                                </w:pPr>
                                <w:r w:rsidRPr="00E4295C">
                                  <w:rPr>
                                    <w:sz w:val="32"/>
                                    <w:szCs w:val="32"/>
                                  </w:rPr>
                                  <w:t xml:space="preserve">Module Name: Data Security and Compliance </w:t>
                                </w:r>
                              </w:p>
                              <w:p w14:paraId="455B050D" w14:textId="3C1B7CF3" w:rsidR="00E4295C" w:rsidRPr="00E4295C" w:rsidRDefault="00E4295C" w:rsidP="00E4295C">
                                <w:pPr>
                                  <w:rPr>
                                    <w:sz w:val="32"/>
                                    <w:szCs w:val="32"/>
                                  </w:rPr>
                                </w:pPr>
                                <w:r w:rsidRPr="00E4295C">
                                  <w:rPr>
                                    <w:sz w:val="32"/>
                                    <w:szCs w:val="32"/>
                                  </w:rPr>
                                  <w:t>Module Code: ACCA503</w:t>
                                </w:r>
                                <w:r>
                                  <w:rPr>
                                    <w:sz w:val="32"/>
                                    <w:szCs w:val="32"/>
                                  </w:rPr>
                                  <w:t>4</w:t>
                                </w:r>
                              </w:p>
                              <w:p w14:paraId="4FDD8D87" w14:textId="77777777" w:rsidR="00E4295C" w:rsidRPr="00E4295C" w:rsidRDefault="00E4295C" w:rsidP="00E4295C">
                                <w:pPr>
                                  <w:rPr>
                                    <w:sz w:val="32"/>
                                    <w:szCs w:val="32"/>
                                  </w:rPr>
                                </w:pPr>
                              </w:p>
                              <w:p w14:paraId="018B4AAA" w14:textId="77777777" w:rsidR="00E4295C" w:rsidRPr="00E4295C" w:rsidRDefault="00E4295C" w:rsidP="00E4295C">
                                <w:pPr>
                                  <w:rPr>
                                    <w:sz w:val="32"/>
                                    <w:szCs w:val="32"/>
                                  </w:rPr>
                                </w:pPr>
                                <w:r w:rsidRPr="00E4295C">
                                  <w:rPr>
                                    <w:sz w:val="32"/>
                                    <w:szCs w:val="32"/>
                                  </w:rPr>
                                  <w:t>Student Name: Ilia Fedorovich</w:t>
                                </w:r>
                              </w:p>
                              <w:p w14:paraId="57BC0E55" w14:textId="77777777" w:rsidR="00E4295C" w:rsidRPr="00E4295C" w:rsidRDefault="00E4295C" w:rsidP="00E4295C">
                                <w:pPr>
                                  <w:rPr>
                                    <w:sz w:val="32"/>
                                    <w:szCs w:val="32"/>
                                  </w:rPr>
                                </w:pPr>
                                <w:r w:rsidRPr="00E4295C">
                                  <w:rPr>
                                    <w:sz w:val="32"/>
                                    <w:szCs w:val="32"/>
                                  </w:rPr>
                                  <w:t>Student ID: 2410118</w:t>
                                </w:r>
                              </w:p>
                              <w:p w14:paraId="647EC405" w14:textId="77777777" w:rsidR="00E4295C" w:rsidRPr="00E4295C" w:rsidRDefault="00E4295C" w:rsidP="00E4295C">
                                <w:pPr>
                                  <w:rPr>
                                    <w:sz w:val="32"/>
                                    <w:szCs w:val="32"/>
                                  </w:rPr>
                                </w:pPr>
                              </w:p>
                              <w:p w14:paraId="2909139A" w14:textId="1C7E8658" w:rsidR="00E4295C" w:rsidRPr="00353ACE" w:rsidRDefault="00E4295C" w:rsidP="00E4295C">
                                <w:pPr>
                                  <w:rPr>
                                    <w:sz w:val="32"/>
                                    <w:szCs w:val="32"/>
                                  </w:rPr>
                                </w:pPr>
                                <w:r w:rsidRPr="00E4295C">
                                  <w:rPr>
                                    <w:sz w:val="32"/>
                                    <w:szCs w:val="32"/>
                                  </w:rPr>
                                  <w:t xml:space="preserve">Lecturer’s Name: </w:t>
                                </w:r>
                                <w:r w:rsidR="00353ACE" w:rsidRPr="00353ACE">
                                  <w:rPr>
                                    <w:sz w:val="32"/>
                                    <w:szCs w:val="32"/>
                                  </w:rPr>
                                  <w:t>Dr Ayman Al Hajjar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F2324" id="Text Box 2" o:spid="_x0000_s1057" type="#_x0000_t202" style="position:absolute;margin-left:215.95pt;margin-top:441.3pt;width:298.5pt;height:156.0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">
                    <v:textbox>
                      <w:txbxContent>
                        <w:p w14:paraId="05955BE2" w14:textId="77777777" w:rsidR="00D24DD2" w:rsidRDefault="00E4295C" w:rsidP="00E4295C">
                          <w:pPr>
                            <w:rPr>
                              <w:sz w:val="32"/>
                              <w:szCs w:val="32"/>
                            </w:rPr>
                          </w:pPr>
                          <w:r w:rsidRPr="00E4295C">
                            <w:rPr>
                              <w:sz w:val="32"/>
                              <w:szCs w:val="32"/>
                            </w:rPr>
                            <w:t xml:space="preserve">Module Name: Data Security and Compliance </w:t>
                          </w:r>
                        </w:p>
                        <w:p w14:paraId="455B050D" w14:textId="3C1B7CF3" w:rsidR="00E4295C" w:rsidRPr="00E4295C" w:rsidRDefault="00E4295C" w:rsidP="00E4295C">
                          <w:pPr>
                            <w:rPr>
                              <w:sz w:val="32"/>
                              <w:szCs w:val="32"/>
                            </w:rPr>
                          </w:pPr>
                          <w:r w:rsidRPr="00E4295C">
                            <w:rPr>
                              <w:sz w:val="32"/>
                              <w:szCs w:val="32"/>
                            </w:rPr>
                            <w:t>Module Code: ACCA503</w:t>
                          </w:r>
                          <w:r>
                            <w:rPr>
                              <w:sz w:val="32"/>
                              <w:szCs w:val="32"/>
                            </w:rPr>
                            <w:t>4</w:t>
                          </w:r>
                        </w:p>
                        <w:p w14:paraId="4FDD8D87" w14:textId="77777777" w:rsidR="00E4295C" w:rsidRPr="00E4295C" w:rsidRDefault="00E4295C" w:rsidP="00E4295C">
                          <w:pPr>
                            <w:rPr>
                              <w:sz w:val="32"/>
                              <w:szCs w:val="32"/>
                            </w:rPr>
                          </w:pPr>
                        </w:p>
                        <w:p w14:paraId="018B4AAA" w14:textId="77777777" w:rsidR="00E4295C" w:rsidRPr="00E4295C" w:rsidRDefault="00E4295C" w:rsidP="00E4295C">
                          <w:pPr>
                            <w:rPr>
                              <w:sz w:val="32"/>
                              <w:szCs w:val="32"/>
                            </w:rPr>
                          </w:pPr>
                          <w:r w:rsidRPr="00E4295C">
                            <w:rPr>
                              <w:sz w:val="32"/>
                              <w:szCs w:val="32"/>
                            </w:rPr>
                            <w:t>Student Name: Ilia Fedorovich</w:t>
                          </w:r>
                        </w:p>
                        <w:p w14:paraId="57BC0E55" w14:textId="77777777" w:rsidR="00E4295C" w:rsidRPr="00E4295C" w:rsidRDefault="00E4295C" w:rsidP="00E4295C">
                          <w:pPr>
                            <w:rPr>
                              <w:sz w:val="32"/>
                              <w:szCs w:val="32"/>
                            </w:rPr>
                          </w:pPr>
                          <w:r w:rsidRPr="00E4295C">
                            <w:rPr>
                              <w:sz w:val="32"/>
                              <w:szCs w:val="32"/>
                            </w:rPr>
                            <w:t>Student ID: 2410118</w:t>
                          </w:r>
                        </w:p>
                        <w:p w14:paraId="647EC405" w14:textId="77777777" w:rsidR="00E4295C" w:rsidRPr="00E4295C" w:rsidRDefault="00E4295C" w:rsidP="00E4295C">
                          <w:pPr>
                            <w:rPr>
                              <w:sz w:val="32"/>
                              <w:szCs w:val="32"/>
                            </w:rPr>
                          </w:pPr>
                        </w:p>
                        <w:p w14:paraId="2909139A" w14:textId="1C7E8658" w:rsidR="00E4295C" w:rsidRPr="00353ACE" w:rsidRDefault="00E4295C" w:rsidP="00E4295C">
                          <w:pPr>
                            <w:rPr>
                              <w:sz w:val="32"/>
                              <w:szCs w:val="32"/>
                            </w:rPr>
                          </w:pPr>
                          <w:r w:rsidRPr="00E4295C">
                            <w:rPr>
                              <w:sz w:val="32"/>
                              <w:szCs w:val="32"/>
                            </w:rPr>
                            <w:t xml:space="preserve">Lecturer’s Name: </w:t>
                          </w:r>
                          <w:r w:rsidR="00353ACE" w:rsidRPr="00353ACE">
                            <w:rPr>
                              <w:sz w:val="32"/>
                              <w:szCs w:val="32"/>
                            </w:rPr>
                            <w:t>Dr Ayman Al Hajjar</w:t>
                          </w:r>
                        </w:p>
                      </w:txbxContent>
                    </v:textbox>
                    <w10:wrap type="square" anchorx="margin"/>
                  </v:shape>
                </w:pict>
              </mc:Fallback>
            </mc:AlternateContent>
          </w:r>
          <w:r w:rsidR="00C541C7">
            <w:rPr>
              <w:sz w:val="48"/>
              <w:szCs w:val="48"/>
            </w:rPr>
            <w:br w:type="page"/>
          </w:r>
        </w:p>
      </w:sdtContent>
    </w:sdt>
    <w:sdt>
      <w:sdtPr>
        <w:rPr>
          <w:sz w:val="20"/>
          <w:szCs w:val="20"/>
        </w:rPr>
        <w:id w:val="435799488"/>
        <w:docPartObj>
          <w:docPartGallery w:val="Table of Contents"/>
          <w:docPartUnique/>
        </w:docPartObj>
      </w:sdtPr>
      <w:sdtEndPr>
        <w:rPr>
          <w:b/>
          <w:bCs/>
          <w:noProof/>
        </w:rPr>
      </w:sdtEndPr>
      <w:sdtContent>
        <w:p w14:paraId="35D3E8A9" w14:textId="1CABFC5C" w:rsidR="00C541C7" w:rsidRPr="00B22D22" w:rsidRDefault="00C541C7" w:rsidP="00B22D22">
          <w:pPr>
            <w:pStyle w:val="Title"/>
            <w:jc w:val="center"/>
            <w:rPr>
              <w:sz w:val="48"/>
              <w:szCs w:val="48"/>
            </w:rPr>
          </w:pPr>
          <w:r w:rsidRPr="00B22D22">
            <w:rPr>
              <w:sz w:val="48"/>
              <w:szCs w:val="48"/>
            </w:rPr>
            <w:t>Contents</w:t>
          </w:r>
        </w:p>
        <w:p w14:paraId="5DB4CC86" w14:textId="27C425B8" w:rsidR="00B22D22" w:rsidRPr="00B22D22" w:rsidRDefault="00C541C7">
          <w:pPr>
            <w:pStyle w:val="TOC1"/>
            <w:tabs>
              <w:tab w:val="left" w:pos="480"/>
              <w:tab w:val="right" w:leader="dot" w:pos="10110"/>
            </w:tabs>
            <w:rPr>
              <w:rFonts w:eastAsiaTheme="minorEastAsia"/>
              <w:noProof/>
              <w:kern w:val="2"/>
              <w14:ligatures w14:val="standardContextual"/>
            </w:rPr>
          </w:pPr>
          <w:r w:rsidRPr="00B22D22">
            <w:fldChar w:fldCharType="begin"/>
          </w:r>
          <w:r w:rsidRPr="00B22D22">
            <w:instrText xml:space="preserve"> TOC \o "1-3" \h \z \u </w:instrText>
          </w:r>
          <w:r w:rsidRPr="00B22D22">
            <w:fldChar w:fldCharType="separate"/>
          </w:r>
          <w:hyperlink w:anchor="_Toc228394992" w:history="1">
            <w:r w:rsidR="00B22D22" w:rsidRPr="00B22D22">
              <w:rPr>
                <w:rStyle w:val="Hyperlink"/>
                <w:smallCaps/>
                <w:noProof/>
              </w:rPr>
              <w:t>I.</w:t>
            </w:r>
            <w:r w:rsidR="00B22D22" w:rsidRPr="00B22D22">
              <w:rPr>
                <w:rFonts w:eastAsiaTheme="minorEastAsia"/>
                <w:noProof/>
                <w:kern w:val="2"/>
                <w14:ligatures w14:val="standardContextual"/>
              </w:rPr>
              <w:tab/>
            </w:r>
            <w:r w:rsidR="00B22D22" w:rsidRPr="00B22D22">
              <w:rPr>
                <w:rStyle w:val="Hyperlink"/>
                <w:smallCaps/>
                <w:noProof/>
              </w:rPr>
              <w:t>Introduction</w:t>
            </w:r>
            <w:r w:rsidR="00B22D22" w:rsidRPr="00B22D22">
              <w:rPr>
                <w:noProof/>
                <w:webHidden/>
              </w:rPr>
              <w:tab/>
            </w:r>
            <w:r w:rsidR="00B22D22" w:rsidRPr="00B22D22">
              <w:rPr>
                <w:noProof/>
                <w:webHidden/>
              </w:rPr>
              <w:fldChar w:fldCharType="begin"/>
            </w:r>
            <w:r w:rsidR="00B22D22" w:rsidRPr="00B22D22">
              <w:rPr>
                <w:noProof/>
                <w:webHidden/>
              </w:rPr>
              <w:instrText xml:space="preserve"> PAGEREF _Toc228394992 \h </w:instrText>
            </w:r>
            <w:r w:rsidR="00B22D22" w:rsidRPr="00B22D22">
              <w:rPr>
                <w:noProof/>
                <w:webHidden/>
              </w:rPr>
            </w:r>
            <w:r w:rsidR="00B22D22" w:rsidRPr="00B22D22">
              <w:rPr>
                <w:noProof/>
                <w:webHidden/>
              </w:rPr>
              <w:fldChar w:fldCharType="separate"/>
            </w:r>
            <w:r w:rsidR="00B22D22" w:rsidRPr="00B22D22">
              <w:rPr>
                <w:noProof/>
                <w:webHidden/>
              </w:rPr>
              <w:t>2</w:t>
            </w:r>
            <w:r w:rsidR="00B22D22" w:rsidRPr="00B22D22">
              <w:rPr>
                <w:noProof/>
                <w:webHidden/>
              </w:rPr>
              <w:fldChar w:fldCharType="end"/>
            </w:r>
          </w:hyperlink>
        </w:p>
        <w:p w14:paraId="7C17245E" w14:textId="1892BDE4" w:rsidR="00B22D22" w:rsidRPr="00B22D22" w:rsidRDefault="00B22D22">
          <w:pPr>
            <w:pStyle w:val="TOC1"/>
            <w:tabs>
              <w:tab w:val="left" w:pos="480"/>
              <w:tab w:val="right" w:leader="dot" w:pos="10110"/>
            </w:tabs>
            <w:rPr>
              <w:rFonts w:eastAsiaTheme="minorEastAsia"/>
              <w:noProof/>
              <w:kern w:val="2"/>
              <w14:ligatures w14:val="standardContextual"/>
            </w:rPr>
          </w:pPr>
          <w:hyperlink w:anchor="_Toc228394993" w:history="1">
            <w:r w:rsidRPr="00B22D22">
              <w:rPr>
                <w:rStyle w:val="Hyperlink"/>
                <w:smallCaps/>
                <w:noProof/>
              </w:rPr>
              <w:t>II.</w:t>
            </w:r>
            <w:r w:rsidRPr="00B22D22">
              <w:rPr>
                <w:rFonts w:eastAsiaTheme="minorEastAsia"/>
                <w:noProof/>
                <w:kern w:val="2"/>
                <w14:ligatures w14:val="standardContextual"/>
              </w:rPr>
              <w:tab/>
            </w:r>
            <w:r w:rsidRPr="00B22D22">
              <w:rPr>
                <w:rStyle w:val="Hyperlink"/>
                <w:smallCaps/>
                <w:noProof/>
              </w:rPr>
              <w:t>Understanding Zero Trust Architecture</w:t>
            </w:r>
            <w:r w:rsidRPr="00B22D22">
              <w:rPr>
                <w:noProof/>
                <w:webHidden/>
              </w:rPr>
              <w:tab/>
            </w:r>
            <w:r w:rsidRPr="00B22D22">
              <w:rPr>
                <w:noProof/>
                <w:webHidden/>
              </w:rPr>
              <w:fldChar w:fldCharType="begin"/>
            </w:r>
            <w:r w:rsidRPr="00B22D22">
              <w:rPr>
                <w:noProof/>
                <w:webHidden/>
              </w:rPr>
              <w:instrText xml:space="preserve"> PAGEREF _Toc228394993 \h </w:instrText>
            </w:r>
            <w:r w:rsidRPr="00B22D22">
              <w:rPr>
                <w:noProof/>
                <w:webHidden/>
              </w:rPr>
            </w:r>
            <w:r w:rsidRPr="00B22D22">
              <w:rPr>
                <w:noProof/>
                <w:webHidden/>
              </w:rPr>
              <w:fldChar w:fldCharType="separate"/>
            </w:r>
            <w:r w:rsidRPr="00B22D22">
              <w:rPr>
                <w:noProof/>
                <w:webHidden/>
              </w:rPr>
              <w:t>2</w:t>
            </w:r>
            <w:r w:rsidRPr="00B22D22">
              <w:rPr>
                <w:noProof/>
                <w:webHidden/>
              </w:rPr>
              <w:fldChar w:fldCharType="end"/>
            </w:r>
          </w:hyperlink>
        </w:p>
        <w:p w14:paraId="1EDB1560" w14:textId="172566BB" w:rsidR="00B22D22" w:rsidRPr="00B22D22" w:rsidRDefault="00B22D22">
          <w:pPr>
            <w:pStyle w:val="TOC1"/>
            <w:tabs>
              <w:tab w:val="left" w:pos="720"/>
              <w:tab w:val="right" w:leader="dot" w:pos="10110"/>
            </w:tabs>
            <w:rPr>
              <w:rFonts w:eastAsiaTheme="minorEastAsia"/>
              <w:noProof/>
              <w:kern w:val="2"/>
              <w14:ligatures w14:val="standardContextual"/>
            </w:rPr>
          </w:pPr>
          <w:hyperlink w:anchor="_Toc228394994" w:history="1">
            <w:r w:rsidRPr="00B22D22">
              <w:rPr>
                <w:rStyle w:val="Hyperlink"/>
                <w:smallCaps/>
                <w:noProof/>
              </w:rPr>
              <w:t>III.</w:t>
            </w:r>
            <w:r w:rsidRPr="00B22D22">
              <w:rPr>
                <w:rFonts w:eastAsiaTheme="minorEastAsia"/>
                <w:noProof/>
                <w:kern w:val="2"/>
                <w14:ligatures w14:val="standardContextual"/>
              </w:rPr>
              <w:tab/>
            </w:r>
            <w:r w:rsidRPr="00B22D22">
              <w:rPr>
                <w:rStyle w:val="Hyperlink"/>
                <w:smallCaps/>
                <w:noProof/>
              </w:rPr>
              <w:t>Analysis Compared to Traditional Models</w:t>
            </w:r>
            <w:r w:rsidRPr="00B22D22">
              <w:rPr>
                <w:noProof/>
                <w:webHidden/>
              </w:rPr>
              <w:tab/>
            </w:r>
            <w:r w:rsidRPr="00B22D22">
              <w:rPr>
                <w:noProof/>
                <w:webHidden/>
              </w:rPr>
              <w:fldChar w:fldCharType="begin"/>
            </w:r>
            <w:r w:rsidRPr="00B22D22">
              <w:rPr>
                <w:noProof/>
                <w:webHidden/>
              </w:rPr>
              <w:instrText xml:space="preserve"> PAGEREF _Toc228394994 \h </w:instrText>
            </w:r>
            <w:r w:rsidRPr="00B22D22">
              <w:rPr>
                <w:noProof/>
                <w:webHidden/>
              </w:rPr>
            </w:r>
            <w:r w:rsidRPr="00B22D22">
              <w:rPr>
                <w:noProof/>
                <w:webHidden/>
              </w:rPr>
              <w:fldChar w:fldCharType="separate"/>
            </w:r>
            <w:r w:rsidRPr="00B22D22">
              <w:rPr>
                <w:noProof/>
                <w:webHidden/>
              </w:rPr>
              <w:t>2</w:t>
            </w:r>
            <w:r w:rsidRPr="00B22D22">
              <w:rPr>
                <w:noProof/>
                <w:webHidden/>
              </w:rPr>
              <w:fldChar w:fldCharType="end"/>
            </w:r>
          </w:hyperlink>
        </w:p>
        <w:p w14:paraId="55CFB4A7" w14:textId="68228C24" w:rsidR="00B22D22" w:rsidRPr="00B22D22" w:rsidRDefault="00B22D22">
          <w:pPr>
            <w:pStyle w:val="TOC1"/>
            <w:tabs>
              <w:tab w:val="left" w:pos="720"/>
              <w:tab w:val="right" w:leader="dot" w:pos="10110"/>
            </w:tabs>
            <w:rPr>
              <w:rFonts w:eastAsiaTheme="minorEastAsia"/>
              <w:noProof/>
              <w:kern w:val="2"/>
              <w14:ligatures w14:val="standardContextual"/>
            </w:rPr>
          </w:pPr>
          <w:hyperlink w:anchor="_Toc228394995" w:history="1">
            <w:r w:rsidRPr="00B22D22">
              <w:rPr>
                <w:rStyle w:val="Hyperlink"/>
                <w:smallCaps/>
                <w:noProof/>
              </w:rPr>
              <w:t>IV.</w:t>
            </w:r>
            <w:r w:rsidRPr="00B22D22">
              <w:rPr>
                <w:rFonts w:eastAsiaTheme="minorEastAsia"/>
                <w:noProof/>
                <w:kern w:val="2"/>
                <w14:ligatures w14:val="standardContextual"/>
              </w:rPr>
              <w:tab/>
            </w:r>
            <w:r w:rsidRPr="00B22D22">
              <w:rPr>
                <w:rStyle w:val="Hyperlink"/>
                <w:smallCaps/>
                <w:noProof/>
              </w:rPr>
              <w:t>Implementation Challenges</w:t>
            </w:r>
            <w:r w:rsidRPr="00B22D22">
              <w:rPr>
                <w:noProof/>
                <w:webHidden/>
              </w:rPr>
              <w:tab/>
            </w:r>
            <w:r w:rsidRPr="00B22D22">
              <w:rPr>
                <w:noProof/>
                <w:webHidden/>
              </w:rPr>
              <w:fldChar w:fldCharType="begin"/>
            </w:r>
            <w:r w:rsidRPr="00B22D22">
              <w:rPr>
                <w:noProof/>
                <w:webHidden/>
              </w:rPr>
              <w:instrText xml:space="preserve"> PAGEREF _Toc228394995 \h </w:instrText>
            </w:r>
            <w:r w:rsidRPr="00B22D22">
              <w:rPr>
                <w:noProof/>
                <w:webHidden/>
              </w:rPr>
            </w:r>
            <w:r w:rsidRPr="00B22D22">
              <w:rPr>
                <w:noProof/>
                <w:webHidden/>
              </w:rPr>
              <w:fldChar w:fldCharType="separate"/>
            </w:r>
            <w:r w:rsidRPr="00B22D22">
              <w:rPr>
                <w:noProof/>
                <w:webHidden/>
              </w:rPr>
              <w:t>3</w:t>
            </w:r>
            <w:r w:rsidRPr="00B22D22">
              <w:rPr>
                <w:noProof/>
                <w:webHidden/>
              </w:rPr>
              <w:fldChar w:fldCharType="end"/>
            </w:r>
          </w:hyperlink>
        </w:p>
        <w:p w14:paraId="1C524E06" w14:textId="6126DC85" w:rsidR="00B22D22" w:rsidRPr="00B22D22" w:rsidRDefault="00B22D22">
          <w:pPr>
            <w:pStyle w:val="TOC1"/>
            <w:tabs>
              <w:tab w:val="left" w:pos="480"/>
              <w:tab w:val="right" w:leader="dot" w:pos="10110"/>
            </w:tabs>
            <w:rPr>
              <w:rFonts w:eastAsiaTheme="minorEastAsia"/>
              <w:noProof/>
              <w:kern w:val="2"/>
              <w14:ligatures w14:val="standardContextual"/>
            </w:rPr>
          </w:pPr>
          <w:hyperlink w:anchor="_Toc228394996" w:history="1">
            <w:r w:rsidRPr="00B22D22">
              <w:rPr>
                <w:rStyle w:val="Hyperlink"/>
                <w:smallCaps/>
                <w:noProof/>
              </w:rPr>
              <w:t>V.</w:t>
            </w:r>
            <w:r w:rsidRPr="00B22D22">
              <w:rPr>
                <w:rFonts w:eastAsiaTheme="minorEastAsia"/>
                <w:noProof/>
                <w:kern w:val="2"/>
                <w14:ligatures w14:val="standardContextual"/>
              </w:rPr>
              <w:tab/>
            </w:r>
            <w:r w:rsidRPr="00B22D22">
              <w:rPr>
                <w:rStyle w:val="Hyperlink"/>
                <w:smallCaps/>
                <w:noProof/>
              </w:rPr>
              <w:t>Evaluation and Practical Implications</w:t>
            </w:r>
            <w:r w:rsidRPr="00B22D22">
              <w:rPr>
                <w:noProof/>
                <w:webHidden/>
              </w:rPr>
              <w:tab/>
            </w:r>
            <w:r w:rsidRPr="00B22D22">
              <w:rPr>
                <w:noProof/>
                <w:webHidden/>
              </w:rPr>
              <w:fldChar w:fldCharType="begin"/>
            </w:r>
            <w:r w:rsidRPr="00B22D22">
              <w:rPr>
                <w:noProof/>
                <w:webHidden/>
              </w:rPr>
              <w:instrText xml:space="preserve"> PAGEREF _Toc228394996 \h </w:instrText>
            </w:r>
            <w:r w:rsidRPr="00B22D22">
              <w:rPr>
                <w:noProof/>
                <w:webHidden/>
              </w:rPr>
            </w:r>
            <w:r w:rsidRPr="00B22D22">
              <w:rPr>
                <w:noProof/>
                <w:webHidden/>
              </w:rPr>
              <w:fldChar w:fldCharType="separate"/>
            </w:r>
            <w:r w:rsidRPr="00B22D22">
              <w:rPr>
                <w:noProof/>
                <w:webHidden/>
              </w:rPr>
              <w:t>3</w:t>
            </w:r>
            <w:r w:rsidRPr="00B22D22">
              <w:rPr>
                <w:noProof/>
                <w:webHidden/>
              </w:rPr>
              <w:fldChar w:fldCharType="end"/>
            </w:r>
          </w:hyperlink>
        </w:p>
        <w:p w14:paraId="1C88107A" w14:textId="73434A0A" w:rsidR="00B22D22" w:rsidRPr="00B22D22" w:rsidRDefault="00B22D22">
          <w:pPr>
            <w:pStyle w:val="TOC1"/>
            <w:tabs>
              <w:tab w:val="left" w:pos="720"/>
              <w:tab w:val="right" w:leader="dot" w:pos="10110"/>
            </w:tabs>
            <w:rPr>
              <w:rFonts w:eastAsiaTheme="minorEastAsia"/>
              <w:noProof/>
              <w:kern w:val="2"/>
              <w14:ligatures w14:val="standardContextual"/>
            </w:rPr>
          </w:pPr>
          <w:hyperlink w:anchor="_Toc228394997" w:history="1">
            <w:r w:rsidRPr="00B22D22">
              <w:rPr>
                <w:rStyle w:val="Hyperlink"/>
                <w:smallCaps/>
                <w:noProof/>
              </w:rPr>
              <w:t>VI.</w:t>
            </w:r>
            <w:r w:rsidRPr="00B22D22">
              <w:rPr>
                <w:rFonts w:eastAsiaTheme="minorEastAsia"/>
                <w:noProof/>
                <w:kern w:val="2"/>
                <w14:ligatures w14:val="standardContextual"/>
              </w:rPr>
              <w:tab/>
            </w:r>
            <w:r w:rsidRPr="00B22D22">
              <w:rPr>
                <w:rStyle w:val="Hyperlink"/>
                <w:smallCaps/>
                <w:noProof/>
              </w:rPr>
              <w:t>Conclusion</w:t>
            </w:r>
            <w:r w:rsidRPr="00B22D22">
              <w:rPr>
                <w:noProof/>
                <w:webHidden/>
              </w:rPr>
              <w:tab/>
            </w:r>
            <w:r w:rsidRPr="00B22D22">
              <w:rPr>
                <w:noProof/>
                <w:webHidden/>
              </w:rPr>
              <w:fldChar w:fldCharType="begin"/>
            </w:r>
            <w:r w:rsidRPr="00B22D22">
              <w:rPr>
                <w:noProof/>
                <w:webHidden/>
              </w:rPr>
              <w:instrText xml:space="preserve"> PAGEREF _Toc228394997 \h </w:instrText>
            </w:r>
            <w:r w:rsidRPr="00B22D22">
              <w:rPr>
                <w:noProof/>
                <w:webHidden/>
              </w:rPr>
            </w:r>
            <w:r w:rsidRPr="00B22D22">
              <w:rPr>
                <w:noProof/>
                <w:webHidden/>
              </w:rPr>
              <w:fldChar w:fldCharType="separate"/>
            </w:r>
            <w:r w:rsidRPr="00B22D22">
              <w:rPr>
                <w:noProof/>
                <w:webHidden/>
              </w:rPr>
              <w:t>4</w:t>
            </w:r>
            <w:r w:rsidRPr="00B22D22">
              <w:rPr>
                <w:noProof/>
                <w:webHidden/>
              </w:rPr>
              <w:fldChar w:fldCharType="end"/>
            </w:r>
          </w:hyperlink>
        </w:p>
        <w:p w14:paraId="2AECD90F" w14:textId="7994228E" w:rsidR="00B22D22" w:rsidRPr="00B22D22" w:rsidRDefault="00B22D22">
          <w:pPr>
            <w:pStyle w:val="TOC1"/>
            <w:tabs>
              <w:tab w:val="left" w:pos="480"/>
              <w:tab w:val="right" w:leader="dot" w:pos="10110"/>
            </w:tabs>
            <w:rPr>
              <w:rFonts w:eastAsiaTheme="minorEastAsia"/>
              <w:noProof/>
              <w:kern w:val="2"/>
              <w14:ligatures w14:val="standardContextual"/>
            </w:rPr>
          </w:pPr>
          <w:hyperlink w:anchor="_Toc228394998" w:history="1">
            <w:r w:rsidRPr="00B22D22">
              <w:rPr>
                <w:rStyle w:val="Hyperlink"/>
                <w:smallCaps/>
                <w:noProof/>
              </w:rPr>
              <w:t>I.</w:t>
            </w:r>
            <w:r w:rsidRPr="00B22D22">
              <w:rPr>
                <w:rFonts w:eastAsiaTheme="minorEastAsia"/>
                <w:noProof/>
                <w:kern w:val="2"/>
                <w14:ligatures w14:val="standardContextual"/>
              </w:rPr>
              <w:tab/>
            </w:r>
            <w:r w:rsidRPr="00B22D22">
              <w:rPr>
                <w:rStyle w:val="Hyperlink"/>
                <w:smallCaps/>
                <w:noProof/>
              </w:rPr>
              <w:t>Introduction</w:t>
            </w:r>
            <w:r w:rsidRPr="00B22D22">
              <w:rPr>
                <w:noProof/>
                <w:webHidden/>
              </w:rPr>
              <w:tab/>
            </w:r>
            <w:r w:rsidRPr="00B22D22">
              <w:rPr>
                <w:noProof/>
                <w:webHidden/>
              </w:rPr>
              <w:fldChar w:fldCharType="begin"/>
            </w:r>
            <w:r w:rsidRPr="00B22D22">
              <w:rPr>
                <w:noProof/>
                <w:webHidden/>
              </w:rPr>
              <w:instrText xml:space="preserve"> PAGEREF _Toc228394998 \h </w:instrText>
            </w:r>
            <w:r w:rsidRPr="00B22D22">
              <w:rPr>
                <w:noProof/>
                <w:webHidden/>
              </w:rPr>
            </w:r>
            <w:r w:rsidRPr="00B22D22">
              <w:rPr>
                <w:noProof/>
                <w:webHidden/>
              </w:rPr>
              <w:fldChar w:fldCharType="separate"/>
            </w:r>
            <w:r w:rsidRPr="00B22D22">
              <w:rPr>
                <w:noProof/>
                <w:webHidden/>
              </w:rPr>
              <w:t>5</w:t>
            </w:r>
            <w:r w:rsidRPr="00B22D22">
              <w:rPr>
                <w:noProof/>
                <w:webHidden/>
              </w:rPr>
              <w:fldChar w:fldCharType="end"/>
            </w:r>
          </w:hyperlink>
        </w:p>
        <w:p w14:paraId="5B4FEBE4" w14:textId="3CF09B5F" w:rsidR="00B22D22" w:rsidRPr="00B22D22" w:rsidRDefault="00B22D22">
          <w:pPr>
            <w:pStyle w:val="TOC1"/>
            <w:tabs>
              <w:tab w:val="left" w:pos="480"/>
              <w:tab w:val="right" w:leader="dot" w:pos="10110"/>
            </w:tabs>
            <w:rPr>
              <w:rFonts w:eastAsiaTheme="minorEastAsia"/>
              <w:noProof/>
              <w:kern w:val="2"/>
              <w14:ligatures w14:val="standardContextual"/>
            </w:rPr>
          </w:pPr>
          <w:hyperlink w:anchor="_Toc228394999" w:history="1">
            <w:r w:rsidRPr="00B22D22">
              <w:rPr>
                <w:rStyle w:val="Hyperlink"/>
                <w:smallCaps/>
                <w:noProof/>
              </w:rPr>
              <w:t>II.</w:t>
            </w:r>
            <w:r w:rsidRPr="00B22D22">
              <w:rPr>
                <w:rFonts w:eastAsiaTheme="minorEastAsia"/>
                <w:noProof/>
                <w:kern w:val="2"/>
                <w14:ligatures w14:val="standardContextual"/>
              </w:rPr>
              <w:tab/>
            </w:r>
            <w:r w:rsidRPr="00B22D22">
              <w:rPr>
                <w:rStyle w:val="Hyperlink"/>
                <w:smallCaps/>
                <w:noProof/>
              </w:rPr>
              <w:t>Organisational Context and Risk Overview</w:t>
            </w:r>
            <w:r w:rsidRPr="00B22D22">
              <w:rPr>
                <w:noProof/>
                <w:webHidden/>
              </w:rPr>
              <w:tab/>
            </w:r>
            <w:r w:rsidRPr="00B22D22">
              <w:rPr>
                <w:noProof/>
                <w:webHidden/>
              </w:rPr>
              <w:fldChar w:fldCharType="begin"/>
            </w:r>
            <w:r w:rsidRPr="00B22D22">
              <w:rPr>
                <w:noProof/>
                <w:webHidden/>
              </w:rPr>
              <w:instrText xml:space="preserve"> PAGEREF _Toc228394999 \h </w:instrText>
            </w:r>
            <w:r w:rsidRPr="00B22D22">
              <w:rPr>
                <w:noProof/>
                <w:webHidden/>
              </w:rPr>
            </w:r>
            <w:r w:rsidRPr="00B22D22">
              <w:rPr>
                <w:noProof/>
                <w:webHidden/>
              </w:rPr>
              <w:fldChar w:fldCharType="separate"/>
            </w:r>
            <w:r w:rsidRPr="00B22D22">
              <w:rPr>
                <w:noProof/>
                <w:webHidden/>
              </w:rPr>
              <w:t>5</w:t>
            </w:r>
            <w:r w:rsidRPr="00B22D22">
              <w:rPr>
                <w:noProof/>
                <w:webHidden/>
              </w:rPr>
              <w:fldChar w:fldCharType="end"/>
            </w:r>
          </w:hyperlink>
        </w:p>
        <w:p w14:paraId="241962B2" w14:textId="1A9F1315" w:rsidR="00B22D22" w:rsidRPr="00B22D22" w:rsidRDefault="00B22D22">
          <w:pPr>
            <w:pStyle w:val="TOC1"/>
            <w:tabs>
              <w:tab w:val="left" w:pos="720"/>
              <w:tab w:val="right" w:leader="dot" w:pos="10110"/>
            </w:tabs>
            <w:rPr>
              <w:rFonts w:eastAsiaTheme="minorEastAsia"/>
              <w:noProof/>
              <w:kern w:val="2"/>
              <w14:ligatures w14:val="standardContextual"/>
            </w:rPr>
          </w:pPr>
          <w:hyperlink w:anchor="_Toc228395000" w:history="1">
            <w:r w:rsidRPr="00B22D22">
              <w:rPr>
                <w:rStyle w:val="Hyperlink"/>
                <w:smallCaps/>
                <w:noProof/>
              </w:rPr>
              <w:t>III.</w:t>
            </w:r>
            <w:r w:rsidRPr="00B22D22">
              <w:rPr>
                <w:rFonts w:eastAsiaTheme="minorEastAsia"/>
                <w:noProof/>
                <w:kern w:val="2"/>
                <w14:ligatures w14:val="standardContextual"/>
              </w:rPr>
              <w:tab/>
            </w:r>
            <w:r w:rsidRPr="00B22D22">
              <w:rPr>
                <w:rStyle w:val="Hyperlink"/>
                <w:smallCaps/>
                <w:noProof/>
              </w:rPr>
              <w:t>Zero Trust Security Architecture Design</w:t>
            </w:r>
            <w:r w:rsidRPr="00B22D22">
              <w:rPr>
                <w:noProof/>
                <w:webHidden/>
              </w:rPr>
              <w:tab/>
            </w:r>
            <w:r w:rsidRPr="00B22D22">
              <w:rPr>
                <w:noProof/>
                <w:webHidden/>
              </w:rPr>
              <w:fldChar w:fldCharType="begin"/>
            </w:r>
            <w:r w:rsidRPr="00B22D22">
              <w:rPr>
                <w:noProof/>
                <w:webHidden/>
              </w:rPr>
              <w:instrText xml:space="preserve"> PAGEREF _Toc228395000 \h </w:instrText>
            </w:r>
            <w:r w:rsidRPr="00B22D22">
              <w:rPr>
                <w:noProof/>
                <w:webHidden/>
              </w:rPr>
            </w:r>
            <w:r w:rsidRPr="00B22D22">
              <w:rPr>
                <w:noProof/>
                <w:webHidden/>
              </w:rPr>
              <w:fldChar w:fldCharType="separate"/>
            </w:r>
            <w:r w:rsidRPr="00B22D22">
              <w:rPr>
                <w:noProof/>
                <w:webHidden/>
              </w:rPr>
              <w:t>5</w:t>
            </w:r>
            <w:r w:rsidRPr="00B22D22">
              <w:rPr>
                <w:noProof/>
                <w:webHidden/>
              </w:rPr>
              <w:fldChar w:fldCharType="end"/>
            </w:r>
          </w:hyperlink>
        </w:p>
        <w:p w14:paraId="7CEC0A79" w14:textId="5379297E" w:rsidR="00B22D22" w:rsidRPr="00B22D22" w:rsidRDefault="00B22D22">
          <w:pPr>
            <w:pStyle w:val="TOC1"/>
            <w:tabs>
              <w:tab w:val="left" w:pos="720"/>
              <w:tab w:val="right" w:leader="dot" w:pos="10110"/>
            </w:tabs>
            <w:rPr>
              <w:rFonts w:eastAsiaTheme="minorEastAsia"/>
              <w:noProof/>
              <w:kern w:val="2"/>
              <w14:ligatures w14:val="standardContextual"/>
            </w:rPr>
          </w:pPr>
          <w:hyperlink w:anchor="_Toc228395001" w:history="1">
            <w:r w:rsidRPr="00B22D22">
              <w:rPr>
                <w:rStyle w:val="Hyperlink"/>
                <w:smallCaps/>
                <w:noProof/>
              </w:rPr>
              <w:t>IV.</w:t>
            </w:r>
            <w:r w:rsidRPr="00B22D22">
              <w:rPr>
                <w:rFonts w:eastAsiaTheme="minorEastAsia"/>
                <w:noProof/>
                <w:kern w:val="2"/>
                <w14:ligatures w14:val="standardContextual"/>
              </w:rPr>
              <w:tab/>
            </w:r>
            <w:r w:rsidRPr="00B22D22">
              <w:rPr>
                <w:rStyle w:val="Hyperlink"/>
                <w:smallCaps/>
                <w:noProof/>
              </w:rPr>
              <w:t>Identity and Access Management Strategy</w:t>
            </w:r>
            <w:r w:rsidRPr="00B22D22">
              <w:rPr>
                <w:noProof/>
                <w:webHidden/>
              </w:rPr>
              <w:tab/>
            </w:r>
            <w:r w:rsidRPr="00B22D22">
              <w:rPr>
                <w:noProof/>
                <w:webHidden/>
              </w:rPr>
              <w:fldChar w:fldCharType="begin"/>
            </w:r>
            <w:r w:rsidRPr="00B22D22">
              <w:rPr>
                <w:noProof/>
                <w:webHidden/>
              </w:rPr>
              <w:instrText xml:space="preserve"> PAGEREF _Toc228395001 \h </w:instrText>
            </w:r>
            <w:r w:rsidRPr="00B22D22">
              <w:rPr>
                <w:noProof/>
                <w:webHidden/>
              </w:rPr>
            </w:r>
            <w:r w:rsidRPr="00B22D22">
              <w:rPr>
                <w:noProof/>
                <w:webHidden/>
              </w:rPr>
              <w:fldChar w:fldCharType="separate"/>
            </w:r>
            <w:r w:rsidRPr="00B22D22">
              <w:rPr>
                <w:noProof/>
                <w:webHidden/>
              </w:rPr>
              <w:t>6</w:t>
            </w:r>
            <w:r w:rsidRPr="00B22D22">
              <w:rPr>
                <w:noProof/>
                <w:webHidden/>
              </w:rPr>
              <w:fldChar w:fldCharType="end"/>
            </w:r>
          </w:hyperlink>
        </w:p>
        <w:p w14:paraId="065AAC90" w14:textId="3EB405A4" w:rsidR="00B22D22" w:rsidRPr="00B22D22" w:rsidRDefault="00B22D22">
          <w:pPr>
            <w:pStyle w:val="TOC1"/>
            <w:tabs>
              <w:tab w:val="left" w:pos="480"/>
              <w:tab w:val="right" w:leader="dot" w:pos="10110"/>
            </w:tabs>
            <w:rPr>
              <w:rFonts w:eastAsiaTheme="minorEastAsia"/>
              <w:noProof/>
              <w:kern w:val="2"/>
              <w14:ligatures w14:val="standardContextual"/>
            </w:rPr>
          </w:pPr>
          <w:hyperlink w:anchor="_Toc228395002" w:history="1">
            <w:r w:rsidRPr="00B22D22">
              <w:rPr>
                <w:rStyle w:val="Hyperlink"/>
                <w:smallCaps/>
                <w:noProof/>
              </w:rPr>
              <w:t>V.</w:t>
            </w:r>
            <w:r w:rsidRPr="00B22D22">
              <w:rPr>
                <w:rFonts w:eastAsiaTheme="minorEastAsia"/>
                <w:noProof/>
                <w:kern w:val="2"/>
                <w14:ligatures w14:val="standardContextual"/>
              </w:rPr>
              <w:tab/>
            </w:r>
            <w:r w:rsidRPr="00B22D22">
              <w:rPr>
                <w:rStyle w:val="Hyperlink"/>
                <w:smallCaps/>
                <w:noProof/>
              </w:rPr>
              <w:t>Organisational Structure and Policies</w:t>
            </w:r>
            <w:r w:rsidRPr="00B22D22">
              <w:rPr>
                <w:noProof/>
                <w:webHidden/>
              </w:rPr>
              <w:tab/>
            </w:r>
            <w:r w:rsidRPr="00B22D22">
              <w:rPr>
                <w:noProof/>
                <w:webHidden/>
              </w:rPr>
              <w:fldChar w:fldCharType="begin"/>
            </w:r>
            <w:r w:rsidRPr="00B22D22">
              <w:rPr>
                <w:noProof/>
                <w:webHidden/>
              </w:rPr>
              <w:instrText xml:space="preserve"> PAGEREF _Toc228395002 \h </w:instrText>
            </w:r>
            <w:r w:rsidRPr="00B22D22">
              <w:rPr>
                <w:noProof/>
                <w:webHidden/>
              </w:rPr>
            </w:r>
            <w:r w:rsidRPr="00B22D22">
              <w:rPr>
                <w:noProof/>
                <w:webHidden/>
              </w:rPr>
              <w:fldChar w:fldCharType="separate"/>
            </w:r>
            <w:r w:rsidRPr="00B22D22">
              <w:rPr>
                <w:noProof/>
                <w:webHidden/>
              </w:rPr>
              <w:t>6</w:t>
            </w:r>
            <w:r w:rsidRPr="00B22D22">
              <w:rPr>
                <w:noProof/>
                <w:webHidden/>
              </w:rPr>
              <w:fldChar w:fldCharType="end"/>
            </w:r>
          </w:hyperlink>
        </w:p>
        <w:p w14:paraId="5F9AB34D" w14:textId="625FB263" w:rsidR="00B22D22" w:rsidRPr="00B22D22" w:rsidRDefault="00B22D22">
          <w:pPr>
            <w:pStyle w:val="TOC2"/>
            <w:tabs>
              <w:tab w:val="left" w:pos="720"/>
              <w:tab w:val="right" w:leader="dot" w:pos="10110"/>
            </w:tabs>
            <w:rPr>
              <w:noProof/>
            </w:rPr>
          </w:pPr>
          <w:hyperlink w:anchor="_Toc228395003" w:history="1">
            <w:r w:rsidRPr="00B22D22">
              <w:rPr>
                <w:rStyle w:val="Hyperlink"/>
                <w:noProof/>
              </w:rPr>
              <w:t>A.</w:t>
            </w:r>
            <w:r w:rsidRPr="00B22D22">
              <w:rPr>
                <w:noProof/>
              </w:rPr>
              <w:tab/>
            </w:r>
            <w:r w:rsidRPr="00B22D22">
              <w:rPr>
                <w:rStyle w:val="Hyperlink"/>
                <w:noProof/>
              </w:rPr>
              <w:t>Security organisational structure</w:t>
            </w:r>
            <w:r w:rsidRPr="00B22D22">
              <w:rPr>
                <w:noProof/>
                <w:webHidden/>
              </w:rPr>
              <w:tab/>
            </w:r>
            <w:r w:rsidRPr="00B22D22">
              <w:rPr>
                <w:noProof/>
                <w:webHidden/>
              </w:rPr>
              <w:fldChar w:fldCharType="begin"/>
            </w:r>
            <w:r w:rsidRPr="00B22D22">
              <w:rPr>
                <w:noProof/>
                <w:webHidden/>
              </w:rPr>
              <w:instrText xml:space="preserve"> PAGEREF _Toc228395003 \h </w:instrText>
            </w:r>
            <w:r w:rsidRPr="00B22D22">
              <w:rPr>
                <w:noProof/>
                <w:webHidden/>
              </w:rPr>
            </w:r>
            <w:r w:rsidRPr="00B22D22">
              <w:rPr>
                <w:noProof/>
                <w:webHidden/>
              </w:rPr>
              <w:fldChar w:fldCharType="separate"/>
            </w:r>
            <w:r w:rsidRPr="00B22D22">
              <w:rPr>
                <w:noProof/>
                <w:webHidden/>
              </w:rPr>
              <w:t>6</w:t>
            </w:r>
            <w:r w:rsidRPr="00B22D22">
              <w:rPr>
                <w:noProof/>
                <w:webHidden/>
              </w:rPr>
              <w:fldChar w:fldCharType="end"/>
            </w:r>
          </w:hyperlink>
        </w:p>
        <w:p w14:paraId="4CDD8A82" w14:textId="466CCFB5" w:rsidR="00B22D22" w:rsidRPr="00B22D22" w:rsidRDefault="00B22D22">
          <w:pPr>
            <w:pStyle w:val="TOC2"/>
            <w:tabs>
              <w:tab w:val="left" w:pos="720"/>
              <w:tab w:val="right" w:leader="dot" w:pos="10110"/>
            </w:tabs>
            <w:rPr>
              <w:noProof/>
            </w:rPr>
          </w:pPr>
          <w:hyperlink w:anchor="_Toc228395004" w:history="1">
            <w:r w:rsidRPr="00B22D22">
              <w:rPr>
                <w:rStyle w:val="Hyperlink"/>
                <w:noProof/>
              </w:rPr>
              <w:t>B.</w:t>
            </w:r>
            <w:r w:rsidRPr="00B22D22">
              <w:rPr>
                <w:noProof/>
              </w:rPr>
              <w:tab/>
            </w:r>
            <w:r w:rsidRPr="00B22D22">
              <w:rPr>
                <w:rStyle w:val="Hyperlink"/>
                <w:noProof/>
              </w:rPr>
              <w:t>Key policies</w:t>
            </w:r>
            <w:r w:rsidRPr="00B22D22">
              <w:rPr>
                <w:noProof/>
                <w:webHidden/>
              </w:rPr>
              <w:tab/>
            </w:r>
            <w:r w:rsidRPr="00B22D22">
              <w:rPr>
                <w:noProof/>
                <w:webHidden/>
              </w:rPr>
              <w:fldChar w:fldCharType="begin"/>
            </w:r>
            <w:r w:rsidRPr="00B22D22">
              <w:rPr>
                <w:noProof/>
                <w:webHidden/>
              </w:rPr>
              <w:instrText xml:space="preserve"> PAGEREF _Toc228395004 \h </w:instrText>
            </w:r>
            <w:r w:rsidRPr="00B22D22">
              <w:rPr>
                <w:noProof/>
                <w:webHidden/>
              </w:rPr>
            </w:r>
            <w:r w:rsidRPr="00B22D22">
              <w:rPr>
                <w:noProof/>
                <w:webHidden/>
              </w:rPr>
              <w:fldChar w:fldCharType="separate"/>
            </w:r>
            <w:r w:rsidRPr="00B22D22">
              <w:rPr>
                <w:noProof/>
                <w:webHidden/>
              </w:rPr>
              <w:t>7</w:t>
            </w:r>
            <w:r w:rsidRPr="00B22D22">
              <w:rPr>
                <w:noProof/>
                <w:webHidden/>
              </w:rPr>
              <w:fldChar w:fldCharType="end"/>
            </w:r>
          </w:hyperlink>
        </w:p>
        <w:p w14:paraId="6A176887" w14:textId="7A9B40F9" w:rsidR="00B22D22" w:rsidRPr="00B22D22" w:rsidRDefault="00B22D22">
          <w:pPr>
            <w:pStyle w:val="TOC1"/>
            <w:tabs>
              <w:tab w:val="left" w:pos="720"/>
              <w:tab w:val="right" w:leader="dot" w:pos="10110"/>
            </w:tabs>
            <w:rPr>
              <w:rFonts w:eastAsiaTheme="minorEastAsia"/>
              <w:noProof/>
              <w:kern w:val="2"/>
              <w14:ligatures w14:val="standardContextual"/>
            </w:rPr>
          </w:pPr>
          <w:hyperlink w:anchor="_Toc228395005" w:history="1">
            <w:r w:rsidRPr="00B22D22">
              <w:rPr>
                <w:rStyle w:val="Hyperlink"/>
                <w:smallCaps/>
                <w:noProof/>
              </w:rPr>
              <w:t>VI.</w:t>
            </w:r>
            <w:r w:rsidRPr="00B22D22">
              <w:rPr>
                <w:rFonts w:eastAsiaTheme="minorEastAsia"/>
                <w:noProof/>
                <w:kern w:val="2"/>
                <w14:ligatures w14:val="standardContextual"/>
              </w:rPr>
              <w:tab/>
            </w:r>
            <w:r w:rsidRPr="00B22D22">
              <w:rPr>
                <w:rStyle w:val="Hyperlink"/>
                <w:smallCaps/>
                <w:noProof/>
              </w:rPr>
              <w:t>Risk Management and Regulatory Compliance</w:t>
            </w:r>
            <w:r w:rsidRPr="00B22D22">
              <w:rPr>
                <w:noProof/>
                <w:webHidden/>
              </w:rPr>
              <w:tab/>
            </w:r>
            <w:r w:rsidRPr="00B22D22">
              <w:rPr>
                <w:noProof/>
                <w:webHidden/>
              </w:rPr>
              <w:fldChar w:fldCharType="begin"/>
            </w:r>
            <w:r w:rsidRPr="00B22D22">
              <w:rPr>
                <w:noProof/>
                <w:webHidden/>
              </w:rPr>
              <w:instrText xml:space="preserve"> PAGEREF _Toc228395005 \h </w:instrText>
            </w:r>
            <w:r w:rsidRPr="00B22D22">
              <w:rPr>
                <w:noProof/>
                <w:webHidden/>
              </w:rPr>
            </w:r>
            <w:r w:rsidRPr="00B22D22">
              <w:rPr>
                <w:noProof/>
                <w:webHidden/>
              </w:rPr>
              <w:fldChar w:fldCharType="separate"/>
            </w:r>
            <w:r w:rsidRPr="00B22D22">
              <w:rPr>
                <w:noProof/>
                <w:webHidden/>
              </w:rPr>
              <w:t>7</w:t>
            </w:r>
            <w:r w:rsidRPr="00B22D22">
              <w:rPr>
                <w:noProof/>
                <w:webHidden/>
              </w:rPr>
              <w:fldChar w:fldCharType="end"/>
            </w:r>
          </w:hyperlink>
        </w:p>
        <w:p w14:paraId="1F11F1F0" w14:textId="134219DF" w:rsidR="00B22D22" w:rsidRPr="00B22D22" w:rsidRDefault="00B22D22">
          <w:pPr>
            <w:pStyle w:val="TOC1"/>
            <w:tabs>
              <w:tab w:val="left" w:pos="720"/>
              <w:tab w:val="right" w:leader="dot" w:pos="10110"/>
            </w:tabs>
            <w:rPr>
              <w:rFonts w:eastAsiaTheme="minorEastAsia"/>
              <w:noProof/>
              <w:kern w:val="2"/>
              <w14:ligatures w14:val="standardContextual"/>
            </w:rPr>
          </w:pPr>
          <w:hyperlink w:anchor="_Toc228395006" w:history="1">
            <w:r w:rsidRPr="00B22D22">
              <w:rPr>
                <w:rStyle w:val="Hyperlink"/>
                <w:smallCaps/>
                <w:noProof/>
              </w:rPr>
              <w:t>VII.</w:t>
            </w:r>
            <w:r w:rsidRPr="00B22D22">
              <w:rPr>
                <w:rFonts w:eastAsiaTheme="minorEastAsia"/>
                <w:noProof/>
                <w:kern w:val="2"/>
                <w14:ligatures w14:val="standardContextual"/>
              </w:rPr>
              <w:tab/>
            </w:r>
            <w:r w:rsidRPr="00B22D22">
              <w:rPr>
                <w:rStyle w:val="Hyperlink"/>
                <w:smallCaps/>
                <w:noProof/>
              </w:rPr>
              <w:t>Governance Framework - NIST CSF 2.0</w:t>
            </w:r>
            <w:r w:rsidRPr="00B22D22">
              <w:rPr>
                <w:noProof/>
                <w:webHidden/>
              </w:rPr>
              <w:tab/>
            </w:r>
            <w:r w:rsidRPr="00B22D22">
              <w:rPr>
                <w:noProof/>
                <w:webHidden/>
              </w:rPr>
              <w:fldChar w:fldCharType="begin"/>
            </w:r>
            <w:r w:rsidRPr="00B22D22">
              <w:rPr>
                <w:noProof/>
                <w:webHidden/>
              </w:rPr>
              <w:instrText xml:space="preserve"> PAGEREF _Toc228395006 \h </w:instrText>
            </w:r>
            <w:r w:rsidRPr="00B22D22">
              <w:rPr>
                <w:noProof/>
                <w:webHidden/>
              </w:rPr>
            </w:r>
            <w:r w:rsidRPr="00B22D22">
              <w:rPr>
                <w:noProof/>
                <w:webHidden/>
              </w:rPr>
              <w:fldChar w:fldCharType="separate"/>
            </w:r>
            <w:r w:rsidRPr="00B22D22">
              <w:rPr>
                <w:noProof/>
                <w:webHidden/>
              </w:rPr>
              <w:t>7</w:t>
            </w:r>
            <w:r w:rsidRPr="00B22D22">
              <w:rPr>
                <w:noProof/>
                <w:webHidden/>
              </w:rPr>
              <w:fldChar w:fldCharType="end"/>
            </w:r>
          </w:hyperlink>
        </w:p>
        <w:p w14:paraId="0E7B5770" w14:textId="69948734" w:rsidR="00B22D22" w:rsidRPr="00B22D22" w:rsidRDefault="00B22D22">
          <w:pPr>
            <w:pStyle w:val="TOC1"/>
            <w:tabs>
              <w:tab w:val="left" w:pos="720"/>
              <w:tab w:val="right" w:leader="dot" w:pos="10110"/>
            </w:tabs>
            <w:rPr>
              <w:rFonts w:eastAsiaTheme="minorEastAsia"/>
              <w:noProof/>
              <w:kern w:val="2"/>
              <w14:ligatures w14:val="standardContextual"/>
            </w:rPr>
          </w:pPr>
          <w:hyperlink w:anchor="_Toc228395007" w:history="1">
            <w:r w:rsidRPr="00B22D22">
              <w:rPr>
                <w:rStyle w:val="Hyperlink"/>
                <w:smallCaps/>
                <w:noProof/>
              </w:rPr>
              <w:t>VIII.</w:t>
            </w:r>
            <w:r w:rsidRPr="00B22D22">
              <w:rPr>
                <w:rFonts w:eastAsiaTheme="minorEastAsia"/>
                <w:noProof/>
                <w:kern w:val="2"/>
                <w14:ligatures w14:val="standardContextual"/>
              </w:rPr>
              <w:tab/>
            </w:r>
            <w:r w:rsidRPr="00B22D22">
              <w:rPr>
                <w:rStyle w:val="Hyperlink"/>
                <w:smallCaps/>
                <w:noProof/>
              </w:rPr>
              <w:t>Protection Mechanisms</w:t>
            </w:r>
            <w:r w:rsidRPr="00B22D22">
              <w:rPr>
                <w:noProof/>
                <w:webHidden/>
              </w:rPr>
              <w:tab/>
            </w:r>
            <w:r w:rsidRPr="00B22D22">
              <w:rPr>
                <w:noProof/>
                <w:webHidden/>
              </w:rPr>
              <w:fldChar w:fldCharType="begin"/>
            </w:r>
            <w:r w:rsidRPr="00B22D22">
              <w:rPr>
                <w:noProof/>
                <w:webHidden/>
              </w:rPr>
              <w:instrText xml:space="preserve"> PAGEREF _Toc228395007 \h </w:instrText>
            </w:r>
            <w:r w:rsidRPr="00B22D22">
              <w:rPr>
                <w:noProof/>
                <w:webHidden/>
              </w:rPr>
            </w:r>
            <w:r w:rsidRPr="00B22D22">
              <w:rPr>
                <w:noProof/>
                <w:webHidden/>
              </w:rPr>
              <w:fldChar w:fldCharType="separate"/>
            </w:r>
            <w:r w:rsidRPr="00B22D22">
              <w:rPr>
                <w:noProof/>
                <w:webHidden/>
              </w:rPr>
              <w:t>7</w:t>
            </w:r>
            <w:r w:rsidRPr="00B22D22">
              <w:rPr>
                <w:noProof/>
                <w:webHidden/>
              </w:rPr>
              <w:fldChar w:fldCharType="end"/>
            </w:r>
          </w:hyperlink>
        </w:p>
        <w:p w14:paraId="2CD60F99" w14:textId="4C629B67" w:rsidR="00B22D22" w:rsidRPr="00B22D22" w:rsidRDefault="00B22D22">
          <w:pPr>
            <w:pStyle w:val="TOC1"/>
            <w:tabs>
              <w:tab w:val="left" w:pos="720"/>
              <w:tab w:val="right" w:leader="dot" w:pos="10110"/>
            </w:tabs>
            <w:rPr>
              <w:rFonts w:eastAsiaTheme="minorEastAsia"/>
              <w:noProof/>
              <w:kern w:val="2"/>
              <w14:ligatures w14:val="standardContextual"/>
            </w:rPr>
          </w:pPr>
          <w:hyperlink w:anchor="_Toc228395008" w:history="1">
            <w:r w:rsidRPr="00B22D22">
              <w:rPr>
                <w:rStyle w:val="Hyperlink"/>
                <w:smallCaps/>
                <w:noProof/>
              </w:rPr>
              <w:t>IX.</w:t>
            </w:r>
            <w:r w:rsidRPr="00B22D22">
              <w:rPr>
                <w:rFonts w:eastAsiaTheme="minorEastAsia"/>
                <w:noProof/>
                <w:kern w:val="2"/>
                <w14:ligatures w14:val="standardContextual"/>
              </w:rPr>
              <w:tab/>
            </w:r>
            <w:r w:rsidRPr="00B22D22">
              <w:rPr>
                <w:rStyle w:val="Hyperlink"/>
                <w:smallCaps/>
                <w:noProof/>
              </w:rPr>
              <w:t>Contingency Planning - Ransomware Recovery</w:t>
            </w:r>
            <w:r w:rsidRPr="00B22D22">
              <w:rPr>
                <w:noProof/>
                <w:webHidden/>
              </w:rPr>
              <w:tab/>
            </w:r>
            <w:r w:rsidRPr="00B22D22">
              <w:rPr>
                <w:noProof/>
                <w:webHidden/>
              </w:rPr>
              <w:fldChar w:fldCharType="begin"/>
            </w:r>
            <w:r w:rsidRPr="00B22D22">
              <w:rPr>
                <w:noProof/>
                <w:webHidden/>
              </w:rPr>
              <w:instrText xml:space="preserve"> PAGEREF _Toc228395008 \h </w:instrText>
            </w:r>
            <w:r w:rsidRPr="00B22D22">
              <w:rPr>
                <w:noProof/>
                <w:webHidden/>
              </w:rPr>
            </w:r>
            <w:r w:rsidRPr="00B22D22">
              <w:rPr>
                <w:noProof/>
                <w:webHidden/>
              </w:rPr>
              <w:fldChar w:fldCharType="separate"/>
            </w:r>
            <w:r w:rsidRPr="00B22D22">
              <w:rPr>
                <w:noProof/>
                <w:webHidden/>
              </w:rPr>
              <w:t>8</w:t>
            </w:r>
            <w:r w:rsidRPr="00B22D22">
              <w:rPr>
                <w:noProof/>
                <w:webHidden/>
              </w:rPr>
              <w:fldChar w:fldCharType="end"/>
            </w:r>
          </w:hyperlink>
        </w:p>
        <w:p w14:paraId="2B2124FE" w14:textId="10C93345" w:rsidR="00B22D22" w:rsidRPr="00B22D22" w:rsidRDefault="00B22D22">
          <w:pPr>
            <w:pStyle w:val="TOC1"/>
            <w:tabs>
              <w:tab w:val="left" w:pos="480"/>
              <w:tab w:val="right" w:leader="dot" w:pos="10110"/>
            </w:tabs>
            <w:rPr>
              <w:rFonts w:eastAsiaTheme="minorEastAsia"/>
              <w:noProof/>
              <w:kern w:val="2"/>
              <w14:ligatures w14:val="standardContextual"/>
            </w:rPr>
          </w:pPr>
          <w:hyperlink w:anchor="_Toc228395009" w:history="1">
            <w:r w:rsidRPr="00B22D22">
              <w:rPr>
                <w:rStyle w:val="Hyperlink"/>
                <w:smallCaps/>
                <w:noProof/>
              </w:rPr>
              <w:t>X.</w:t>
            </w:r>
            <w:r w:rsidRPr="00B22D22">
              <w:rPr>
                <w:rFonts w:eastAsiaTheme="minorEastAsia"/>
                <w:noProof/>
                <w:kern w:val="2"/>
                <w14:ligatures w14:val="standardContextual"/>
              </w:rPr>
              <w:tab/>
            </w:r>
            <w:r w:rsidRPr="00B22D22">
              <w:rPr>
                <w:rStyle w:val="Hyperlink"/>
                <w:smallCaps/>
                <w:noProof/>
              </w:rPr>
              <w:t>Implementation Roadmap</w:t>
            </w:r>
            <w:r w:rsidRPr="00B22D22">
              <w:rPr>
                <w:noProof/>
                <w:webHidden/>
              </w:rPr>
              <w:tab/>
            </w:r>
            <w:r w:rsidRPr="00B22D22">
              <w:rPr>
                <w:noProof/>
                <w:webHidden/>
              </w:rPr>
              <w:fldChar w:fldCharType="begin"/>
            </w:r>
            <w:r w:rsidRPr="00B22D22">
              <w:rPr>
                <w:noProof/>
                <w:webHidden/>
              </w:rPr>
              <w:instrText xml:space="preserve"> PAGEREF _Toc228395009 \h </w:instrText>
            </w:r>
            <w:r w:rsidRPr="00B22D22">
              <w:rPr>
                <w:noProof/>
                <w:webHidden/>
              </w:rPr>
            </w:r>
            <w:r w:rsidRPr="00B22D22">
              <w:rPr>
                <w:noProof/>
                <w:webHidden/>
              </w:rPr>
              <w:fldChar w:fldCharType="separate"/>
            </w:r>
            <w:r w:rsidRPr="00B22D22">
              <w:rPr>
                <w:noProof/>
                <w:webHidden/>
              </w:rPr>
              <w:t>8</w:t>
            </w:r>
            <w:r w:rsidRPr="00B22D22">
              <w:rPr>
                <w:noProof/>
                <w:webHidden/>
              </w:rPr>
              <w:fldChar w:fldCharType="end"/>
            </w:r>
          </w:hyperlink>
        </w:p>
        <w:p w14:paraId="3194F7E5" w14:textId="22FB5A6A" w:rsidR="00B22D22" w:rsidRPr="00B22D22" w:rsidRDefault="00B22D22">
          <w:pPr>
            <w:pStyle w:val="TOC1"/>
            <w:tabs>
              <w:tab w:val="right" w:leader="dot" w:pos="10110"/>
            </w:tabs>
            <w:rPr>
              <w:rFonts w:eastAsiaTheme="minorEastAsia"/>
              <w:noProof/>
              <w:kern w:val="2"/>
              <w14:ligatures w14:val="standardContextual"/>
            </w:rPr>
          </w:pPr>
          <w:hyperlink w:anchor="_Toc228395010" w:history="1">
            <w:r w:rsidRPr="00B22D22">
              <w:rPr>
                <w:rStyle w:val="Hyperlink"/>
                <w:smallCaps/>
                <w:noProof/>
              </w:rPr>
              <w:t>Conclusion</w:t>
            </w:r>
            <w:r w:rsidRPr="00B22D22">
              <w:rPr>
                <w:noProof/>
                <w:webHidden/>
              </w:rPr>
              <w:tab/>
            </w:r>
            <w:r w:rsidRPr="00B22D22">
              <w:rPr>
                <w:noProof/>
                <w:webHidden/>
              </w:rPr>
              <w:fldChar w:fldCharType="begin"/>
            </w:r>
            <w:r w:rsidRPr="00B22D22">
              <w:rPr>
                <w:noProof/>
                <w:webHidden/>
              </w:rPr>
              <w:instrText xml:space="preserve"> PAGEREF _Toc228395010 \h </w:instrText>
            </w:r>
            <w:r w:rsidRPr="00B22D22">
              <w:rPr>
                <w:noProof/>
                <w:webHidden/>
              </w:rPr>
            </w:r>
            <w:r w:rsidRPr="00B22D22">
              <w:rPr>
                <w:noProof/>
                <w:webHidden/>
              </w:rPr>
              <w:fldChar w:fldCharType="separate"/>
            </w:r>
            <w:r w:rsidRPr="00B22D22">
              <w:rPr>
                <w:noProof/>
                <w:webHidden/>
              </w:rPr>
              <w:t>8</w:t>
            </w:r>
            <w:r w:rsidRPr="00B22D22">
              <w:rPr>
                <w:noProof/>
                <w:webHidden/>
              </w:rPr>
              <w:fldChar w:fldCharType="end"/>
            </w:r>
          </w:hyperlink>
        </w:p>
        <w:p w14:paraId="3AF6DAF1" w14:textId="61841FF5" w:rsidR="00B22D22" w:rsidRPr="00B22D22" w:rsidRDefault="00B22D22">
          <w:pPr>
            <w:pStyle w:val="TOC1"/>
            <w:tabs>
              <w:tab w:val="right" w:leader="dot" w:pos="10110"/>
            </w:tabs>
            <w:rPr>
              <w:rFonts w:eastAsiaTheme="minorEastAsia"/>
              <w:noProof/>
              <w:kern w:val="2"/>
              <w14:ligatures w14:val="standardContextual"/>
            </w:rPr>
          </w:pPr>
          <w:hyperlink w:anchor="_Toc228395011" w:history="1">
            <w:r w:rsidRPr="00B22D22">
              <w:rPr>
                <w:rStyle w:val="Hyperlink"/>
                <w:smallCaps/>
                <w:noProof/>
              </w:rPr>
              <w:t>References</w:t>
            </w:r>
            <w:r w:rsidRPr="00B22D22">
              <w:rPr>
                <w:noProof/>
                <w:webHidden/>
              </w:rPr>
              <w:tab/>
            </w:r>
            <w:r w:rsidRPr="00B22D22">
              <w:rPr>
                <w:noProof/>
                <w:webHidden/>
              </w:rPr>
              <w:fldChar w:fldCharType="begin"/>
            </w:r>
            <w:r w:rsidRPr="00B22D22">
              <w:rPr>
                <w:noProof/>
                <w:webHidden/>
              </w:rPr>
              <w:instrText xml:space="preserve"> PAGEREF _Toc228395011 \h </w:instrText>
            </w:r>
            <w:r w:rsidRPr="00B22D22">
              <w:rPr>
                <w:noProof/>
                <w:webHidden/>
              </w:rPr>
            </w:r>
            <w:r w:rsidRPr="00B22D22">
              <w:rPr>
                <w:noProof/>
                <w:webHidden/>
              </w:rPr>
              <w:fldChar w:fldCharType="separate"/>
            </w:r>
            <w:r w:rsidRPr="00B22D22">
              <w:rPr>
                <w:noProof/>
                <w:webHidden/>
              </w:rPr>
              <w:t>9</w:t>
            </w:r>
            <w:r w:rsidRPr="00B22D22">
              <w:rPr>
                <w:noProof/>
                <w:webHidden/>
              </w:rPr>
              <w:fldChar w:fldCharType="end"/>
            </w:r>
          </w:hyperlink>
        </w:p>
        <w:p w14:paraId="1D916653" w14:textId="2B3A25B8" w:rsidR="00C541C7" w:rsidRDefault="00C541C7">
          <w:r w:rsidRPr="00B22D22">
            <w:rPr>
              <w:b/>
              <w:bCs/>
              <w:noProof/>
            </w:rPr>
            <w:fldChar w:fldCharType="end"/>
          </w:r>
        </w:p>
      </w:sdtContent>
    </w:sdt>
    <w:p w14:paraId="6D3E8035" w14:textId="11C96C11" w:rsidR="00C541C7" w:rsidRDefault="00C541C7">
      <w:pPr>
        <w:rPr>
          <w:sz w:val="48"/>
          <w:szCs w:val="48"/>
        </w:rPr>
      </w:pPr>
      <w:r>
        <w:rPr>
          <w:sz w:val="48"/>
          <w:szCs w:val="48"/>
        </w:rPr>
        <w:br w:type="page"/>
      </w:r>
    </w:p>
    <w:p w14:paraId="549F2F7B" w14:textId="51FE36DD" w:rsidR="00C05819" w:rsidRPr="008F3EBC" w:rsidRDefault="005B4328" w:rsidP="008F3EBC">
      <w:pPr>
        <w:pStyle w:val="Title"/>
        <w:jc w:val="center"/>
        <w:rPr>
          <w:sz w:val="48"/>
          <w:szCs w:val="48"/>
        </w:rPr>
      </w:pPr>
      <w:r w:rsidRPr="008F3EBC">
        <w:rPr>
          <w:sz w:val="48"/>
          <w:szCs w:val="48"/>
        </w:rPr>
        <w:lastRenderedPageBreak/>
        <w:t>Task 1. Zero Trust Architecture: A Critical Analysis of Its Principles, Implementation Challenges and Eff</w:t>
      </w:r>
      <w:r w:rsidR="00961FA0" w:rsidRPr="008F3EBC">
        <w:rPr>
          <w:sz w:val="48"/>
          <w:szCs w:val="48"/>
        </w:rPr>
        <w:t>i</w:t>
      </w:r>
      <w:r w:rsidRPr="008F3EBC">
        <w:rPr>
          <w:sz w:val="48"/>
          <w:szCs w:val="48"/>
        </w:rPr>
        <w:t>cacy Compared to Traditional Models</w:t>
      </w:r>
    </w:p>
    <w:p w14:paraId="79ED71EC" w14:textId="77777777" w:rsidR="00C05819" w:rsidRPr="00961FA0" w:rsidRDefault="00000000">
      <w:pPr>
        <w:spacing w:after="60"/>
        <w:jc w:val="center"/>
        <w:rPr>
          <w:sz w:val="18"/>
          <w:szCs w:val="18"/>
        </w:rPr>
      </w:pPr>
      <w:r w:rsidRPr="00961FA0">
        <w:rPr>
          <w:sz w:val="18"/>
          <w:szCs w:val="18"/>
        </w:rPr>
        <w:t>Ilia Fedorovich</w:t>
      </w:r>
    </w:p>
    <w:p w14:paraId="25386EAF" w14:textId="081F0338" w:rsidR="00C05819" w:rsidRPr="00961FA0" w:rsidRDefault="00000000">
      <w:pPr>
        <w:spacing w:after="60"/>
        <w:jc w:val="center"/>
        <w:rPr>
          <w:sz w:val="18"/>
          <w:szCs w:val="18"/>
        </w:rPr>
      </w:pPr>
      <w:r w:rsidRPr="00961FA0">
        <w:rPr>
          <w:i/>
          <w:iCs/>
          <w:sz w:val="18"/>
          <w:szCs w:val="18"/>
        </w:rPr>
        <w:t>University of Wales Trinity Saint David</w:t>
      </w:r>
    </w:p>
    <w:p w14:paraId="38E741B7" w14:textId="77777777" w:rsidR="00C05819" w:rsidRPr="00961FA0" w:rsidRDefault="00000000">
      <w:pPr>
        <w:spacing w:after="200"/>
        <w:jc w:val="center"/>
        <w:rPr>
          <w:sz w:val="18"/>
          <w:szCs w:val="18"/>
        </w:rPr>
      </w:pPr>
      <w:r w:rsidRPr="00961FA0">
        <w:rPr>
          <w:i/>
          <w:iCs/>
          <w:sz w:val="18"/>
          <w:szCs w:val="18"/>
        </w:rPr>
        <w:t>Student ID: 2410118</w:t>
      </w:r>
    </w:p>
    <w:p w14:paraId="1AD0E652" w14:textId="56A2DE5D" w:rsidR="00C05819" w:rsidRDefault="00000000">
      <w:pPr>
        <w:spacing w:line="216" w:lineRule="exact"/>
        <w:ind w:left="216" w:right="216"/>
        <w:jc w:val="both"/>
      </w:pPr>
      <w:r>
        <w:rPr>
          <w:b/>
          <w:bCs/>
          <w:i/>
          <w:iCs/>
          <w:sz w:val="18"/>
          <w:szCs w:val="18"/>
        </w:rPr>
        <w:t>Abstract</w:t>
      </w:r>
      <w:r w:rsidR="00961FA0">
        <w:rPr>
          <w:b/>
          <w:bCs/>
          <w:i/>
          <w:iCs/>
          <w:sz w:val="18"/>
          <w:szCs w:val="18"/>
        </w:rPr>
        <w:t xml:space="preserve"> - </w:t>
      </w:r>
      <w:r w:rsidRPr="00961FA0">
        <w:rPr>
          <w:b/>
          <w:bCs/>
          <w:sz w:val="18"/>
          <w:szCs w:val="18"/>
        </w:rPr>
        <w:t xml:space="preserve">Zero Trust Architecture has become one of the most talked-about concepts in information security over the past decade, largely because traditional perimeter-based models have struggled to keep up with how organisations </w:t>
      </w:r>
      <w:proofErr w:type="gramStart"/>
      <w:r w:rsidRPr="00961FA0">
        <w:rPr>
          <w:b/>
          <w:bCs/>
          <w:sz w:val="18"/>
          <w:szCs w:val="18"/>
        </w:rPr>
        <w:t>actually operate</w:t>
      </w:r>
      <w:proofErr w:type="gramEnd"/>
      <w:r w:rsidRPr="00961FA0">
        <w:rPr>
          <w:b/>
          <w:bCs/>
          <w:sz w:val="18"/>
          <w:szCs w:val="18"/>
        </w:rPr>
        <w:t xml:space="preserve"> now. This paper looks at what Zero Trust </w:t>
      </w:r>
      <w:r w:rsidR="00961FA0" w:rsidRPr="00961FA0">
        <w:rPr>
          <w:b/>
          <w:bCs/>
          <w:sz w:val="18"/>
          <w:szCs w:val="18"/>
        </w:rPr>
        <w:t>involves</w:t>
      </w:r>
      <w:r w:rsidRPr="00961FA0">
        <w:rPr>
          <w:b/>
          <w:bCs/>
          <w:sz w:val="18"/>
          <w:szCs w:val="18"/>
        </w:rPr>
        <w:t xml:space="preserve">, how it compares to older approaches, and whether the practical reality lives up to the theory. The short answer is that it is a genuinely useful framework in the right context </w:t>
      </w:r>
      <w:r w:rsidR="00961FA0" w:rsidRPr="00961FA0">
        <w:rPr>
          <w:b/>
          <w:bCs/>
          <w:sz w:val="18"/>
          <w:szCs w:val="18"/>
        </w:rPr>
        <w:t>-</w:t>
      </w:r>
      <w:r w:rsidRPr="00961FA0">
        <w:rPr>
          <w:b/>
          <w:bCs/>
          <w:sz w:val="18"/>
          <w:szCs w:val="18"/>
        </w:rPr>
        <w:t xml:space="preserve"> but context matters a lot and organisations that treat it as a plug-and-play solution tend to be disappointed.</w:t>
      </w:r>
    </w:p>
    <w:p w14:paraId="5B2098C0" w14:textId="77777777" w:rsidR="00C05819" w:rsidRDefault="00C05819">
      <w:pPr>
        <w:spacing w:line="96" w:lineRule="exact"/>
      </w:pPr>
    </w:p>
    <w:p w14:paraId="0C90EA1A" w14:textId="66CC59F6" w:rsidR="00C05819" w:rsidRPr="00961FA0" w:rsidRDefault="00000000">
      <w:pPr>
        <w:spacing w:after="200" w:line="216" w:lineRule="exact"/>
        <w:ind w:left="216" w:right="216"/>
        <w:jc w:val="both"/>
        <w:rPr>
          <w:b/>
          <w:bCs/>
        </w:rPr>
      </w:pPr>
      <w:r w:rsidRPr="00961FA0">
        <w:rPr>
          <w:b/>
          <w:bCs/>
          <w:i/>
          <w:iCs/>
          <w:sz w:val="18"/>
          <w:szCs w:val="18"/>
        </w:rPr>
        <w:t>Index Terms</w:t>
      </w:r>
      <w:r w:rsidR="00961FA0" w:rsidRPr="00961FA0">
        <w:rPr>
          <w:b/>
          <w:bCs/>
          <w:i/>
          <w:iCs/>
          <w:sz w:val="18"/>
          <w:szCs w:val="18"/>
        </w:rPr>
        <w:t xml:space="preserve"> - </w:t>
      </w:r>
      <w:r w:rsidRPr="00961FA0">
        <w:rPr>
          <w:b/>
          <w:bCs/>
          <w:i/>
          <w:iCs/>
          <w:sz w:val="18"/>
          <w:szCs w:val="18"/>
        </w:rPr>
        <w:t>Zero Trust, information security, access control, identity management, cybersecurity governance, perimeter security.</w:t>
      </w:r>
    </w:p>
    <w:p w14:paraId="5551786D" w14:textId="77777777" w:rsidR="00C05819" w:rsidRDefault="00C05819">
      <w:pPr>
        <w:sectPr w:rsidR="00C05819" w:rsidSect="00C541C7">
          <w:pgSz w:w="11906" w:h="16838"/>
          <w:pgMar w:top="540" w:right="893" w:bottom="1440" w:left="893" w:header="708" w:footer="708" w:gutter="0"/>
          <w:pgNumType w:start="0"/>
          <w:cols w:space="720"/>
          <w:titlePg/>
          <w:docGrid w:linePitch="360"/>
        </w:sectPr>
      </w:pPr>
    </w:p>
    <w:p w14:paraId="3185CBA2" w14:textId="5190E801" w:rsidR="00C05819" w:rsidRPr="00CF7A79" w:rsidRDefault="00000000" w:rsidP="00994C54">
      <w:pPr>
        <w:pStyle w:val="Heading1"/>
        <w:rPr>
          <w:smallCaps/>
          <w:szCs w:val="20"/>
        </w:rPr>
      </w:pPr>
      <w:bookmarkStart w:id="0" w:name="_Toc228394992"/>
      <w:r w:rsidRPr="00CF7A79">
        <w:rPr>
          <w:smallCaps/>
          <w:szCs w:val="20"/>
        </w:rPr>
        <w:t>Introduction</w:t>
      </w:r>
      <w:bookmarkEnd w:id="0"/>
    </w:p>
    <w:p w14:paraId="74E1DE1D" w14:textId="3AD7C365" w:rsidR="00C05819" w:rsidRDefault="00000000">
      <w:pPr>
        <w:spacing w:line="240" w:lineRule="exact"/>
        <w:ind w:firstLine="216"/>
        <w:jc w:val="both"/>
      </w:pPr>
      <w:r>
        <w:t xml:space="preserve">For a long time, the dominant approach to information security has been built around the network perimeter. The basic idea is straightforward: keep attackers outside the boundary using firewalls and similar </w:t>
      </w:r>
      <w:r w:rsidR="00961FA0">
        <w:t>controls and</w:t>
      </w:r>
      <w:r>
        <w:t xml:space="preserve"> assume that anything inside the boundary is reasonably trustworthy. That model worked reasonably well when most organisational systems </w:t>
      </w:r>
      <w:r w:rsidR="00320002">
        <w:t>were in</w:t>
      </w:r>
      <w:r>
        <w:t xml:space="preserve"> physical offices and accessed by managed </w:t>
      </w:r>
      <w:r w:rsidR="00961FA0">
        <w:t>devices [</w:t>
      </w:r>
      <w:r>
        <w:t>1].</w:t>
      </w:r>
    </w:p>
    <w:p w14:paraId="1812FDB1" w14:textId="77777777" w:rsidR="00C05819" w:rsidRDefault="00C05819">
      <w:pPr>
        <w:spacing w:line="96" w:lineRule="exact"/>
      </w:pPr>
    </w:p>
    <w:p w14:paraId="2B9B2C38" w14:textId="5B57BB43" w:rsidR="00C05819" w:rsidRDefault="00000000">
      <w:pPr>
        <w:spacing w:line="240" w:lineRule="exact"/>
        <w:ind w:firstLine="216"/>
        <w:jc w:val="both"/>
      </w:pPr>
      <w:r>
        <w:t>Cloud services, hybrid working, third-party integrations and an increasing number of mobile or personal devices have all made the idea of a fixed network boundary much weaker. Many users now sit outside the corporate network most of the time and a large amount of organisational data is stored on infrastructure that the organisation does not directly own. At that point, trusting something just because it came from inside the network stops making much sense.</w:t>
      </w:r>
    </w:p>
    <w:p w14:paraId="7AFC2DAB" w14:textId="77777777" w:rsidR="00C05819" w:rsidRDefault="00C05819">
      <w:pPr>
        <w:spacing w:line="96" w:lineRule="exact"/>
      </w:pPr>
    </w:p>
    <w:p w14:paraId="3770E458" w14:textId="17C7F1EF" w:rsidR="00C05819" w:rsidRDefault="00000000">
      <w:pPr>
        <w:spacing w:line="240" w:lineRule="exact"/>
        <w:ind w:firstLine="216"/>
        <w:jc w:val="both"/>
      </w:pPr>
      <w:r>
        <w:t xml:space="preserve">Zero Trust is the security community’s main answer to this problem. The term was coined by </w:t>
      </w:r>
      <w:proofErr w:type="spellStart"/>
      <w:r>
        <w:t>Kindervag</w:t>
      </w:r>
      <w:proofErr w:type="spellEnd"/>
      <w:r>
        <w:t xml:space="preserve"> at Forrester back in 2010, but it gained real traction once NIST published SP 800-207, which gave it a proper technical definition </w:t>
      </w:r>
      <w:r w:rsidR="00320002">
        <w:t>-</w:t>
      </w:r>
      <w:r>
        <w:t xml:space="preserve"> no asset is trusted by default, every access request gets evaluated [2], [3].</w:t>
      </w:r>
    </w:p>
    <w:p w14:paraId="00F4DB1D" w14:textId="77777777" w:rsidR="00C05819" w:rsidRDefault="00C05819">
      <w:pPr>
        <w:spacing w:line="96" w:lineRule="exact"/>
      </w:pPr>
    </w:p>
    <w:p w14:paraId="4C86A487" w14:textId="5A16C444" w:rsidR="00C05819" w:rsidRDefault="00000000">
      <w:pPr>
        <w:spacing w:line="240" w:lineRule="exact"/>
        <w:ind w:firstLine="216"/>
        <w:jc w:val="both"/>
      </w:pPr>
      <w:r>
        <w:t xml:space="preserve">The aim is to look at the principles behind the model, compare them with traditional security, examine the practical challenges that organisations </w:t>
      </w:r>
      <w:proofErr w:type="gramStart"/>
      <w:r>
        <w:t>actually face</w:t>
      </w:r>
      <w:proofErr w:type="gramEnd"/>
      <w:r>
        <w:t xml:space="preserve"> and consider where Zero Trust adds value and where its limitations show. The structure follows: Section II outlines the core principles, Section III analyses strengths and limitations against traditional models, Section IV looks at implementation challenges, Section V</w:t>
      </w:r>
      <w:r w:rsidR="00320002">
        <w:t xml:space="preserve"> is</w:t>
      </w:r>
      <w:r>
        <w:t xml:space="preserve"> an evaluation and Section VI </w:t>
      </w:r>
      <w:r w:rsidR="00320002">
        <w:t>-</w:t>
      </w:r>
      <w:r>
        <w:t>conclu</w:t>
      </w:r>
      <w:r w:rsidR="00320002">
        <w:t>sion</w:t>
      </w:r>
      <w:r>
        <w:t>.</w:t>
      </w:r>
    </w:p>
    <w:p w14:paraId="6462A356" w14:textId="77777777" w:rsidR="00C05819" w:rsidRDefault="00C05819">
      <w:pPr>
        <w:spacing w:line="192" w:lineRule="exact"/>
      </w:pPr>
    </w:p>
    <w:p w14:paraId="37210CCF" w14:textId="70CA9DB5" w:rsidR="00C05819" w:rsidRPr="00CF7A79" w:rsidRDefault="00000000" w:rsidP="00213E56">
      <w:pPr>
        <w:pStyle w:val="Heading1"/>
        <w:rPr>
          <w:smallCaps/>
        </w:rPr>
      </w:pPr>
      <w:bookmarkStart w:id="1" w:name="_Toc228394993"/>
      <w:r w:rsidRPr="00CF7A79">
        <w:rPr>
          <w:smallCaps/>
        </w:rPr>
        <w:t>Understanding Zero Trust Architecture</w:t>
      </w:r>
      <w:bookmarkEnd w:id="1"/>
    </w:p>
    <w:p w14:paraId="09F530A0" w14:textId="66059FC0" w:rsidR="00C05819" w:rsidRDefault="00000000">
      <w:pPr>
        <w:spacing w:line="240" w:lineRule="exact"/>
        <w:ind w:firstLine="216"/>
        <w:jc w:val="both"/>
      </w:pPr>
      <w:r>
        <w:t xml:space="preserve">Zero Trust is sometimes summed up by the phrase “never trust, always verify.” This is a useful slogan, but it does not say very much on its own. The more meaningful definition is given in NIST SP 800-207, which sets out seven core tenets including treating all data sources and computing services as resources, securing every communication regardless of </w:t>
      </w:r>
      <w:r>
        <w:t>network location, granting access on a per-session basis and using dynamic policy to determine access [3].</w:t>
      </w:r>
    </w:p>
    <w:p w14:paraId="1E573249" w14:textId="77777777" w:rsidR="00C05819" w:rsidRDefault="00C05819">
      <w:pPr>
        <w:spacing w:line="96" w:lineRule="exact"/>
      </w:pPr>
    </w:p>
    <w:p w14:paraId="1230CAED" w14:textId="4252B896" w:rsidR="00C05819" w:rsidRDefault="00000000">
      <w:pPr>
        <w:spacing w:line="240" w:lineRule="exact"/>
        <w:ind w:firstLine="216"/>
        <w:jc w:val="both"/>
      </w:pPr>
      <w:r>
        <w:t xml:space="preserve">In practice, ZTA usually relies on three building blocks. </w:t>
      </w:r>
      <w:r w:rsidR="00477C5E">
        <w:t>S</w:t>
      </w:r>
      <w:r>
        <w:t xml:space="preserve">trong identity and access management, where every user and device is uniquely identified and authenticated before any access is granted. Segmentation of resources, often through micro-segmentation, so that even a successful intrusion in one area does not give automatic access to others. </w:t>
      </w:r>
      <w:r w:rsidR="00477C5E">
        <w:t>C</w:t>
      </w:r>
      <w:r>
        <w:t>ontinuous monitoring and analytics, which means that access is not just decided once at login but reviewed across the session.</w:t>
      </w:r>
    </w:p>
    <w:p w14:paraId="74E5A69C" w14:textId="77777777" w:rsidR="00C05819" w:rsidRDefault="00C05819">
      <w:pPr>
        <w:spacing w:line="96" w:lineRule="exact"/>
      </w:pPr>
    </w:p>
    <w:p w14:paraId="29359793" w14:textId="425C9145" w:rsidR="00C05819" w:rsidRDefault="00000000">
      <w:pPr>
        <w:spacing w:line="240" w:lineRule="exact"/>
        <w:ind w:firstLine="216"/>
        <w:jc w:val="both"/>
      </w:pPr>
      <w:r>
        <w:t>These three elements line up closely with the access control functions: identification, authentication, authorisation and accountability [1]. The difference is that Zero Trust applies these checks continuously rather than as a single gate at the beginning of a session. Least privilege is also central. Users are only meant to receive the minimum access they need for their role, which limits how much damage can be done if their account is later compromised.</w:t>
      </w:r>
    </w:p>
    <w:p w14:paraId="0804A145" w14:textId="77777777" w:rsidR="00C05819" w:rsidRDefault="00C05819">
      <w:pPr>
        <w:spacing w:line="96" w:lineRule="exact"/>
      </w:pPr>
    </w:p>
    <w:p w14:paraId="34AB96C1" w14:textId="77777777" w:rsidR="00C05819" w:rsidRDefault="00000000">
      <w:pPr>
        <w:spacing w:line="240" w:lineRule="exact"/>
        <w:ind w:firstLine="216"/>
        <w:jc w:val="both"/>
      </w:pPr>
      <w:r>
        <w:t>It is worth being honest about one thing here. Zero Trust is often marketed as if it were a single product that can be bought and switched on, especially by vendors selling identity or networking tools. That is not really accurate. It is closer to a strategic framework that shapes how an organisation thinks about identity, trust and access. Tools support it, but they do not in themselves make an organisation “Zero Trust.”</w:t>
      </w:r>
    </w:p>
    <w:p w14:paraId="35C336EA" w14:textId="77777777" w:rsidR="00C05819" w:rsidRDefault="00C05819">
      <w:pPr>
        <w:spacing w:line="192" w:lineRule="exact"/>
      </w:pPr>
    </w:p>
    <w:p w14:paraId="1D1E8FD1" w14:textId="4CBE74BF" w:rsidR="00C05819" w:rsidRPr="00CF7A79" w:rsidRDefault="00000000" w:rsidP="00213E56">
      <w:pPr>
        <w:pStyle w:val="Heading1"/>
        <w:rPr>
          <w:smallCaps/>
        </w:rPr>
      </w:pPr>
      <w:bookmarkStart w:id="2" w:name="_Toc228394994"/>
      <w:r w:rsidRPr="00CF7A79">
        <w:rPr>
          <w:smallCaps/>
        </w:rPr>
        <w:t>Analysis Compared to Traditional Models</w:t>
      </w:r>
      <w:bookmarkEnd w:id="2"/>
    </w:p>
    <w:p w14:paraId="3880127A" w14:textId="4CDB185E" w:rsidR="00C05819" w:rsidRDefault="00000000">
      <w:pPr>
        <w:spacing w:line="240" w:lineRule="exact"/>
        <w:ind w:firstLine="216"/>
        <w:jc w:val="both"/>
      </w:pPr>
      <w:r>
        <w:t>The clearest strength of Zero Trust is that it directly tackles the main weakness of perimeter security. Once an attacker gets past a firewall in a traditional environment, they often have wide access inside the network. Zero Trust breaks that pattern by forcing repeated checks at each access point, which makes lateral movement significantly harder [</w:t>
      </w:r>
      <w:r w:rsidR="00C05A94">
        <w:t>3</w:t>
      </w:r>
      <w:r>
        <w:t>].</w:t>
      </w:r>
    </w:p>
    <w:p w14:paraId="2451AC16" w14:textId="77777777" w:rsidR="00C05819" w:rsidRDefault="00C05819">
      <w:pPr>
        <w:spacing w:line="96" w:lineRule="exact"/>
      </w:pPr>
    </w:p>
    <w:p w14:paraId="6C4392B1" w14:textId="3FB60B89" w:rsidR="00C05819" w:rsidRDefault="00000000">
      <w:pPr>
        <w:spacing w:line="240" w:lineRule="exact"/>
        <w:ind w:firstLine="216"/>
        <w:jc w:val="both"/>
      </w:pPr>
      <w:r>
        <w:t xml:space="preserve">Least privilege, which is part of the same model, also reduces the impact of any single compromised account. If a user’s credentials are stolen, the attacker only inherits the limited access that user </w:t>
      </w:r>
      <w:r w:rsidR="00C05A94">
        <w:t>had</w:t>
      </w:r>
      <w:r>
        <w:t>, rather than gaining a wide foothold inside the network. In sectors that handle sensitive personal data, such as healthcare and financial services, this kind of containment is meaningful.</w:t>
      </w:r>
    </w:p>
    <w:p w14:paraId="775F942C" w14:textId="77777777" w:rsidR="00C05819" w:rsidRDefault="00C05819">
      <w:pPr>
        <w:spacing w:line="96" w:lineRule="exact"/>
      </w:pPr>
    </w:p>
    <w:p w14:paraId="28C45033" w14:textId="2B47ECA7" w:rsidR="00C05819" w:rsidRDefault="00000000">
      <w:pPr>
        <w:spacing w:line="240" w:lineRule="exact"/>
        <w:ind w:firstLine="216"/>
        <w:jc w:val="both"/>
      </w:pPr>
      <w:r>
        <w:lastRenderedPageBreak/>
        <w:t xml:space="preserve">Another strength is improved visibility. Because access decisions are evaluated continuously, the organisation generates more data about what users and devices are </w:t>
      </w:r>
      <w:r w:rsidR="00C05A94">
        <w:t>doing</w:t>
      </w:r>
      <w:r>
        <w:t>. This can support faster detection of unusual behaviour, especially in cloud environments where traditional network monitoring tools are weaker.</w:t>
      </w:r>
    </w:p>
    <w:p w14:paraId="0E4583E1" w14:textId="77777777" w:rsidR="00C05819" w:rsidRDefault="00C05819">
      <w:pPr>
        <w:spacing w:line="96" w:lineRule="exact"/>
      </w:pPr>
    </w:p>
    <w:p w14:paraId="1BE10FEE" w14:textId="5E6C2ED0" w:rsidR="00C05819" w:rsidRDefault="00000000">
      <w:pPr>
        <w:spacing w:line="240" w:lineRule="exact"/>
        <w:ind w:firstLine="216"/>
        <w:jc w:val="both"/>
      </w:pPr>
      <w:r>
        <w:t xml:space="preserve">That said, Zero Trust also has clear limits and these are sometimes glossed over. The first is that it can create a false sense of security if it is implemented only partially. Many organisations adopt MFA or device health checks and then describe themselves as having Zero Trust, when </w:t>
      </w:r>
      <w:r w:rsidR="00C05A94">
        <w:t>they</w:t>
      </w:r>
      <w:r>
        <w:t xml:space="preserve"> have only put one or two pieces of the model in place. Partial adoption may improve security, but it is not the same as having a coherent framework.</w:t>
      </w:r>
    </w:p>
    <w:p w14:paraId="242CD1FD" w14:textId="77777777" w:rsidR="00C05819" w:rsidRDefault="00C05819">
      <w:pPr>
        <w:spacing w:line="96" w:lineRule="exact"/>
      </w:pPr>
    </w:p>
    <w:p w14:paraId="6680970C" w14:textId="3BDF745C" w:rsidR="00C05819" w:rsidRDefault="00000000">
      <w:pPr>
        <w:spacing w:line="240" w:lineRule="exact"/>
        <w:ind w:firstLine="216"/>
        <w:jc w:val="both"/>
      </w:pPr>
      <w:r>
        <w:t>Compared to traditional perimeter security, Zero Trust is also more complex. A standard firewall and VPN setup is simpler to design, document and manage. Zero Trust requires fine-grained access policies, integrated identity management, continuous monitoring infrastructure and mature governance processes. For organisations that do not have those capabilities already, the new architecture can introduce as many risks as it removes if it is not managed properly [</w:t>
      </w:r>
      <w:r w:rsidR="00C05A94">
        <w:t>4</w:t>
      </w:r>
      <w:r>
        <w:t>].</w:t>
      </w:r>
    </w:p>
    <w:p w14:paraId="6E2F93C7" w14:textId="77777777" w:rsidR="00C05819" w:rsidRDefault="00C05819">
      <w:pPr>
        <w:spacing w:line="96" w:lineRule="exact"/>
      </w:pPr>
    </w:p>
    <w:p w14:paraId="32453321" w14:textId="77777777" w:rsidR="00C05819" w:rsidRDefault="00000000">
      <w:pPr>
        <w:spacing w:line="240" w:lineRule="exact"/>
        <w:ind w:firstLine="216"/>
        <w:jc w:val="both"/>
      </w:pPr>
      <w:r>
        <w:t>It is also important to note that Zero Trust does not replace other controls. Encryption, endpoint protection, secure software development, vulnerability management and security awareness training are still needed. Zero Trust is a model for access decisions, not a complete security programme.</w:t>
      </w:r>
    </w:p>
    <w:p w14:paraId="23C739F4" w14:textId="77777777" w:rsidR="00C05819" w:rsidRDefault="00C05819">
      <w:pPr>
        <w:spacing w:line="96" w:lineRule="exact"/>
      </w:pPr>
    </w:p>
    <w:p w14:paraId="2D070BA0" w14:textId="736DA083" w:rsidR="00C05819" w:rsidRDefault="00C05A94">
      <w:pPr>
        <w:spacing w:line="240" w:lineRule="exact"/>
        <w:ind w:firstLine="216"/>
        <w:jc w:val="both"/>
      </w:pPr>
      <w:r>
        <w:t>So, this is not really a case of old bad versus new good. Zero Trust fits modern distributed systems better, but only if the organisation has the capacity to run it properly. In a small, tightly controlled on-premises setup, a well-managed firewall might honestly still be adequate. In something like a cloud-heavy healthcare platform with hundreds of remote users and third-party integrations, it almost certainly will not.</w:t>
      </w:r>
    </w:p>
    <w:p w14:paraId="0255C5A2" w14:textId="77777777" w:rsidR="00C05819" w:rsidRDefault="00C05819">
      <w:pPr>
        <w:spacing w:line="192" w:lineRule="exact"/>
      </w:pPr>
    </w:p>
    <w:p w14:paraId="2F8B766C" w14:textId="53AF020C" w:rsidR="00C05819" w:rsidRPr="00CF7A79" w:rsidRDefault="00000000" w:rsidP="00AD0BD5">
      <w:pPr>
        <w:pStyle w:val="Heading1"/>
        <w:rPr>
          <w:smallCaps/>
        </w:rPr>
      </w:pPr>
      <w:bookmarkStart w:id="3" w:name="_Toc228394995"/>
      <w:r w:rsidRPr="00CF7A79">
        <w:rPr>
          <w:smallCaps/>
        </w:rPr>
        <w:t>Implementation Challenges</w:t>
      </w:r>
      <w:bookmarkEnd w:id="3"/>
    </w:p>
    <w:p w14:paraId="144AEB46" w14:textId="77777777" w:rsidR="00C05819" w:rsidRDefault="00000000">
      <w:pPr>
        <w:spacing w:line="240" w:lineRule="exact"/>
        <w:ind w:firstLine="216"/>
        <w:jc w:val="both"/>
      </w:pPr>
      <w:r>
        <w:t>Putting Zero Trust into practice is where things get difficult. The theory is clean; the reality usually is not. A few problems come up repeatedly regardless of sector or size.</w:t>
      </w:r>
    </w:p>
    <w:p w14:paraId="1930A556" w14:textId="77777777" w:rsidR="00C05819" w:rsidRDefault="00C05819">
      <w:pPr>
        <w:spacing w:line="96" w:lineRule="exact"/>
      </w:pPr>
    </w:p>
    <w:p w14:paraId="7A43A3F6" w14:textId="44B61819" w:rsidR="00C05819" w:rsidRDefault="00000000">
      <w:pPr>
        <w:spacing w:line="240" w:lineRule="exact"/>
        <w:ind w:firstLine="216"/>
        <w:jc w:val="both"/>
      </w:pPr>
      <w:r>
        <w:t xml:space="preserve">Legacy systems are usually the first issue. Many organisations rely on older applications and databases that were never designed with identity-driven access in mind. They may not integrate cleanly with a modern identity provider, may not support fine-grained authorisation and may be difficult to monitor in detail. Either the organisation invests heavily in </w:t>
      </w:r>
      <w:proofErr w:type="gramStart"/>
      <w:r w:rsidR="0032511B">
        <w:t>modernisation</w:t>
      </w:r>
      <w:proofErr w:type="gramEnd"/>
      <w:r w:rsidR="0032511B">
        <w:t xml:space="preserve"> </w:t>
      </w:r>
      <w:r>
        <w:t>or it tries to wrap Zero Trust around old systems, which often produces an architecture that is more fragile than it looks.</w:t>
      </w:r>
    </w:p>
    <w:p w14:paraId="0FF61EC3" w14:textId="77777777" w:rsidR="00C05819" w:rsidRDefault="00C05819">
      <w:pPr>
        <w:spacing w:line="96" w:lineRule="exact"/>
      </w:pPr>
    </w:p>
    <w:p w14:paraId="7006E532" w14:textId="09314266" w:rsidR="00C05819" w:rsidRDefault="00000000">
      <w:pPr>
        <w:spacing w:line="240" w:lineRule="exact"/>
        <w:ind w:firstLine="216"/>
        <w:jc w:val="both"/>
      </w:pPr>
      <w:r>
        <w:t xml:space="preserve">Identity and access management at scale is another well-known challenge. Zero Trust depends on knowing exactly who or what is requesting access and what they should be allowed to do. In a real organisation with employees, contractors, third parties, service accounts and a long history of changes, that information is usually messy. Old permissions stay around when people change roles, dormant accounts are not always </w:t>
      </w:r>
      <w:proofErr w:type="gramStart"/>
      <w:r>
        <w:t>closed</w:t>
      </w:r>
      <w:proofErr w:type="gramEnd"/>
      <w:r>
        <w:t xml:space="preserve"> and ownership of access rights is often unclear. Cleaning this up is slow and unglamorous </w:t>
      </w:r>
      <w:r>
        <w:t>work, but skipping it means building Zero Trust on top of unstable foundations [3].</w:t>
      </w:r>
    </w:p>
    <w:p w14:paraId="53939E82" w14:textId="77777777" w:rsidR="00C05819" w:rsidRDefault="00C05819">
      <w:pPr>
        <w:spacing w:line="96" w:lineRule="exact"/>
      </w:pPr>
    </w:p>
    <w:p w14:paraId="6134B811" w14:textId="33AE85EE" w:rsidR="00C05819" w:rsidRDefault="00000000">
      <w:pPr>
        <w:spacing w:line="240" w:lineRule="exact"/>
        <w:ind w:firstLine="216"/>
        <w:jc w:val="both"/>
      </w:pPr>
      <w:r>
        <w:t xml:space="preserve">There is also a human side. Extra verification steps and tighter restrictions can frustrate </w:t>
      </w:r>
      <w:proofErr w:type="gramStart"/>
      <w:r>
        <w:t>users</w:t>
      </w:r>
      <w:proofErr w:type="gramEnd"/>
      <w:r>
        <w:t xml:space="preserve"> and frustrated users tend to look for workarounds. The module material makes the point that security should support business operations rather than block them and this applies directly here. If Zero Trust controls are not designed with usability in mind, they may produce shadow IT or unsafe behaviour, which is a different kind of risk altogether.</w:t>
      </w:r>
    </w:p>
    <w:p w14:paraId="3E865205" w14:textId="77777777" w:rsidR="00C05819" w:rsidRDefault="00C05819">
      <w:pPr>
        <w:spacing w:line="96" w:lineRule="exact"/>
      </w:pPr>
    </w:p>
    <w:p w14:paraId="42056E98" w14:textId="5A9D8DB8" w:rsidR="00C05819" w:rsidRDefault="00000000">
      <w:pPr>
        <w:spacing w:line="240" w:lineRule="exact"/>
        <w:ind w:firstLine="216"/>
        <w:jc w:val="both"/>
      </w:pPr>
      <w:r>
        <w:t>Cost is another factor that should not be underestimated. The investment is not just in tools. It includes redesigning processes, retraining staff, sustaining continuous monitoring and reviewing access on an ongoing basis. For a large organisation handling regulated data, this is usually justified. For smaller organisations, a phased approach is more realistic than trying to fully transition all at once.</w:t>
      </w:r>
    </w:p>
    <w:p w14:paraId="6570A2D2" w14:textId="77777777" w:rsidR="00C05819" w:rsidRDefault="00C05819">
      <w:pPr>
        <w:spacing w:line="96" w:lineRule="exact"/>
      </w:pPr>
    </w:p>
    <w:p w14:paraId="2D2337D2" w14:textId="3D6F0C8A" w:rsidR="00C05819" w:rsidRDefault="00000000">
      <w:pPr>
        <w:spacing w:line="240" w:lineRule="exact"/>
        <w:ind w:firstLine="216"/>
        <w:jc w:val="both"/>
      </w:pPr>
      <w:r>
        <w:t xml:space="preserve">There is also a less technical concern about vendor lock-in. The Zero Trust market is very </w:t>
      </w:r>
      <w:proofErr w:type="gramStart"/>
      <w:r>
        <w:t>active</w:t>
      </w:r>
      <w:proofErr w:type="gramEnd"/>
      <w:r>
        <w:t xml:space="preserve"> and several large vendors offer entire ecosystems built around their interpretation of the model. Organisations that commit fully to one ecosystem may find it harder to switch later and there is a wider point that vendor marketing has, at times, distorted what Zero Trust is </w:t>
      </w:r>
      <w:r w:rsidR="003A6588">
        <w:t>meant</w:t>
      </w:r>
      <w:r>
        <w:t xml:space="preserve"> to mean.</w:t>
      </w:r>
    </w:p>
    <w:p w14:paraId="3B212B7C" w14:textId="77777777" w:rsidR="00C05819" w:rsidRDefault="00C05819">
      <w:pPr>
        <w:spacing w:line="192" w:lineRule="exact"/>
      </w:pPr>
    </w:p>
    <w:p w14:paraId="028E16BB" w14:textId="2AE74DBD" w:rsidR="00C05819" w:rsidRPr="00CF7A79" w:rsidRDefault="00000000" w:rsidP="00AD0BD5">
      <w:pPr>
        <w:pStyle w:val="Heading1"/>
        <w:rPr>
          <w:smallCaps/>
        </w:rPr>
      </w:pPr>
      <w:bookmarkStart w:id="4" w:name="_Toc228394996"/>
      <w:r w:rsidRPr="00CF7A79">
        <w:rPr>
          <w:smallCaps/>
        </w:rPr>
        <w:t>Evaluation and Practical Implications</w:t>
      </w:r>
      <w:bookmarkEnd w:id="4"/>
    </w:p>
    <w:p w14:paraId="200ABFE1" w14:textId="3E5720ED" w:rsidR="00C05819" w:rsidRDefault="00000000">
      <w:pPr>
        <w:spacing w:line="240" w:lineRule="exact"/>
        <w:ind w:firstLine="216"/>
        <w:jc w:val="both"/>
      </w:pPr>
      <w:r>
        <w:t xml:space="preserve">Practically speaking, Zero Trust does not deliver much on its own. The model is solid, but without proper governance and a clear sense of what you are </w:t>
      </w:r>
      <w:r w:rsidR="0032511B">
        <w:t>protecting</w:t>
      </w:r>
      <w:r>
        <w:t>, the technical controls do not hold together [</w:t>
      </w:r>
      <w:r w:rsidR="0032511B">
        <w:t>5</w:t>
      </w:r>
      <w:r>
        <w:t>]. That is probably the most important thing to take from looking at how real implementations play out.</w:t>
      </w:r>
    </w:p>
    <w:p w14:paraId="576FDA34" w14:textId="77777777" w:rsidR="00C05819" w:rsidRDefault="00C05819">
      <w:pPr>
        <w:spacing w:line="96" w:lineRule="exact"/>
      </w:pPr>
    </w:p>
    <w:p w14:paraId="7912E7F6" w14:textId="60F9A0A7" w:rsidR="00C05819" w:rsidRDefault="0032511B">
      <w:pPr>
        <w:spacing w:line="240" w:lineRule="exact"/>
        <w:ind w:firstLine="216"/>
        <w:jc w:val="both"/>
      </w:pPr>
      <w:r>
        <w:t>Planning, policy, programs, protection, people and project management - is directly relevant [1]. A successful Zero Trust implementation needs all six. Strong technical controls without clear policy or accountability tend to drift over time. Equally, good policy without the technical means to enforce it does not protect anyone.</w:t>
      </w:r>
    </w:p>
    <w:p w14:paraId="6559B7DC" w14:textId="77777777" w:rsidR="00C05819" w:rsidRDefault="00C05819">
      <w:pPr>
        <w:spacing w:line="96" w:lineRule="exact"/>
      </w:pPr>
    </w:p>
    <w:p w14:paraId="3DEF578D" w14:textId="2E8A6C47" w:rsidR="00C05819" w:rsidRDefault="00000000">
      <w:pPr>
        <w:spacing w:line="240" w:lineRule="exact"/>
        <w:ind w:firstLine="216"/>
        <w:jc w:val="both"/>
      </w:pPr>
      <w:r>
        <w:t>From a risk management perspective, Zero Trust is most useful where it reduces the likelihood or impact of well-understood threat scenarios. It works well against lateral movement, insider misuse and credential-based attacks. It does much less to address risks that originate further upstream, such as software supply chain weaknesses, social engineering before authentication or vulnerabilities in the underlying code [</w:t>
      </w:r>
      <w:r w:rsidR="00C54BD3">
        <w:t>6</w:t>
      </w:r>
      <w:r>
        <w:t>]. Risk assessment should therefore guide which parts of Zero Trust to prioritise, rather than treating the framework as an answer to every problem.</w:t>
      </w:r>
    </w:p>
    <w:p w14:paraId="21FE93E4" w14:textId="77777777" w:rsidR="00C05819" w:rsidRDefault="00C05819">
      <w:pPr>
        <w:spacing w:line="96" w:lineRule="exact"/>
      </w:pPr>
    </w:p>
    <w:p w14:paraId="3E7C593C" w14:textId="5B3A2727" w:rsidR="00C05819" w:rsidRDefault="00000000">
      <w:pPr>
        <w:spacing w:line="240" w:lineRule="exact"/>
        <w:ind w:firstLine="216"/>
        <w:jc w:val="both"/>
      </w:pPr>
      <w:r>
        <w:t>Not every organisation needs the same level of Zero Trust either. The NCSC is clear that security controls should match the actual risk and that applies here too. A ten-person software company with no regulated data is a completely different situation from a hospital network. Applying the same model to both would be wasteful at best and genuinely disruptive at worst</w:t>
      </w:r>
      <w:r w:rsidR="00C54BD3">
        <w:t xml:space="preserve"> [7]</w:t>
      </w:r>
      <w:r>
        <w:t>.</w:t>
      </w:r>
    </w:p>
    <w:p w14:paraId="4378309B" w14:textId="77777777" w:rsidR="00C05819" w:rsidRDefault="00C05819">
      <w:pPr>
        <w:spacing w:line="96" w:lineRule="exact"/>
      </w:pPr>
    </w:p>
    <w:p w14:paraId="74ED9408" w14:textId="5690A5D0" w:rsidR="00C05819" w:rsidRDefault="00000000">
      <w:pPr>
        <w:spacing w:line="240" w:lineRule="exact"/>
        <w:ind w:firstLine="216"/>
        <w:jc w:val="both"/>
      </w:pPr>
      <w:r>
        <w:t xml:space="preserve">Cloud environments are arguably where Zero Trust matters most. Research on cloud computing security has consistently shown that reduced direct control and reliance on shared </w:t>
      </w:r>
      <w:r>
        <w:lastRenderedPageBreak/>
        <w:t>providers makes traditional perimeter thinking ineffective [</w:t>
      </w:r>
      <w:r w:rsidR="00C54BD3">
        <w:t>8</w:t>
      </w:r>
      <w:r>
        <w:t>]. In cloud-heavy setups specifically, identity-based controls and continuous monitoring are basically non-negotiable at this point.</w:t>
      </w:r>
    </w:p>
    <w:p w14:paraId="5954DC0F" w14:textId="77777777" w:rsidR="00C05819" w:rsidRDefault="00C05819">
      <w:pPr>
        <w:spacing w:line="96" w:lineRule="exact"/>
      </w:pPr>
    </w:p>
    <w:p w14:paraId="278B0DAF" w14:textId="2594B5E5" w:rsidR="00C05819" w:rsidRDefault="00000000">
      <w:pPr>
        <w:spacing w:line="240" w:lineRule="exact"/>
        <w:ind w:firstLine="216"/>
        <w:jc w:val="both"/>
      </w:pPr>
      <w:r>
        <w:t xml:space="preserve">The organisations that </w:t>
      </w:r>
      <w:r w:rsidR="00C54BD3">
        <w:t>get</w:t>
      </w:r>
      <w:r>
        <w:t xml:space="preserve"> value from Zero Trust tend to treat it as a direction rather than a destination. They start with identity </w:t>
      </w:r>
      <w:r w:rsidR="00C54BD3">
        <w:t>-</w:t>
      </w:r>
      <w:r>
        <w:t xml:space="preserve"> tighten up MFA, clean up access rights, sort out dormant accounts </w:t>
      </w:r>
      <w:r w:rsidR="00C54BD3">
        <w:t>-</w:t>
      </w:r>
      <w:r>
        <w:t xml:space="preserve"> then build from there. Trying to do everything at once is almost always how these projects go wrong.</w:t>
      </w:r>
    </w:p>
    <w:p w14:paraId="1C98AB13" w14:textId="77777777" w:rsidR="00C05819" w:rsidRDefault="00C05819">
      <w:pPr>
        <w:spacing w:line="192" w:lineRule="exact"/>
      </w:pPr>
    </w:p>
    <w:p w14:paraId="27E7A9BB" w14:textId="3BA0F7D3" w:rsidR="00C05819" w:rsidRPr="00CF7A79" w:rsidRDefault="00000000" w:rsidP="00994C54">
      <w:pPr>
        <w:pStyle w:val="Heading1"/>
        <w:rPr>
          <w:smallCaps/>
        </w:rPr>
      </w:pPr>
      <w:bookmarkStart w:id="5" w:name="_Toc228394997"/>
      <w:r w:rsidRPr="00CF7A79">
        <w:rPr>
          <w:smallCaps/>
        </w:rPr>
        <w:t>Conclusion</w:t>
      </w:r>
      <w:bookmarkEnd w:id="5"/>
    </w:p>
    <w:p w14:paraId="7D673CC0" w14:textId="031E512B" w:rsidR="00C05819" w:rsidRDefault="00000000">
      <w:pPr>
        <w:spacing w:line="240" w:lineRule="exact"/>
        <w:ind w:firstLine="216"/>
        <w:jc w:val="both"/>
      </w:pPr>
      <w:r>
        <w:t xml:space="preserve">Zero Trust is a credible answer to the security problems that have become common as organisations spread across cloud platforms, remote workers and third-party integrations. The core ideas </w:t>
      </w:r>
      <w:r w:rsidR="00C54BD3">
        <w:t>-</w:t>
      </w:r>
      <w:r>
        <w:t xml:space="preserve"> verify everything, give the minimum access needed, keep monitoring </w:t>
      </w:r>
      <w:r w:rsidR="00C54BD3">
        <w:t>-</w:t>
      </w:r>
      <w:r>
        <w:t xml:space="preserve"> target exactly the gaps that perimeter security leaves open and there is decent evidence that organisations applying these principles do better against credential theft and insider misuse.</w:t>
      </w:r>
    </w:p>
    <w:p w14:paraId="7C929F70" w14:textId="77777777" w:rsidR="00C05819" w:rsidRDefault="00C05819">
      <w:pPr>
        <w:spacing w:line="96" w:lineRule="exact"/>
      </w:pPr>
    </w:p>
    <w:p w14:paraId="1FFB781C" w14:textId="13D83DAC" w:rsidR="00C05819" w:rsidRDefault="00000000">
      <w:pPr>
        <w:spacing w:line="240" w:lineRule="exact"/>
        <w:ind w:firstLine="216"/>
        <w:jc w:val="both"/>
      </w:pPr>
      <w:r>
        <w:t xml:space="preserve">That said, it is not a shortcut. Organisations that buy a vendor product, label it Zero Trust and move on typically do not see much improvement. The ones that treat it as a long-term operating model </w:t>
      </w:r>
      <w:r w:rsidR="00C54BD3">
        <w:t xml:space="preserve">- </w:t>
      </w:r>
      <w:r>
        <w:t xml:space="preserve">with real policies, defined scoping and ongoing management </w:t>
      </w:r>
      <w:r w:rsidR="00C54BD3">
        <w:t>-</w:t>
      </w:r>
      <w:r>
        <w:t xml:space="preserve"> tend to see genuine security gains over time.</w:t>
      </w:r>
    </w:p>
    <w:p w14:paraId="0D3B9DB8" w14:textId="77777777" w:rsidR="00C05819" w:rsidRDefault="00C05819">
      <w:pPr>
        <w:spacing w:line="96" w:lineRule="exact"/>
      </w:pPr>
    </w:p>
    <w:p w14:paraId="431E63A0" w14:textId="038B091D" w:rsidR="00C05819" w:rsidRDefault="00000000">
      <w:pPr>
        <w:spacing w:line="240" w:lineRule="exact"/>
        <w:ind w:firstLine="216"/>
        <w:jc w:val="both"/>
      </w:pPr>
      <w:r>
        <w:t xml:space="preserve">For most organisations the practical takeaway </w:t>
      </w:r>
      <w:r w:rsidR="00477C5E">
        <w:t>is</w:t>
      </w:r>
      <w:r>
        <w:t xml:space="preserve"> start with identity, restrict access properly, monitor what is happening and review it regularly. The specific tools matter less than getting those fundamentals right. When it works, Zero Trust </w:t>
      </w:r>
      <w:r>
        <w:t xml:space="preserve">is less of a formal architecture and more of a mindset shift </w:t>
      </w:r>
      <w:r w:rsidR="00C54BD3">
        <w:t>-</w:t>
      </w:r>
      <w:r>
        <w:t xml:space="preserve"> one that accepts the network boundary is gone and builds security around that reality.</w:t>
      </w:r>
    </w:p>
    <w:p w14:paraId="7FE0CB69" w14:textId="77777777" w:rsidR="00C05819" w:rsidRDefault="00C05819">
      <w:pPr>
        <w:spacing w:line="192" w:lineRule="exact"/>
      </w:pPr>
    </w:p>
    <w:p w14:paraId="6DE876A0" w14:textId="77777777" w:rsidR="00C05819" w:rsidRPr="00CF7A79" w:rsidRDefault="00000000">
      <w:pPr>
        <w:spacing w:before="120" w:after="60" w:line="240" w:lineRule="exact"/>
        <w:jc w:val="center"/>
      </w:pPr>
      <w:r w:rsidRPr="00CF7A79">
        <w:rPr>
          <w:smallCaps/>
        </w:rPr>
        <w:t>References</w:t>
      </w:r>
    </w:p>
    <w:p w14:paraId="0A1BBF28" w14:textId="36670085" w:rsidR="00C05819" w:rsidRDefault="00000000">
      <w:pPr>
        <w:spacing w:line="240" w:lineRule="exact"/>
        <w:ind w:left="288" w:hanging="288"/>
        <w:jc w:val="both"/>
      </w:pPr>
      <w:r>
        <w:rPr>
          <w:sz w:val="18"/>
          <w:szCs w:val="18"/>
        </w:rPr>
        <w:t>[1]</w:t>
      </w:r>
      <w:r>
        <w:rPr>
          <w:sz w:val="18"/>
          <w:szCs w:val="18"/>
        </w:rPr>
        <w:tab/>
      </w:r>
      <w:r w:rsidR="00664BF1" w:rsidRPr="00664BF1">
        <w:rPr>
          <w:sz w:val="18"/>
          <w:szCs w:val="18"/>
        </w:rPr>
        <w:t>R. Ross et al., "Security and Privacy Controls for Information Systems and Organizations," NIST SP 800-53 Rev. 5, NIST, Gaithersburg, MD, 2020.</w:t>
      </w:r>
    </w:p>
    <w:p w14:paraId="65810BB7" w14:textId="77777777" w:rsidR="00C05819" w:rsidRDefault="00000000">
      <w:pPr>
        <w:spacing w:line="240" w:lineRule="exact"/>
        <w:ind w:left="288" w:hanging="288"/>
        <w:jc w:val="both"/>
      </w:pPr>
      <w:r>
        <w:rPr>
          <w:sz w:val="18"/>
          <w:szCs w:val="18"/>
        </w:rPr>
        <w:t>[2]</w:t>
      </w:r>
      <w:r>
        <w:rPr>
          <w:sz w:val="18"/>
          <w:szCs w:val="18"/>
        </w:rPr>
        <w:tab/>
        <w:t xml:space="preserve">J. </w:t>
      </w:r>
      <w:proofErr w:type="spellStart"/>
      <w:r>
        <w:rPr>
          <w:sz w:val="18"/>
          <w:szCs w:val="18"/>
        </w:rPr>
        <w:t>Kindervag</w:t>
      </w:r>
      <w:proofErr w:type="spellEnd"/>
      <w:r>
        <w:rPr>
          <w:sz w:val="18"/>
          <w:szCs w:val="18"/>
        </w:rPr>
        <w:t xml:space="preserve">, “No More Chewy </w:t>
      </w:r>
      <w:proofErr w:type="spellStart"/>
      <w:r>
        <w:rPr>
          <w:sz w:val="18"/>
          <w:szCs w:val="18"/>
        </w:rPr>
        <w:t>Centers</w:t>
      </w:r>
      <w:proofErr w:type="spellEnd"/>
      <w:r>
        <w:rPr>
          <w:sz w:val="18"/>
          <w:szCs w:val="18"/>
        </w:rPr>
        <w:t>: Introducing the Zero Trust Model of Information Security,” Forrester Research, Cambridge, MA, Sep. 2010.</w:t>
      </w:r>
    </w:p>
    <w:p w14:paraId="591D7788" w14:textId="6E3EB78E" w:rsidR="00C05819" w:rsidRDefault="00000000" w:rsidP="00477C5E">
      <w:pPr>
        <w:spacing w:line="240" w:lineRule="exact"/>
        <w:ind w:left="288" w:hanging="288"/>
        <w:jc w:val="both"/>
      </w:pPr>
      <w:r>
        <w:rPr>
          <w:sz w:val="18"/>
          <w:szCs w:val="18"/>
        </w:rPr>
        <w:t>[3]</w:t>
      </w:r>
      <w:r>
        <w:rPr>
          <w:sz w:val="18"/>
          <w:szCs w:val="18"/>
        </w:rPr>
        <w:tab/>
        <w:t>S. Rose, O. Borchert, S. Mitchell and S. Connelly, “Zero Trust Architecture,” NIST Special Publication 800-207, National Institute of Standards and Technology, Gaithersburg, MD, Aug. 2020</w:t>
      </w:r>
      <w:r w:rsidR="00320002">
        <w:rPr>
          <w:sz w:val="18"/>
          <w:szCs w:val="18"/>
        </w:rPr>
        <w:t>.</w:t>
      </w:r>
    </w:p>
    <w:p w14:paraId="5A7F8228" w14:textId="18745FF8" w:rsidR="00C05819" w:rsidRDefault="00000000">
      <w:pPr>
        <w:spacing w:line="240" w:lineRule="exact"/>
        <w:ind w:left="288" w:hanging="288"/>
        <w:jc w:val="both"/>
      </w:pPr>
      <w:r>
        <w:rPr>
          <w:sz w:val="18"/>
          <w:szCs w:val="18"/>
        </w:rPr>
        <w:t>[</w:t>
      </w:r>
      <w:r w:rsidR="00C05A94">
        <w:rPr>
          <w:sz w:val="18"/>
          <w:szCs w:val="18"/>
        </w:rPr>
        <w:t>4</w:t>
      </w:r>
      <w:r>
        <w:rPr>
          <w:sz w:val="18"/>
          <w:szCs w:val="18"/>
        </w:rPr>
        <w:t>]</w:t>
      </w:r>
      <w:r>
        <w:rPr>
          <w:sz w:val="18"/>
          <w:szCs w:val="18"/>
        </w:rPr>
        <w:tab/>
        <w:t>N. F. Syed, S. W. Shah, A. Shaghaghi, A. Anwar, Z. Baig and R. Doss, “Zero Trust Architecture (ZTA): A Comprehensive Survey,” IEEE Access, vol. 10,</w:t>
      </w:r>
      <w:r w:rsidR="00664BF1">
        <w:rPr>
          <w:sz w:val="18"/>
          <w:szCs w:val="18"/>
        </w:rPr>
        <w:t xml:space="preserve"> </w:t>
      </w:r>
      <w:r>
        <w:rPr>
          <w:sz w:val="18"/>
          <w:szCs w:val="18"/>
        </w:rPr>
        <w:t>2022.</w:t>
      </w:r>
    </w:p>
    <w:p w14:paraId="383CF4E1" w14:textId="6BCC35E7" w:rsidR="00C05819" w:rsidRDefault="00000000">
      <w:pPr>
        <w:spacing w:line="240" w:lineRule="exact"/>
        <w:ind w:left="288" w:hanging="288"/>
        <w:jc w:val="both"/>
      </w:pPr>
      <w:r>
        <w:rPr>
          <w:sz w:val="18"/>
          <w:szCs w:val="18"/>
        </w:rPr>
        <w:t>[</w:t>
      </w:r>
      <w:r w:rsidR="0032511B">
        <w:rPr>
          <w:sz w:val="18"/>
          <w:szCs w:val="18"/>
        </w:rPr>
        <w:t>5</w:t>
      </w:r>
      <w:r>
        <w:rPr>
          <w:sz w:val="18"/>
          <w:szCs w:val="18"/>
        </w:rPr>
        <w:t>]</w:t>
      </w:r>
      <w:r>
        <w:rPr>
          <w:sz w:val="18"/>
          <w:szCs w:val="18"/>
        </w:rPr>
        <w:tab/>
      </w:r>
      <w:r w:rsidR="00664BF1" w:rsidRPr="00D845E1">
        <w:rPr>
          <w:sz w:val="18"/>
          <w:szCs w:val="18"/>
        </w:rPr>
        <w:t>D. Zissis and D. Lekkas, "Addressing cloud computing security issues," Future Generation Computer Systems, vol. 28, no. 3, 2012.</w:t>
      </w:r>
    </w:p>
    <w:p w14:paraId="158B1F54" w14:textId="016D024B" w:rsidR="00C05819" w:rsidRDefault="00000000">
      <w:pPr>
        <w:spacing w:line="240" w:lineRule="exact"/>
        <w:ind w:left="288" w:hanging="288"/>
        <w:jc w:val="both"/>
      </w:pPr>
      <w:r>
        <w:rPr>
          <w:sz w:val="18"/>
          <w:szCs w:val="18"/>
        </w:rPr>
        <w:t>[</w:t>
      </w:r>
      <w:r w:rsidR="0032511B">
        <w:rPr>
          <w:sz w:val="18"/>
          <w:szCs w:val="18"/>
        </w:rPr>
        <w:t>6</w:t>
      </w:r>
      <w:r>
        <w:rPr>
          <w:sz w:val="18"/>
          <w:szCs w:val="18"/>
        </w:rPr>
        <w:t>]</w:t>
      </w:r>
      <w:r>
        <w:rPr>
          <w:sz w:val="18"/>
          <w:szCs w:val="18"/>
        </w:rPr>
        <w:tab/>
      </w:r>
      <w:r w:rsidR="00664BF1" w:rsidRPr="00664BF1">
        <w:rPr>
          <w:sz w:val="18"/>
          <w:szCs w:val="18"/>
        </w:rPr>
        <w:t>ENISA, "ENISA Threat Landscape 2022," European Union Agency for Cybersecurity, Heraklion, Greece, Oct. 2022.</w:t>
      </w:r>
    </w:p>
    <w:p w14:paraId="153D86DA" w14:textId="61F7FB83" w:rsidR="00C05819" w:rsidRDefault="00000000">
      <w:pPr>
        <w:spacing w:line="240" w:lineRule="exact"/>
        <w:ind w:left="288" w:hanging="288"/>
        <w:jc w:val="both"/>
      </w:pPr>
      <w:r>
        <w:rPr>
          <w:sz w:val="18"/>
          <w:szCs w:val="18"/>
        </w:rPr>
        <w:t>[</w:t>
      </w:r>
      <w:r w:rsidR="0032511B">
        <w:rPr>
          <w:sz w:val="18"/>
          <w:szCs w:val="18"/>
        </w:rPr>
        <w:t>7</w:t>
      </w:r>
      <w:r>
        <w:rPr>
          <w:sz w:val="18"/>
          <w:szCs w:val="18"/>
        </w:rPr>
        <w:t>]</w:t>
      </w:r>
      <w:r>
        <w:rPr>
          <w:sz w:val="18"/>
          <w:szCs w:val="18"/>
        </w:rPr>
        <w:tab/>
        <w:t>UK National Cyber Security Centre, “Zero trust architecture design principles,” NCSC, London, UK, 2021.</w:t>
      </w:r>
    </w:p>
    <w:p w14:paraId="746B088C" w14:textId="33E8F5E5" w:rsidR="00C541C7" w:rsidRDefault="00000000">
      <w:pPr>
        <w:spacing w:line="240" w:lineRule="exact"/>
        <w:ind w:left="288" w:hanging="288"/>
        <w:jc w:val="both"/>
        <w:rPr>
          <w:sz w:val="18"/>
          <w:szCs w:val="18"/>
        </w:rPr>
      </w:pPr>
      <w:r>
        <w:rPr>
          <w:sz w:val="18"/>
          <w:szCs w:val="18"/>
        </w:rPr>
        <w:t>[</w:t>
      </w:r>
      <w:r w:rsidR="0032511B">
        <w:rPr>
          <w:sz w:val="18"/>
          <w:szCs w:val="18"/>
        </w:rPr>
        <w:t>8</w:t>
      </w:r>
      <w:r>
        <w:rPr>
          <w:sz w:val="18"/>
          <w:szCs w:val="18"/>
        </w:rPr>
        <w:t>]</w:t>
      </w:r>
      <w:r>
        <w:rPr>
          <w:sz w:val="18"/>
          <w:szCs w:val="18"/>
        </w:rPr>
        <w:tab/>
        <w:t>M. Jouini, A. Ben Aissa, L. Ben Arfa Rabai and A. Mili, “Towards quantitative measures of Information Security: A Cloud Computing case study,” Int. J. of Cyber-Security and Digital Forensics, vol. 1, no. 3, 2012.</w:t>
      </w:r>
    </w:p>
    <w:p w14:paraId="58EC6952" w14:textId="77777777" w:rsidR="008F3EBC" w:rsidRDefault="00C541C7" w:rsidP="008F3EBC">
      <w:pPr>
        <w:spacing w:before="240" w:after="160"/>
        <w:jc w:val="center"/>
        <w:rPr>
          <w:sz w:val="18"/>
          <w:szCs w:val="18"/>
        </w:rPr>
        <w:sectPr w:rsidR="008F3EBC">
          <w:type w:val="continuous"/>
          <w:pgSz w:w="11906" w:h="16838"/>
          <w:pgMar w:top="540" w:right="893" w:bottom="1440" w:left="893" w:header="708" w:footer="708" w:gutter="0"/>
          <w:cols w:num="2" w:space="360"/>
          <w:docGrid w:linePitch="360"/>
        </w:sectPr>
      </w:pPr>
      <w:r>
        <w:rPr>
          <w:sz w:val="18"/>
          <w:szCs w:val="18"/>
        </w:rPr>
        <w:br w:type="page"/>
      </w:r>
    </w:p>
    <w:p w14:paraId="24E418B9" w14:textId="77777777" w:rsidR="008F3EBC" w:rsidRPr="008F3EBC" w:rsidRDefault="008F3EBC" w:rsidP="008F3EBC">
      <w:pPr>
        <w:pStyle w:val="Title"/>
        <w:jc w:val="center"/>
        <w:rPr>
          <w:sz w:val="48"/>
          <w:szCs w:val="48"/>
        </w:rPr>
      </w:pPr>
      <w:r w:rsidRPr="008F3EBC">
        <w:rPr>
          <w:sz w:val="48"/>
          <w:szCs w:val="48"/>
        </w:rPr>
        <w:lastRenderedPageBreak/>
        <w:t xml:space="preserve">Task 2: Zero Trust Security Programme for </w:t>
      </w:r>
      <w:proofErr w:type="spellStart"/>
      <w:r w:rsidRPr="008F3EBC">
        <w:rPr>
          <w:sz w:val="48"/>
          <w:szCs w:val="48"/>
        </w:rPr>
        <w:t>MediTrust</w:t>
      </w:r>
      <w:proofErr w:type="spellEnd"/>
      <w:r w:rsidRPr="008F3EBC">
        <w:rPr>
          <w:sz w:val="48"/>
          <w:szCs w:val="48"/>
        </w:rPr>
        <w:t xml:space="preserve"> Analytics Ltd</w:t>
      </w:r>
    </w:p>
    <w:p w14:paraId="5D9546D9" w14:textId="77777777" w:rsidR="008F3EBC" w:rsidRPr="0071070D" w:rsidRDefault="008F3EBC" w:rsidP="008F3EBC">
      <w:pPr>
        <w:pStyle w:val="Heading1"/>
        <w:numPr>
          <w:ilvl w:val="0"/>
          <w:numId w:val="9"/>
        </w:numPr>
        <w:rPr>
          <w:smallCaps/>
          <w:szCs w:val="20"/>
        </w:rPr>
      </w:pPr>
      <w:bookmarkStart w:id="6" w:name="_Toc228394998"/>
      <w:r w:rsidRPr="0071070D">
        <w:rPr>
          <w:smallCaps/>
          <w:szCs w:val="20"/>
        </w:rPr>
        <w:t>Introduction</w:t>
      </w:r>
      <w:bookmarkEnd w:id="6"/>
    </w:p>
    <w:p w14:paraId="42CBE446" w14:textId="06E62AD4" w:rsidR="008F3EBC" w:rsidRPr="008F3EBC" w:rsidRDefault="008F3EBC" w:rsidP="008F3EBC">
      <w:pPr>
        <w:spacing w:after="140" w:line="280" w:lineRule="auto"/>
        <w:jc w:val="both"/>
      </w:pPr>
      <w:proofErr w:type="spellStart"/>
      <w:r w:rsidRPr="008F3EBC">
        <w:t>MediTrust</w:t>
      </w:r>
      <w:proofErr w:type="spellEnd"/>
      <w:r w:rsidRPr="008F3EBC">
        <w:t xml:space="preserve"> Analytics Ltd builds AI-powered clinical decision support tools and cloud platforms for hospitals and private healthcare providers. The systems it runs process medical records, diagnostic imaging data and real-time patient monitoring feeds </w:t>
      </w:r>
      <w:r w:rsidR="007E0394">
        <w:t>-</w:t>
      </w:r>
      <w:r w:rsidRPr="008F3EBC">
        <w:t xml:space="preserve"> all highly sensitive. The workforce is spread across remote developers, on-site staff and third-party partners and the operation runs on multi-cloud infrastructure.</w:t>
      </w:r>
    </w:p>
    <w:p w14:paraId="23012B6C" w14:textId="1E139A90" w:rsidR="008F3EBC" w:rsidRPr="008F3EBC" w:rsidRDefault="008F3EBC" w:rsidP="008F3EBC">
      <w:pPr>
        <w:spacing w:after="140" w:line="280" w:lineRule="auto"/>
        <w:jc w:val="both"/>
      </w:pPr>
      <w:r w:rsidRPr="008F3EBC">
        <w:t>The company's EU expansion brings it directly into scope of GDPR and NIS2 and into DORA where it provides services to financial-sector entities. Concerns have been raised about the security of AI training data, access control over patient information and risks in the software supply chain. This section sets out a Zero Trust</w:t>
      </w:r>
      <w:r w:rsidR="007E0394">
        <w:t>-</w:t>
      </w:r>
      <w:r w:rsidRPr="008F3EBC">
        <w:t xml:space="preserve">aligned security programme for the new EU unit, building on Task 1 and applying it to </w:t>
      </w:r>
      <w:proofErr w:type="spellStart"/>
      <w:r w:rsidRPr="008F3EBC">
        <w:t>MediTrust's</w:t>
      </w:r>
      <w:proofErr w:type="spellEnd"/>
      <w:r w:rsidRPr="008F3EBC">
        <w:t xml:space="preserve"> specific operational and regulatory conditions.</w:t>
      </w:r>
    </w:p>
    <w:p w14:paraId="7EEB877A" w14:textId="7D26BEBC" w:rsidR="008F3EBC" w:rsidRPr="0071070D" w:rsidRDefault="008F3EBC" w:rsidP="008F3EBC">
      <w:pPr>
        <w:pStyle w:val="Heading1"/>
        <w:numPr>
          <w:ilvl w:val="0"/>
          <w:numId w:val="9"/>
        </w:numPr>
        <w:rPr>
          <w:smallCaps/>
          <w:szCs w:val="20"/>
        </w:rPr>
      </w:pPr>
      <w:bookmarkStart w:id="7" w:name="_Toc228394999"/>
      <w:r w:rsidRPr="0071070D">
        <w:rPr>
          <w:smallCaps/>
          <w:szCs w:val="20"/>
        </w:rPr>
        <w:t>Organisational Context and Risk Overview</w:t>
      </w:r>
      <w:bookmarkEnd w:id="7"/>
    </w:p>
    <w:p w14:paraId="2CB94AD5" w14:textId="55E4D6C4" w:rsidR="008F3EBC" w:rsidRPr="008F3EBC" w:rsidRDefault="008F3EBC" w:rsidP="008F3EBC">
      <w:pPr>
        <w:spacing w:after="140" w:line="280" w:lineRule="auto"/>
        <w:jc w:val="both"/>
      </w:pPr>
      <w:proofErr w:type="spellStart"/>
      <w:r w:rsidRPr="008F3EBC">
        <w:t>MediTrust's</w:t>
      </w:r>
      <w:proofErr w:type="spellEnd"/>
      <w:r w:rsidRPr="008F3EBC">
        <w:t xml:space="preserve"> whole business depends on handling data that people expect to stay private. Healthcare records are at the top end of GDPR's special category data, and getting it wrong has serious consequences </w:t>
      </w:r>
      <w:r w:rsidR="007E0394">
        <w:t>-</w:t>
      </w:r>
      <w:r w:rsidR="007E0394" w:rsidRPr="008F3EBC">
        <w:t xml:space="preserve"> </w:t>
      </w:r>
      <w:proofErr w:type="gramStart"/>
      <w:r w:rsidR="007E0394">
        <w:t>millions</w:t>
      </w:r>
      <w:proofErr w:type="gramEnd"/>
      <w:r w:rsidR="007E0394">
        <w:t xml:space="preserve"> </w:t>
      </w:r>
      <w:r w:rsidRPr="008F3EBC">
        <w:t>fines, loss of hospital contracts and the kind of reputational damage that takes years to repair.</w:t>
      </w:r>
    </w:p>
    <w:p w14:paraId="5B789C6D" w14:textId="7DB6A162" w:rsidR="008F3EBC" w:rsidRPr="008F3EBC" w:rsidRDefault="008F3EBC" w:rsidP="008F3EBC">
      <w:pPr>
        <w:spacing w:after="140" w:line="280" w:lineRule="auto"/>
        <w:jc w:val="both"/>
      </w:pPr>
      <w:r w:rsidRPr="008F3EBC">
        <w:t>The distributed nature of operations makes the security problem harder. Remote developers connect from different jurisdictions, clinical analysts work with large datasets, third-party research partners need access to subsets of data and IoT devices feed real-time information into clinical systems. There is no single fixed perimeter to defend, which is one of the main reasons a Zero Trust approach makes sense here.</w:t>
      </w:r>
    </w:p>
    <w:p w14:paraId="3D15F3A4" w14:textId="3548F3D9" w:rsidR="008F3EBC" w:rsidRPr="008F3EBC" w:rsidRDefault="008F3EBC" w:rsidP="008F3EBC">
      <w:pPr>
        <w:spacing w:after="140" w:line="280" w:lineRule="auto"/>
        <w:jc w:val="both"/>
      </w:pPr>
      <w:r w:rsidRPr="008F3EBC">
        <w:t>Several risk areas stand out. Unauthorised access to patient data through compromised credentials or excessive permissions is the most obvious. Insider misuse is also a real concern, because analysts genuinely need wide access to data and the line between legitimate use and misuse can be hard to monitor without strong controls. Cloud misconfiguration is another well-documented risk; research on cloud security has shown that reduced direct control and reliance on shared providers significantly increases vulnerability if not managed carefully [</w:t>
      </w:r>
      <w:r w:rsidR="007E0394">
        <w:t>1</w:t>
      </w:r>
      <w:r w:rsidRPr="008F3EBC">
        <w:t xml:space="preserve">]. Finally, the software supply chain is a growing concern, particularly because </w:t>
      </w:r>
      <w:proofErr w:type="spellStart"/>
      <w:r w:rsidRPr="008F3EBC">
        <w:t>MediTrust</w:t>
      </w:r>
      <w:proofErr w:type="spellEnd"/>
      <w:r w:rsidRPr="008F3EBC">
        <w:t xml:space="preserve"> depends on AI systems that could be undermined through poisoned training data or vulnerable third-party libraries [</w:t>
      </w:r>
      <w:r w:rsidR="007E0394">
        <w:t>2</w:t>
      </w:r>
      <w:r w:rsidRPr="008F3EBC">
        <w:t>].</w:t>
      </w:r>
    </w:p>
    <w:p w14:paraId="0E309F97" w14:textId="1A3CE218" w:rsidR="008F3EBC" w:rsidRPr="0071070D" w:rsidRDefault="008F3EBC" w:rsidP="008F3EBC">
      <w:pPr>
        <w:pStyle w:val="Heading1"/>
        <w:numPr>
          <w:ilvl w:val="0"/>
          <w:numId w:val="9"/>
        </w:numPr>
        <w:rPr>
          <w:smallCaps/>
        </w:rPr>
      </w:pPr>
      <w:bookmarkStart w:id="8" w:name="_Toc228395000"/>
      <w:r w:rsidRPr="0071070D">
        <w:rPr>
          <w:smallCaps/>
        </w:rPr>
        <w:t>Zero Trust Security Architecture Design</w:t>
      </w:r>
      <w:bookmarkEnd w:id="8"/>
    </w:p>
    <w:p w14:paraId="7A67227E" w14:textId="741844EA" w:rsidR="008F3EBC" w:rsidRPr="008F3EBC" w:rsidRDefault="008F3EBC" w:rsidP="008F3EBC">
      <w:pPr>
        <w:spacing w:after="140" w:line="280" w:lineRule="auto"/>
        <w:jc w:val="both"/>
      </w:pPr>
      <w:r w:rsidRPr="008F3EBC">
        <w:t xml:space="preserve">The design shifts away from network location as the basis for trust. Identity takes over as the main control point. Every access request goes through the same check regardless of where it originates </w:t>
      </w:r>
      <w:r w:rsidR="007E0394">
        <w:t>-</w:t>
      </w:r>
      <w:r w:rsidRPr="008F3EBC">
        <w:t xml:space="preserve"> who is asking, what device they are on, does the context look normal. Trust is not locked in at </w:t>
      </w:r>
      <w:r w:rsidR="00A85767" w:rsidRPr="008F3EBC">
        <w:t>login</w:t>
      </w:r>
      <w:r w:rsidR="00A85767">
        <w:t>;</w:t>
      </w:r>
      <w:r w:rsidRPr="008F3EBC">
        <w:t xml:space="preserve"> it gets reassessed throughout the session.</w:t>
      </w:r>
    </w:p>
    <w:p w14:paraId="61A33648" w14:textId="2B7686F7" w:rsidR="008F3EBC" w:rsidRPr="008F3EBC" w:rsidRDefault="008F3EBC" w:rsidP="008F3EBC">
      <w:pPr>
        <w:spacing w:after="140" w:line="280" w:lineRule="auto"/>
        <w:jc w:val="both"/>
      </w:pPr>
      <w:r w:rsidRPr="008F3EBC">
        <w:t xml:space="preserve">When a user or service tries to access something, the request hits a policy enforcement point first. The identity provider authenticates the user </w:t>
      </w:r>
      <w:r w:rsidR="007E0394">
        <w:t>-</w:t>
      </w:r>
      <w:r w:rsidRPr="008F3EBC">
        <w:t xml:space="preserve"> with phishing-resistant MFA for anything touching patient data. The device gets checked too: managed, encrypted</w:t>
      </w:r>
      <w:r w:rsidR="007E0394">
        <w:t xml:space="preserve"> and</w:t>
      </w:r>
      <w:r w:rsidRPr="008F3EBC">
        <w:t xml:space="preserve"> up to date. Then the policy engine runs through the role and attribute rules, looking at what is being accessed, who is asking and whether anything looks off. If everything passes, access is granted </w:t>
      </w:r>
      <w:r w:rsidR="007E0394">
        <w:t>-</w:t>
      </w:r>
      <w:r w:rsidRPr="008F3EBC">
        <w:t xml:space="preserve"> narrowly, to that specific resource and session only.</w:t>
      </w:r>
    </w:p>
    <w:p w14:paraId="4D664165" w14:textId="77777777" w:rsidR="008F3EBC" w:rsidRPr="008F3EBC" w:rsidRDefault="008F3EBC" w:rsidP="008F3EBC">
      <w:pPr>
        <w:spacing w:after="140" w:line="280" w:lineRule="auto"/>
        <w:jc w:val="both"/>
      </w:pPr>
      <w:r w:rsidRPr="008F3EBC">
        <w:t>Micro-segmentation keeps clinical data systems walled off from the rest of the infrastructure. Even a fully authenticated user cannot move across into systems they have no reason to be in.</w:t>
      </w:r>
    </w:p>
    <w:p w14:paraId="66E7A657" w14:textId="77777777" w:rsidR="008F3EBC" w:rsidRPr="008F3EBC" w:rsidRDefault="008F3EBC" w:rsidP="008F3EBC">
      <w:pPr>
        <w:keepNext/>
        <w:spacing w:after="200"/>
      </w:pPr>
      <w:r w:rsidRPr="008F3EBC">
        <w:rPr>
          <w:i/>
          <w:iCs/>
          <w:noProof/>
        </w:rPr>
        <w:lastRenderedPageBreak/>
        <w:drawing>
          <wp:inline distT="0" distB="0" distL="0" distR="0" wp14:anchorId="7051FEA6" wp14:editId="7C93A357">
            <wp:extent cx="6400800" cy="3345815"/>
            <wp:effectExtent l="0" t="0" r="0" b="6985"/>
            <wp:docPr id="1625695565" name="Picture 1" descr="The image illustrates a diagram of a network security architecture, depicting various components such as Control Plane, Policy Engine, PDP (Policy Decision Point), and Data Plane, all connected in a flow to show how policies are enforc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95565" name="Picture 1" descr="The image illustrates a diagram of a network security architecture, depicting various components such as Control Plane, Policy Engine, PDP (Policy Decision Point), and Data Plane, all connected in a flow to show how policies are enforced.&#10;&#10;AI-generated content may be incorrect."/>
                    <pic:cNvPicPr/>
                  </pic:nvPicPr>
                  <pic:blipFill rotWithShape="1">
                    <a:blip r:embed="rId6"/>
                    <a:srcRect l="700" t="2970"/>
                    <a:stretch>
                      <a:fillRect/>
                    </a:stretch>
                  </pic:blipFill>
                  <pic:spPr bwMode="auto">
                    <a:xfrm>
                      <a:off x="0" y="0"/>
                      <a:ext cx="6416703" cy="3354128"/>
                    </a:xfrm>
                    <a:prstGeom prst="rect">
                      <a:avLst/>
                    </a:prstGeom>
                    <a:ln>
                      <a:noFill/>
                    </a:ln>
                    <a:extLst>
                      <a:ext uri="{53640926-AAD7-44D8-BBD7-CCE9431645EC}">
                        <a14:shadowObscured xmlns:a14="http://schemas.microsoft.com/office/drawing/2010/main"/>
                      </a:ext>
                    </a:extLst>
                  </pic:spPr>
                </pic:pic>
              </a:graphicData>
            </a:graphic>
          </wp:inline>
        </w:drawing>
      </w:r>
    </w:p>
    <w:p w14:paraId="1585E33F" w14:textId="149B215C" w:rsidR="008F3EBC" w:rsidRPr="00670F2D" w:rsidRDefault="00930C06" w:rsidP="00A85767">
      <w:pPr>
        <w:pStyle w:val="Caption"/>
        <w:jc w:val="center"/>
        <w:rPr>
          <w:i w:val="0"/>
          <w:iCs w:val="0"/>
          <w:color w:val="auto"/>
          <w:sz w:val="16"/>
          <w:szCs w:val="16"/>
        </w:rPr>
      </w:pPr>
      <w:r w:rsidRPr="00670F2D">
        <w:rPr>
          <w:i w:val="0"/>
          <w:iCs w:val="0"/>
          <w:color w:val="auto"/>
          <w:sz w:val="16"/>
          <w:szCs w:val="16"/>
        </w:rPr>
        <w:t xml:space="preserve">Fig. </w:t>
      </w:r>
      <w:r w:rsidRPr="00670F2D">
        <w:rPr>
          <w:i w:val="0"/>
          <w:iCs w:val="0"/>
          <w:color w:val="auto"/>
          <w:sz w:val="16"/>
          <w:szCs w:val="16"/>
        </w:rPr>
        <w:fldChar w:fldCharType="begin"/>
      </w:r>
      <w:r w:rsidRPr="00670F2D">
        <w:rPr>
          <w:i w:val="0"/>
          <w:iCs w:val="0"/>
          <w:color w:val="auto"/>
          <w:sz w:val="16"/>
          <w:szCs w:val="16"/>
        </w:rPr>
        <w:instrText xml:space="preserve"> SEQ Fig. \* ARABIC </w:instrText>
      </w:r>
      <w:r w:rsidRPr="00670F2D">
        <w:rPr>
          <w:i w:val="0"/>
          <w:iCs w:val="0"/>
          <w:color w:val="auto"/>
          <w:sz w:val="16"/>
          <w:szCs w:val="16"/>
        </w:rPr>
        <w:fldChar w:fldCharType="separate"/>
      </w:r>
      <w:r w:rsidRPr="00670F2D">
        <w:rPr>
          <w:i w:val="0"/>
          <w:iCs w:val="0"/>
          <w:noProof/>
          <w:color w:val="auto"/>
          <w:sz w:val="16"/>
          <w:szCs w:val="16"/>
        </w:rPr>
        <w:t>1</w:t>
      </w:r>
      <w:r w:rsidRPr="00670F2D">
        <w:rPr>
          <w:i w:val="0"/>
          <w:iCs w:val="0"/>
          <w:color w:val="auto"/>
          <w:sz w:val="16"/>
          <w:szCs w:val="16"/>
        </w:rPr>
        <w:fldChar w:fldCharType="end"/>
      </w:r>
      <w:r w:rsidRPr="00670F2D">
        <w:rPr>
          <w:i w:val="0"/>
          <w:iCs w:val="0"/>
          <w:color w:val="auto"/>
          <w:sz w:val="16"/>
          <w:szCs w:val="16"/>
        </w:rPr>
        <w:t>.  NIST Conceptual Design of Zero Trust Environment</w:t>
      </w:r>
    </w:p>
    <w:p w14:paraId="4C6BAC25" w14:textId="62B9FF88" w:rsidR="008F3EBC" w:rsidRPr="0071070D" w:rsidRDefault="008F3EBC" w:rsidP="008F3EBC">
      <w:pPr>
        <w:pStyle w:val="Heading1"/>
        <w:numPr>
          <w:ilvl w:val="0"/>
          <w:numId w:val="9"/>
        </w:numPr>
        <w:rPr>
          <w:smallCaps/>
          <w:szCs w:val="20"/>
        </w:rPr>
      </w:pPr>
      <w:bookmarkStart w:id="9" w:name="_Toc228395001"/>
      <w:r w:rsidRPr="0071070D">
        <w:rPr>
          <w:smallCaps/>
          <w:szCs w:val="20"/>
        </w:rPr>
        <w:t>Identity and Access Management Strategy</w:t>
      </w:r>
      <w:bookmarkEnd w:id="9"/>
    </w:p>
    <w:p w14:paraId="59B7F37D" w14:textId="754176DC" w:rsidR="008F3EBC" w:rsidRPr="008F3EBC" w:rsidRDefault="008F3EBC" w:rsidP="008F3EBC">
      <w:pPr>
        <w:spacing w:after="140" w:line="280" w:lineRule="auto"/>
        <w:jc w:val="both"/>
      </w:pPr>
      <w:r w:rsidRPr="008F3EBC">
        <w:t xml:space="preserve">Identity is the primary control boundary in Zero Trust, so IAM is one of the most critical parts of the design. Every user </w:t>
      </w:r>
      <w:r w:rsidR="00670F2D">
        <w:t>-</w:t>
      </w:r>
      <w:r w:rsidRPr="008F3EBC">
        <w:t xml:space="preserve"> internal staff, analysts, remote developers, external research partners </w:t>
      </w:r>
      <w:r w:rsidR="00670F2D">
        <w:t xml:space="preserve">- </w:t>
      </w:r>
      <w:r w:rsidRPr="008F3EBC">
        <w:t>must be uniquely identified and authenticated before any access is granted. For systems handling patient data, phishing-resistant MFA based on FIDO2 hardware keys or passkeys should be enforced, since SMS and standard OTP have known weaknesses.</w:t>
      </w:r>
    </w:p>
    <w:p w14:paraId="0104D968" w14:textId="3CEA31DB" w:rsidR="008F3EBC" w:rsidRPr="008F3EBC" w:rsidRDefault="008F3EBC" w:rsidP="008F3EBC">
      <w:pPr>
        <w:spacing w:after="140" w:line="280" w:lineRule="auto"/>
        <w:jc w:val="both"/>
      </w:pPr>
      <w:r w:rsidRPr="008F3EBC">
        <w:t xml:space="preserve">Authentication gets you in the door; RBAC decides what is behind it. Clinical analysts work with anonymised datasets </w:t>
      </w:r>
      <w:r w:rsidR="00670F2D">
        <w:t>-</w:t>
      </w:r>
      <w:r w:rsidRPr="008F3EBC">
        <w:t xml:space="preserve"> they do not get raw patient records. External research partners get a narrow, time-limited window into specific data through a managed portal, no bulk export without approval. Admin staff have access to operational tools and nothing clinical. These distinctions matter because overprivileged accounts are one of the most common paths to a serious breach.</w:t>
      </w:r>
    </w:p>
    <w:p w14:paraId="321519D6" w14:textId="28A1D4BF" w:rsidR="008F3EBC" w:rsidRPr="008F3EBC" w:rsidRDefault="008F3EBC" w:rsidP="008F3EBC">
      <w:pPr>
        <w:spacing w:after="140" w:line="280" w:lineRule="auto"/>
        <w:jc w:val="both"/>
      </w:pPr>
      <w:r w:rsidRPr="008F3EBC">
        <w:t>Context-aware access sits on top of RBAC and adjusts decisions based on real-time signals. The same credentials at 10</w:t>
      </w:r>
      <w:r w:rsidR="00670F2D">
        <w:t xml:space="preserve"> </w:t>
      </w:r>
      <w:r w:rsidRPr="008F3EBC">
        <w:t>am on a registered laptop look very different from the same credentials at 3</w:t>
      </w:r>
      <w:r w:rsidR="00670F2D">
        <w:t xml:space="preserve"> </w:t>
      </w:r>
      <w:r w:rsidRPr="008F3EBC">
        <w:t xml:space="preserve">am on an unfamiliar device. Adaptive authentication saves the extra friction for when something </w:t>
      </w:r>
      <w:r w:rsidR="00670F2D" w:rsidRPr="008F3EBC">
        <w:t>looks</w:t>
      </w:r>
      <w:r w:rsidRPr="008F3EBC">
        <w:t xml:space="preserve"> suspicious, rather than irritating users every time they log in.</w:t>
      </w:r>
    </w:p>
    <w:p w14:paraId="6E8D0347" w14:textId="4D02BC75" w:rsidR="008F3EBC" w:rsidRPr="008F3EBC" w:rsidRDefault="008F3EBC" w:rsidP="008F3EBC">
      <w:pPr>
        <w:spacing w:after="140" w:line="280" w:lineRule="auto"/>
        <w:jc w:val="both"/>
      </w:pPr>
      <w:r w:rsidRPr="008F3EBC">
        <w:t>Lifecycle management is the part organisations most often neglect. Access rights need reviewing at least quarterly. Accounts that have not been used in a while should disable automatically. Third-party access needs an expiry date built in from the start</w:t>
      </w:r>
      <w:r w:rsidR="00670F2D">
        <w:t xml:space="preserve"> - </w:t>
      </w:r>
      <w:r w:rsidRPr="008F3EBC">
        <w:t>not something to chase up later.</w:t>
      </w:r>
    </w:p>
    <w:p w14:paraId="32C3ACA6" w14:textId="4F2E1707" w:rsidR="008F3EBC" w:rsidRPr="0071070D" w:rsidRDefault="008F3EBC" w:rsidP="008F3EBC">
      <w:pPr>
        <w:pStyle w:val="Heading1"/>
        <w:numPr>
          <w:ilvl w:val="0"/>
          <w:numId w:val="9"/>
        </w:numPr>
        <w:rPr>
          <w:smallCaps/>
          <w:szCs w:val="20"/>
        </w:rPr>
      </w:pPr>
      <w:bookmarkStart w:id="10" w:name="_Toc228395002"/>
      <w:r w:rsidRPr="0071070D">
        <w:rPr>
          <w:smallCaps/>
          <w:szCs w:val="20"/>
        </w:rPr>
        <w:t>Organisational Structure and Policies</w:t>
      </w:r>
      <w:bookmarkEnd w:id="10"/>
    </w:p>
    <w:p w14:paraId="17C3231D" w14:textId="236F6180" w:rsidR="008F3EBC" w:rsidRPr="008F3EBC" w:rsidRDefault="008F3EBC" w:rsidP="009C4576">
      <w:pPr>
        <w:pStyle w:val="Heading2"/>
      </w:pPr>
      <w:bookmarkStart w:id="11" w:name="_Toc228395003"/>
      <w:r w:rsidRPr="008F3EBC">
        <w:t>Security organisational structure</w:t>
      </w:r>
      <w:bookmarkEnd w:id="11"/>
    </w:p>
    <w:p w14:paraId="3426DBF7" w14:textId="2DD05D5B" w:rsidR="008F3EBC" w:rsidRPr="008F3EBC" w:rsidRDefault="008F3EBC" w:rsidP="008F3EBC">
      <w:pPr>
        <w:spacing w:after="140" w:line="280" w:lineRule="auto"/>
        <w:jc w:val="both"/>
      </w:pPr>
      <w:r w:rsidRPr="008F3EBC">
        <w:t xml:space="preserve">The new EU unit needs dedicated security leadership with technical depth across cloud and software development. Two roles </w:t>
      </w:r>
      <w:r w:rsidR="00670F2D" w:rsidRPr="008F3EBC">
        <w:t>are</w:t>
      </w:r>
      <w:r w:rsidRPr="008F3EBC">
        <w:t xml:space="preserve"> critical.</w:t>
      </w:r>
    </w:p>
    <w:p w14:paraId="51D150B2" w14:textId="71397DC1" w:rsidR="008F3EBC" w:rsidRPr="008F3EBC" w:rsidRDefault="008F3EBC" w:rsidP="00A96273">
      <w:pPr>
        <w:pStyle w:val="ListParagraph"/>
        <w:numPr>
          <w:ilvl w:val="0"/>
          <w:numId w:val="12"/>
        </w:numPr>
        <w:spacing w:after="140" w:line="280" w:lineRule="auto"/>
        <w:jc w:val="both"/>
      </w:pPr>
      <w:r w:rsidRPr="00A96273">
        <w:t>Cloud Security Architect</w:t>
      </w:r>
      <w:r w:rsidRPr="00A96273">
        <w:rPr>
          <w:b/>
          <w:bCs/>
        </w:rPr>
        <w:t xml:space="preserve"> </w:t>
      </w:r>
      <w:r w:rsidRPr="008F3EBC">
        <w:t xml:space="preserve">owns the security posture of </w:t>
      </w:r>
      <w:proofErr w:type="spellStart"/>
      <w:r w:rsidRPr="008F3EBC">
        <w:t>MediTrust's</w:t>
      </w:r>
      <w:proofErr w:type="spellEnd"/>
      <w:r w:rsidRPr="008F3EBC">
        <w:t xml:space="preserve"> multi-cloud infrastructure: deploying CSPM tooling, defining encryption standards and making sure cloud services align with Zero Trust principles. The role works closely with platform </w:t>
      </w:r>
      <w:r w:rsidR="00670F2D" w:rsidRPr="008F3EBC">
        <w:t>engineering,</w:t>
      </w:r>
      <w:r w:rsidRPr="008F3EBC">
        <w:t xml:space="preserve"> so security is built in from the design stage.</w:t>
      </w:r>
    </w:p>
    <w:p w14:paraId="66119ED1" w14:textId="459A42F5" w:rsidR="008F3EBC" w:rsidRPr="008F3EBC" w:rsidRDefault="008F3EBC" w:rsidP="00A96273">
      <w:pPr>
        <w:pStyle w:val="ListParagraph"/>
        <w:numPr>
          <w:ilvl w:val="0"/>
          <w:numId w:val="12"/>
        </w:numPr>
        <w:spacing w:after="140" w:line="280" w:lineRule="auto"/>
        <w:jc w:val="both"/>
      </w:pPr>
      <w:proofErr w:type="spellStart"/>
      <w:r w:rsidRPr="00A96273">
        <w:t>DevSecOps</w:t>
      </w:r>
      <w:proofErr w:type="spellEnd"/>
      <w:r w:rsidRPr="00A96273">
        <w:t xml:space="preserve"> Lead</w:t>
      </w:r>
      <w:r w:rsidRPr="00A96273">
        <w:rPr>
          <w:b/>
          <w:bCs/>
        </w:rPr>
        <w:t xml:space="preserve"> </w:t>
      </w:r>
      <w:r w:rsidRPr="008F3EBC">
        <w:t xml:space="preserve">embeds security into the SDLC: automated security testing in CI/CD pipelines, software composition analysis to find vulnerable dependencies and secure coding standards. Given </w:t>
      </w:r>
      <w:proofErr w:type="spellStart"/>
      <w:r w:rsidRPr="008F3EBC">
        <w:t>MediTrust's</w:t>
      </w:r>
      <w:proofErr w:type="spellEnd"/>
      <w:r w:rsidRPr="008F3EBC">
        <w:t xml:space="preserve"> reliance on AI, the role also oversees AI training pipeline integrity, including controls to prevent data poisoning.</w:t>
      </w:r>
    </w:p>
    <w:p w14:paraId="4D06B62E" w14:textId="5060102A" w:rsidR="008F3EBC" w:rsidRPr="00A96273" w:rsidRDefault="008F3EBC" w:rsidP="00A96273">
      <w:pPr>
        <w:pStyle w:val="TableStyle"/>
        <w:rPr>
          <w:smallCaps/>
          <w:sz w:val="16"/>
          <w:szCs w:val="16"/>
        </w:rPr>
      </w:pPr>
      <w:r w:rsidRPr="00A96273">
        <w:rPr>
          <w:smallCaps/>
          <w:sz w:val="16"/>
          <w:szCs w:val="16"/>
        </w:rPr>
        <w:t xml:space="preserve">Table </w:t>
      </w:r>
      <w:r w:rsidR="00B65D50" w:rsidRPr="00A96273">
        <w:rPr>
          <w:smallCaps/>
          <w:sz w:val="16"/>
          <w:szCs w:val="16"/>
        </w:rPr>
        <w:t>1</w:t>
      </w:r>
      <w:r w:rsidRPr="00A96273">
        <w:rPr>
          <w:smallCaps/>
          <w:sz w:val="16"/>
          <w:szCs w:val="16"/>
        </w:rPr>
        <w:t xml:space="preserve">. Security roles for </w:t>
      </w:r>
      <w:proofErr w:type="spellStart"/>
      <w:r w:rsidRPr="00A96273">
        <w:rPr>
          <w:smallCaps/>
          <w:sz w:val="16"/>
          <w:szCs w:val="16"/>
        </w:rPr>
        <w:t>MediTrust</w:t>
      </w:r>
      <w:proofErr w:type="spellEnd"/>
      <w:r w:rsidRPr="00A96273">
        <w:rPr>
          <w:smallCaps/>
          <w:sz w:val="16"/>
          <w:szCs w:val="16"/>
        </w:rPr>
        <w:t xml:space="preserve"> EU unit</w:t>
      </w:r>
    </w:p>
    <w:tbl>
      <w:tblPr>
        <w:tblStyle w:val="TableGrid"/>
        <w:tblW w:w="9746" w:type="dxa"/>
        <w:tblLook w:val="0000" w:firstRow="0" w:lastRow="0" w:firstColumn="0" w:lastColumn="0" w:noHBand="0" w:noVBand="0"/>
      </w:tblPr>
      <w:tblGrid>
        <w:gridCol w:w="2563"/>
        <w:gridCol w:w="3417"/>
        <w:gridCol w:w="3766"/>
      </w:tblGrid>
      <w:tr w:rsidR="008F3EBC" w:rsidRPr="00B65D50" w14:paraId="3730090C" w14:textId="77777777" w:rsidTr="00B65D50">
        <w:tc>
          <w:tcPr>
            <w:tcW w:w="2400" w:type="dxa"/>
          </w:tcPr>
          <w:p w14:paraId="1587DF07" w14:textId="77777777" w:rsidR="008F3EBC" w:rsidRPr="00A96273" w:rsidRDefault="008F3EBC" w:rsidP="0057629C">
            <w:pPr>
              <w:rPr>
                <w:sz w:val="16"/>
                <w:szCs w:val="16"/>
              </w:rPr>
            </w:pPr>
            <w:r w:rsidRPr="00A96273">
              <w:rPr>
                <w:b/>
                <w:bCs/>
                <w:sz w:val="16"/>
                <w:szCs w:val="16"/>
              </w:rPr>
              <w:t>Role</w:t>
            </w:r>
          </w:p>
        </w:tc>
        <w:tc>
          <w:tcPr>
            <w:tcW w:w="3200" w:type="dxa"/>
          </w:tcPr>
          <w:p w14:paraId="1883BAA1" w14:textId="77777777" w:rsidR="008F3EBC" w:rsidRPr="00A96273" w:rsidRDefault="008F3EBC" w:rsidP="0057629C">
            <w:pPr>
              <w:rPr>
                <w:sz w:val="16"/>
                <w:szCs w:val="16"/>
              </w:rPr>
            </w:pPr>
            <w:r w:rsidRPr="00A96273">
              <w:rPr>
                <w:b/>
                <w:bCs/>
                <w:sz w:val="16"/>
                <w:szCs w:val="16"/>
              </w:rPr>
              <w:t>Main responsibilities</w:t>
            </w:r>
          </w:p>
        </w:tc>
        <w:tc>
          <w:tcPr>
            <w:tcW w:w="3526" w:type="dxa"/>
          </w:tcPr>
          <w:p w14:paraId="109B76FA" w14:textId="77777777" w:rsidR="008F3EBC" w:rsidRPr="00A96273" w:rsidRDefault="008F3EBC" w:rsidP="0057629C">
            <w:pPr>
              <w:rPr>
                <w:sz w:val="16"/>
                <w:szCs w:val="16"/>
              </w:rPr>
            </w:pPr>
            <w:r w:rsidRPr="00A96273">
              <w:rPr>
                <w:b/>
                <w:bCs/>
                <w:sz w:val="16"/>
                <w:szCs w:val="16"/>
              </w:rPr>
              <w:t>Key tools / frameworks</w:t>
            </w:r>
          </w:p>
        </w:tc>
      </w:tr>
      <w:tr w:rsidR="008F3EBC" w:rsidRPr="00B65D50" w14:paraId="13AA1270" w14:textId="77777777" w:rsidTr="00B65D50">
        <w:tc>
          <w:tcPr>
            <w:tcW w:w="2400" w:type="dxa"/>
          </w:tcPr>
          <w:p w14:paraId="48D7DBFD" w14:textId="77777777" w:rsidR="008F3EBC" w:rsidRPr="00A96273" w:rsidRDefault="008F3EBC" w:rsidP="0057629C">
            <w:pPr>
              <w:rPr>
                <w:sz w:val="16"/>
                <w:szCs w:val="16"/>
              </w:rPr>
            </w:pPr>
            <w:r w:rsidRPr="00A96273">
              <w:rPr>
                <w:sz w:val="16"/>
                <w:szCs w:val="16"/>
              </w:rPr>
              <w:t>CISO (EU Unit)</w:t>
            </w:r>
          </w:p>
        </w:tc>
        <w:tc>
          <w:tcPr>
            <w:tcW w:w="3200" w:type="dxa"/>
          </w:tcPr>
          <w:p w14:paraId="1C1F4F74" w14:textId="77777777" w:rsidR="008F3EBC" w:rsidRPr="00A96273" w:rsidRDefault="008F3EBC" w:rsidP="0057629C">
            <w:pPr>
              <w:rPr>
                <w:sz w:val="16"/>
                <w:szCs w:val="16"/>
              </w:rPr>
            </w:pPr>
            <w:r w:rsidRPr="00A96273">
              <w:rPr>
                <w:sz w:val="16"/>
                <w:szCs w:val="16"/>
              </w:rPr>
              <w:t>Governance, regulatory oversight, board reporting, risk appetite</w:t>
            </w:r>
          </w:p>
        </w:tc>
        <w:tc>
          <w:tcPr>
            <w:tcW w:w="3526" w:type="dxa"/>
          </w:tcPr>
          <w:p w14:paraId="7837E71C" w14:textId="77777777" w:rsidR="008F3EBC" w:rsidRPr="00A96273" w:rsidRDefault="008F3EBC" w:rsidP="0057629C">
            <w:pPr>
              <w:rPr>
                <w:sz w:val="16"/>
                <w:szCs w:val="16"/>
              </w:rPr>
            </w:pPr>
            <w:r w:rsidRPr="00A96273">
              <w:rPr>
                <w:sz w:val="16"/>
                <w:szCs w:val="16"/>
              </w:rPr>
              <w:t>NIST CSF 2.0, DORA Art. 5, ISO 27001</w:t>
            </w:r>
          </w:p>
        </w:tc>
      </w:tr>
      <w:tr w:rsidR="008F3EBC" w:rsidRPr="00B65D50" w14:paraId="37996667" w14:textId="77777777" w:rsidTr="00B65D50">
        <w:tc>
          <w:tcPr>
            <w:tcW w:w="2400" w:type="dxa"/>
          </w:tcPr>
          <w:p w14:paraId="7E921080" w14:textId="77777777" w:rsidR="008F3EBC" w:rsidRPr="00A96273" w:rsidRDefault="008F3EBC" w:rsidP="0057629C">
            <w:pPr>
              <w:rPr>
                <w:sz w:val="16"/>
                <w:szCs w:val="16"/>
              </w:rPr>
            </w:pPr>
            <w:r w:rsidRPr="00A96273">
              <w:rPr>
                <w:sz w:val="16"/>
                <w:szCs w:val="16"/>
              </w:rPr>
              <w:lastRenderedPageBreak/>
              <w:t>Cloud Security Architect</w:t>
            </w:r>
          </w:p>
        </w:tc>
        <w:tc>
          <w:tcPr>
            <w:tcW w:w="3200" w:type="dxa"/>
          </w:tcPr>
          <w:p w14:paraId="448FF915" w14:textId="77777777" w:rsidR="008F3EBC" w:rsidRPr="00A96273" w:rsidRDefault="008F3EBC" w:rsidP="0057629C">
            <w:pPr>
              <w:rPr>
                <w:sz w:val="16"/>
                <w:szCs w:val="16"/>
              </w:rPr>
            </w:pPr>
            <w:r w:rsidRPr="00A96273">
              <w:rPr>
                <w:sz w:val="16"/>
                <w:szCs w:val="16"/>
              </w:rPr>
              <w:t>Multi-cloud security design, CSPM, encryption, segmentation</w:t>
            </w:r>
          </w:p>
        </w:tc>
        <w:tc>
          <w:tcPr>
            <w:tcW w:w="1800" w:type="dxa"/>
          </w:tcPr>
          <w:p w14:paraId="62537AC3" w14:textId="77777777" w:rsidR="008F3EBC" w:rsidRPr="00A96273" w:rsidRDefault="008F3EBC" w:rsidP="0057629C">
            <w:pPr>
              <w:rPr>
                <w:sz w:val="16"/>
                <w:szCs w:val="16"/>
              </w:rPr>
            </w:pPr>
            <w:r w:rsidRPr="00A96273">
              <w:rPr>
                <w:sz w:val="16"/>
                <w:szCs w:val="16"/>
              </w:rPr>
              <w:t>CSPM (Defender / Prisma), ZTNA, AWS / Azure native security</w:t>
            </w:r>
          </w:p>
        </w:tc>
      </w:tr>
      <w:tr w:rsidR="008F3EBC" w:rsidRPr="00B65D50" w14:paraId="1144DC3E" w14:textId="77777777" w:rsidTr="00B65D50">
        <w:tc>
          <w:tcPr>
            <w:tcW w:w="2400" w:type="dxa"/>
          </w:tcPr>
          <w:p w14:paraId="12FA55E9" w14:textId="77777777" w:rsidR="008F3EBC" w:rsidRPr="00A96273" w:rsidRDefault="008F3EBC" w:rsidP="0057629C">
            <w:pPr>
              <w:rPr>
                <w:sz w:val="16"/>
                <w:szCs w:val="16"/>
              </w:rPr>
            </w:pPr>
            <w:proofErr w:type="spellStart"/>
            <w:r w:rsidRPr="00A96273">
              <w:rPr>
                <w:sz w:val="16"/>
                <w:szCs w:val="16"/>
              </w:rPr>
              <w:t>DevSecOps</w:t>
            </w:r>
            <w:proofErr w:type="spellEnd"/>
            <w:r w:rsidRPr="00A96273">
              <w:rPr>
                <w:sz w:val="16"/>
                <w:szCs w:val="16"/>
              </w:rPr>
              <w:t xml:space="preserve"> Lead</w:t>
            </w:r>
          </w:p>
        </w:tc>
        <w:tc>
          <w:tcPr>
            <w:tcW w:w="3200" w:type="dxa"/>
          </w:tcPr>
          <w:p w14:paraId="28BE92FA" w14:textId="77777777" w:rsidR="008F3EBC" w:rsidRPr="00A96273" w:rsidRDefault="008F3EBC" w:rsidP="0057629C">
            <w:pPr>
              <w:rPr>
                <w:sz w:val="16"/>
                <w:szCs w:val="16"/>
              </w:rPr>
            </w:pPr>
            <w:r w:rsidRPr="00A96273">
              <w:rPr>
                <w:sz w:val="16"/>
                <w:szCs w:val="16"/>
              </w:rPr>
              <w:t>Secure SDLC, CI/CD security, dependency scanning, AI pipeline integrity</w:t>
            </w:r>
          </w:p>
        </w:tc>
        <w:tc>
          <w:tcPr>
            <w:tcW w:w="3526" w:type="dxa"/>
          </w:tcPr>
          <w:p w14:paraId="321957AA" w14:textId="77777777" w:rsidR="008F3EBC" w:rsidRPr="00A96273" w:rsidRDefault="008F3EBC" w:rsidP="0057629C">
            <w:pPr>
              <w:rPr>
                <w:sz w:val="16"/>
                <w:szCs w:val="16"/>
              </w:rPr>
            </w:pPr>
            <w:r w:rsidRPr="00A96273">
              <w:rPr>
                <w:sz w:val="16"/>
                <w:szCs w:val="16"/>
              </w:rPr>
              <w:t xml:space="preserve">SAST / DAST, SCA, SBOM, </w:t>
            </w:r>
            <w:proofErr w:type="spellStart"/>
            <w:r w:rsidRPr="00A96273">
              <w:rPr>
                <w:sz w:val="16"/>
                <w:szCs w:val="16"/>
              </w:rPr>
              <w:t>MLSecOps</w:t>
            </w:r>
            <w:proofErr w:type="spellEnd"/>
          </w:p>
        </w:tc>
      </w:tr>
      <w:tr w:rsidR="008F3EBC" w:rsidRPr="00B65D50" w14:paraId="154C8B35" w14:textId="77777777" w:rsidTr="00B65D50">
        <w:tc>
          <w:tcPr>
            <w:tcW w:w="2400" w:type="dxa"/>
          </w:tcPr>
          <w:p w14:paraId="19C1F4F1" w14:textId="77777777" w:rsidR="008F3EBC" w:rsidRPr="00A96273" w:rsidRDefault="008F3EBC" w:rsidP="0057629C">
            <w:pPr>
              <w:rPr>
                <w:sz w:val="16"/>
                <w:szCs w:val="16"/>
              </w:rPr>
            </w:pPr>
            <w:r w:rsidRPr="00A96273">
              <w:rPr>
                <w:sz w:val="16"/>
                <w:szCs w:val="16"/>
              </w:rPr>
              <w:t>Identity &amp; Access Manager</w:t>
            </w:r>
          </w:p>
        </w:tc>
        <w:tc>
          <w:tcPr>
            <w:tcW w:w="3200" w:type="dxa"/>
          </w:tcPr>
          <w:p w14:paraId="40DE80CA" w14:textId="77777777" w:rsidR="008F3EBC" w:rsidRPr="00A96273" w:rsidRDefault="008F3EBC" w:rsidP="0057629C">
            <w:pPr>
              <w:rPr>
                <w:sz w:val="16"/>
                <w:szCs w:val="16"/>
              </w:rPr>
            </w:pPr>
            <w:r w:rsidRPr="00A96273">
              <w:rPr>
                <w:sz w:val="16"/>
                <w:szCs w:val="16"/>
              </w:rPr>
              <w:t>IAM platform, access reviews, MFA enforcement, third-party access</w:t>
            </w:r>
          </w:p>
        </w:tc>
        <w:tc>
          <w:tcPr>
            <w:tcW w:w="1800" w:type="dxa"/>
          </w:tcPr>
          <w:p w14:paraId="32FFAAE9" w14:textId="77777777" w:rsidR="008F3EBC" w:rsidRPr="00A96273" w:rsidRDefault="008F3EBC" w:rsidP="0057629C">
            <w:pPr>
              <w:rPr>
                <w:sz w:val="16"/>
                <w:szCs w:val="16"/>
              </w:rPr>
            </w:pPr>
            <w:r w:rsidRPr="00A96273">
              <w:rPr>
                <w:sz w:val="16"/>
                <w:szCs w:val="16"/>
              </w:rPr>
              <w:t>Entra ID / Okta, FIDO2, PAM, RBAC / ABAC</w:t>
            </w:r>
          </w:p>
        </w:tc>
      </w:tr>
      <w:tr w:rsidR="008F3EBC" w:rsidRPr="00B65D50" w14:paraId="1CFEFE42" w14:textId="77777777" w:rsidTr="00B65D50">
        <w:tc>
          <w:tcPr>
            <w:tcW w:w="2400" w:type="dxa"/>
          </w:tcPr>
          <w:p w14:paraId="34852C92" w14:textId="77777777" w:rsidR="008F3EBC" w:rsidRPr="00A96273" w:rsidRDefault="008F3EBC" w:rsidP="0057629C">
            <w:pPr>
              <w:rPr>
                <w:sz w:val="16"/>
                <w:szCs w:val="16"/>
              </w:rPr>
            </w:pPr>
            <w:r w:rsidRPr="00A96273">
              <w:rPr>
                <w:sz w:val="16"/>
                <w:szCs w:val="16"/>
              </w:rPr>
              <w:t>Security Operations Analyst</w:t>
            </w:r>
          </w:p>
        </w:tc>
        <w:tc>
          <w:tcPr>
            <w:tcW w:w="3200" w:type="dxa"/>
          </w:tcPr>
          <w:p w14:paraId="740BBF58" w14:textId="77777777" w:rsidR="008F3EBC" w:rsidRPr="00A96273" w:rsidRDefault="008F3EBC" w:rsidP="0057629C">
            <w:pPr>
              <w:rPr>
                <w:sz w:val="16"/>
                <w:szCs w:val="16"/>
              </w:rPr>
            </w:pPr>
            <w:r w:rsidRPr="00A96273">
              <w:rPr>
                <w:sz w:val="16"/>
                <w:szCs w:val="16"/>
              </w:rPr>
              <w:t>SIEM monitoring, incident detection, SOAR playbooks, threat hunting</w:t>
            </w:r>
          </w:p>
        </w:tc>
        <w:tc>
          <w:tcPr>
            <w:tcW w:w="3526" w:type="dxa"/>
          </w:tcPr>
          <w:p w14:paraId="01B878CD" w14:textId="77777777" w:rsidR="008F3EBC" w:rsidRPr="00A96273" w:rsidRDefault="008F3EBC" w:rsidP="0057629C">
            <w:pPr>
              <w:rPr>
                <w:sz w:val="16"/>
                <w:szCs w:val="16"/>
              </w:rPr>
            </w:pPr>
            <w:r w:rsidRPr="00A96273">
              <w:rPr>
                <w:sz w:val="16"/>
                <w:szCs w:val="16"/>
              </w:rPr>
              <w:t>Sentinel / Splunk, EDR, SOAR, threat intel</w:t>
            </w:r>
          </w:p>
        </w:tc>
      </w:tr>
      <w:tr w:rsidR="008F3EBC" w:rsidRPr="00B65D50" w14:paraId="6DAE5979" w14:textId="77777777" w:rsidTr="00B65D50">
        <w:tc>
          <w:tcPr>
            <w:tcW w:w="2400" w:type="dxa"/>
          </w:tcPr>
          <w:p w14:paraId="7D6CDCC7" w14:textId="77777777" w:rsidR="008F3EBC" w:rsidRPr="00A96273" w:rsidRDefault="008F3EBC" w:rsidP="0057629C">
            <w:pPr>
              <w:rPr>
                <w:sz w:val="16"/>
                <w:szCs w:val="16"/>
              </w:rPr>
            </w:pPr>
            <w:r w:rsidRPr="00A96273">
              <w:rPr>
                <w:sz w:val="16"/>
                <w:szCs w:val="16"/>
              </w:rPr>
              <w:t>Data Protection Officer</w:t>
            </w:r>
          </w:p>
        </w:tc>
        <w:tc>
          <w:tcPr>
            <w:tcW w:w="3200" w:type="dxa"/>
          </w:tcPr>
          <w:p w14:paraId="545EB4FA" w14:textId="77777777" w:rsidR="008F3EBC" w:rsidRPr="00A96273" w:rsidRDefault="008F3EBC" w:rsidP="0057629C">
            <w:pPr>
              <w:rPr>
                <w:sz w:val="16"/>
                <w:szCs w:val="16"/>
              </w:rPr>
            </w:pPr>
            <w:r w:rsidRPr="00A96273">
              <w:rPr>
                <w:sz w:val="16"/>
                <w:szCs w:val="16"/>
              </w:rPr>
              <w:t>GDPR compliance, data subject rights, breach notification, DPIA oversight</w:t>
            </w:r>
          </w:p>
        </w:tc>
        <w:tc>
          <w:tcPr>
            <w:tcW w:w="1800" w:type="dxa"/>
          </w:tcPr>
          <w:p w14:paraId="5051D03B" w14:textId="77777777" w:rsidR="008F3EBC" w:rsidRPr="00A96273" w:rsidRDefault="008F3EBC" w:rsidP="0057629C">
            <w:pPr>
              <w:rPr>
                <w:sz w:val="16"/>
                <w:szCs w:val="16"/>
              </w:rPr>
            </w:pPr>
            <w:r w:rsidRPr="00A96273">
              <w:rPr>
                <w:sz w:val="16"/>
                <w:szCs w:val="16"/>
              </w:rPr>
              <w:t>GDPR Art. 37–39, NIS2, DORA reporting</w:t>
            </w:r>
          </w:p>
        </w:tc>
      </w:tr>
    </w:tbl>
    <w:p w14:paraId="54AB6254" w14:textId="77777777" w:rsidR="008F3EBC" w:rsidRPr="008F3EBC" w:rsidRDefault="008F3EBC" w:rsidP="008F3EBC">
      <w:pPr>
        <w:spacing w:after="200"/>
      </w:pPr>
    </w:p>
    <w:p w14:paraId="4DE81598" w14:textId="2FBC42AC" w:rsidR="008F3EBC" w:rsidRPr="008F3EBC" w:rsidRDefault="008F3EBC" w:rsidP="00DC2EBC">
      <w:pPr>
        <w:pStyle w:val="Heading2"/>
      </w:pPr>
      <w:bookmarkStart w:id="12" w:name="_Toc228395004"/>
      <w:r w:rsidRPr="008F3EBC">
        <w:t>Key policies</w:t>
      </w:r>
      <w:bookmarkEnd w:id="12"/>
    </w:p>
    <w:p w14:paraId="5B914355" w14:textId="77777777" w:rsidR="008F3EBC" w:rsidRPr="008F3EBC" w:rsidRDefault="008F3EBC" w:rsidP="008F3EBC">
      <w:pPr>
        <w:spacing w:after="140" w:line="280" w:lineRule="auto"/>
        <w:jc w:val="both"/>
      </w:pPr>
      <w:r w:rsidRPr="008F3EBC">
        <w:t>Three policies are particularly important here.</w:t>
      </w:r>
    </w:p>
    <w:p w14:paraId="6ED0E8EC" w14:textId="60B1DA5F" w:rsidR="008F3EBC" w:rsidRPr="008F3EBC" w:rsidRDefault="008F3EBC" w:rsidP="00DC2EBC">
      <w:pPr>
        <w:pStyle w:val="ListParagraph"/>
        <w:numPr>
          <w:ilvl w:val="0"/>
          <w:numId w:val="10"/>
        </w:numPr>
        <w:spacing w:after="140" w:line="280" w:lineRule="auto"/>
        <w:jc w:val="both"/>
      </w:pPr>
      <w:r w:rsidRPr="00DC2EBC">
        <w:t>AI Usage Policy</w:t>
      </w:r>
      <w:r w:rsidRPr="008F3EBC">
        <w:t xml:space="preserve"> should define acceptable use of AI tools, require documentation of model provenance (what data was used to train each model), mandate human oversight of AI-generated clinical outputs and prohibit use of patient data in externally hosted AI services without a data processing agreement. Regular bias and accuracy audits should also be required.</w:t>
      </w:r>
    </w:p>
    <w:p w14:paraId="5F8485CA" w14:textId="5B92F0CB" w:rsidR="008F3EBC" w:rsidRPr="008F3EBC" w:rsidRDefault="008F3EBC" w:rsidP="00DC2EBC">
      <w:pPr>
        <w:pStyle w:val="ListParagraph"/>
        <w:numPr>
          <w:ilvl w:val="0"/>
          <w:numId w:val="10"/>
        </w:numPr>
        <w:spacing w:after="140" w:line="280" w:lineRule="auto"/>
        <w:jc w:val="both"/>
      </w:pPr>
      <w:r w:rsidRPr="00DC2EBC">
        <w:t>Secure SaaS Configuration Policy</w:t>
      </w:r>
      <w:r w:rsidRPr="008F3EBC">
        <w:t xml:space="preserve"> used by </w:t>
      </w:r>
      <w:proofErr w:type="spellStart"/>
      <w:r w:rsidRPr="008F3EBC">
        <w:t>MediTrust</w:t>
      </w:r>
      <w:proofErr w:type="spellEnd"/>
      <w:r w:rsidRPr="008F3EBC">
        <w:t xml:space="preserve"> must be registered in a central inventory, SSO integration is mandatory for anything touching sensitive data, default vendor configurations must be hardened before deployment and the CISO must approve any new SaaS application. This stops the slow accumulation of unmanaged cloud tools that is common in fast-growing organisations.</w:t>
      </w:r>
    </w:p>
    <w:p w14:paraId="7A0D917D" w14:textId="171F404A" w:rsidR="008F3EBC" w:rsidRPr="008F3EBC" w:rsidRDefault="008F3EBC" w:rsidP="00DC2EBC">
      <w:pPr>
        <w:pStyle w:val="ListParagraph"/>
        <w:numPr>
          <w:ilvl w:val="0"/>
          <w:numId w:val="10"/>
        </w:numPr>
        <w:spacing w:after="140" w:line="280" w:lineRule="auto"/>
        <w:jc w:val="both"/>
      </w:pPr>
      <w:r w:rsidRPr="00DC2EBC">
        <w:t>BYOD Policy.</w:t>
      </w:r>
      <w:r w:rsidRPr="00DC2EBC">
        <w:rPr>
          <w:b/>
          <w:bCs/>
        </w:rPr>
        <w:t xml:space="preserve"> </w:t>
      </w:r>
      <w:r w:rsidRPr="008F3EBC">
        <w:t>Access to patient data from personal devices is prohibited. For lower-sensitivity tasks, personal devices are only permitted where enrolled in MDM, meeting defined security standards and accessing resources through a managed virtual desktop or ZTNA gateway rather than directly. A right-to-wipe clause applies to corporate data on enrolled devices.</w:t>
      </w:r>
    </w:p>
    <w:p w14:paraId="0C498757" w14:textId="60C704C7" w:rsidR="008F3EBC" w:rsidRPr="0071070D" w:rsidRDefault="008F3EBC" w:rsidP="00DC2EBC">
      <w:pPr>
        <w:pStyle w:val="Heading1"/>
        <w:numPr>
          <w:ilvl w:val="0"/>
          <w:numId w:val="9"/>
        </w:numPr>
        <w:rPr>
          <w:smallCaps/>
          <w:szCs w:val="20"/>
        </w:rPr>
      </w:pPr>
      <w:bookmarkStart w:id="13" w:name="_Toc228395005"/>
      <w:r w:rsidRPr="0071070D">
        <w:rPr>
          <w:smallCaps/>
          <w:szCs w:val="20"/>
        </w:rPr>
        <w:t>Risk Management and Regulatory Compliance</w:t>
      </w:r>
      <w:bookmarkEnd w:id="13"/>
    </w:p>
    <w:p w14:paraId="7BD9C7A1" w14:textId="2D93EB6F" w:rsidR="008F3EBC" w:rsidRPr="008F3EBC" w:rsidRDefault="008F3EBC" w:rsidP="008F3EBC">
      <w:pPr>
        <w:spacing w:after="140" w:line="280" w:lineRule="auto"/>
        <w:jc w:val="both"/>
      </w:pPr>
      <w:r w:rsidRPr="008F3EBC">
        <w:t xml:space="preserve">The EU expansion brings three major regulatory frameworks into scope simultaneously. Under </w:t>
      </w:r>
      <w:r w:rsidRPr="00AD0D38">
        <w:t>GDPR</w:t>
      </w:r>
      <w:r w:rsidRPr="008F3EBC">
        <w:t>, clinical data can generally only be processed under Article 9(2)(h) or explicit consent, data subjects retain rights of access, correction</w:t>
      </w:r>
      <w:r w:rsidR="00AD0D38">
        <w:t>,</w:t>
      </w:r>
      <w:r w:rsidRPr="008F3EBC">
        <w:t xml:space="preserve"> erasure and Data Protection Impact Assessments are required before deploying new AI systems on patient data [</w:t>
      </w:r>
      <w:r w:rsidR="00AD0D38">
        <w:t>3</w:t>
      </w:r>
      <w:r w:rsidRPr="008F3EBC">
        <w:t>]. The DPO carries direct accountability for these obligations.</w:t>
      </w:r>
    </w:p>
    <w:p w14:paraId="6CCC6013" w14:textId="6C4FAEBB" w:rsidR="008F3EBC" w:rsidRPr="008F3EBC" w:rsidRDefault="008F3EBC" w:rsidP="008F3EBC">
      <w:pPr>
        <w:spacing w:after="140" w:line="280" w:lineRule="auto"/>
        <w:jc w:val="both"/>
      </w:pPr>
      <w:r w:rsidRPr="00DC2EBC">
        <w:t>DORA</w:t>
      </w:r>
      <w:r w:rsidRPr="008F3EBC">
        <w:t xml:space="preserve"> applies where </w:t>
      </w:r>
      <w:proofErr w:type="spellStart"/>
      <w:r w:rsidRPr="008F3EBC">
        <w:t>MediTrust</w:t>
      </w:r>
      <w:proofErr w:type="spellEnd"/>
      <w:r w:rsidRPr="008F3EBC">
        <w:t xml:space="preserve"> serves financial-sector entities or operates as a critical ICT provider. Its key requirements </w:t>
      </w:r>
      <w:r w:rsidR="00AD0D38" w:rsidRPr="008F3EBC">
        <w:t>are</w:t>
      </w:r>
      <w:r w:rsidRPr="008F3EBC">
        <w:t xml:space="preserve"> an ICT risk management framework; incident reporting with strict timeframes; regular operational resilience testing including threat-led penetration testing; formal third-party ICT risk management [</w:t>
      </w:r>
      <w:r w:rsidR="00AD0D38">
        <w:t>4</w:t>
      </w:r>
      <w:r w:rsidRPr="008F3EBC">
        <w:t>].</w:t>
      </w:r>
    </w:p>
    <w:p w14:paraId="778EAB04" w14:textId="35CA6E91" w:rsidR="008F3EBC" w:rsidRPr="008F3EBC" w:rsidRDefault="008F3EBC" w:rsidP="008F3EBC">
      <w:pPr>
        <w:spacing w:after="140" w:line="280" w:lineRule="auto"/>
        <w:jc w:val="both"/>
      </w:pPr>
      <w:r w:rsidRPr="00DC2EBC">
        <w:t>NIS2</w:t>
      </w:r>
      <w:r w:rsidRPr="008F3EBC">
        <w:t xml:space="preserve"> requires organisations in essential or important sectors</w:t>
      </w:r>
      <w:r w:rsidR="00AD0D38">
        <w:t xml:space="preserve">, </w:t>
      </w:r>
      <w:r w:rsidRPr="008F3EBC">
        <w:t>including health</w:t>
      </w:r>
      <w:r w:rsidR="00AD0D38">
        <w:t>,</w:t>
      </w:r>
      <w:r w:rsidRPr="008F3EBC">
        <w:t xml:space="preserve"> to implement technical and organisational cybersecurity measures, maintain business continuity and incident response capabilities, ensure supply chain security and report significant incidents within 24 hours of awareness with a full report within 72 hours [</w:t>
      </w:r>
      <w:r w:rsidR="00AD0D38">
        <w:t>5</w:t>
      </w:r>
      <w:r w:rsidRPr="008F3EBC">
        <w:t xml:space="preserve">]. NIS2 also makes senior management personally liable for failures, which changes the conversation significantly </w:t>
      </w:r>
      <w:r w:rsidR="00AD0D38">
        <w:t>-</w:t>
      </w:r>
      <w:r w:rsidRPr="008F3EBC">
        <w:t xml:space="preserve"> the board cannot just hand this off to IT and forget about it.</w:t>
      </w:r>
    </w:p>
    <w:p w14:paraId="3743AADF" w14:textId="36254074" w:rsidR="008F3EBC" w:rsidRPr="0071070D" w:rsidRDefault="008F3EBC" w:rsidP="008F3EBC">
      <w:pPr>
        <w:pStyle w:val="Heading1"/>
        <w:numPr>
          <w:ilvl w:val="0"/>
          <w:numId w:val="9"/>
        </w:numPr>
        <w:rPr>
          <w:smallCaps/>
          <w:szCs w:val="20"/>
        </w:rPr>
      </w:pPr>
      <w:bookmarkStart w:id="14" w:name="_Toc228395006"/>
      <w:r w:rsidRPr="0071070D">
        <w:rPr>
          <w:smallCaps/>
          <w:szCs w:val="20"/>
        </w:rPr>
        <w:t xml:space="preserve">Governance Framework </w:t>
      </w:r>
      <w:r w:rsidR="00DC2EBC" w:rsidRPr="0071070D">
        <w:rPr>
          <w:smallCaps/>
          <w:szCs w:val="20"/>
        </w:rPr>
        <w:t>-</w:t>
      </w:r>
      <w:r w:rsidRPr="0071070D">
        <w:rPr>
          <w:smallCaps/>
          <w:szCs w:val="20"/>
        </w:rPr>
        <w:t xml:space="preserve"> NIST CSF 2.0</w:t>
      </w:r>
      <w:bookmarkEnd w:id="14"/>
    </w:p>
    <w:p w14:paraId="0DA653A4" w14:textId="35C9A789" w:rsidR="008F3EBC" w:rsidRPr="008F3EBC" w:rsidRDefault="008F3EBC" w:rsidP="00670F2D">
      <w:pPr>
        <w:spacing w:after="140" w:line="280" w:lineRule="auto"/>
        <w:jc w:val="both"/>
      </w:pPr>
      <w:r w:rsidRPr="008F3EBC">
        <w:t xml:space="preserve">NIST CSF 2.0 provides a workable governance structure for </w:t>
      </w:r>
      <w:proofErr w:type="spellStart"/>
      <w:r w:rsidRPr="008F3EBC">
        <w:t>MediTrust</w:t>
      </w:r>
      <w:proofErr w:type="spellEnd"/>
      <w:r w:rsidRPr="008F3EBC">
        <w:t xml:space="preserve">. Its six functions </w:t>
      </w:r>
      <w:r w:rsidR="00AD0D38">
        <w:t>-</w:t>
      </w:r>
      <w:r w:rsidRPr="008F3EBC">
        <w:t xml:space="preserve"> Govern, Identify, Protect, Detect, Respond and Recover </w:t>
      </w:r>
      <w:r w:rsidR="00AD0D38">
        <w:t>-</w:t>
      </w:r>
      <w:r w:rsidRPr="008F3EBC">
        <w:t xml:space="preserve"> map onto every part of the security programme and give a shared language for reporting to the board and regulators [</w:t>
      </w:r>
      <w:r w:rsidR="00AD0D38">
        <w:t>6</w:t>
      </w:r>
      <w:r w:rsidRPr="008F3EBC">
        <w:t>].</w:t>
      </w:r>
    </w:p>
    <w:p w14:paraId="40E369B5" w14:textId="203B037C" w:rsidR="008F3EBC" w:rsidRPr="008F3EBC" w:rsidRDefault="008F3EBC" w:rsidP="008F3EBC">
      <w:pPr>
        <w:spacing w:after="140" w:line="280" w:lineRule="auto"/>
        <w:jc w:val="both"/>
      </w:pPr>
      <w:r w:rsidRPr="008F3EBC">
        <w:t xml:space="preserve">The GOVERN function is new in CSF 2.0 and is worth paying attention to </w:t>
      </w:r>
      <w:r w:rsidR="00670F2D">
        <w:t>-</w:t>
      </w:r>
      <w:r w:rsidRPr="008F3EBC">
        <w:t xml:space="preserve"> it treats cybersecurity as a strategic business risk rather than an IT problem. For </w:t>
      </w:r>
      <w:proofErr w:type="spellStart"/>
      <w:r w:rsidRPr="008F3EBC">
        <w:t>MediTrust</w:t>
      </w:r>
      <w:proofErr w:type="spellEnd"/>
      <w:r w:rsidRPr="008F3EBC">
        <w:t xml:space="preserve"> that distinction matters, because the EU unit will only work properly if leadership </w:t>
      </w:r>
      <w:r w:rsidR="00AD0D38" w:rsidRPr="008F3EBC">
        <w:t>owns</w:t>
      </w:r>
      <w:r w:rsidRPr="008F3EBC">
        <w:t xml:space="preserve"> the security programme rather than delegating it down.</w:t>
      </w:r>
    </w:p>
    <w:p w14:paraId="6F5B2842" w14:textId="71E7361C" w:rsidR="008F3EBC" w:rsidRPr="0071070D" w:rsidRDefault="008F3EBC" w:rsidP="008F3EBC">
      <w:pPr>
        <w:pStyle w:val="Heading1"/>
        <w:numPr>
          <w:ilvl w:val="0"/>
          <w:numId w:val="9"/>
        </w:numPr>
        <w:rPr>
          <w:smallCaps/>
        </w:rPr>
      </w:pPr>
      <w:bookmarkStart w:id="15" w:name="_Toc228395007"/>
      <w:r w:rsidRPr="0071070D">
        <w:rPr>
          <w:smallCaps/>
        </w:rPr>
        <w:t>Protection Mechanisms</w:t>
      </w:r>
      <w:bookmarkEnd w:id="15"/>
    </w:p>
    <w:p w14:paraId="17244E36" w14:textId="77777777" w:rsidR="008F3EBC" w:rsidRPr="008F3EBC" w:rsidRDefault="008F3EBC" w:rsidP="008F3EBC">
      <w:pPr>
        <w:spacing w:after="140" w:line="280" w:lineRule="auto"/>
        <w:jc w:val="both"/>
      </w:pPr>
      <w:r w:rsidRPr="008F3EBC">
        <w:t>The following specific controls follow from the architecture and risk profile above.</w:t>
      </w:r>
    </w:p>
    <w:p w14:paraId="66D92630" w14:textId="77777777" w:rsidR="008F3EBC" w:rsidRPr="008F3EBC" w:rsidRDefault="008F3EBC" w:rsidP="00DC2EBC">
      <w:pPr>
        <w:pStyle w:val="ListParagraph"/>
        <w:numPr>
          <w:ilvl w:val="0"/>
          <w:numId w:val="11"/>
        </w:numPr>
        <w:spacing w:after="140" w:line="280" w:lineRule="auto"/>
        <w:jc w:val="both"/>
      </w:pPr>
      <w:r w:rsidRPr="00DC2EBC">
        <w:t>CSPM</w:t>
      </w:r>
      <w:r w:rsidRPr="00DC2EBC">
        <w:rPr>
          <w:b/>
          <w:bCs/>
        </w:rPr>
        <w:t xml:space="preserve"> </w:t>
      </w:r>
      <w:r w:rsidRPr="008F3EBC">
        <w:t>(e.g. Microsoft Defender for Cloud or Palo Alto Prisma Cloud) should continuously audit configurations across all cloud platforms and flag misconfigurations such as exposed storage or overprivileged IAM roles, mapped against CIS Benchmarks and DORA-related controls.</w:t>
      </w:r>
    </w:p>
    <w:p w14:paraId="339ADE99" w14:textId="77777777" w:rsidR="008F3EBC" w:rsidRPr="008F3EBC" w:rsidRDefault="008F3EBC" w:rsidP="00DC2EBC">
      <w:pPr>
        <w:pStyle w:val="ListParagraph"/>
        <w:numPr>
          <w:ilvl w:val="0"/>
          <w:numId w:val="11"/>
        </w:numPr>
        <w:spacing w:after="140" w:line="280" w:lineRule="auto"/>
        <w:jc w:val="both"/>
      </w:pPr>
      <w:r w:rsidRPr="00DC2EBC">
        <w:lastRenderedPageBreak/>
        <w:t>SIEM with UEBA</w:t>
      </w:r>
      <w:r w:rsidRPr="00DC2EBC">
        <w:rPr>
          <w:b/>
          <w:bCs/>
        </w:rPr>
        <w:t xml:space="preserve"> </w:t>
      </w:r>
      <w:r w:rsidRPr="008F3EBC">
        <w:t>aggregates logs from cloud, endpoints, identity systems and applications. UEBA is particularly valuable here because clinical analysts legitimately access large volumes of data, so distinguishing normal from abnormal behaviour requires more than simple thresholds.</w:t>
      </w:r>
    </w:p>
    <w:p w14:paraId="575A6148" w14:textId="3686ABAE" w:rsidR="008F3EBC" w:rsidRPr="008F3EBC" w:rsidRDefault="008F3EBC" w:rsidP="00DC2EBC">
      <w:pPr>
        <w:pStyle w:val="ListParagraph"/>
        <w:numPr>
          <w:ilvl w:val="0"/>
          <w:numId w:val="11"/>
        </w:numPr>
        <w:spacing w:after="140" w:line="280" w:lineRule="auto"/>
        <w:jc w:val="both"/>
      </w:pPr>
      <w:r w:rsidRPr="00DC2EBC">
        <w:t>EDR with automated response</w:t>
      </w:r>
      <w:r w:rsidRPr="00DC2EBC">
        <w:rPr>
          <w:b/>
          <w:bCs/>
        </w:rPr>
        <w:t xml:space="preserve"> </w:t>
      </w:r>
      <w:r w:rsidRPr="008F3EBC">
        <w:t xml:space="preserve">is deployed on all managed devices, including developer workstations and analyst laptops. It provides real-time detection and the ability to automatically isolate compromised endpoints </w:t>
      </w:r>
      <w:r w:rsidR="00AD0D38">
        <w:t>-</w:t>
      </w:r>
      <w:r w:rsidRPr="008F3EBC">
        <w:t xml:space="preserve"> important for hybrid workers operating outside the organisation's direct network visibility.</w:t>
      </w:r>
    </w:p>
    <w:p w14:paraId="4152EEDB" w14:textId="6775090D" w:rsidR="008F3EBC" w:rsidRPr="008F3EBC" w:rsidRDefault="008F3EBC" w:rsidP="00DC2EBC">
      <w:pPr>
        <w:pStyle w:val="ListParagraph"/>
        <w:numPr>
          <w:ilvl w:val="0"/>
          <w:numId w:val="11"/>
        </w:numPr>
        <w:spacing w:after="140" w:line="280" w:lineRule="auto"/>
        <w:jc w:val="both"/>
      </w:pPr>
      <w:r w:rsidRPr="00DC2EBC">
        <w:t>Phishing-resistant MFA</w:t>
      </w:r>
      <w:r w:rsidRPr="00DC2EBC">
        <w:rPr>
          <w:b/>
          <w:bCs/>
        </w:rPr>
        <w:t xml:space="preserve"> </w:t>
      </w:r>
      <w:r w:rsidRPr="008F3EBC">
        <w:t xml:space="preserve">based on FIDO2 hardware keys or passkeys should replace SMS and standard app-based OTP for accounts with access to clinical data. Phishing remains one of the most highly rated threats in industry surveys and </w:t>
      </w:r>
      <w:proofErr w:type="spellStart"/>
      <w:r w:rsidRPr="008F3EBC">
        <w:t>MediTrust's</w:t>
      </w:r>
      <w:proofErr w:type="spellEnd"/>
      <w:r w:rsidRPr="008F3EBC">
        <w:t xml:space="preserve"> heavy reliance on email and SaaS makes this a meaningful upgrade rather than a cosmetic change.</w:t>
      </w:r>
    </w:p>
    <w:p w14:paraId="25A23063" w14:textId="64DC858A" w:rsidR="008F3EBC" w:rsidRPr="0071070D" w:rsidRDefault="008F3EBC" w:rsidP="008F3EBC">
      <w:pPr>
        <w:pStyle w:val="Heading1"/>
        <w:numPr>
          <w:ilvl w:val="0"/>
          <w:numId w:val="9"/>
        </w:numPr>
        <w:rPr>
          <w:smallCaps/>
          <w:szCs w:val="20"/>
        </w:rPr>
      </w:pPr>
      <w:bookmarkStart w:id="16" w:name="_Toc228395008"/>
      <w:r w:rsidRPr="0071070D">
        <w:rPr>
          <w:smallCaps/>
          <w:szCs w:val="20"/>
        </w:rPr>
        <w:t>Contingency Planning - Ransomware Recovery</w:t>
      </w:r>
      <w:bookmarkEnd w:id="16"/>
    </w:p>
    <w:p w14:paraId="5A26FDDC" w14:textId="7E531073" w:rsidR="008F3EBC" w:rsidRPr="008F3EBC" w:rsidRDefault="008F3EBC" w:rsidP="008F3EBC">
      <w:pPr>
        <w:spacing w:after="140" w:line="280" w:lineRule="auto"/>
        <w:jc w:val="both"/>
      </w:pPr>
      <w:r w:rsidRPr="008F3EBC">
        <w:t xml:space="preserve">A ransomware attack on </w:t>
      </w:r>
      <w:proofErr w:type="spellStart"/>
      <w:r w:rsidRPr="008F3EBC">
        <w:t>MediTrust's</w:t>
      </w:r>
      <w:proofErr w:type="spellEnd"/>
      <w:r w:rsidRPr="008F3EBC">
        <w:t xml:space="preserve"> AI training data and source code would be genuinely catastrophic. Those assets are the product. If they get encrypted and backups are not solid, the company loses its ability to update or deliver its models. The plan below covers the response process, structured around DORA's operational resilience requirements [</w:t>
      </w:r>
      <w:r w:rsidR="00AD0D38">
        <w:t>4</w:t>
      </w:r>
      <w:r w:rsidRPr="008F3EBC">
        <w:t>].</w:t>
      </w:r>
    </w:p>
    <w:p w14:paraId="24E5CE18" w14:textId="2D680036" w:rsidR="008F3EBC" w:rsidRPr="00A96273" w:rsidRDefault="008F3EBC" w:rsidP="00A96273">
      <w:pPr>
        <w:pStyle w:val="TableStyle"/>
        <w:rPr>
          <w:smallCaps/>
          <w:sz w:val="16"/>
          <w:szCs w:val="16"/>
        </w:rPr>
      </w:pPr>
      <w:r w:rsidRPr="00A96273">
        <w:rPr>
          <w:smallCaps/>
          <w:sz w:val="16"/>
          <w:szCs w:val="16"/>
        </w:rPr>
        <w:t xml:space="preserve">Table </w:t>
      </w:r>
      <w:r w:rsidR="005E78F2" w:rsidRPr="00A96273">
        <w:rPr>
          <w:smallCaps/>
          <w:sz w:val="16"/>
          <w:szCs w:val="16"/>
        </w:rPr>
        <w:t>2</w:t>
      </w:r>
      <w:r w:rsidRPr="00A96273">
        <w:rPr>
          <w:smallCaps/>
          <w:sz w:val="16"/>
          <w:szCs w:val="16"/>
        </w:rPr>
        <w:t>. Ransomware incident response and recovery plan</w:t>
      </w:r>
    </w:p>
    <w:tbl>
      <w:tblPr>
        <w:tblStyle w:val="TableGrid"/>
        <w:tblW w:w="9746" w:type="dxa"/>
        <w:tblLook w:val="0000" w:firstRow="0" w:lastRow="0" w:firstColumn="0" w:lastColumn="0" w:noHBand="0" w:noVBand="0"/>
      </w:tblPr>
      <w:tblGrid>
        <w:gridCol w:w="1835"/>
        <w:gridCol w:w="2052"/>
        <w:gridCol w:w="3455"/>
        <w:gridCol w:w="2404"/>
      </w:tblGrid>
      <w:tr w:rsidR="008F3EBC" w:rsidRPr="008F3EBC" w14:paraId="25CA7D78" w14:textId="77777777" w:rsidTr="00AD0D38">
        <w:tc>
          <w:tcPr>
            <w:tcW w:w="1700" w:type="dxa"/>
          </w:tcPr>
          <w:p w14:paraId="1F203B26" w14:textId="77777777" w:rsidR="008F3EBC" w:rsidRPr="00A96273" w:rsidRDefault="008F3EBC" w:rsidP="0057629C">
            <w:pPr>
              <w:rPr>
                <w:sz w:val="16"/>
                <w:szCs w:val="16"/>
              </w:rPr>
            </w:pPr>
            <w:r w:rsidRPr="00A96273">
              <w:rPr>
                <w:b/>
                <w:bCs/>
                <w:sz w:val="16"/>
                <w:szCs w:val="16"/>
              </w:rPr>
              <w:t>Phase</w:t>
            </w:r>
          </w:p>
        </w:tc>
        <w:tc>
          <w:tcPr>
            <w:tcW w:w="1900" w:type="dxa"/>
          </w:tcPr>
          <w:p w14:paraId="3289DEC6" w14:textId="77777777" w:rsidR="008F3EBC" w:rsidRPr="00A96273" w:rsidRDefault="008F3EBC" w:rsidP="0057629C">
            <w:pPr>
              <w:rPr>
                <w:sz w:val="16"/>
                <w:szCs w:val="16"/>
              </w:rPr>
            </w:pPr>
            <w:r w:rsidRPr="00A96273">
              <w:rPr>
                <w:b/>
                <w:bCs/>
                <w:sz w:val="16"/>
                <w:szCs w:val="16"/>
              </w:rPr>
              <w:t>Timeframe</w:t>
            </w:r>
          </w:p>
        </w:tc>
        <w:tc>
          <w:tcPr>
            <w:tcW w:w="3200" w:type="dxa"/>
          </w:tcPr>
          <w:p w14:paraId="6E340DB8" w14:textId="77777777" w:rsidR="008F3EBC" w:rsidRPr="00A96273" w:rsidRDefault="008F3EBC" w:rsidP="0057629C">
            <w:pPr>
              <w:rPr>
                <w:sz w:val="16"/>
                <w:szCs w:val="16"/>
              </w:rPr>
            </w:pPr>
            <w:r w:rsidRPr="00A96273">
              <w:rPr>
                <w:b/>
                <w:bCs/>
                <w:sz w:val="16"/>
                <w:szCs w:val="16"/>
              </w:rPr>
              <w:t>Actions</w:t>
            </w:r>
          </w:p>
        </w:tc>
        <w:tc>
          <w:tcPr>
            <w:tcW w:w="2226" w:type="dxa"/>
          </w:tcPr>
          <w:p w14:paraId="5DFF4A19" w14:textId="77777777" w:rsidR="008F3EBC" w:rsidRPr="00A96273" w:rsidRDefault="008F3EBC" w:rsidP="0057629C">
            <w:pPr>
              <w:rPr>
                <w:sz w:val="16"/>
                <w:szCs w:val="16"/>
              </w:rPr>
            </w:pPr>
            <w:r w:rsidRPr="00A96273">
              <w:rPr>
                <w:b/>
                <w:bCs/>
                <w:sz w:val="16"/>
                <w:szCs w:val="16"/>
              </w:rPr>
              <w:t>Responsible</w:t>
            </w:r>
          </w:p>
        </w:tc>
      </w:tr>
      <w:tr w:rsidR="008F3EBC" w:rsidRPr="008F3EBC" w14:paraId="2217B40D" w14:textId="77777777" w:rsidTr="00AD0D38">
        <w:tc>
          <w:tcPr>
            <w:tcW w:w="1700" w:type="dxa"/>
          </w:tcPr>
          <w:p w14:paraId="643C3D02" w14:textId="77777777" w:rsidR="008F3EBC" w:rsidRPr="00A96273" w:rsidRDefault="008F3EBC" w:rsidP="0057629C">
            <w:pPr>
              <w:rPr>
                <w:sz w:val="16"/>
                <w:szCs w:val="16"/>
              </w:rPr>
            </w:pPr>
            <w:r w:rsidRPr="00A96273">
              <w:rPr>
                <w:color w:val="000000"/>
                <w:sz w:val="16"/>
                <w:szCs w:val="16"/>
              </w:rPr>
              <w:t>Detection &amp; containment</w:t>
            </w:r>
          </w:p>
        </w:tc>
        <w:tc>
          <w:tcPr>
            <w:tcW w:w="1900" w:type="dxa"/>
          </w:tcPr>
          <w:p w14:paraId="75FD5C73" w14:textId="519F4B1C" w:rsidR="008F3EBC" w:rsidRPr="00A96273" w:rsidRDefault="008F3EBC" w:rsidP="0057629C">
            <w:pPr>
              <w:rPr>
                <w:sz w:val="16"/>
                <w:szCs w:val="16"/>
              </w:rPr>
            </w:pPr>
            <w:r w:rsidRPr="00A96273">
              <w:rPr>
                <w:color w:val="000000"/>
                <w:sz w:val="16"/>
                <w:szCs w:val="16"/>
              </w:rPr>
              <w:t>0</w:t>
            </w:r>
            <w:r w:rsidR="00B65D50" w:rsidRPr="00A96273">
              <w:rPr>
                <w:color w:val="000000"/>
                <w:sz w:val="16"/>
                <w:szCs w:val="16"/>
              </w:rPr>
              <w:t>-</w:t>
            </w:r>
            <w:r w:rsidRPr="00A96273">
              <w:rPr>
                <w:color w:val="000000"/>
                <w:sz w:val="16"/>
                <w:szCs w:val="16"/>
              </w:rPr>
              <w:t>4 hours</w:t>
            </w:r>
          </w:p>
        </w:tc>
        <w:tc>
          <w:tcPr>
            <w:tcW w:w="3200" w:type="dxa"/>
          </w:tcPr>
          <w:p w14:paraId="13D0A91B" w14:textId="77777777" w:rsidR="008F3EBC" w:rsidRPr="00A96273" w:rsidRDefault="008F3EBC" w:rsidP="0057629C">
            <w:pPr>
              <w:rPr>
                <w:sz w:val="16"/>
                <w:szCs w:val="16"/>
              </w:rPr>
            </w:pPr>
            <w:r w:rsidRPr="00A96273">
              <w:rPr>
                <w:color w:val="000000"/>
                <w:sz w:val="16"/>
                <w:szCs w:val="16"/>
              </w:rPr>
              <w:t>EDR isolates affected endpoints; SIEM alerts trigger IR; segmentation prevents spread</w:t>
            </w:r>
          </w:p>
        </w:tc>
        <w:tc>
          <w:tcPr>
            <w:tcW w:w="2226" w:type="dxa"/>
          </w:tcPr>
          <w:p w14:paraId="46F43811" w14:textId="77777777" w:rsidR="008F3EBC" w:rsidRPr="00A96273" w:rsidRDefault="008F3EBC" w:rsidP="0057629C">
            <w:pPr>
              <w:rPr>
                <w:sz w:val="16"/>
                <w:szCs w:val="16"/>
              </w:rPr>
            </w:pPr>
            <w:r w:rsidRPr="00A96273">
              <w:rPr>
                <w:color w:val="000000"/>
                <w:sz w:val="16"/>
                <w:szCs w:val="16"/>
              </w:rPr>
              <w:t>SecOps, Cloud Security Architect</w:t>
            </w:r>
          </w:p>
        </w:tc>
      </w:tr>
      <w:tr w:rsidR="008F3EBC" w:rsidRPr="008F3EBC" w14:paraId="6DEB8472" w14:textId="77777777" w:rsidTr="00AD0D38">
        <w:tc>
          <w:tcPr>
            <w:tcW w:w="1700" w:type="dxa"/>
          </w:tcPr>
          <w:p w14:paraId="02632254" w14:textId="77777777" w:rsidR="008F3EBC" w:rsidRPr="00A96273" w:rsidRDefault="008F3EBC" w:rsidP="0057629C">
            <w:pPr>
              <w:rPr>
                <w:sz w:val="16"/>
                <w:szCs w:val="16"/>
              </w:rPr>
            </w:pPr>
            <w:r w:rsidRPr="00A96273">
              <w:rPr>
                <w:color w:val="000000"/>
                <w:sz w:val="16"/>
                <w:szCs w:val="16"/>
              </w:rPr>
              <w:t>Assessment</w:t>
            </w:r>
          </w:p>
        </w:tc>
        <w:tc>
          <w:tcPr>
            <w:tcW w:w="1900" w:type="dxa"/>
          </w:tcPr>
          <w:p w14:paraId="3028AE8F" w14:textId="1ED0743F" w:rsidR="008F3EBC" w:rsidRPr="00A96273" w:rsidRDefault="008F3EBC" w:rsidP="0057629C">
            <w:pPr>
              <w:rPr>
                <w:sz w:val="16"/>
                <w:szCs w:val="16"/>
              </w:rPr>
            </w:pPr>
            <w:r w:rsidRPr="00A96273">
              <w:rPr>
                <w:color w:val="000000"/>
                <w:sz w:val="16"/>
                <w:szCs w:val="16"/>
              </w:rPr>
              <w:t>4</w:t>
            </w:r>
            <w:r w:rsidR="00B65D50" w:rsidRPr="00A96273">
              <w:rPr>
                <w:color w:val="000000"/>
                <w:sz w:val="16"/>
                <w:szCs w:val="16"/>
              </w:rPr>
              <w:t>-</w:t>
            </w:r>
            <w:r w:rsidRPr="00A96273">
              <w:rPr>
                <w:color w:val="000000"/>
                <w:sz w:val="16"/>
                <w:szCs w:val="16"/>
              </w:rPr>
              <w:t>12 hours</w:t>
            </w:r>
          </w:p>
        </w:tc>
        <w:tc>
          <w:tcPr>
            <w:tcW w:w="3200" w:type="dxa"/>
          </w:tcPr>
          <w:p w14:paraId="23BD66B7" w14:textId="77777777" w:rsidR="008F3EBC" w:rsidRPr="00A96273" w:rsidRDefault="008F3EBC" w:rsidP="0057629C">
            <w:pPr>
              <w:rPr>
                <w:sz w:val="16"/>
                <w:szCs w:val="16"/>
              </w:rPr>
            </w:pPr>
            <w:r w:rsidRPr="00A96273">
              <w:rPr>
                <w:color w:val="000000"/>
                <w:sz w:val="16"/>
                <w:szCs w:val="16"/>
              </w:rPr>
              <w:t>Identify scope; check repositories and datasets affected; verify backup integrity</w:t>
            </w:r>
          </w:p>
        </w:tc>
        <w:tc>
          <w:tcPr>
            <w:tcW w:w="1800" w:type="dxa"/>
          </w:tcPr>
          <w:p w14:paraId="341A3EE4" w14:textId="77777777" w:rsidR="008F3EBC" w:rsidRPr="00A96273" w:rsidRDefault="008F3EBC" w:rsidP="0057629C">
            <w:pPr>
              <w:rPr>
                <w:sz w:val="16"/>
                <w:szCs w:val="16"/>
              </w:rPr>
            </w:pPr>
            <w:proofErr w:type="spellStart"/>
            <w:r w:rsidRPr="00A96273">
              <w:rPr>
                <w:color w:val="000000"/>
                <w:sz w:val="16"/>
                <w:szCs w:val="16"/>
              </w:rPr>
              <w:t>DevSecOps</w:t>
            </w:r>
            <w:proofErr w:type="spellEnd"/>
            <w:r w:rsidRPr="00A96273">
              <w:rPr>
                <w:color w:val="000000"/>
                <w:sz w:val="16"/>
                <w:szCs w:val="16"/>
              </w:rPr>
              <w:t xml:space="preserve"> Lead, Cloud Security Architect</w:t>
            </w:r>
          </w:p>
        </w:tc>
      </w:tr>
      <w:tr w:rsidR="008F3EBC" w:rsidRPr="008F3EBC" w14:paraId="3DE5F22C" w14:textId="77777777" w:rsidTr="00AD0D38">
        <w:tc>
          <w:tcPr>
            <w:tcW w:w="1700" w:type="dxa"/>
          </w:tcPr>
          <w:p w14:paraId="7F44FE86" w14:textId="77777777" w:rsidR="008F3EBC" w:rsidRPr="00A96273" w:rsidRDefault="008F3EBC" w:rsidP="0057629C">
            <w:pPr>
              <w:rPr>
                <w:sz w:val="16"/>
                <w:szCs w:val="16"/>
              </w:rPr>
            </w:pPr>
            <w:r w:rsidRPr="00A96273">
              <w:rPr>
                <w:color w:val="000000"/>
                <w:sz w:val="16"/>
                <w:szCs w:val="16"/>
              </w:rPr>
              <w:t>Notification</w:t>
            </w:r>
          </w:p>
        </w:tc>
        <w:tc>
          <w:tcPr>
            <w:tcW w:w="1900" w:type="dxa"/>
          </w:tcPr>
          <w:p w14:paraId="14E5574A" w14:textId="77777777" w:rsidR="008F3EBC" w:rsidRPr="00A96273" w:rsidRDefault="008F3EBC" w:rsidP="0057629C">
            <w:pPr>
              <w:rPr>
                <w:sz w:val="16"/>
                <w:szCs w:val="16"/>
              </w:rPr>
            </w:pPr>
            <w:r w:rsidRPr="00A96273">
              <w:rPr>
                <w:color w:val="000000"/>
                <w:sz w:val="16"/>
                <w:szCs w:val="16"/>
              </w:rPr>
              <w:t>Within 24 hours</w:t>
            </w:r>
          </w:p>
        </w:tc>
        <w:tc>
          <w:tcPr>
            <w:tcW w:w="3200" w:type="dxa"/>
          </w:tcPr>
          <w:p w14:paraId="3D52680E" w14:textId="77777777" w:rsidR="008F3EBC" w:rsidRPr="00A96273" w:rsidRDefault="008F3EBC" w:rsidP="0057629C">
            <w:pPr>
              <w:rPr>
                <w:sz w:val="16"/>
                <w:szCs w:val="16"/>
              </w:rPr>
            </w:pPr>
            <w:r w:rsidRPr="00A96273">
              <w:rPr>
                <w:color w:val="000000"/>
                <w:sz w:val="16"/>
                <w:szCs w:val="16"/>
              </w:rPr>
              <w:t>Report to NIS2 authority; DORA supervisor where relevant; DPO assesses GDPR breach</w:t>
            </w:r>
          </w:p>
        </w:tc>
        <w:tc>
          <w:tcPr>
            <w:tcW w:w="2226" w:type="dxa"/>
          </w:tcPr>
          <w:p w14:paraId="1D6EC771" w14:textId="77777777" w:rsidR="008F3EBC" w:rsidRPr="00A96273" w:rsidRDefault="008F3EBC" w:rsidP="0057629C">
            <w:pPr>
              <w:rPr>
                <w:sz w:val="16"/>
                <w:szCs w:val="16"/>
              </w:rPr>
            </w:pPr>
            <w:r w:rsidRPr="00A96273">
              <w:rPr>
                <w:color w:val="000000"/>
                <w:sz w:val="16"/>
                <w:szCs w:val="16"/>
              </w:rPr>
              <w:t>CISO, DPO, Legal</w:t>
            </w:r>
          </w:p>
        </w:tc>
      </w:tr>
      <w:tr w:rsidR="008F3EBC" w:rsidRPr="008F3EBC" w14:paraId="472E332F" w14:textId="77777777" w:rsidTr="00AD0D38">
        <w:tc>
          <w:tcPr>
            <w:tcW w:w="1700" w:type="dxa"/>
          </w:tcPr>
          <w:p w14:paraId="39885DB3" w14:textId="77777777" w:rsidR="008F3EBC" w:rsidRPr="00A96273" w:rsidRDefault="008F3EBC" w:rsidP="0057629C">
            <w:pPr>
              <w:rPr>
                <w:sz w:val="16"/>
                <w:szCs w:val="16"/>
              </w:rPr>
            </w:pPr>
            <w:r w:rsidRPr="00A96273">
              <w:rPr>
                <w:color w:val="000000"/>
                <w:sz w:val="16"/>
                <w:szCs w:val="16"/>
              </w:rPr>
              <w:t>Recovery</w:t>
            </w:r>
          </w:p>
        </w:tc>
        <w:tc>
          <w:tcPr>
            <w:tcW w:w="1900" w:type="dxa"/>
          </w:tcPr>
          <w:p w14:paraId="3F7F5C17" w14:textId="5F5CA2FD" w:rsidR="008F3EBC" w:rsidRPr="00A96273" w:rsidRDefault="008F3EBC" w:rsidP="0057629C">
            <w:pPr>
              <w:rPr>
                <w:sz w:val="16"/>
                <w:szCs w:val="16"/>
              </w:rPr>
            </w:pPr>
            <w:r w:rsidRPr="00A96273">
              <w:rPr>
                <w:color w:val="000000"/>
                <w:sz w:val="16"/>
                <w:szCs w:val="16"/>
              </w:rPr>
              <w:t>12</w:t>
            </w:r>
            <w:r w:rsidR="00B65D50" w:rsidRPr="00A96273">
              <w:rPr>
                <w:color w:val="000000"/>
                <w:sz w:val="16"/>
                <w:szCs w:val="16"/>
              </w:rPr>
              <w:t>-</w:t>
            </w:r>
            <w:r w:rsidRPr="00A96273">
              <w:rPr>
                <w:color w:val="000000"/>
                <w:sz w:val="16"/>
                <w:szCs w:val="16"/>
              </w:rPr>
              <w:t>72 hours</w:t>
            </w:r>
          </w:p>
        </w:tc>
        <w:tc>
          <w:tcPr>
            <w:tcW w:w="3200" w:type="dxa"/>
          </w:tcPr>
          <w:p w14:paraId="13FCC3D0" w14:textId="77777777" w:rsidR="008F3EBC" w:rsidRPr="00A96273" w:rsidRDefault="008F3EBC" w:rsidP="0057629C">
            <w:pPr>
              <w:rPr>
                <w:sz w:val="16"/>
                <w:szCs w:val="16"/>
              </w:rPr>
            </w:pPr>
            <w:r w:rsidRPr="00A96273">
              <w:rPr>
                <w:color w:val="000000"/>
                <w:sz w:val="16"/>
                <w:szCs w:val="16"/>
              </w:rPr>
              <w:t>Restore from immutable WORM backups; rebuild systems from clean images</w:t>
            </w:r>
          </w:p>
        </w:tc>
        <w:tc>
          <w:tcPr>
            <w:tcW w:w="1800" w:type="dxa"/>
          </w:tcPr>
          <w:p w14:paraId="62F0B3CA" w14:textId="77777777" w:rsidR="008F3EBC" w:rsidRPr="00A96273" w:rsidRDefault="008F3EBC" w:rsidP="0057629C">
            <w:pPr>
              <w:rPr>
                <w:sz w:val="16"/>
                <w:szCs w:val="16"/>
              </w:rPr>
            </w:pPr>
            <w:proofErr w:type="spellStart"/>
            <w:r w:rsidRPr="00A96273">
              <w:rPr>
                <w:color w:val="000000"/>
                <w:sz w:val="16"/>
                <w:szCs w:val="16"/>
              </w:rPr>
              <w:t>DevSecOps</w:t>
            </w:r>
            <w:proofErr w:type="spellEnd"/>
            <w:r w:rsidRPr="00A96273">
              <w:rPr>
                <w:color w:val="000000"/>
                <w:sz w:val="16"/>
                <w:szCs w:val="16"/>
              </w:rPr>
              <w:t xml:space="preserve"> Lead, Cloud Security Architect</w:t>
            </w:r>
          </w:p>
        </w:tc>
      </w:tr>
      <w:tr w:rsidR="008F3EBC" w:rsidRPr="008F3EBC" w14:paraId="08034A76" w14:textId="77777777" w:rsidTr="00AD0D38">
        <w:tc>
          <w:tcPr>
            <w:tcW w:w="1700" w:type="dxa"/>
          </w:tcPr>
          <w:p w14:paraId="526E7401" w14:textId="77777777" w:rsidR="008F3EBC" w:rsidRPr="00A96273" w:rsidRDefault="008F3EBC" w:rsidP="0057629C">
            <w:pPr>
              <w:rPr>
                <w:sz w:val="16"/>
                <w:szCs w:val="16"/>
              </w:rPr>
            </w:pPr>
            <w:r w:rsidRPr="00A96273">
              <w:rPr>
                <w:color w:val="000000"/>
                <w:sz w:val="16"/>
                <w:szCs w:val="16"/>
              </w:rPr>
              <w:t>Eradication</w:t>
            </w:r>
          </w:p>
        </w:tc>
        <w:tc>
          <w:tcPr>
            <w:tcW w:w="1900" w:type="dxa"/>
          </w:tcPr>
          <w:p w14:paraId="726533B6" w14:textId="2A6DF78E" w:rsidR="008F3EBC" w:rsidRPr="00A96273" w:rsidRDefault="008F3EBC" w:rsidP="0057629C">
            <w:pPr>
              <w:rPr>
                <w:sz w:val="16"/>
                <w:szCs w:val="16"/>
              </w:rPr>
            </w:pPr>
            <w:r w:rsidRPr="00A96273">
              <w:rPr>
                <w:color w:val="000000"/>
                <w:sz w:val="16"/>
                <w:szCs w:val="16"/>
              </w:rPr>
              <w:t>24</w:t>
            </w:r>
            <w:r w:rsidR="00B65D50" w:rsidRPr="00A96273">
              <w:rPr>
                <w:color w:val="000000"/>
                <w:sz w:val="16"/>
                <w:szCs w:val="16"/>
              </w:rPr>
              <w:t>-</w:t>
            </w:r>
            <w:r w:rsidRPr="00A96273">
              <w:rPr>
                <w:color w:val="000000"/>
                <w:sz w:val="16"/>
                <w:szCs w:val="16"/>
              </w:rPr>
              <w:t>72 hours</w:t>
            </w:r>
          </w:p>
        </w:tc>
        <w:tc>
          <w:tcPr>
            <w:tcW w:w="3200" w:type="dxa"/>
          </w:tcPr>
          <w:p w14:paraId="2F7DB5CB" w14:textId="77777777" w:rsidR="008F3EBC" w:rsidRPr="00A96273" w:rsidRDefault="008F3EBC" w:rsidP="0057629C">
            <w:pPr>
              <w:rPr>
                <w:sz w:val="16"/>
                <w:szCs w:val="16"/>
              </w:rPr>
            </w:pPr>
            <w:r w:rsidRPr="00A96273">
              <w:rPr>
                <w:color w:val="000000"/>
                <w:sz w:val="16"/>
                <w:szCs w:val="16"/>
              </w:rPr>
              <w:t>Identify access vector; rotate credentials and API keys; confirm no persistent presence</w:t>
            </w:r>
          </w:p>
        </w:tc>
        <w:tc>
          <w:tcPr>
            <w:tcW w:w="2226" w:type="dxa"/>
          </w:tcPr>
          <w:p w14:paraId="04B3FD26" w14:textId="77777777" w:rsidR="008F3EBC" w:rsidRPr="00A96273" w:rsidRDefault="008F3EBC" w:rsidP="0057629C">
            <w:pPr>
              <w:rPr>
                <w:sz w:val="16"/>
                <w:szCs w:val="16"/>
              </w:rPr>
            </w:pPr>
            <w:r w:rsidRPr="00A96273">
              <w:rPr>
                <w:color w:val="000000"/>
                <w:sz w:val="16"/>
                <w:szCs w:val="16"/>
              </w:rPr>
              <w:t>SecOps, CISO</w:t>
            </w:r>
          </w:p>
        </w:tc>
      </w:tr>
      <w:tr w:rsidR="008F3EBC" w:rsidRPr="008F3EBC" w14:paraId="4830C5A5" w14:textId="77777777" w:rsidTr="00AD0D38">
        <w:tc>
          <w:tcPr>
            <w:tcW w:w="1700" w:type="dxa"/>
          </w:tcPr>
          <w:p w14:paraId="014C586E" w14:textId="77777777" w:rsidR="008F3EBC" w:rsidRPr="00A96273" w:rsidRDefault="008F3EBC" w:rsidP="0057629C">
            <w:pPr>
              <w:rPr>
                <w:sz w:val="16"/>
                <w:szCs w:val="16"/>
              </w:rPr>
            </w:pPr>
            <w:r w:rsidRPr="00A96273">
              <w:rPr>
                <w:color w:val="000000"/>
                <w:sz w:val="16"/>
                <w:szCs w:val="16"/>
              </w:rPr>
              <w:t>Post-incident review</w:t>
            </w:r>
          </w:p>
        </w:tc>
        <w:tc>
          <w:tcPr>
            <w:tcW w:w="1900" w:type="dxa"/>
          </w:tcPr>
          <w:p w14:paraId="68E912FB" w14:textId="77777777" w:rsidR="008F3EBC" w:rsidRPr="00A96273" w:rsidRDefault="008F3EBC" w:rsidP="0057629C">
            <w:pPr>
              <w:rPr>
                <w:sz w:val="16"/>
                <w:szCs w:val="16"/>
              </w:rPr>
            </w:pPr>
            <w:r w:rsidRPr="00A96273">
              <w:rPr>
                <w:color w:val="000000"/>
                <w:sz w:val="16"/>
                <w:szCs w:val="16"/>
              </w:rPr>
              <w:t>Within 2 weeks</w:t>
            </w:r>
          </w:p>
        </w:tc>
        <w:tc>
          <w:tcPr>
            <w:tcW w:w="3200" w:type="dxa"/>
          </w:tcPr>
          <w:p w14:paraId="508A08AA" w14:textId="77777777" w:rsidR="008F3EBC" w:rsidRPr="00A96273" w:rsidRDefault="008F3EBC" w:rsidP="0057629C">
            <w:pPr>
              <w:rPr>
                <w:sz w:val="16"/>
                <w:szCs w:val="16"/>
              </w:rPr>
            </w:pPr>
            <w:r w:rsidRPr="00A96273">
              <w:rPr>
                <w:color w:val="000000"/>
                <w:sz w:val="16"/>
                <w:szCs w:val="16"/>
              </w:rPr>
              <w:t>Root cause analysis; control updates; final regulatory reports; lessons learned</w:t>
            </w:r>
          </w:p>
        </w:tc>
        <w:tc>
          <w:tcPr>
            <w:tcW w:w="1800" w:type="dxa"/>
          </w:tcPr>
          <w:p w14:paraId="5A7B531F" w14:textId="77777777" w:rsidR="008F3EBC" w:rsidRPr="00A96273" w:rsidRDefault="008F3EBC" w:rsidP="0057629C">
            <w:pPr>
              <w:rPr>
                <w:sz w:val="16"/>
                <w:szCs w:val="16"/>
              </w:rPr>
            </w:pPr>
            <w:r w:rsidRPr="00A96273">
              <w:rPr>
                <w:color w:val="000000"/>
                <w:sz w:val="16"/>
                <w:szCs w:val="16"/>
              </w:rPr>
              <w:t>CISO, full security team</w:t>
            </w:r>
          </w:p>
        </w:tc>
      </w:tr>
    </w:tbl>
    <w:p w14:paraId="121B2EAD" w14:textId="77777777" w:rsidR="008F3EBC" w:rsidRPr="008F3EBC" w:rsidRDefault="008F3EBC" w:rsidP="008F3EBC">
      <w:pPr>
        <w:spacing w:after="160"/>
      </w:pPr>
    </w:p>
    <w:p w14:paraId="37DA4D42" w14:textId="469DA15F" w:rsidR="008F3EBC" w:rsidRPr="008F3EBC" w:rsidRDefault="008F3EBC" w:rsidP="008F3EBC">
      <w:pPr>
        <w:spacing w:after="140" w:line="280" w:lineRule="auto"/>
        <w:jc w:val="both"/>
      </w:pPr>
      <w:r w:rsidRPr="008F3EBC">
        <w:t xml:space="preserve">A few preventive controls are essential here. Training data and code need daily backups to WORM storage that is genuinely segregated from production </w:t>
      </w:r>
      <w:r w:rsidR="00AD0D38">
        <w:t>-</w:t>
      </w:r>
      <w:r w:rsidRPr="008F3EBC">
        <w:t xml:space="preserve"> not just a different folder. Repositories need signed commits and branch protection so tampering gets caught early. RTOs for critical AI systems need to be defined and </w:t>
      </w:r>
      <w:r w:rsidR="005E78F2" w:rsidRPr="008F3EBC">
        <w:t>tested</w:t>
      </w:r>
      <w:r w:rsidRPr="008F3EBC">
        <w:t xml:space="preserve"> through DR exercises, which DORA makes a formal requirement anyway.</w:t>
      </w:r>
    </w:p>
    <w:p w14:paraId="4CD2AF79" w14:textId="3830F818" w:rsidR="008F3EBC" w:rsidRPr="0071070D" w:rsidRDefault="008F3EBC" w:rsidP="008F3EBC">
      <w:pPr>
        <w:pStyle w:val="Heading1"/>
        <w:numPr>
          <w:ilvl w:val="0"/>
          <w:numId w:val="9"/>
        </w:numPr>
        <w:rPr>
          <w:smallCaps/>
          <w:szCs w:val="20"/>
        </w:rPr>
      </w:pPr>
      <w:bookmarkStart w:id="17" w:name="_Toc228395009"/>
      <w:r w:rsidRPr="0071070D">
        <w:rPr>
          <w:smallCaps/>
          <w:szCs w:val="20"/>
        </w:rPr>
        <w:t>Implementation Roadmap</w:t>
      </w:r>
      <w:bookmarkEnd w:id="17"/>
    </w:p>
    <w:p w14:paraId="49A28E45" w14:textId="77777777" w:rsidR="008F3EBC" w:rsidRPr="008F3EBC" w:rsidRDefault="008F3EBC" w:rsidP="008F3EBC">
      <w:pPr>
        <w:spacing w:after="140" w:line="280" w:lineRule="auto"/>
        <w:jc w:val="both"/>
      </w:pPr>
      <w:r w:rsidRPr="008F3EBC">
        <w:t>The programme should be rolled out incrementally over 18 months, prioritising the highest-rated risks early while building towards full architectural maturity.</w:t>
      </w:r>
    </w:p>
    <w:p w14:paraId="7C38DAAF" w14:textId="7A5BFBDD" w:rsidR="008F3EBC" w:rsidRPr="00BB12FF" w:rsidRDefault="008F3EBC" w:rsidP="00BB12FF">
      <w:pPr>
        <w:pStyle w:val="TableStyle"/>
        <w:rPr>
          <w:smallCaps/>
          <w:sz w:val="16"/>
          <w:szCs w:val="16"/>
        </w:rPr>
      </w:pPr>
      <w:r w:rsidRPr="00BB12FF">
        <w:rPr>
          <w:smallCaps/>
          <w:sz w:val="16"/>
          <w:szCs w:val="16"/>
        </w:rPr>
        <w:t xml:space="preserve">Table </w:t>
      </w:r>
      <w:r w:rsidR="005E78F2" w:rsidRPr="00BB12FF">
        <w:rPr>
          <w:smallCaps/>
          <w:sz w:val="16"/>
          <w:szCs w:val="16"/>
        </w:rPr>
        <w:t>3</w:t>
      </w:r>
      <w:r w:rsidRPr="00BB12FF">
        <w:rPr>
          <w:smallCaps/>
          <w:sz w:val="16"/>
          <w:szCs w:val="16"/>
        </w:rPr>
        <w:t>. 18-month implementation roadmap</w:t>
      </w:r>
    </w:p>
    <w:tbl>
      <w:tblPr>
        <w:tblStyle w:val="TableGrid"/>
        <w:tblW w:w="9746" w:type="dxa"/>
        <w:tblLook w:val="0000" w:firstRow="0" w:lastRow="0" w:firstColumn="0" w:lastColumn="0" w:noHBand="0" w:noVBand="0"/>
      </w:tblPr>
      <w:tblGrid>
        <w:gridCol w:w="2160"/>
        <w:gridCol w:w="4859"/>
        <w:gridCol w:w="2727"/>
      </w:tblGrid>
      <w:tr w:rsidR="008F3EBC" w:rsidRPr="005E78F2" w14:paraId="2620F774" w14:textId="77777777" w:rsidTr="005E78F2">
        <w:tc>
          <w:tcPr>
            <w:tcW w:w="2000" w:type="dxa"/>
          </w:tcPr>
          <w:p w14:paraId="2C2A61D0" w14:textId="77777777" w:rsidR="008F3EBC" w:rsidRPr="00BB12FF" w:rsidRDefault="008F3EBC" w:rsidP="0057629C">
            <w:pPr>
              <w:rPr>
                <w:sz w:val="16"/>
                <w:szCs w:val="16"/>
              </w:rPr>
            </w:pPr>
            <w:r w:rsidRPr="00BB12FF">
              <w:rPr>
                <w:b/>
                <w:bCs/>
                <w:sz w:val="16"/>
                <w:szCs w:val="16"/>
              </w:rPr>
              <w:t>Phase</w:t>
            </w:r>
          </w:p>
        </w:tc>
        <w:tc>
          <w:tcPr>
            <w:tcW w:w="4500" w:type="dxa"/>
          </w:tcPr>
          <w:p w14:paraId="70F73450" w14:textId="77777777" w:rsidR="008F3EBC" w:rsidRPr="00BB12FF" w:rsidRDefault="008F3EBC" w:rsidP="0057629C">
            <w:pPr>
              <w:rPr>
                <w:sz w:val="16"/>
                <w:szCs w:val="16"/>
              </w:rPr>
            </w:pPr>
            <w:r w:rsidRPr="00BB12FF">
              <w:rPr>
                <w:b/>
                <w:bCs/>
                <w:sz w:val="16"/>
                <w:szCs w:val="16"/>
              </w:rPr>
              <w:t>Key deliverables</w:t>
            </w:r>
          </w:p>
        </w:tc>
        <w:tc>
          <w:tcPr>
            <w:tcW w:w="2526" w:type="dxa"/>
          </w:tcPr>
          <w:p w14:paraId="569ED367" w14:textId="77777777" w:rsidR="008F3EBC" w:rsidRPr="00BB12FF" w:rsidRDefault="008F3EBC" w:rsidP="0057629C">
            <w:pPr>
              <w:rPr>
                <w:sz w:val="16"/>
                <w:szCs w:val="16"/>
              </w:rPr>
            </w:pPr>
            <w:r w:rsidRPr="00BB12FF">
              <w:rPr>
                <w:b/>
                <w:bCs/>
                <w:sz w:val="16"/>
                <w:szCs w:val="16"/>
              </w:rPr>
              <w:t>Success criteria</w:t>
            </w:r>
          </w:p>
        </w:tc>
      </w:tr>
      <w:tr w:rsidR="008F3EBC" w:rsidRPr="005E78F2" w14:paraId="5773C601" w14:textId="77777777" w:rsidTr="005E78F2">
        <w:tc>
          <w:tcPr>
            <w:tcW w:w="2000" w:type="dxa"/>
          </w:tcPr>
          <w:p w14:paraId="59C1D93B" w14:textId="1B05FB5B" w:rsidR="008F3EBC" w:rsidRPr="00BB12FF" w:rsidRDefault="008F3EBC" w:rsidP="0057629C">
            <w:pPr>
              <w:rPr>
                <w:sz w:val="16"/>
                <w:szCs w:val="16"/>
              </w:rPr>
            </w:pPr>
            <w:r w:rsidRPr="00BB12FF">
              <w:rPr>
                <w:sz w:val="16"/>
                <w:szCs w:val="16"/>
              </w:rPr>
              <w:t>Phase 1 (months 1</w:t>
            </w:r>
            <w:r w:rsidR="00B65D50" w:rsidRPr="00BB12FF">
              <w:rPr>
                <w:sz w:val="16"/>
                <w:szCs w:val="16"/>
              </w:rPr>
              <w:t>-</w:t>
            </w:r>
            <w:r w:rsidRPr="00BB12FF">
              <w:rPr>
                <w:sz w:val="16"/>
                <w:szCs w:val="16"/>
              </w:rPr>
              <w:t>3): Foundation</w:t>
            </w:r>
          </w:p>
        </w:tc>
        <w:tc>
          <w:tcPr>
            <w:tcW w:w="4500" w:type="dxa"/>
          </w:tcPr>
          <w:p w14:paraId="7CB7A032" w14:textId="77777777" w:rsidR="008F3EBC" w:rsidRPr="00BB12FF" w:rsidRDefault="008F3EBC" w:rsidP="0057629C">
            <w:pPr>
              <w:rPr>
                <w:sz w:val="16"/>
                <w:szCs w:val="16"/>
              </w:rPr>
            </w:pPr>
            <w:r w:rsidRPr="00BB12FF">
              <w:rPr>
                <w:sz w:val="16"/>
                <w:szCs w:val="16"/>
              </w:rPr>
              <w:t>Phishing-resistant MFA on all accounts; asset inventory and data classification; CSPM deployed; security roles appointed; initial risk assessment</w:t>
            </w:r>
          </w:p>
        </w:tc>
        <w:tc>
          <w:tcPr>
            <w:tcW w:w="2526" w:type="dxa"/>
          </w:tcPr>
          <w:p w14:paraId="2B89905B" w14:textId="77777777" w:rsidR="008F3EBC" w:rsidRPr="00BB12FF" w:rsidRDefault="008F3EBC" w:rsidP="0057629C">
            <w:pPr>
              <w:rPr>
                <w:sz w:val="16"/>
                <w:szCs w:val="16"/>
              </w:rPr>
            </w:pPr>
            <w:r w:rsidRPr="00BB12FF">
              <w:rPr>
                <w:sz w:val="16"/>
                <w:szCs w:val="16"/>
              </w:rPr>
              <w:t>100% MFA on privileged accounts; cloud assets inventoried; no critical CSPM findings</w:t>
            </w:r>
          </w:p>
        </w:tc>
      </w:tr>
      <w:tr w:rsidR="008F3EBC" w:rsidRPr="005E78F2" w14:paraId="5B41BA86" w14:textId="77777777" w:rsidTr="005E78F2">
        <w:tc>
          <w:tcPr>
            <w:tcW w:w="2000" w:type="dxa"/>
          </w:tcPr>
          <w:p w14:paraId="0F7FF121" w14:textId="457193AE" w:rsidR="008F3EBC" w:rsidRPr="00BB12FF" w:rsidRDefault="008F3EBC" w:rsidP="0057629C">
            <w:pPr>
              <w:rPr>
                <w:sz w:val="16"/>
                <w:szCs w:val="16"/>
              </w:rPr>
            </w:pPr>
            <w:r w:rsidRPr="00BB12FF">
              <w:rPr>
                <w:sz w:val="16"/>
                <w:szCs w:val="16"/>
              </w:rPr>
              <w:t>Phase 2 (months 4</w:t>
            </w:r>
            <w:r w:rsidR="00B65D50" w:rsidRPr="00BB12FF">
              <w:rPr>
                <w:sz w:val="16"/>
                <w:szCs w:val="16"/>
              </w:rPr>
              <w:t>-</w:t>
            </w:r>
            <w:r w:rsidRPr="00BB12FF">
              <w:rPr>
                <w:sz w:val="16"/>
                <w:szCs w:val="16"/>
              </w:rPr>
              <w:t>8): Identity and core controls</w:t>
            </w:r>
          </w:p>
        </w:tc>
        <w:tc>
          <w:tcPr>
            <w:tcW w:w="4500" w:type="dxa"/>
          </w:tcPr>
          <w:p w14:paraId="3A522D85" w14:textId="77777777" w:rsidR="008F3EBC" w:rsidRPr="00BB12FF" w:rsidRDefault="008F3EBC" w:rsidP="0057629C">
            <w:pPr>
              <w:rPr>
                <w:sz w:val="16"/>
                <w:szCs w:val="16"/>
              </w:rPr>
            </w:pPr>
            <w:r w:rsidRPr="00BB12FF">
              <w:rPr>
                <w:sz w:val="16"/>
                <w:szCs w:val="16"/>
              </w:rPr>
              <w:t>RBAC across all systems; SIEM and EDR; SCA in CI/CD; BYOD and SaaS policies enforced; first DPIA on AI; micro-segmentation for patient data</w:t>
            </w:r>
          </w:p>
        </w:tc>
        <w:tc>
          <w:tcPr>
            <w:tcW w:w="1800" w:type="dxa"/>
          </w:tcPr>
          <w:p w14:paraId="7DA9196F" w14:textId="77777777" w:rsidR="008F3EBC" w:rsidRPr="00BB12FF" w:rsidRDefault="008F3EBC" w:rsidP="0057629C">
            <w:pPr>
              <w:rPr>
                <w:sz w:val="16"/>
                <w:szCs w:val="16"/>
              </w:rPr>
            </w:pPr>
            <w:r w:rsidRPr="00BB12FF">
              <w:rPr>
                <w:sz w:val="16"/>
                <w:szCs w:val="16"/>
              </w:rPr>
              <w:t>RBAC active; SIEM operational; no high-severity unpatched CVEs in production</w:t>
            </w:r>
          </w:p>
        </w:tc>
      </w:tr>
      <w:tr w:rsidR="008F3EBC" w:rsidRPr="005E78F2" w14:paraId="7AA06BDF" w14:textId="77777777" w:rsidTr="005E78F2">
        <w:tc>
          <w:tcPr>
            <w:tcW w:w="2000" w:type="dxa"/>
          </w:tcPr>
          <w:p w14:paraId="039D829F" w14:textId="4C8D02F6" w:rsidR="008F3EBC" w:rsidRPr="00BB12FF" w:rsidRDefault="008F3EBC" w:rsidP="0057629C">
            <w:pPr>
              <w:rPr>
                <w:sz w:val="16"/>
                <w:szCs w:val="16"/>
              </w:rPr>
            </w:pPr>
            <w:r w:rsidRPr="00BB12FF">
              <w:rPr>
                <w:sz w:val="16"/>
                <w:szCs w:val="16"/>
              </w:rPr>
              <w:t>Phase 3 (months 9</w:t>
            </w:r>
            <w:r w:rsidR="00B65D50" w:rsidRPr="00BB12FF">
              <w:rPr>
                <w:sz w:val="16"/>
                <w:szCs w:val="16"/>
              </w:rPr>
              <w:t>-</w:t>
            </w:r>
            <w:r w:rsidRPr="00BB12FF">
              <w:rPr>
                <w:sz w:val="16"/>
                <w:szCs w:val="16"/>
              </w:rPr>
              <w:t>14): Advanced detection and resilience</w:t>
            </w:r>
          </w:p>
        </w:tc>
        <w:tc>
          <w:tcPr>
            <w:tcW w:w="4500" w:type="dxa"/>
          </w:tcPr>
          <w:p w14:paraId="4CA8BC5E" w14:textId="77777777" w:rsidR="008F3EBC" w:rsidRPr="00BB12FF" w:rsidRDefault="008F3EBC" w:rsidP="0057629C">
            <w:pPr>
              <w:rPr>
                <w:sz w:val="16"/>
                <w:szCs w:val="16"/>
              </w:rPr>
            </w:pPr>
            <w:r w:rsidRPr="00BB12FF">
              <w:rPr>
                <w:sz w:val="16"/>
                <w:szCs w:val="16"/>
              </w:rPr>
              <w:t>UEBA; SOAR playbooks; threat-led penetration test; SBOM programme; ransomware DR test</w:t>
            </w:r>
          </w:p>
        </w:tc>
        <w:tc>
          <w:tcPr>
            <w:tcW w:w="2526" w:type="dxa"/>
          </w:tcPr>
          <w:p w14:paraId="004F3B3E" w14:textId="77777777" w:rsidR="008F3EBC" w:rsidRPr="00BB12FF" w:rsidRDefault="008F3EBC" w:rsidP="0057629C">
            <w:pPr>
              <w:rPr>
                <w:sz w:val="16"/>
                <w:szCs w:val="16"/>
              </w:rPr>
            </w:pPr>
            <w:r w:rsidRPr="00BB12FF">
              <w:rPr>
                <w:sz w:val="16"/>
                <w:szCs w:val="16"/>
              </w:rPr>
              <w:t>UEBA baselines set; SOAR automates containment; DR test meets RTO; SBOM in place</w:t>
            </w:r>
          </w:p>
        </w:tc>
      </w:tr>
      <w:tr w:rsidR="008F3EBC" w:rsidRPr="005E78F2" w14:paraId="28D46202" w14:textId="77777777" w:rsidTr="005E78F2">
        <w:tc>
          <w:tcPr>
            <w:tcW w:w="2000" w:type="dxa"/>
          </w:tcPr>
          <w:p w14:paraId="77574C9C" w14:textId="133C3060" w:rsidR="008F3EBC" w:rsidRPr="00BB12FF" w:rsidRDefault="008F3EBC" w:rsidP="0057629C">
            <w:pPr>
              <w:rPr>
                <w:sz w:val="16"/>
                <w:szCs w:val="16"/>
              </w:rPr>
            </w:pPr>
            <w:r w:rsidRPr="00BB12FF">
              <w:rPr>
                <w:sz w:val="16"/>
                <w:szCs w:val="16"/>
              </w:rPr>
              <w:t>Phase 4 (months 15</w:t>
            </w:r>
            <w:r w:rsidR="00B65D50" w:rsidRPr="00BB12FF">
              <w:rPr>
                <w:sz w:val="16"/>
                <w:szCs w:val="16"/>
              </w:rPr>
              <w:t>-</w:t>
            </w:r>
            <w:r w:rsidRPr="00BB12FF">
              <w:rPr>
                <w:sz w:val="16"/>
                <w:szCs w:val="16"/>
              </w:rPr>
              <w:t>18): Maturity and audit</w:t>
            </w:r>
          </w:p>
        </w:tc>
        <w:tc>
          <w:tcPr>
            <w:tcW w:w="4500" w:type="dxa"/>
          </w:tcPr>
          <w:p w14:paraId="6B22FBF9" w14:textId="77777777" w:rsidR="008F3EBC" w:rsidRPr="00BB12FF" w:rsidRDefault="008F3EBC" w:rsidP="0057629C">
            <w:pPr>
              <w:rPr>
                <w:sz w:val="16"/>
                <w:szCs w:val="16"/>
              </w:rPr>
            </w:pPr>
            <w:r w:rsidRPr="00BB12FF">
              <w:rPr>
                <w:sz w:val="16"/>
                <w:szCs w:val="16"/>
              </w:rPr>
              <w:t>First DORA ICT risk cycle; NIS2 evidence pack; ISO 27001 gap assessment; policy review; board posture report</w:t>
            </w:r>
          </w:p>
        </w:tc>
        <w:tc>
          <w:tcPr>
            <w:tcW w:w="1800" w:type="dxa"/>
          </w:tcPr>
          <w:p w14:paraId="382970AD" w14:textId="77777777" w:rsidR="008F3EBC" w:rsidRPr="00BB12FF" w:rsidRDefault="008F3EBC" w:rsidP="0057629C">
            <w:pPr>
              <w:rPr>
                <w:sz w:val="16"/>
                <w:szCs w:val="16"/>
              </w:rPr>
            </w:pPr>
            <w:r w:rsidRPr="00BB12FF">
              <w:rPr>
                <w:sz w:val="16"/>
                <w:szCs w:val="16"/>
              </w:rPr>
              <w:t>Compliance documentation complete; board receives first formal report; remediation plan in place</w:t>
            </w:r>
          </w:p>
        </w:tc>
      </w:tr>
    </w:tbl>
    <w:p w14:paraId="76C0B34D" w14:textId="77777777" w:rsidR="008F3EBC" w:rsidRPr="008F3EBC" w:rsidRDefault="008F3EBC" w:rsidP="008F3EBC">
      <w:pPr>
        <w:spacing w:after="160"/>
      </w:pPr>
    </w:p>
    <w:p w14:paraId="59AB833D" w14:textId="53A18913" w:rsidR="008F3EBC" w:rsidRPr="008F3EBC" w:rsidRDefault="008F3EBC" w:rsidP="008F3EBC">
      <w:pPr>
        <w:spacing w:after="140" w:line="280" w:lineRule="auto"/>
        <w:jc w:val="both"/>
      </w:pPr>
      <w:r w:rsidRPr="008F3EBC">
        <w:t xml:space="preserve">Structuring it in phases ties back to what Task 1 concluded </w:t>
      </w:r>
      <w:r w:rsidR="005E78F2">
        <w:t>-</w:t>
      </w:r>
      <w:r w:rsidRPr="008F3EBC">
        <w:t xml:space="preserve"> Zero Trust is something you build towards, not something you switch on. Each layer of security is working before the next one gets added.</w:t>
      </w:r>
    </w:p>
    <w:p w14:paraId="23D69527" w14:textId="77777777" w:rsidR="008F3EBC" w:rsidRPr="0071070D" w:rsidRDefault="008F3EBC" w:rsidP="008F3EBC">
      <w:pPr>
        <w:pStyle w:val="Heading1"/>
        <w:numPr>
          <w:ilvl w:val="0"/>
          <w:numId w:val="0"/>
        </w:numPr>
        <w:rPr>
          <w:smallCaps/>
          <w:szCs w:val="20"/>
        </w:rPr>
      </w:pPr>
      <w:bookmarkStart w:id="18" w:name="_Toc228395010"/>
      <w:r w:rsidRPr="0071070D">
        <w:rPr>
          <w:smallCaps/>
          <w:szCs w:val="20"/>
        </w:rPr>
        <w:t>Conclusion</w:t>
      </w:r>
      <w:bookmarkEnd w:id="18"/>
    </w:p>
    <w:p w14:paraId="7A24B269" w14:textId="69CF0856" w:rsidR="008F3EBC" w:rsidRPr="008F3EBC" w:rsidRDefault="008F3EBC" w:rsidP="008F3EBC">
      <w:pPr>
        <w:spacing w:after="140" w:line="280" w:lineRule="auto"/>
        <w:jc w:val="both"/>
      </w:pPr>
      <w:r w:rsidRPr="008F3EBC">
        <w:t xml:space="preserve">This programme tries to match what </w:t>
      </w:r>
      <w:proofErr w:type="spellStart"/>
      <w:r w:rsidRPr="008F3EBC">
        <w:t>MediTrust</w:t>
      </w:r>
      <w:proofErr w:type="spellEnd"/>
      <w:r w:rsidRPr="008F3EBC">
        <w:t xml:space="preserve"> </w:t>
      </w:r>
      <w:r w:rsidR="005E78F2" w:rsidRPr="008F3EBC">
        <w:t>needs</w:t>
      </w:r>
      <w:r w:rsidRPr="008F3EBC">
        <w:t xml:space="preserve"> rather than applying a generic framework. Identity is the main control boundary because that fits a distributed, cloud-heavy organisation. Least privilege runs through every access decision. Monitoring is built in from the start, not added on later.</w:t>
      </w:r>
    </w:p>
    <w:p w14:paraId="6CDD5DA7" w14:textId="35DA543B" w:rsidR="008F3EBC" w:rsidRPr="008F3EBC" w:rsidRDefault="008F3EBC" w:rsidP="008F3EBC">
      <w:pPr>
        <w:spacing w:after="140" w:line="280" w:lineRule="auto"/>
        <w:jc w:val="both"/>
      </w:pPr>
      <w:r w:rsidRPr="008F3EBC">
        <w:lastRenderedPageBreak/>
        <w:t>The combination of GDPR, DORA and NIS2 means that this kind of structured programme is not just a security choice but a legal one and NIST CSF 2.0 provides a way to keep all of it aligned and to communicate the organisation's security posture coherently to leadership and regulators.</w:t>
      </w:r>
    </w:p>
    <w:p w14:paraId="035EC516" w14:textId="4F77C70C" w:rsidR="008F3EBC" w:rsidRPr="008F3EBC" w:rsidRDefault="008F3EBC" w:rsidP="008F3EBC">
      <w:pPr>
        <w:spacing w:after="140" w:line="280" w:lineRule="auto"/>
        <w:jc w:val="both"/>
      </w:pPr>
      <w:r w:rsidRPr="008F3EBC">
        <w:t xml:space="preserve">The hardest parts are not technical. Getting the right people into roles with actual authority, writing policies realistic enough to be followed, making sure the board stays engaged rather than just signing off annually </w:t>
      </w:r>
      <w:r w:rsidR="005E78F2">
        <w:t>-</w:t>
      </w:r>
      <w:r w:rsidRPr="008F3EBC">
        <w:t xml:space="preserve"> that is where these programmes succeed or fail. If </w:t>
      </w:r>
      <w:proofErr w:type="spellStart"/>
      <w:r w:rsidRPr="008F3EBC">
        <w:t>MediTrust</w:t>
      </w:r>
      <w:proofErr w:type="spellEnd"/>
      <w:r w:rsidRPr="008F3EBC">
        <w:t xml:space="preserve"> gets that right, meeting GDPR, DORA and NIS2 becomes a byproduct of doing security well, not the whole point.</w:t>
      </w:r>
    </w:p>
    <w:p w14:paraId="65BB8261" w14:textId="77777777" w:rsidR="008F3EBC" w:rsidRPr="0071070D" w:rsidRDefault="008F3EBC" w:rsidP="008F3EBC">
      <w:pPr>
        <w:pStyle w:val="Heading1"/>
        <w:numPr>
          <w:ilvl w:val="0"/>
          <w:numId w:val="0"/>
        </w:numPr>
        <w:rPr>
          <w:smallCaps/>
          <w:szCs w:val="20"/>
        </w:rPr>
      </w:pPr>
      <w:bookmarkStart w:id="19" w:name="_Toc228395011"/>
      <w:r w:rsidRPr="0071070D">
        <w:rPr>
          <w:smallCaps/>
          <w:szCs w:val="20"/>
        </w:rPr>
        <w:t>References</w:t>
      </w:r>
      <w:bookmarkEnd w:id="19"/>
    </w:p>
    <w:p w14:paraId="5593CFA6" w14:textId="70890539" w:rsidR="008F3EBC" w:rsidRPr="008F3EBC" w:rsidRDefault="008F3EBC" w:rsidP="008F3EBC">
      <w:pPr>
        <w:spacing w:after="80"/>
        <w:ind w:left="360" w:hanging="360"/>
      </w:pPr>
      <w:r w:rsidRPr="008F3EBC">
        <w:t>[</w:t>
      </w:r>
      <w:r w:rsidR="00AC58C3">
        <w:t>1</w:t>
      </w:r>
      <w:r w:rsidRPr="008F3EBC">
        <w:t>] M. Jouini, A. Ben Aissa, L. Ben Arfa Rabai and A. Mili, "Towards quantitative measures of Information Security: A Cloud Computing case study," Int. J. of Cyber-Security and Digital Forensics, vol. 1, no. 3, 2012.</w:t>
      </w:r>
    </w:p>
    <w:p w14:paraId="488FB1B0" w14:textId="60DF2CC1" w:rsidR="008F3EBC" w:rsidRPr="008F3EBC" w:rsidRDefault="008F3EBC" w:rsidP="008F3EBC">
      <w:pPr>
        <w:spacing w:after="80"/>
        <w:ind w:left="360" w:hanging="360"/>
      </w:pPr>
      <w:r w:rsidRPr="008F3EBC">
        <w:t>[</w:t>
      </w:r>
      <w:r w:rsidR="00AC58C3">
        <w:t>2</w:t>
      </w:r>
      <w:r w:rsidRPr="008F3EBC">
        <w:t>] NIST, "Cybersecurity Supply Chain Risk Management Practices for Systems and Organizations," NIST SP 800-161r1, May 2022.</w:t>
      </w:r>
    </w:p>
    <w:p w14:paraId="4BA086ED" w14:textId="5867A4BA" w:rsidR="008F3EBC" w:rsidRPr="008F3EBC" w:rsidRDefault="008F3EBC" w:rsidP="008F3EBC">
      <w:pPr>
        <w:spacing w:after="80"/>
        <w:ind w:left="360" w:hanging="360"/>
      </w:pPr>
      <w:r w:rsidRPr="008F3EBC">
        <w:t>[</w:t>
      </w:r>
      <w:r w:rsidR="00AC58C3">
        <w:t>3</w:t>
      </w:r>
      <w:r w:rsidRPr="008F3EBC">
        <w:t>] European Parliament and Council, "Regulation (EU) 2016/679 (General Data Protection Regulation)," Official Journal of the European Union, L 119/1, 2016.</w:t>
      </w:r>
    </w:p>
    <w:p w14:paraId="686511B4" w14:textId="4FB47117" w:rsidR="008F3EBC" w:rsidRPr="008F3EBC" w:rsidRDefault="008F3EBC" w:rsidP="008F3EBC">
      <w:pPr>
        <w:spacing w:after="80"/>
        <w:ind w:left="360" w:hanging="360"/>
      </w:pPr>
      <w:r w:rsidRPr="008F3EBC">
        <w:t>[</w:t>
      </w:r>
      <w:r w:rsidR="00AC58C3">
        <w:t>4</w:t>
      </w:r>
      <w:r w:rsidRPr="008F3EBC">
        <w:t>] European Parliament and Council, "Regulation (EU) 2022/2554 (Digital Operational Resilience Act)," Official Journal of the European Union, L 333/1, 2022.</w:t>
      </w:r>
    </w:p>
    <w:p w14:paraId="08651DE8" w14:textId="760B68B6" w:rsidR="008F3EBC" w:rsidRPr="008F3EBC" w:rsidRDefault="008F3EBC" w:rsidP="008F3EBC">
      <w:pPr>
        <w:spacing w:after="80"/>
        <w:ind w:left="360" w:hanging="360"/>
      </w:pPr>
      <w:r w:rsidRPr="008F3EBC">
        <w:t>[</w:t>
      </w:r>
      <w:r w:rsidR="00AC58C3">
        <w:t>5</w:t>
      </w:r>
      <w:r w:rsidRPr="008F3EBC">
        <w:t>] European Parliament and Council, "Directive (EU) 2022/2555 (NIS2 Directive)," Official Journal of the European Union, L 333/80, 2022.</w:t>
      </w:r>
    </w:p>
    <w:p w14:paraId="2A38F5E5" w14:textId="6B1CD2FD" w:rsidR="008F3EBC" w:rsidRPr="008F3EBC" w:rsidRDefault="008F3EBC" w:rsidP="008F3EBC">
      <w:pPr>
        <w:spacing w:after="80"/>
        <w:ind w:left="360" w:hanging="360"/>
      </w:pPr>
      <w:r w:rsidRPr="008F3EBC">
        <w:t>[</w:t>
      </w:r>
      <w:r w:rsidR="00AC58C3">
        <w:t>6</w:t>
      </w:r>
      <w:r w:rsidRPr="008F3EBC">
        <w:t>] NIST, "The NIST Cybersecurity Framework (CSF) 2.0," NIST CSWP 29, Feb. 2024.</w:t>
      </w:r>
    </w:p>
    <w:p w14:paraId="00914842" w14:textId="77777777" w:rsidR="008F3EBC" w:rsidRPr="008F3EBC" w:rsidRDefault="008F3EBC" w:rsidP="00C541C7">
      <w:pPr>
        <w:sectPr w:rsidR="008F3EBC" w:rsidRPr="008F3EBC" w:rsidSect="008F3EBC">
          <w:type w:val="continuous"/>
          <w:pgSz w:w="11906" w:h="16838"/>
          <w:pgMar w:top="540" w:right="893" w:bottom="1440" w:left="893" w:header="708" w:footer="708" w:gutter="0"/>
          <w:cols w:space="360"/>
          <w:docGrid w:linePitch="360"/>
        </w:sectPr>
      </w:pPr>
    </w:p>
    <w:p w14:paraId="775285EE" w14:textId="0B8E61FE" w:rsidR="00C05819" w:rsidRPr="008F3EBC" w:rsidRDefault="00C05819" w:rsidP="00C541C7"/>
    <w:sectPr w:rsidR="00C05819" w:rsidRPr="008F3EBC">
      <w:type w:val="continuous"/>
      <w:pgSz w:w="11906" w:h="16838"/>
      <w:pgMar w:top="540" w:right="893" w:bottom="1440" w:left="893" w:header="708" w:footer="708" w:gutter="0"/>
      <w:cols w:num="2" w:space="36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E696C"/>
    <w:multiLevelType w:val="hybridMultilevel"/>
    <w:tmpl w:val="321A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63E04"/>
    <w:multiLevelType w:val="multilevel"/>
    <w:tmpl w:val="51AA55AE"/>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 w15:restartNumberingAfterBreak="0">
    <w:nsid w:val="17777232"/>
    <w:multiLevelType w:val="multilevel"/>
    <w:tmpl w:val="81B0D25C"/>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 w15:restartNumberingAfterBreak="0">
    <w:nsid w:val="195B62FE"/>
    <w:multiLevelType w:val="multilevel"/>
    <w:tmpl w:val="333E548A"/>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1B222922"/>
    <w:multiLevelType w:val="multilevel"/>
    <w:tmpl w:val="08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5" w15:restartNumberingAfterBreak="0">
    <w:nsid w:val="1B780DAA"/>
    <w:multiLevelType w:val="hybridMultilevel"/>
    <w:tmpl w:val="A97E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70224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5720A9C"/>
    <w:multiLevelType w:val="hybridMultilevel"/>
    <w:tmpl w:val="61AA3B34"/>
    <w:lvl w:ilvl="0" w:tplc="8F2AB7E8">
      <w:start w:val="1"/>
      <w:numFmt w:val="bullet"/>
      <w:lvlText w:val="●"/>
      <w:lvlJc w:val="left"/>
      <w:pPr>
        <w:ind w:left="720" w:hanging="360"/>
      </w:pPr>
    </w:lvl>
    <w:lvl w:ilvl="1" w:tplc="D50A8A3A">
      <w:start w:val="1"/>
      <w:numFmt w:val="bullet"/>
      <w:lvlText w:val="○"/>
      <w:lvlJc w:val="left"/>
      <w:pPr>
        <w:ind w:left="1440" w:hanging="360"/>
      </w:pPr>
    </w:lvl>
    <w:lvl w:ilvl="2" w:tplc="339A1F44">
      <w:start w:val="1"/>
      <w:numFmt w:val="bullet"/>
      <w:lvlText w:val="■"/>
      <w:lvlJc w:val="left"/>
      <w:pPr>
        <w:ind w:left="2160" w:hanging="360"/>
      </w:pPr>
    </w:lvl>
    <w:lvl w:ilvl="3" w:tplc="C47AF372">
      <w:start w:val="1"/>
      <w:numFmt w:val="bullet"/>
      <w:lvlText w:val="●"/>
      <w:lvlJc w:val="left"/>
      <w:pPr>
        <w:ind w:left="2880" w:hanging="360"/>
      </w:pPr>
    </w:lvl>
    <w:lvl w:ilvl="4" w:tplc="1702FE4C">
      <w:start w:val="1"/>
      <w:numFmt w:val="bullet"/>
      <w:lvlText w:val="○"/>
      <w:lvlJc w:val="left"/>
      <w:pPr>
        <w:ind w:left="3600" w:hanging="360"/>
      </w:pPr>
    </w:lvl>
    <w:lvl w:ilvl="5" w:tplc="5AACDD64">
      <w:start w:val="1"/>
      <w:numFmt w:val="bullet"/>
      <w:lvlText w:val="■"/>
      <w:lvlJc w:val="left"/>
      <w:pPr>
        <w:ind w:left="4320" w:hanging="360"/>
      </w:pPr>
    </w:lvl>
    <w:lvl w:ilvl="6" w:tplc="0150C308">
      <w:start w:val="1"/>
      <w:numFmt w:val="bullet"/>
      <w:lvlText w:val="●"/>
      <w:lvlJc w:val="left"/>
      <w:pPr>
        <w:ind w:left="5040" w:hanging="360"/>
      </w:pPr>
    </w:lvl>
    <w:lvl w:ilvl="7" w:tplc="9D0203E8">
      <w:start w:val="1"/>
      <w:numFmt w:val="bullet"/>
      <w:lvlText w:val="●"/>
      <w:lvlJc w:val="left"/>
      <w:pPr>
        <w:ind w:left="5760" w:hanging="360"/>
      </w:pPr>
    </w:lvl>
    <w:lvl w:ilvl="8" w:tplc="2AF0C4D0">
      <w:start w:val="1"/>
      <w:numFmt w:val="bullet"/>
      <w:lvlText w:val="●"/>
      <w:lvlJc w:val="left"/>
      <w:pPr>
        <w:ind w:left="6480" w:hanging="360"/>
      </w:pPr>
    </w:lvl>
  </w:abstractNum>
  <w:abstractNum w:abstractNumId="8" w15:restartNumberingAfterBreak="0">
    <w:nsid w:val="3E2E3D89"/>
    <w:multiLevelType w:val="multilevel"/>
    <w:tmpl w:val="333E548A"/>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9" w15:restartNumberingAfterBreak="0">
    <w:nsid w:val="75E22B4B"/>
    <w:multiLevelType w:val="hybridMultilevel"/>
    <w:tmpl w:val="D6AAF0A2"/>
    <w:lvl w:ilvl="0" w:tplc="5D3C1E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7225D2"/>
    <w:multiLevelType w:val="multilevel"/>
    <w:tmpl w:val="B504E45E"/>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1" w15:restartNumberingAfterBreak="0">
    <w:nsid w:val="7BE43B57"/>
    <w:multiLevelType w:val="hybridMultilevel"/>
    <w:tmpl w:val="715C5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1999215">
    <w:abstractNumId w:val="7"/>
    <w:lvlOverride w:ilvl="0">
      <w:startOverride w:val="1"/>
    </w:lvlOverride>
  </w:num>
  <w:num w:numId="2" w16cid:durableId="282929988">
    <w:abstractNumId w:val="6"/>
  </w:num>
  <w:num w:numId="3" w16cid:durableId="459153600">
    <w:abstractNumId w:val="3"/>
  </w:num>
  <w:num w:numId="4" w16cid:durableId="1699815536">
    <w:abstractNumId w:val="9"/>
  </w:num>
  <w:num w:numId="5" w16cid:durableId="1881477781">
    <w:abstractNumId w:val="2"/>
  </w:num>
  <w:num w:numId="6" w16cid:durableId="1629891382">
    <w:abstractNumId w:val="10"/>
  </w:num>
  <w:num w:numId="7" w16cid:durableId="1273249045">
    <w:abstractNumId w:val="1"/>
  </w:num>
  <w:num w:numId="8" w16cid:durableId="2091348559">
    <w:abstractNumId w:val="4"/>
  </w:num>
  <w:num w:numId="9" w16cid:durableId="1592860304">
    <w:abstractNumId w:val="8"/>
  </w:num>
  <w:num w:numId="10" w16cid:durableId="1846554316">
    <w:abstractNumId w:val="0"/>
  </w:num>
  <w:num w:numId="11" w16cid:durableId="1944416283">
    <w:abstractNumId w:val="5"/>
  </w:num>
  <w:num w:numId="12" w16cid:durableId="3112569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819"/>
    <w:rsid w:val="00213E56"/>
    <w:rsid w:val="00320002"/>
    <w:rsid w:val="0032511B"/>
    <w:rsid w:val="00353ACE"/>
    <w:rsid w:val="003A6588"/>
    <w:rsid w:val="00477C5E"/>
    <w:rsid w:val="005B4328"/>
    <w:rsid w:val="005E78F2"/>
    <w:rsid w:val="00664BF1"/>
    <w:rsid w:val="00670F2D"/>
    <w:rsid w:val="0071070D"/>
    <w:rsid w:val="007E0394"/>
    <w:rsid w:val="008F3EBC"/>
    <w:rsid w:val="00930C06"/>
    <w:rsid w:val="00961FA0"/>
    <w:rsid w:val="00994C54"/>
    <w:rsid w:val="009C4576"/>
    <w:rsid w:val="00A85767"/>
    <w:rsid w:val="00A96273"/>
    <w:rsid w:val="00AC58C3"/>
    <w:rsid w:val="00AD0BD5"/>
    <w:rsid w:val="00AD0D38"/>
    <w:rsid w:val="00AE7974"/>
    <w:rsid w:val="00B22D22"/>
    <w:rsid w:val="00B65D50"/>
    <w:rsid w:val="00BB12FF"/>
    <w:rsid w:val="00C05819"/>
    <w:rsid w:val="00C05A94"/>
    <w:rsid w:val="00C541C7"/>
    <w:rsid w:val="00C54BD3"/>
    <w:rsid w:val="00C6729A"/>
    <w:rsid w:val="00CF7A79"/>
    <w:rsid w:val="00D24DD2"/>
    <w:rsid w:val="00D845E1"/>
    <w:rsid w:val="00DC2EBC"/>
    <w:rsid w:val="00DF0A68"/>
    <w:rsid w:val="00E4295C"/>
    <w:rsid w:val="00ED67A9"/>
    <w:rsid w:val="00F76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AFFB7"/>
  <w15:docId w15:val="{51F330DA-C96C-4650-A7AB-90A74247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13E56"/>
    <w:pPr>
      <w:keepNext/>
      <w:keepLines/>
      <w:numPr>
        <w:numId w:val="8"/>
      </w:numPr>
      <w:tabs>
        <w:tab w:val="left" w:pos="215"/>
        <w:tab w:val="left" w:pos="578"/>
      </w:tabs>
      <w:spacing w:before="160" w:after="80"/>
      <w:jc w:val="center"/>
      <w:outlineLvl w:val="0"/>
    </w:pPr>
    <w:rPr>
      <w:szCs w:val="32"/>
    </w:rPr>
  </w:style>
  <w:style w:type="paragraph" w:styleId="Heading2">
    <w:name w:val="heading 2"/>
    <w:basedOn w:val="Normal"/>
    <w:next w:val="Normal"/>
    <w:uiPriority w:val="9"/>
    <w:unhideWhenUsed/>
    <w:qFormat/>
    <w:rsid w:val="009C4576"/>
    <w:pPr>
      <w:keepNext/>
      <w:keepLines/>
      <w:numPr>
        <w:ilvl w:val="1"/>
        <w:numId w:val="8"/>
      </w:numPr>
      <w:tabs>
        <w:tab w:val="left" w:pos="289"/>
      </w:tabs>
      <w:spacing w:before="120" w:after="60"/>
      <w:ind w:left="289" w:hanging="289"/>
      <w:outlineLvl w:val="1"/>
    </w:pPr>
    <w:rPr>
      <w:i/>
      <w:szCs w:val="26"/>
    </w:rPr>
  </w:style>
  <w:style w:type="paragraph" w:styleId="Heading3">
    <w:name w:val="heading 3"/>
    <w:uiPriority w:val="9"/>
    <w:semiHidden/>
    <w:unhideWhenUsed/>
    <w:qFormat/>
    <w:pPr>
      <w:numPr>
        <w:ilvl w:val="2"/>
        <w:numId w:val="8"/>
      </w:numPr>
      <w:outlineLvl w:val="2"/>
    </w:pPr>
    <w:rPr>
      <w:color w:val="1F4D78"/>
      <w:sz w:val="24"/>
      <w:szCs w:val="24"/>
    </w:rPr>
  </w:style>
  <w:style w:type="paragraph" w:styleId="Heading4">
    <w:name w:val="heading 4"/>
    <w:uiPriority w:val="9"/>
    <w:semiHidden/>
    <w:unhideWhenUsed/>
    <w:qFormat/>
    <w:pPr>
      <w:numPr>
        <w:ilvl w:val="3"/>
        <w:numId w:val="8"/>
      </w:numPr>
      <w:outlineLvl w:val="3"/>
    </w:pPr>
    <w:rPr>
      <w:i/>
      <w:iCs/>
      <w:color w:val="2E74B5"/>
    </w:rPr>
  </w:style>
  <w:style w:type="paragraph" w:styleId="Heading5">
    <w:name w:val="heading 5"/>
    <w:uiPriority w:val="9"/>
    <w:semiHidden/>
    <w:unhideWhenUsed/>
    <w:qFormat/>
    <w:pPr>
      <w:numPr>
        <w:ilvl w:val="4"/>
        <w:numId w:val="8"/>
      </w:numPr>
      <w:outlineLvl w:val="4"/>
    </w:pPr>
    <w:rPr>
      <w:color w:val="2E74B5"/>
    </w:rPr>
  </w:style>
  <w:style w:type="paragraph" w:styleId="Heading6">
    <w:name w:val="heading 6"/>
    <w:uiPriority w:val="9"/>
    <w:semiHidden/>
    <w:unhideWhenUsed/>
    <w:qFormat/>
    <w:pPr>
      <w:numPr>
        <w:ilvl w:val="5"/>
        <w:numId w:val="8"/>
      </w:numPr>
      <w:outlineLvl w:val="5"/>
    </w:pPr>
    <w:rPr>
      <w:color w:val="1F4D78"/>
    </w:rPr>
  </w:style>
  <w:style w:type="paragraph" w:styleId="Heading7">
    <w:name w:val="heading 7"/>
    <w:basedOn w:val="Normal"/>
    <w:next w:val="Normal"/>
    <w:link w:val="Heading7Char"/>
    <w:uiPriority w:val="9"/>
    <w:semiHidden/>
    <w:unhideWhenUsed/>
    <w:qFormat/>
    <w:rsid w:val="00994C54"/>
    <w:pPr>
      <w:keepNext/>
      <w:keepLines/>
      <w:numPr>
        <w:ilvl w:val="6"/>
        <w:numId w:val="8"/>
      </w:numPr>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994C54"/>
    <w:pPr>
      <w:keepNext/>
      <w:keepLines/>
      <w:numPr>
        <w:ilvl w:val="7"/>
        <w:numId w:val="8"/>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4C54"/>
    <w:pPr>
      <w:keepNext/>
      <w:keepLines/>
      <w:numPr>
        <w:ilvl w:val="8"/>
        <w:numId w:val="8"/>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customStyle="1" w:styleId="Heading7Char">
    <w:name w:val="Heading 7 Char"/>
    <w:basedOn w:val="DefaultParagraphFont"/>
    <w:link w:val="Heading7"/>
    <w:uiPriority w:val="9"/>
    <w:semiHidden/>
    <w:rsid w:val="00994C54"/>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994C5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4C54"/>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AD0BD5"/>
  </w:style>
  <w:style w:type="character" w:customStyle="1" w:styleId="NoSpacingChar">
    <w:name w:val="No Spacing Char"/>
    <w:basedOn w:val="DefaultParagraphFont"/>
    <w:link w:val="NoSpacing"/>
    <w:uiPriority w:val="1"/>
    <w:rsid w:val="00C541C7"/>
  </w:style>
  <w:style w:type="paragraph" w:styleId="TOCHeading">
    <w:name w:val="TOC Heading"/>
    <w:basedOn w:val="Heading1"/>
    <w:next w:val="Normal"/>
    <w:uiPriority w:val="39"/>
    <w:unhideWhenUsed/>
    <w:qFormat/>
    <w:rsid w:val="00C541C7"/>
    <w:pPr>
      <w:numPr>
        <w:numId w:val="0"/>
      </w:numPr>
      <w:tabs>
        <w:tab w:val="clear" w:pos="215"/>
        <w:tab w:val="clear" w:pos="578"/>
      </w:tabs>
      <w:spacing w:before="240" w:after="0" w:line="259" w:lineRule="auto"/>
      <w:jc w:val="left"/>
      <w:outlineLvl w:val="9"/>
    </w:pPr>
    <w:rPr>
      <w:rFonts w:asciiTheme="majorHAnsi" w:eastAsiaTheme="majorEastAsia" w:hAnsiTheme="majorHAnsi" w:cstheme="majorBidi"/>
      <w:color w:val="0F4761" w:themeColor="accent1" w:themeShade="BF"/>
      <w:sz w:val="32"/>
      <w:lang w:val="en-US" w:eastAsia="en-US"/>
    </w:rPr>
  </w:style>
  <w:style w:type="paragraph" w:styleId="TOC1">
    <w:name w:val="toc 1"/>
    <w:basedOn w:val="Normal"/>
    <w:next w:val="Normal"/>
    <w:autoRedefine/>
    <w:uiPriority w:val="39"/>
    <w:unhideWhenUsed/>
    <w:rsid w:val="00C541C7"/>
    <w:pPr>
      <w:spacing w:after="100"/>
    </w:pPr>
  </w:style>
  <w:style w:type="paragraph" w:styleId="Caption">
    <w:name w:val="caption"/>
    <w:basedOn w:val="Normal"/>
    <w:next w:val="Normal"/>
    <w:uiPriority w:val="35"/>
    <w:unhideWhenUsed/>
    <w:qFormat/>
    <w:rsid w:val="008F3EBC"/>
    <w:pPr>
      <w:spacing w:after="200"/>
    </w:pPr>
    <w:rPr>
      <w:i/>
      <w:iCs/>
      <w:color w:val="0E2841" w:themeColor="text2"/>
      <w:sz w:val="18"/>
      <w:szCs w:val="18"/>
    </w:rPr>
  </w:style>
  <w:style w:type="table" w:styleId="TableGrid">
    <w:name w:val="Table Grid"/>
    <w:basedOn w:val="TableNormal"/>
    <w:uiPriority w:val="39"/>
    <w:rsid w:val="00AD0D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
    <w:name w:val="Table Style"/>
    <w:basedOn w:val="Normal"/>
    <w:link w:val="TableStyleChar"/>
    <w:qFormat/>
    <w:rsid w:val="00A96273"/>
    <w:pPr>
      <w:spacing w:before="160" w:after="60"/>
      <w:jc w:val="center"/>
    </w:pPr>
    <w:rPr>
      <w:bCs/>
    </w:rPr>
  </w:style>
  <w:style w:type="character" w:customStyle="1" w:styleId="TableStyleChar">
    <w:name w:val="Table Style Char"/>
    <w:basedOn w:val="DefaultParagraphFont"/>
    <w:link w:val="TableStyle"/>
    <w:rsid w:val="00A96273"/>
    <w:rPr>
      <w:bCs/>
    </w:rPr>
  </w:style>
  <w:style w:type="paragraph" w:styleId="TOC2">
    <w:name w:val="toc 2"/>
    <w:basedOn w:val="Normal"/>
    <w:next w:val="Normal"/>
    <w:autoRedefine/>
    <w:uiPriority w:val="39"/>
    <w:unhideWhenUsed/>
    <w:rsid w:val="00B22D22"/>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9648C-5BF8-49B4-B87B-1FFFA81E8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4911</Words>
  <Characters>27998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32844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ACCA5034</dc:subject>
  <dc:creator>Un-named</dc:creator>
  <cp:lastModifiedBy>Ilia Fedorovich</cp:lastModifiedBy>
  <cp:revision>3</cp:revision>
  <dcterms:created xsi:type="dcterms:W3CDTF">2026-04-29T21:49:00Z</dcterms:created>
  <dcterms:modified xsi:type="dcterms:W3CDTF">2026-04-29T21:49:00Z</dcterms:modified>
</cp:coreProperties>
</file>