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75C6F" w14:textId="77777777" w:rsidR="00352AAD" w:rsidRDefault="00352AAD" w:rsidP="00352AAD">
      <w:pPr>
        <w:rPr>
          <w:sz w:val="32"/>
          <w:szCs w:val="30"/>
        </w:rPr>
      </w:pPr>
      <w:r>
        <w:rPr>
          <w:noProof/>
          <w:sz w:val="32"/>
          <w:szCs w:val="30"/>
          <w:lang w:val="en-US"/>
        </w:rPr>
        <w:drawing>
          <wp:inline distT="0" distB="0" distL="0" distR="0" wp14:anchorId="7CE45166" wp14:editId="33BC00E7">
            <wp:extent cx="2969260" cy="1292225"/>
            <wp:effectExtent l="0" t="0" r="2540" b="3175"/>
            <wp:docPr id="1"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4DF80AF7" w14:textId="0F6FBEE8" w:rsidR="00F35D23" w:rsidRDefault="00F35D23" w:rsidP="00F35D23">
      <w:pPr>
        <w:pStyle w:val="p1"/>
      </w:pPr>
      <w:r>
        <w:rPr>
          <w:b/>
          <w:bCs/>
        </w:rPr>
        <w:t xml:space="preserve">Student name: </w:t>
      </w:r>
      <w:r>
        <w:rPr>
          <w:b/>
          <w:bCs/>
        </w:rPr>
        <w:t>Vasile Florin Buzan</w:t>
      </w:r>
    </w:p>
    <w:p w14:paraId="2FAA120A" w14:textId="73F923D8" w:rsidR="00F35D23" w:rsidRDefault="00F35D23" w:rsidP="00F35D23">
      <w:pPr>
        <w:pStyle w:val="p1"/>
      </w:pPr>
      <w:r>
        <w:rPr>
          <w:b/>
          <w:bCs/>
        </w:rPr>
        <w:t>Student ID number:</w:t>
      </w:r>
      <w:r>
        <w:rPr>
          <w:b/>
          <w:bCs/>
        </w:rPr>
        <w:t>2222994</w:t>
      </w:r>
    </w:p>
    <w:p w14:paraId="3D5AAB5E" w14:textId="77777777" w:rsidR="00F35D23" w:rsidRDefault="00F35D23" w:rsidP="00F35D23">
      <w:pPr>
        <w:pStyle w:val="p1"/>
      </w:pPr>
      <w:r>
        <w:rPr>
          <w:b/>
          <w:bCs/>
        </w:rPr>
        <w:t>Kathryn Flynn (Module Lead)</w:t>
      </w:r>
    </w:p>
    <w:p w14:paraId="11D1EEF3" w14:textId="77777777" w:rsidR="00352AAD" w:rsidRDefault="00352AAD" w:rsidP="00352AAD">
      <w:pPr>
        <w:rPr>
          <w:sz w:val="32"/>
          <w:szCs w:val="30"/>
        </w:rPr>
      </w:pPr>
    </w:p>
    <w:tbl>
      <w:tblPr>
        <w:tblpPr w:leftFromText="180" w:rightFromText="180" w:vertAnchor="text" w:horzAnchor="margin" w:tblpXSpec="center" w:tblpY="101"/>
        <w:tblW w:w="82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25"/>
        <w:gridCol w:w="6384"/>
      </w:tblGrid>
      <w:tr w:rsidR="00352AAD" w:rsidRPr="00A175AE" w14:paraId="20E323B8" w14:textId="77777777" w:rsidTr="003C42F2">
        <w:trPr>
          <w:trHeight w:val="130"/>
        </w:trPr>
        <w:tc>
          <w:tcPr>
            <w:tcW w:w="1825" w:type="dxa"/>
          </w:tcPr>
          <w:p w14:paraId="3DC88943" w14:textId="77777777" w:rsidR="00352AAD" w:rsidRPr="00A175AE" w:rsidRDefault="00352AAD" w:rsidP="003C42F2">
            <w:pPr>
              <w:rPr>
                <w:b/>
                <w:szCs w:val="24"/>
                <w:lang w:val="en-US"/>
              </w:rPr>
            </w:pPr>
            <w:r w:rsidRPr="00A175AE">
              <w:rPr>
                <w:b/>
                <w:szCs w:val="24"/>
                <w:lang w:val="en-US"/>
              </w:rPr>
              <w:t>Module Code</w:t>
            </w:r>
          </w:p>
        </w:tc>
        <w:tc>
          <w:tcPr>
            <w:tcW w:w="6384" w:type="dxa"/>
          </w:tcPr>
          <w:p w14:paraId="5146B6E4" w14:textId="77777777" w:rsidR="00352AAD" w:rsidRPr="00A175AE" w:rsidRDefault="00352AAD" w:rsidP="003C42F2">
            <w:pPr>
              <w:rPr>
                <w:b/>
                <w:szCs w:val="24"/>
                <w:lang w:val="en-US"/>
              </w:rPr>
            </w:pPr>
            <w:r w:rsidRPr="00A175AE">
              <w:rPr>
                <w:b/>
                <w:szCs w:val="24"/>
                <w:lang w:val="en-US"/>
              </w:rPr>
              <w:t>BMIH6007</w:t>
            </w:r>
          </w:p>
        </w:tc>
      </w:tr>
      <w:tr w:rsidR="00352AAD" w:rsidRPr="00A175AE" w14:paraId="32CFE3C8" w14:textId="77777777" w:rsidTr="003C42F2">
        <w:trPr>
          <w:trHeight w:val="130"/>
        </w:trPr>
        <w:tc>
          <w:tcPr>
            <w:tcW w:w="1825" w:type="dxa"/>
          </w:tcPr>
          <w:p w14:paraId="44DE09FB" w14:textId="77777777" w:rsidR="00352AAD" w:rsidRPr="00A175AE" w:rsidRDefault="00352AAD" w:rsidP="003C42F2">
            <w:pPr>
              <w:rPr>
                <w:b/>
                <w:szCs w:val="24"/>
                <w:lang w:val="en-US"/>
              </w:rPr>
            </w:pPr>
            <w:r w:rsidRPr="00A175AE">
              <w:rPr>
                <w:b/>
                <w:szCs w:val="24"/>
                <w:lang w:val="en-US"/>
              </w:rPr>
              <w:t>Title</w:t>
            </w:r>
          </w:p>
        </w:tc>
        <w:tc>
          <w:tcPr>
            <w:tcW w:w="6384" w:type="dxa"/>
          </w:tcPr>
          <w:p w14:paraId="1531CE9C" w14:textId="77777777" w:rsidR="00352AAD" w:rsidRPr="00A175AE" w:rsidRDefault="00352AAD" w:rsidP="003C42F2">
            <w:pPr>
              <w:rPr>
                <w:b/>
                <w:szCs w:val="24"/>
                <w:lang w:val="en-US"/>
              </w:rPr>
            </w:pPr>
            <w:r w:rsidRPr="00A175AE">
              <w:rPr>
                <w:b/>
                <w:szCs w:val="24"/>
                <w:lang w:val="en-US"/>
              </w:rPr>
              <w:t>International Meetings Management for the Hotel Industry</w:t>
            </w:r>
          </w:p>
        </w:tc>
      </w:tr>
      <w:tr w:rsidR="00352AAD" w:rsidRPr="00A175AE" w14:paraId="7025DD1B" w14:textId="77777777" w:rsidTr="003C42F2">
        <w:trPr>
          <w:trHeight w:val="131"/>
        </w:trPr>
        <w:tc>
          <w:tcPr>
            <w:tcW w:w="1825" w:type="dxa"/>
          </w:tcPr>
          <w:p w14:paraId="6C623078" w14:textId="77777777" w:rsidR="00352AAD" w:rsidRPr="00A175AE" w:rsidRDefault="00352AAD" w:rsidP="003C42F2">
            <w:pPr>
              <w:rPr>
                <w:b/>
                <w:szCs w:val="24"/>
                <w:lang w:val="en-US"/>
              </w:rPr>
            </w:pPr>
            <w:r w:rsidRPr="00A175AE">
              <w:rPr>
                <w:b/>
                <w:szCs w:val="24"/>
                <w:lang w:val="en-US"/>
              </w:rPr>
              <w:t>Date</w:t>
            </w:r>
          </w:p>
        </w:tc>
        <w:tc>
          <w:tcPr>
            <w:tcW w:w="6384" w:type="dxa"/>
          </w:tcPr>
          <w:p w14:paraId="0DEA4A02" w14:textId="691C9A0A" w:rsidR="00352AAD" w:rsidRPr="00A175AE" w:rsidRDefault="00F35D23" w:rsidP="003C42F2">
            <w:pPr>
              <w:rPr>
                <w:b/>
                <w:szCs w:val="24"/>
                <w:lang w:val="en-US"/>
              </w:rPr>
            </w:pPr>
            <w:r>
              <w:rPr>
                <w:b/>
                <w:szCs w:val="24"/>
                <w:lang w:val="en-US"/>
              </w:rPr>
              <w:t>26/02/2025</w:t>
            </w:r>
          </w:p>
        </w:tc>
      </w:tr>
      <w:tr w:rsidR="00352AAD" w:rsidRPr="00A175AE" w14:paraId="2039F8E8" w14:textId="77777777" w:rsidTr="003C42F2">
        <w:trPr>
          <w:trHeight w:val="128"/>
        </w:trPr>
        <w:tc>
          <w:tcPr>
            <w:tcW w:w="1825" w:type="dxa"/>
          </w:tcPr>
          <w:p w14:paraId="77A03F5B" w14:textId="77777777" w:rsidR="00352AAD" w:rsidRPr="00A175AE" w:rsidRDefault="00352AAD" w:rsidP="003C42F2">
            <w:pPr>
              <w:rPr>
                <w:b/>
                <w:szCs w:val="24"/>
                <w:lang w:val="en-US"/>
              </w:rPr>
            </w:pPr>
            <w:r w:rsidRPr="00A175AE">
              <w:rPr>
                <w:b/>
                <w:szCs w:val="24"/>
                <w:lang w:val="en-US"/>
              </w:rPr>
              <w:t>Level</w:t>
            </w:r>
          </w:p>
        </w:tc>
        <w:tc>
          <w:tcPr>
            <w:tcW w:w="6384" w:type="dxa"/>
          </w:tcPr>
          <w:p w14:paraId="59AB6B23" w14:textId="77777777" w:rsidR="00352AAD" w:rsidRPr="00A175AE" w:rsidRDefault="00352AAD" w:rsidP="003C42F2">
            <w:pPr>
              <w:rPr>
                <w:b/>
                <w:szCs w:val="24"/>
                <w:lang w:val="en-US"/>
              </w:rPr>
            </w:pPr>
            <w:r w:rsidRPr="00A175AE">
              <w:rPr>
                <w:b/>
                <w:szCs w:val="24"/>
                <w:lang w:val="en-US"/>
              </w:rPr>
              <w:t>6</w:t>
            </w:r>
          </w:p>
        </w:tc>
      </w:tr>
      <w:tr w:rsidR="00352AAD" w:rsidRPr="00A175AE" w14:paraId="2E1DA51A" w14:textId="77777777" w:rsidTr="003C42F2">
        <w:trPr>
          <w:trHeight w:val="130"/>
        </w:trPr>
        <w:tc>
          <w:tcPr>
            <w:tcW w:w="1825" w:type="dxa"/>
          </w:tcPr>
          <w:p w14:paraId="6B0E91ED" w14:textId="77777777" w:rsidR="00352AAD" w:rsidRPr="00A175AE" w:rsidRDefault="00352AAD" w:rsidP="003C42F2">
            <w:pPr>
              <w:rPr>
                <w:b/>
                <w:szCs w:val="24"/>
                <w:lang w:val="en-US"/>
              </w:rPr>
            </w:pPr>
            <w:r w:rsidRPr="00A175AE">
              <w:rPr>
                <w:b/>
                <w:szCs w:val="24"/>
                <w:lang w:val="en-US"/>
              </w:rPr>
              <w:t>Credits</w:t>
            </w:r>
          </w:p>
        </w:tc>
        <w:tc>
          <w:tcPr>
            <w:tcW w:w="6384" w:type="dxa"/>
          </w:tcPr>
          <w:p w14:paraId="29013366" w14:textId="77777777" w:rsidR="00352AAD" w:rsidRPr="00A175AE" w:rsidRDefault="00352AAD" w:rsidP="003C42F2">
            <w:pPr>
              <w:rPr>
                <w:b/>
                <w:szCs w:val="24"/>
                <w:lang w:val="en-US"/>
              </w:rPr>
            </w:pPr>
            <w:r w:rsidRPr="00A175AE">
              <w:rPr>
                <w:b/>
                <w:szCs w:val="24"/>
                <w:lang w:val="en-US"/>
              </w:rPr>
              <w:t>20</w:t>
            </w:r>
          </w:p>
        </w:tc>
      </w:tr>
      <w:tr w:rsidR="00352AAD" w:rsidRPr="00A175AE" w14:paraId="5A276818" w14:textId="77777777" w:rsidTr="003C42F2">
        <w:trPr>
          <w:trHeight w:val="131"/>
        </w:trPr>
        <w:tc>
          <w:tcPr>
            <w:tcW w:w="1825" w:type="dxa"/>
          </w:tcPr>
          <w:p w14:paraId="42539024" w14:textId="77777777" w:rsidR="00352AAD" w:rsidRPr="00A175AE" w:rsidRDefault="00352AAD" w:rsidP="003C42F2">
            <w:pPr>
              <w:rPr>
                <w:b/>
                <w:szCs w:val="24"/>
                <w:lang w:val="en-US"/>
              </w:rPr>
            </w:pPr>
            <w:r w:rsidRPr="00A175AE">
              <w:rPr>
                <w:b/>
                <w:szCs w:val="24"/>
                <w:lang w:val="en-US"/>
              </w:rPr>
              <w:t>Pre-Requisites</w:t>
            </w:r>
          </w:p>
        </w:tc>
        <w:tc>
          <w:tcPr>
            <w:tcW w:w="6384" w:type="dxa"/>
          </w:tcPr>
          <w:p w14:paraId="1ACD89AD" w14:textId="77777777" w:rsidR="00352AAD" w:rsidRPr="00A175AE" w:rsidRDefault="00352AAD" w:rsidP="003C42F2">
            <w:pPr>
              <w:rPr>
                <w:szCs w:val="24"/>
                <w:lang w:val="en-US"/>
              </w:rPr>
            </w:pPr>
          </w:p>
        </w:tc>
      </w:tr>
    </w:tbl>
    <w:p w14:paraId="34D14E0A" w14:textId="77777777" w:rsidR="00352AAD" w:rsidRDefault="00352AAD" w:rsidP="00352AAD">
      <w:pPr>
        <w:rPr>
          <w:sz w:val="32"/>
          <w:szCs w:val="30"/>
        </w:rPr>
      </w:pPr>
    </w:p>
    <w:p w14:paraId="5CABAFFF" w14:textId="77777777" w:rsidR="00352AAD" w:rsidRPr="0044301B" w:rsidRDefault="00352AAD" w:rsidP="00352AAD">
      <w:pPr>
        <w:rPr>
          <w:sz w:val="32"/>
          <w:szCs w:val="30"/>
        </w:rPr>
      </w:pPr>
    </w:p>
    <w:p w14:paraId="418BA5B9" w14:textId="77777777" w:rsidR="00352AAD" w:rsidRPr="0044301B" w:rsidRDefault="00352AAD" w:rsidP="00352AAD">
      <w:pPr>
        <w:rPr>
          <w:sz w:val="32"/>
          <w:szCs w:val="30"/>
        </w:rPr>
      </w:pPr>
    </w:p>
    <w:p w14:paraId="25618D1D" w14:textId="77777777" w:rsidR="00352AAD" w:rsidRDefault="00352AAD" w:rsidP="00352AAD">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Cs/>
          <w:noProof/>
        </w:rPr>
      </w:sdtEndPr>
      <w:sdtContent>
        <w:p w14:paraId="2A6F6262" w14:textId="77777777" w:rsidR="00352AAD" w:rsidRDefault="00352AAD" w:rsidP="00352AAD">
          <w:pPr>
            <w:pStyle w:val="TOCHeading"/>
          </w:pPr>
          <w:r>
            <w:t>Table of Contents</w:t>
          </w:r>
        </w:p>
        <w:p w14:paraId="0E1E2312"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r w:rsidRPr="00475950">
            <w:rPr>
              <w:bCs/>
              <w:noProof/>
            </w:rPr>
            <w:fldChar w:fldCharType="begin"/>
          </w:r>
          <w:r w:rsidRPr="00475950">
            <w:rPr>
              <w:bCs/>
              <w:noProof/>
            </w:rPr>
            <w:instrText xml:space="preserve"> TOC \o "1-3" \h \z \u </w:instrText>
          </w:r>
          <w:r w:rsidRPr="00475950">
            <w:rPr>
              <w:bCs/>
              <w:noProof/>
            </w:rPr>
            <w:fldChar w:fldCharType="separate"/>
          </w:r>
          <w:hyperlink w:anchor="_Toc190523059" w:history="1">
            <w:r w:rsidRPr="00475950">
              <w:rPr>
                <w:rStyle w:val="Hyperlink"/>
                <w:rFonts w:eastAsia="Times New Roman" w:cs="Times New Roman"/>
                <w:noProof/>
                <w:kern w:val="2"/>
                <w:lang w:val="en-US"/>
                <w14:ligatures w14:val="standardContextual"/>
              </w:rPr>
              <w:t>Introduction</w:t>
            </w:r>
            <w:r w:rsidRPr="00475950">
              <w:rPr>
                <w:noProof/>
                <w:webHidden/>
              </w:rPr>
              <w:tab/>
            </w:r>
            <w:r w:rsidRPr="00475950">
              <w:rPr>
                <w:noProof/>
                <w:webHidden/>
              </w:rPr>
              <w:fldChar w:fldCharType="begin"/>
            </w:r>
            <w:r w:rsidRPr="00475950">
              <w:rPr>
                <w:noProof/>
                <w:webHidden/>
              </w:rPr>
              <w:instrText xml:space="preserve"> PAGEREF _Toc190523059 \h </w:instrText>
            </w:r>
            <w:r w:rsidRPr="00475950">
              <w:rPr>
                <w:noProof/>
                <w:webHidden/>
              </w:rPr>
            </w:r>
            <w:r w:rsidRPr="00475950">
              <w:rPr>
                <w:noProof/>
                <w:webHidden/>
              </w:rPr>
              <w:fldChar w:fldCharType="separate"/>
            </w:r>
            <w:r w:rsidRPr="00475950">
              <w:rPr>
                <w:noProof/>
                <w:webHidden/>
              </w:rPr>
              <w:t>3</w:t>
            </w:r>
            <w:r w:rsidRPr="00475950">
              <w:rPr>
                <w:noProof/>
                <w:webHidden/>
              </w:rPr>
              <w:fldChar w:fldCharType="end"/>
            </w:r>
          </w:hyperlink>
        </w:p>
        <w:p w14:paraId="3534185F"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60" w:history="1">
            <w:r w:rsidRPr="00475950">
              <w:rPr>
                <w:rStyle w:val="Hyperlink"/>
                <w:rFonts w:eastAsia="Times New Roman" w:cs="Times New Roman"/>
                <w:noProof/>
                <w:kern w:val="2"/>
                <w:lang w:val="en-US"/>
                <w14:ligatures w14:val="standardContextual"/>
              </w:rPr>
              <w:t>The Event Cycle</w:t>
            </w:r>
            <w:r w:rsidRPr="00475950">
              <w:rPr>
                <w:noProof/>
                <w:webHidden/>
              </w:rPr>
              <w:tab/>
            </w:r>
            <w:r w:rsidRPr="00475950">
              <w:rPr>
                <w:noProof/>
                <w:webHidden/>
              </w:rPr>
              <w:fldChar w:fldCharType="begin"/>
            </w:r>
            <w:r w:rsidRPr="00475950">
              <w:rPr>
                <w:noProof/>
                <w:webHidden/>
              </w:rPr>
              <w:instrText xml:space="preserve"> PAGEREF _Toc190523060 \h </w:instrText>
            </w:r>
            <w:r w:rsidRPr="00475950">
              <w:rPr>
                <w:noProof/>
                <w:webHidden/>
              </w:rPr>
            </w:r>
            <w:r w:rsidRPr="00475950">
              <w:rPr>
                <w:noProof/>
                <w:webHidden/>
              </w:rPr>
              <w:fldChar w:fldCharType="separate"/>
            </w:r>
            <w:r w:rsidRPr="00475950">
              <w:rPr>
                <w:noProof/>
                <w:webHidden/>
              </w:rPr>
              <w:t>4</w:t>
            </w:r>
            <w:r w:rsidRPr="00475950">
              <w:rPr>
                <w:noProof/>
                <w:webHidden/>
              </w:rPr>
              <w:fldChar w:fldCharType="end"/>
            </w:r>
          </w:hyperlink>
        </w:p>
        <w:p w14:paraId="2A97BC25"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61" w:history="1">
            <w:r w:rsidRPr="00475950">
              <w:rPr>
                <w:rStyle w:val="Hyperlink"/>
                <w:rFonts w:eastAsia="Times New Roman" w:cs="Times New Roman"/>
                <w:noProof/>
                <w:kern w:val="2"/>
                <w:lang w:val="en-US"/>
                <w14:ligatures w14:val="standardContextual"/>
              </w:rPr>
              <w:t>Event Concept</w:t>
            </w:r>
            <w:r w:rsidRPr="00475950">
              <w:rPr>
                <w:noProof/>
                <w:webHidden/>
              </w:rPr>
              <w:tab/>
            </w:r>
            <w:r w:rsidRPr="00475950">
              <w:rPr>
                <w:noProof/>
                <w:webHidden/>
              </w:rPr>
              <w:fldChar w:fldCharType="begin"/>
            </w:r>
            <w:r w:rsidRPr="00475950">
              <w:rPr>
                <w:noProof/>
                <w:webHidden/>
              </w:rPr>
              <w:instrText xml:space="preserve"> PAGEREF _Toc190523061 \h </w:instrText>
            </w:r>
            <w:r w:rsidRPr="00475950">
              <w:rPr>
                <w:noProof/>
                <w:webHidden/>
              </w:rPr>
            </w:r>
            <w:r w:rsidRPr="00475950">
              <w:rPr>
                <w:noProof/>
                <w:webHidden/>
              </w:rPr>
              <w:fldChar w:fldCharType="separate"/>
            </w:r>
            <w:r w:rsidRPr="00475950">
              <w:rPr>
                <w:noProof/>
                <w:webHidden/>
              </w:rPr>
              <w:t>5</w:t>
            </w:r>
            <w:r w:rsidRPr="00475950">
              <w:rPr>
                <w:noProof/>
                <w:webHidden/>
              </w:rPr>
              <w:fldChar w:fldCharType="end"/>
            </w:r>
          </w:hyperlink>
        </w:p>
        <w:p w14:paraId="1A19A3CC"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62" w:history="1">
            <w:r w:rsidRPr="00475950">
              <w:rPr>
                <w:rStyle w:val="Hyperlink"/>
                <w:rFonts w:eastAsia="Times New Roman" w:cs="Times New Roman"/>
                <w:noProof/>
                <w:kern w:val="2"/>
                <w:lang w:val="en-US"/>
                <w14:ligatures w14:val="standardContextual"/>
              </w:rPr>
              <w:t>Aim and Objectives</w:t>
            </w:r>
            <w:r w:rsidRPr="00475950">
              <w:rPr>
                <w:noProof/>
                <w:webHidden/>
              </w:rPr>
              <w:tab/>
            </w:r>
            <w:r w:rsidRPr="00475950">
              <w:rPr>
                <w:noProof/>
                <w:webHidden/>
              </w:rPr>
              <w:fldChar w:fldCharType="begin"/>
            </w:r>
            <w:r w:rsidRPr="00475950">
              <w:rPr>
                <w:noProof/>
                <w:webHidden/>
              </w:rPr>
              <w:instrText xml:space="preserve"> PAGEREF _Toc190523062 \h </w:instrText>
            </w:r>
            <w:r w:rsidRPr="00475950">
              <w:rPr>
                <w:noProof/>
                <w:webHidden/>
              </w:rPr>
            </w:r>
            <w:r w:rsidRPr="00475950">
              <w:rPr>
                <w:noProof/>
                <w:webHidden/>
              </w:rPr>
              <w:fldChar w:fldCharType="separate"/>
            </w:r>
            <w:r w:rsidRPr="00475950">
              <w:rPr>
                <w:noProof/>
                <w:webHidden/>
              </w:rPr>
              <w:t>6</w:t>
            </w:r>
            <w:r w:rsidRPr="00475950">
              <w:rPr>
                <w:noProof/>
                <w:webHidden/>
              </w:rPr>
              <w:fldChar w:fldCharType="end"/>
            </w:r>
          </w:hyperlink>
        </w:p>
        <w:p w14:paraId="64AD801B"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63" w:history="1">
            <w:r w:rsidRPr="00475950">
              <w:rPr>
                <w:rStyle w:val="Hyperlink"/>
                <w:rFonts w:eastAsia="Times New Roman" w:cs="Times New Roman"/>
                <w:noProof/>
                <w:kern w:val="2"/>
                <w:lang w:val="en-US"/>
                <w14:ligatures w14:val="standardContextual"/>
              </w:rPr>
              <w:t>Aim</w:t>
            </w:r>
            <w:r w:rsidRPr="00475950">
              <w:rPr>
                <w:noProof/>
                <w:webHidden/>
              </w:rPr>
              <w:tab/>
            </w:r>
            <w:r w:rsidRPr="00475950">
              <w:rPr>
                <w:noProof/>
                <w:webHidden/>
              </w:rPr>
              <w:fldChar w:fldCharType="begin"/>
            </w:r>
            <w:r w:rsidRPr="00475950">
              <w:rPr>
                <w:noProof/>
                <w:webHidden/>
              </w:rPr>
              <w:instrText xml:space="preserve"> PAGEREF _Toc190523063 \h </w:instrText>
            </w:r>
            <w:r w:rsidRPr="00475950">
              <w:rPr>
                <w:noProof/>
                <w:webHidden/>
              </w:rPr>
            </w:r>
            <w:r w:rsidRPr="00475950">
              <w:rPr>
                <w:noProof/>
                <w:webHidden/>
              </w:rPr>
              <w:fldChar w:fldCharType="separate"/>
            </w:r>
            <w:r w:rsidRPr="00475950">
              <w:rPr>
                <w:noProof/>
                <w:webHidden/>
              </w:rPr>
              <w:t>6</w:t>
            </w:r>
            <w:r w:rsidRPr="00475950">
              <w:rPr>
                <w:noProof/>
                <w:webHidden/>
              </w:rPr>
              <w:fldChar w:fldCharType="end"/>
            </w:r>
          </w:hyperlink>
        </w:p>
        <w:p w14:paraId="6F187215"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64" w:history="1">
            <w:r w:rsidRPr="00475950">
              <w:rPr>
                <w:rStyle w:val="Hyperlink"/>
                <w:rFonts w:eastAsia="Times New Roman" w:cs="Times New Roman"/>
                <w:noProof/>
                <w:kern w:val="2"/>
                <w:lang w:val="en-US"/>
                <w14:ligatures w14:val="standardContextual"/>
              </w:rPr>
              <w:t>SMART Objectives:</w:t>
            </w:r>
            <w:r w:rsidRPr="00475950">
              <w:rPr>
                <w:noProof/>
                <w:webHidden/>
              </w:rPr>
              <w:tab/>
            </w:r>
            <w:r w:rsidRPr="00475950">
              <w:rPr>
                <w:noProof/>
                <w:webHidden/>
              </w:rPr>
              <w:fldChar w:fldCharType="begin"/>
            </w:r>
            <w:r w:rsidRPr="00475950">
              <w:rPr>
                <w:noProof/>
                <w:webHidden/>
              </w:rPr>
              <w:instrText xml:space="preserve"> PAGEREF _Toc190523064 \h </w:instrText>
            </w:r>
            <w:r w:rsidRPr="00475950">
              <w:rPr>
                <w:noProof/>
                <w:webHidden/>
              </w:rPr>
            </w:r>
            <w:r w:rsidRPr="00475950">
              <w:rPr>
                <w:noProof/>
                <w:webHidden/>
              </w:rPr>
              <w:fldChar w:fldCharType="separate"/>
            </w:r>
            <w:r w:rsidRPr="00475950">
              <w:rPr>
                <w:noProof/>
                <w:webHidden/>
              </w:rPr>
              <w:t>6</w:t>
            </w:r>
            <w:r w:rsidRPr="00475950">
              <w:rPr>
                <w:noProof/>
                <w:webHidden/>
              </w:rPr>
              <w:fldChar w:fldCharType="end"/>
            </w:r>
          </w:hyperlink>
        </w:p>
        <w:p w14:paraId="17DD8D83"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65" w:history="1">
            <w:r w:rsidRPr="00475950">
              <w:rPr>
                <w:rStyle w:val="Hyperlink"/>
                <w:rFonts w:eastAsia="Times New Roman" w:cs="Times New Roman"/>
                <w:noProof/>
                <w:kern w:val="2"/>
                <w:lang w:val="en-US"/>
                <w14:ligatures w14:val="standardContextual"/>
              </w:rPr>
              <w:t>Event Management</w:t>
            </w:r>
            <w:r w:rsidRPr="00475950">
              <w:rPr>
                <w:noProof/>
                <w:webHidden/>
              </w:rPr>
              <w:tab/>
            </w:r>
            <w:r w:rsidRPr="00475950">
              <w:rPr>
                <w:noProof/>
                <w:webHidden/>
              </w:rPr>
              <w:fldChar w:fldCharType="begin"/>
            </w:r>
            <w:r w:rsidRPr="00475950">
              <w:rPr>
                <w:noProof/>
                <w:webHidden/>
              </w:rPr>
              <w:instrText xml:space="preserve"> PAGEREF _Toc190523065 \h </w:instrText>
            </w:r>
            <w:r w:rsidRPr="00475950">
              <w:rPr>
                <w:noProof/>
                <w:webHidden/>
              </w:rPr>
            </w:r>
            <w:r w:rsidRPr="00475950">
              <w:rPr>
                <w:noProof/>
                <w:webHidden/>
              </w:rPr>
              <w:fldChar w:fldCharType="separate"/>
            </w:r>
            <w:r w:rsidRPr="00475950">
              <w:rPr>
                <w:noProof/>
                <w:webHidden/>
              </w:rPr>
              <w:t>7</w:t>
            </w:r>
            <w:r w:rsidRPr="00475950">
              <w:rPr>
                <w:noProof/>
                <w:webHidden/>
              </w:rPr>
              <w:fldChar w:fldCharType="end"/>
            </w:r>
          </w:hyperlink>
        </w:p>
        <w:p w14:paraId="298A9410"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66" w:history="1">
            <w:r w:rsidRPr="00475950">
              <w:rPr>
                <w:rStyle w:val="Hyperlink"/>
                <w:rFonts w:eastAsia="Times New Roman" w:cs="Times New Roman"/>
                <w:noProof/>
                <w:kern w:val="2"/>
                <w:lang w:val="en-US"/>
                <w14:ligatures w14:val="standardContextual"/>
              </w:rPr>
              <w:t>Event Budget</w:t>
            </w:r>
            <w:r w:rsidRPr="00475950">
              <w:rPr>
                <w:noProof/>
                <w:webHidden/>
              </w:rPr>
              <w:tab/>
            </w:r>
            <w:r w:rsidRPr="00475950">
              <w:rPr>
                <w:noProof/>
                <w:webHidden/>
              </w:rPr>
              <w:fldChar w:fldCharType="begin"/>
            </w:r>
            <w:r w:rsidRPr="00475950">
              <w:rPr>
                <w:noProof/>
                <w:webHidden/>
              </w:rPr>
              <w:instrText xml:space="preserve"> PAGEREF _Toc190523066 \h </w:instrText>
            </w:r>
            <w:r w:rsidRPr="00475950">
              <w:rPr>
                <w:noProof/>
                <w:webHidden/>
              </w:rPr>
            </w:r>
            <w:r w:rsidRPr="00475950">
              <w:rPr>
                <w:noProof/>
                <w:webHidden/>
              </w:rPr>
              <w:fldChar w:fldCharType="separate"/>
            </w:r>
            <w:r w:rsidRPr="00475950">
              <w:rPr>
                <w:noProof/>
                <w:webHidden/>
              </w:rPr>
              <w:t>9</w:t>
            </w:r>
            <w:r w:rsidRPr="00475950">
              <w:rPr>
                <w:noProof/>
                <w:webHidden/>
              </w:rPr>
              <w:fldChar w:fldCharType="end"/>
            </w:r>
          </w:hyperlink>
        </w:p>
        <w:p w14:paraId="445EE980"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67" w:history="1">
            <w:r w:rsidRPr="00475950">
              <w:rPr>
                <w:rStyle w:val="Hyperlink"/>
                <w:rFonts w:eastAsia="Times New Roman" w:cs="Times New Roman"/>
                <w:noProof/>
                <w:kern w:val="2"/>
                <w:lang w:val="en-US"/>
                <w14:ligatures w14:val="standardContextual"/>
              </w:rPr>
              <w:t>Projected Income and Expenditure</w:t>
            </w:r>
            <w:r w:rsidRPr="00475950">
              <w:rPr>
                <w:noProof/>
                <w:webHidden/>
              </w:rPr>
              <w:tab/>
            </w:r>
            <w:r w:rsidRPr="00475950">
              <w:rPr>
                <w:noProof/>
                <w:webHidden/>
              </w:rPr>
              <w:fldChar w:fldCharType="begin"/>
            </w:r>
            <w:r w:rsidRPr="00475950">
              <w:rPr>
                <w:noProof/>
                <w:webHidden/>
              </w:rPr>
              <w:instrText xml:space="preserve"> PAGEREF _Toc190523067 \h </w:instrText>
            </w:r>
            <w:r w:rsidRPr="00475950">
              <w:rPr>
                <w:noProof/>
                <w:webHidden/>
              </w:rPr>
            </w:r>
            <w:r w:rsidRPr="00475950">
              <w:rPr>
                <w:noProof/>
                <w:webHidden/>
              </w:rPr>
              <w:fldChar w:fldCharType="separate"/>
            </w:r>
            <w:r w:rsidRPr="00475950">
              <w:rPr>
                <w:noProof/>
                <w:webHidden/>
              </w:rPr>
              <w:t>9</w:t>
            </w:r>
            <w:r w:rsidRPr="00475950">
              <w:rPr>
                <w:noProof/>
                <w:webHidden/>
              </w:rPr>
              <w:fldChar w:fldCharType="end"/>
            </w:r>
          </w:hyperlink>
        </w:p>
        <w:p w14:paraId="0830BC7A"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68" w:history="1">
            <w:r w:rsidRPr="00475950">
              <w:rPr>
                <w:rStyle w:val="Hyperlink"/>
                <w:rFonts w:eastAsia="Times New Roman" w:cs="Times New Roman"/>
                <w:noProof/>
                <w:kern w:val="2"/>
                <w:lang w:val="en-US"/>
                <w14:ligatures w14:val="standardContextual"/>
              </w:rPr>
              <w:t>Financial Justification</w:t>
            </w:r>
            <w:r w:rsidRPr="00475950">
              <w:rPr>
                <w:noProof/>
                <w:webHidden/>
              </w:rPr>
              <w:tab/>
            </w:r>
            <w:r w:rsidRPr="00475950">
              <w:rPr>
                <w:noProof/>
                <w:webHidden/>
              </w:rPr>
              <w:fldChar w:fldCharType="begin"/>
            </w:r>
            <w:r w:rsidRPr="00475950">
              <w:rPr>
                <w:noProof/>
                <w:webHidden/>
              </w:rPr>
              <w:instrText xml:space="preserve"> PAGEREF _Toc190523068 \h </w:instrText>
            </w:r>
            <w:r w:rsidRPr="00475950">
              <w:rPr>
                <w:noProof/>
                <w:webHidden/>
              </w:rPr>
            </w:r>
            <w:r w:rsidRPr="00475950">
              <w:rPr>
                <w:noProof/>
                <w:webHidden/>
              </w:rPr>
              <w:fldChar w:fldCharType="separate"/>
            </w:r>
            <w:r w:rsidRPr="00475950">
              <w:rPr>
                <w:noProof/>
                <w:webHidden/>
              </w:rPr>
              <w:t>10</w:t>
            </w:r>
            <w:r w:rsidRPr="00475950">
              <w:rPr>
                <w:noProof/>
                <w:webHidden/>
              </w:rPr>
              <w:fldChar w:fldCharType="end"/>
            </w:r>
          </w:hyperlink>
        </w:p>
        <w:p w14:paraId="50BB5A27"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69" w:history="1">
            <w:r w:rsidRPr="00475950">
              <w:rPr>
                <w:rStyle w:val="Hyperlink"/>
                <w:rFonts w:eastAsia="Times New Roman" w:cs="Times New Roman"/>
                <w:noProof/>
                <w:kern w:val="2"/>
                <w:lang w:val="en-US"/>
                <w14:ligatures w14:val="standardContextual"/>
              </w:rPr>
              <w:t>Risk Mitigation</w:t>
            </w:r>
            <w:r w:rsidRPr="00475950">
              <w:rPr>
                <w:noProof/>
                <w:webHidden/>
              </w:rPr>
              <w:tab/>
            </w:r>
            <w:r w:rsidRPr="00475950">
              <w:rPr>
                <w:noProof/>
                <w:webHidden/>
              </w:rPr>
              <w:fldChar w:fldCharType="begin"/>
            </w:r>
            <w:r w:rsidRPr="00475950">
              <w:rPr>
                <w:noProof/>
                <w:webHidden/>
              </w:rPr>
              <w:instrText xml:space="preserve"> PAGEREF _Toc190523069 \h </w:instrText>
            </w:r>
            <w:r w:rsidRPr="00475950">
              <w:rPr>
                <w:noProof/>
                <w:webHidden/>
              </w:rPr>
            </w:r>
            <w:r w:rsidRPr="00475950">
              <w:rPr>
                <w:noProof/>
                <w:webHidden/>
              </w:rPr>
              <w:fldChar w:fldCharType="separate"/>
            </w:r>
            <w:r w:rsidRPr="00475950">
              <w:rPr>
                <w:noProof/>
                <w:webHidden/>
              </w:rPr>
              <w:t>10</w:t>
            </w:r>
            <w:r w:rsidRPr="00475950">
              <w:rPr>
                <w:noProof/>
                <w:webHidden/>
              </w:rPr>
              <w:fldChar w:fldCharType="end"/>
            </w:r>
          </w:hyperlink>
        </w:p>
        <w:p w14:paraId="3E7E6F19"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70" w:history="1">
            <w:r w:rsidRPr="00475950">
              <w:rPr>
                <w:rStyle w:val="Hyperlink"/>
                <w:rFonts w:eastAsia="Times New Roman" w:cs="Times New Roman"/>
                <w:noProof/>
                <w:kern w:val="2"/>
                <w:lang w:val="en-US"/>
                <w14:ligatures w14:val="standardContextual"/>
              </w:rPr>
              <w:t>Industry Trends, Issues, and Impacts</w:t>
            </w:r>
            <w:r w:rsidRPr="00475950">
              <w:rPr>
                <w:noProof/>
                <w:webHidden/>
              </w:rPr>
              <w:tab/>
            </w:r>
            <w:r w:rsidRPr="00475950">
              <w:rPr>
                <w:noProof/>
                <w:webHidden/>
              </w:rPr>
              <w:fldChar w:fldCharType="begin"/>
            </w:r>
            <w:r w:rsidRPr="00475950">
              <w:rPr>
                <w:noProof/>
                <w:webHidden/>
              </w:rPr>
              <w:instrText xml:space="preserve"> PAGEREF _Toc190523070 \h </w:instrText>
            </w:r>
            <w:r w:rsidRPr="00475950">
              <w:rPr>
                <w:noProof/>
                <w:webHidden/>
              </w:rPr>
            </w:r>
            <w:r w:rsidRPr="00475950">
              <w:rPr>
                <w:noProof/>
                <w:webHidden/>
              </w:rPr>
              <w:fldChar w:fldCharType="separate"/>
            </w:r>
            <w:r w:rsidRPr="00475950">
              <w:rPr>
                <w:noProof/>
                <w:webHidden/>
              </w:rPr>
              <w:t>11</w:t>
            </w:r>
            <w:r w:rsidRPr="00475950">
              <w:rPr>
                <w:noProof/>
                <w:webHidden/>
              </w:rPr>
              <w:fldChar w:fldCharType="end"/>
            </w:r>
          </w:hyperlink>
        </w:p>
        <w:p w14:paraId="1378DF43"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71" w:history="1">
            <w:r w:rsidRPr="00475950">
              <w:rPr>
                <w:rStyle w:val="Hyperlink"/>
                <w:rFonts w:eastAsia="Times New Roman" w:cs="Times New Roman"/>
                <w:noProof/>
                <w:kern w:val="2"/>
                <w:lang w:val="en-US"/>
                <w14:ligatures w14:val="standardContextual"/>
              </w:rPr>
              <w:t>Situational and Cultural Considerations</w:t>
            </w:r>
            <w:r w:rsidRPr="00475950">
              <w:rPr>
                <w:noProof/>
                <w:webHidden/>
              </w:rPr>
              <w:tab/>
            </w:r>
            <w:r w:rsidRPr="00475950">
              <w:rPr>
                <w:noProof/>
                <w:webHidden/>
              </w:rPr>
              <w:fldChar w:fldCharType="begin"/>
            </w:r>
            <w:r w:rsidRPr="00475950">
              <w:rPr>
                <w:noProof/>
                <w:webHidden/>
              </w:rPr>
              <w:instrText xml:space="preserve"> PAGEREF _Toc190523071 \h </w:instrText>
            </w:r>
            <w:r w:rsidRPr="00475950">
              <w:rPr>
                <w:noProof/>
                <w:webHidden/>
              </w:rPr>
            </w:r>
            <w:r w:rsidRPr="00475950">
              <w:rPr>
                <w:noProof/>
                <w:webHidden/>
              </w:rPr>
              <w:fldChar w:fldCharType="separate"/>
            </w:r>
            <w:r w:rsidRPr="00475950">
              <w:rPr>
                <w:noProof/>
                <w:webHidden/>
              </w:rPr>
              <w:t>12</w:t>
            </w:r>
            <w:r w:rsidRPr="00475950">
              <w:rPr>
                <w:noProof/>
                <w:webHidden/>
              </w:rPr>
              <w:fldChar w:fldCharType="end"/>
            </w:r>
          </w:hyperlink>
        </w:p>
        <w:p w14:paraId="1F19C444"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72" w:history="1">
            <w:r w:rsidRPr="00475950">
              <w:rPr>
                <w:rStyle w:val="Hyperlink"/>
                <w:rFonts w:eastAsia="Times New Roman" w:cs="Times New Roman"/>
                <w:noProof/>
                <w:kern w:val="2"/>
                <w:lang w:val="en-US"/>
                <w14:ligatures w14:val="standardContextual"/>
              </w:rPr>
              <w:t>SWOT Analysis</w:t>
            </w:r>
            <w:r w:rsidRPr="00475950">
              <w:rPr>
                <w:noProof/>
                <w:webHidden/>
              </w:rPr>
              <w:tab/>
            </w:r>
            <w:r w:rsidRPr="00475950">
              <w:rPr>
                <w:noProof/>
                <w:webHidden/>
              </w:rPr>
              <w:fldChar w:fldCharType="begin"/>
            </w:r>
            <w:r w:rsidRPr="00475950">
              <w:rPr>
                <w:noProof/>
                <w:webHidden/>
              </w:rPr>
              <w:instrText xml:space="preserve"> PAGEREF _Toc190523072 \h </w:instrText>
            </w:r>
            <w:r w:rsidRPr="00475950">
              <w:rPr>
                <w:noProof/>
                <w:webHidden/>
              </w:rPr>
            </w:r>
            <w:r w:rsidRPr="00475950">
              <w:rPr>
                <w:noProof/>
                <w:webHidden/>
              </w:rPr>
              <w:fldChar w:fldCharType="separate"/>
            </w:r>
            <w:r w:rsidRPr="00475950">
              <w:rPr>
                <w:noProof/>
                <w:webHidden/>
              </w:rPr>
              <w:t>12</w:t>
            </w:r>
            <w:r w:rsidRPr="00475950">
              <w:rPr>
                <w:noProof/>
                <w:webHidden/>
              </w:rPr>
              <w:fldChar w:fldCharType="end"/>
            </w:r>
          </w:hyperlink>
        </w:p>
        <w:p w14:paraId="3A8B1DA6"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73" w:history="1">
            <w:r w:rsidRPr="00475950">
              <w:rPr>
                <w:rStyle w:val="Hyperlink"/>
                <w:rFonts w:eastAsia="Times New Roman" w:cs="Times New Roman"/>
                <w:noProof/>
                <w:kern w:val="2"/>
                <w:lang w:val="en-US"/>
                <w14:ligatures w14:val="standardContextual"/>
              </w:rPr>
              <w:t>Cultural Considerations</w:t>
            </w:r>
            <w:r w:rsidRPr="00475950">
              <w:rPr>
                <w:noProof/>
                <w:webHidden/>
              </w:rPr>
              <w:tab/>
            </w:r>
            <w:r w:rsidRPr="00475950">
              <w:rPr>
                <w:noProof/>
                <w:webHidden/>
              </w:rPr>
              <w:fldChar w:fldCharType="begin"/>
            </w:r>
            <w:r w:rsidRPr="00475950">
              <w:rPr>
                <w:noProof/>
                <w:webHidden/>
              </w:rPr>
              <w:instrText xml:space="preserve"> PAGEREF _Toc190523073 \h </w:instrText>
            </w:r>
            <w:r w:rsidRPr="00475950">
              <w:rPr>
                <w:noProof/>
                <w:webHidden/>
              </w:rPr>
            </w:r>
            <w:r w:rsidRPr="00475950">
              <w:rPr>
                <w:noProof/>
                <w:webHidden/>
              </w:rPr>
              <w:fldChar w:fldCharType="separate"/>
            </w:r>
            <w:r w:rsidRPr="00475950">
              <w:rPr>
                <w:noProof/>
                <w:webHidden/>
              </w:rPr>
              <w:t>12</w:t>
            </w:r>
            <w:r w:rsidRPr="00475950">
              <w:rPr>
                <w:noProof/>
                <w:webHidden/>
              </w:rPr>
              <w:fldChar w:fldCharType="end"/>
            </w:r>
          </w:hyperlink>
        </w:p>
        <w:p w14:paraId="05FD44F2"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74" w:history="1">
            <w:r w:rsidRPr="00475950">
              <w:rPr>
                <w:rStyle w:val="Hyperlink"/>
                <w:rFonts w:eastAsia="Times New Roman" w:cs="Times New Roman"/>
                <w:noProof/>
                <w:kern w:val="2"/>
                <w:lang w:val="en-US"/>
                <w14:ligatures w14:val="standardContextual"/>
              </w:rPr>
              <w:t>Business Analysis Tools</w:t>
            </w:r>
            <w:r w:rsidRPr="00475950">
              <w:rPr>
                <w:noProof/>
                <w:webHidden/>
              </w:rPr>
              <w:tab/>
            </w:r>
            <w:r w:rsidRPr="00475950">
              <w:rPr>
                <w:noProof/>
                <w:webHidden/>
              </w:rPr>
              <w:fldChar w:fldCharType="begin"/>
            </w:r>
            <w:r w:rsidRPr="00475950">
              <w:rPr>
                <w:noProof/>
                <w:webHidden/>
              </w:rPr>
              <w:instrText xml:space="preserve"> PAGEREF _Toc190523074 \h </w:instrText>
            </w:r>
            <w:r w:rsidRPr="00475950">
              <w:rPr>
                <w:noProof/>
                <w:webHidden/>
              </w:rPr>
            </w:r>
            <w:r w:rsidRPr="00475950">
              <w:rPr>
                <w:noProof/>
                <w:webHidden/>
              </w:rPr>
              <w:fldChar w:fldCharType="separate"/>
            </w:r>
            <w:r w:rsidRPr="00475950">
              <w:rPr>
                <w:noProof/>
                <w:webHidden/>
              </w:rPr>
              <w:t>13</w:t>
            </w:r>
            <w:r w:rsidRPr="00475950">
              <w:rPr>
                <w:noProof/>
                <w:webHidden/>
              </w:rPr>
              <w:fldChar w:fldCharType="end"/>
            </w:r>
          </w:hyperlink>
        </w:p>
        <w:p w14:paraId="604AB102"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75" w:history="1">
            <w:r w:rsidRPr="00475950">
              <w:rPr>
                <w:rStyle w:val="Hyperlink"/>
                <w:rFonts w:eastAsia="Times New Roman" w:cs="Times New Roman"/>
                <w:noProof/>
                <w:kern w:val="2"/>
                <w:lang w:val="en-US"/>
                <w14:ligatures w14:val="standardContextual"/>
              </w:rPr>
              <w:t>Conclusion and Recommendations</w:t>
            </w:r>
            <w:r w:rsidRPr="00475950">
              <w:rPr>
                <w:noProof/>
                <w:webHidden/>
              </w:rPr>
              <w:tab/>
            </w:r>
            <w:r w:rsidRPr="00475950">
              <w:rPr>
                <w:noProof/>
                <w:webHidden/>
              </w:rPr>
              <w:fldChar w:fldCharType="begin"/>
            </w:r>
            <w:r w:rsidRPr="00475950">
              <w:rPr>
                <w:noProof/>
                <w:webHidden/>
              </w:rPr>
              <w:instrText xml:space="preserve"> PAGEREF _Toc190523075 \h </w:instrText>
            </w:r>
            <w:r w:rsidRPr="00475950">
              <w:rPr>
                <w:noProof/>
                <w:webHidden/>
              </w:rPr>
            </w:r>
            <w:r w:rsidRPr="00475950">
              <w:rPr>
                <w:noProof/>
                <w:webHidden/>
              </w:rPr>
              <w:fldChar w:fldCharType="separate"/>
            </w:r>
            <w:r w:rsidRPr="00475950">
              <w:rPr>
                <w:noProof/>
                <w:webHidden/>
              </w:rPr>
              <w:t>14</w:t>
            </w:r>
            <w:r w:rsidRPr="00475950">
              <w:rPr>
                <w:noProof/>
                <w:webHidden/>
              </w:rPr>
              <w:fldChar w:fldCharType="end"/>
            </w:r>
          </w:hyperlink>
        </w:p>
        <w:p w14:paraId="2C75834D"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76" w:history="1">
            <w:r w:rsidRPr="00475950">
              <w:rPr>
                <w:rStyle w:val="Hyperlink"/>
                <w:rFonts w:eastAsia="Times New Roman" w:cs="Times New Roman"/>
                <w:noProof/>
                <w:kern w:val="2"/>
                <w:lang w:val="en-US"/>
                <w14:ligatures w14:val="standardContextual"/>
              </w:rPr>
              <w:t>Conclusion</w:t>
            </w:r>
            <w:r w:rsidRPr="00475950">
              <w:rPr>
                <w:noProof/>
                <w:webHidden/>
              </w:rPr>
              <w:tab/>
            </w:r>
            <w:r w:rsidRPr="00475950">
              <w:rPr>
                <w:noProof/>
                <w:webHidden/>
              </w:rPr>
              <w:fldChar w:fldCharType="begin"/>
            </w:r>
            <w:r w:rsidRPr="00475950">
              <w:rPr>
                <w:noProof/>
                <w:webHidden/>
              </w:rPr>
              <w:instrText xml:space="preserve"> PAGEREF _Toc190523076 \h </w:instrText>
            </w:r>
            <w:r w:rsidRPr="00475950">
              <w:rPr>
                <w:noProof/>
                <w:webHidden/>
              </w:rPr>
            </w:r>
            <w:r w:rsidRPr="00475950">
              <w:rPr>
                <w:noProof/>
                <w:webHidden/>
              </w:rPr>
              <w:fldChar w:fldCharType="separate"/>
            </w:r>
            <w:r w:rsidRPr="00475950">
              <w:rPr>
                <w:noProof/>
                <w:webHidden/>
              </w:rPr>
              <w:t>14</w:t>
            </w:r>
            <w:r w:rsidRPr="00475950">
              <w:rPr>
                <w:noProof/>
                <w:webHidden/>
              </w:rPr>
              <w:fldChar w:fldCharType="end"/>
            </w:r>
          </w:hyperlink>
        </w:p>
        <w:p w14:paraId="333AF831" w14:textId="77777777" w:rsidR="00352AAD" w:rsidRPr="00475950" w:rsidRDefault="00352AAD" w:rsidP="00352AAD">
          <w:pPr>
            <w:pStyle w:val="TOC2"/>
            <w:tabs>
              <w:tab w:val="right" w:leader="dot" w:pos="9016"/>
            </w:tabs>
            <w:rPr>
              <w:rFonts w:asciiTheme="minorHAnsi" w:eastAsiaTheme="minorEastAsia" w:hAnsiTheme="minorHAnsi"/>
              <w:noProof/>
              <w:color w:val="auto"/>
              <w:sz w:val="22"/>
              <w:lang w:val="en-US"/>
            </w:rPr>
          </w:pPr>
          <w:hyperlink w:anchor="_Toc190523077" w:history="1">
            <w:r w:rsidRPr="00475950">
              <w:rPr>
                <w:rStyle w:val="Hyperlink"/>
                <w:rFonts w:eastAsia="Times New Roman" w:cs="Times New Roman"/>
                <w:noProof/>
                <w:kern w:val="2"/>
                <w:lang w:val="en-US"/>
                <w14:ligatures w14:val="standardContextual"/>
              </w:rPr>
              <w:t>Recommendations</w:t>
            </w:r>
            <w:r w:rsidRPr="00475950">
              <w:rPr>
                <w:noProof/>
                <w:webHidden/>
              </w:rPr>
              <w:tab/>
            </w:r>
            <w:r w:rsidRPr="00475950">
              <w:rPr>
                <w:noProof/>
                <w:webHidden/>
              </w:rPr>
              <w:fldChar w:fldCharType="begin"/>
            </w:r>
            <w:r w:rsidRPr="00475950">
              <w:rPr>
                <w:noProof/>
                <w:webHidden/>
              </w:rPr>
              <w:instrText xml:space="preserve"> PAGEREF _Toc190523077 \h </w:instrText>
            </w:r>
            <w:r w:rsidRPr="00475950">
              <w:rPr>
                <w:noProof/>
                <w:webHidden/>
              </w:rPr>
            </w:r>
            <w:r w:rsidRPr="00475950">
              <w:rPr>
                <w:noProof/>
                <w:webHidden/>
              </w:rPr>
              <w:fldChar w:fldCharType="separate"/>
            </w:r>
            <w:r w:rsidRPr="00475950">
              <w:rPr>
                <w:noProof/>
                <w:webHidden/>
              </w:rPr>
              <w:t>14</w:t>
            </w:r>
            <w:r w:rsidRPr="00475950">
              <w:rPr>
                <w:noProof/>
                <w:webHidden/>
              </w:rPr>
              <w:fldChar w:fldCharType="end"/>
            </w:r>
          </w:hyperlink>
        </w:p>
        <w:p w14:paraId="785033C2" w14:textId="77777777" w:rsidR="00352AAD" w:rsidRPr="00475950" w:rsidRDefault="00352AAD" w:rsidP="00352AAD">
          <w:pPr>
            <w:pStyle w:val="TOC1"/>
            <w:tabs>
              <w:tab w:val="right" w:leader="dot" w:pos="9016"/>
            </w:tabs>
            <w:rPr>
              <w:rFonts w:asciiTheme="minorHAnsi" w:eastAsiaTheme="minorEastAsia" w:hAnsiTheme="minorHAnsi"/>
              <w:noProof/>
              <w:color w:val="auto"/>
              <w:sz w:val="22"/>
              <w:lang w:val="en-US"/>
            </w:rPr>
          </w:pPr>
          <w:hyperlink w:anchor="_Toc190523078" w:history="1">
            <w:r w:rsidRPr="00475950">
              <w:rPr>
                <w:rStyle w:val="Hyperlink"/>
                <w:rFonts w:eastAsia="Times New Roman" w:cs="Times New Roman"/>
                <w:noProof/>
                <w:kern w:val="2"/>
                <w:lang w:val="en-US"/>
                <w14:ligatures w14:val="standardContextual"/>
              </w:rPr>
              <w:t>References</w:t>
            </w:r>
            <w:r w:rsidRPr="00475950">
              <w:rPr>
                <w:noProof/>
                <w:webHidden/>
              </w:rPr>
              <w:tab/>
            </w:r>
            <w:r w:rsidRPr="00475950">
              <w:rPr>
                <w:noProof/>
                <w:webHidden/>
              </w:rPr>
              <w:fldChar w:fldCharType="begin"/>
            </w:r>
            <w:r w:rsidRPr="00475950">
              <w:rPr>
                <w:noProof/>
                <w:webHidden/>
              </w:rPr>
              <w:instrText xml:space="preserve"> PAGEREF _Toc190523078 \h </w:instrText>
            </w:r>
            <w:r w:rsidRPr="00475950">
              <w:rPr>
                <w:noProof/>
                <w:webHidden/>
              </w:rPr>
            </w:r>
            <w:r w:rsidRPr="00475950">
              <w:rPr>
                <w:noProof/>
                <w:webHidden/>
              </w:rPr>
              <w:fldChar w:fldCharType="separate"/>
            </w:r>
            <w:r w:rsidRPr="00475950">
              <w:rPr>
                <w:noProof/>
                <w:webHidden/>
              </w:rPr>
              <w:t>15</w:t>
            </w:r>
            <w:r w:rsidRPr="00475950">
              <w:rPr>
                <w:noProof/>
                <w:webHidden/>
              </w:rPr>
              <w:fldChar w:fldCharType="end"/>
            </w:r>
          </w:hyperlink>
        </w:p>
        <w:p w14:paraId="37DE9004" w14:textId="77777777" w:rsidR="00352AAD" w:rsidRDefault="00352AAD" w:rsidP="00352AAD">
          <w:pPr>
            <w:rPr>
              <w:noProof/>
            </w:rPr>
          </w:pPr>
          <w:r w:rsidRPr="00475950">
            <w:rPr>
              <w:bCs/>
              <w:noProof/>
            </w:rPr>
            <w:fldChar w:fldCharType="end"/>
          </w:r>
          <w:r>
            <w:rPr>
              <w:bCs/>
              <w:noProof/>
            </w:rPr>
            <w:fldChar w:fldCharType="begin"/>
          </w:r>
          <w:r>
            <w:rPr>
              <w:bCs/>
              <w:noProof/>
            </w:rPr>
            <w:instrText xml:space="preserve"> TOC \h \z \c "Table" </w:instrText>
          </w:r>
          <w:r>
            <w:rPr>
              <w:bCs/>
              <w:noProof/>
            </w:rPr>
            <w:fldChar w:fldCharType="separate"/>
          </w:r>
        </w:p>
        <w:p w14:paraId="7047AA90" w14:textId="77777777" w:rsidR="00352AAD" w:rsidRDefault="00352AAD" w:rsidP="00352AAD">
          <w:pPr>
            <w:pStyle w:val="TableofFigures"/>
            <w:tabs>
              <w:tab w:val="right" w:leader="dot" w:pos="9016"/>
            </w:tabs>
            <w:rPr>
              <w:noProof/>
            </w:rPr>
          </w:pPr>
          <w:hyperlink w:anchor="_Toc190523079" w:history="1">
            <w:r w:rsidRPr="006432C9">
              <w:rPr>
                <w:rStyle w:val="Hyperlink"/>
                <w:noProof/>
              </w:rPr>
              <w:t>Table 1: SMART Objectives Analysis (</w:t>
            </w:r>
            <w:r w:rsidRPr="006432C9">
              <w:rPr>
                <w:rStyle w:val="Hyperlink"/>
                <w:rFonts w:eastAsia="Aptos" w:cs="SimSun"/>
                <w:noProof/>
                <w:kern w:val="2"/>
                <w:lang w:val="en-US"/>
                <w14:ligatures w14:val="standardContextual"/>
              </w:rPr>
              <w:t>Locke and Latham, 2019)</w:t>
            </w:r>
            <w:r>
              <w:rPr>
                <w:noProof/>
                <w:webHidden/>
              </w:rPr>
              <w:tab/>
            </w:r>
            <w:r>
              <w:rPr>
                <w:noProof/>
                <w:webHidden/>
              </w:rPr>
              <w:fldChar w:fldCharType="begin"/>
            </w:r>
            <w:r>
              <w:rPr>
                <w:noProof/>
                <w:webHidden/>
              </w:rPr>
              <w:instrText xml:space="preserve"> PAGEREF _Toc190523079 \h </w:instrText>
            </w:r>
            <w:r>
              <w:rPr>
                <w:noProof/>
                <w:webHidden/>
              </w:rPr>
            </w:r>
            <w:r>
              <w:rPr>
                <w:noProof/>
                <w:webHidden/>
              </w:rPr>
              <w:fldChar w:fldCharType="separate"/>
            </w:r>
            <w:r>
              <w:rPr>
                <w:noProof/>
                <w:webHidden/>
              </w:rPr>
              <w:t>7</w:t>
            </w:r>
            <w:r>
              <w:rPr>
                <w:noProof/>
                <w:webHidden/>
              </w:rPr>
              <w:fldChar w:fldCharType="end"/>
            </w:r>
          </w:hyperlink>
        </w:p>
        <w:p w14:paraId="08675099" w14:textId="77777777" w:rsidR="00352AAD" w:rsidRDefault="00352AAD" w:rsidP="00352AAD">
          <w:pPr>
            <w:pStyle w:val="TableofFigures"/>
            <w:tabs>
              <w:tab w:val="right" w:leader="dot" w:pos="9016"/>
            </w:tabs>
            <w:rPr>
              <w:noProof/>
            </w:rPr>
          </w:pPr>
          <w:hyperlink w:anchor="_Toc190523080" w:history="1">
            <w:r w:rsidRPr="006432C9">
              <w:rPr>
                <w:rStyle w:val="Hyperlink"/>
                <w:noProof/>
              </w:rPr>
              <w:t>Table 2: Analysis of Projected Income and Expenditure (</w:t>
            </w:r>
            <w:r w:rsidRPr="006432C9">
              <w:rPr>
                <w:rStyle w:val="Hyperlink"/>
                <w:rFonts w:eastAsia="Aptos" w:cs="SimSun"/>
                <w:noProof/>
                <w:kern w:val="2"/>
                <w:lang w:val="en-US"/>
                <w14:ligatures w14:val="standardContextual"/>
              </w:rPr>
              <w:t>Getz and Page, 2019)</w:t>
            </w:r>
            <w:r>
              <w:rPr>
                <w:noProof/>
                <w:webHidden/>
              </w:rPr>
              <w:tab/>
            </w:r>
            <w:r>
              <w:rPr>
                <w:noProof/>
                <w:webHidden/>
              </w:rPr>
              <w:fldChar w:fldCharType="begin"/>
            </w:r>
            <w:r>
              <w:rPr>
                <w:noProof/>
                <w:webHidden/>
              </w:rPr>
              <w:instrText xml:space="preserve"> PAGEREF _Toc190523080 \h </w:instrText>
            </w:r>
            <w:r>
              <w:rPr>
                <w:noProof/>
                <w:webHidden/>
              </w:rPr>
            </w:r>
            <w:r>
              <w:rPr>
                <w:noProof/>
                <w:webHidden/>
              </w:rPr>
              <w:fldChar w:fldCharType="separate"/>
            </w:r>
            <w:r>
              <w:rPr>
                <w:noProof/>
                <w:webHidden/>
              </w:rPr>
              <w:t>9</w:t>
            </w:r>
            <w:r>
              <w:rPr>
                <w:noProof/>
                <w:webHidden/>
              </w:rPr>
              <w:fldChar w:fldCharType="end"/>
            </w:r>
          </w:hyperlink>
        </w:p>
        <w:p w14:paraId="7E8BC1D7" w14:textId="77777777" w:rsidR="00352AAD" w:rsidRDefault="00352AAD" w:rsidP="00352AAD">
          <w:pPr>
            <w:pStyle w:val="TableofFigures"/>
            <w:tabs>
              <w:tab w:val="right" w:leader="dot" w:pos="9016"/>
            </w:tabs>
            <w:rPr>
              <w:noProof/>
            </w:rPr>
          </w:pPr>
          <w:hyperlink w:anchor="_Toc190523081" w:history="1">
            <w:r w:rsidRPr="006432C9">
              <w:rPr>
                <w:rStyle w:val="Hyperlink"/>
                <w:noProof/>
              </w:rPr>
              <w:t>Table 3: SWOT Analysis Framework (</w:t>
            </w:r>
            <w:r w:rsidRPr="006432C9">
              <w:rPr>
                <w:rStyle w:val="Hyperlink"/>
                <w:rFonts w:eastAsia="Aptos" w:cs="SimSun"/>
                <w:noProof/>
                <w:kern w:val="2"/>
                <w:lang w:val="en-US"/>
                <w14:ligatures w14:val="standardContextual"/>
              </w:rPr>
              <w:t>O’Toole, 2011)</w:t>
            </w:r>
            <w:r>
              <w:rPr>
                <w:noProof/>
                <w:webHidden/>
              </w:rPr>
              <w:tab/>
            </w:r>
            <w:r>
              <w:rPr>
                <w:noProof/>
                <w:webHidden/>
              </w:rPr>
              <w:fldChar w:fldCharType="begin"/>
            </w:r>
            <w:r>
              <w:rPr>
                <w:noProof/>
                <w:webHidden/>
              </w:rPr>
              <w:instrText xml:space="preserve"> PAGEREF _Toc190523081 \h </w:instrText>
            </w:r>
            <w:r>
              <w:rPr>
                <w:noProof/>
                <w:webHidden/>
              </w:rPr>
            </w:r>
            <w:r>
              <w:rPr>
                <w:noProof/>
                <w:webHidden/>
              </w:rPr>
              <w:fldChar w:fldCharType="separate"/>
            </w:r>
            <w:r>
              <w:rPr>
                <w:noProof/>
                <w:webHidden/>
              </w:rPr>
              <w:t>12</w:t>
            </w:r>
            <w:r>
              <w:rPr>
                <w:noProof/>
                <w:webHidden/>
              </w:rPr>
              <w:fldChar w:fldCharType="end"/>
            </w:r>
          </w:hyperlink>
        </w:p>
        <w:p w14:paraId="52984127" w14:textId="77777777" w:rsidR="00352AAD" w:rsidRPr="00475950" w:rsidRDefault="00352AAD" w:rsidP="00352AAD">
          <w:r>
            <w:rPr>
              <w:bCs/>
              <w:noProof/>
            </w:rPr>
            <w:fldChar w:fldCharType="end"/>
          </w:r>
        </w:p>
      </w:sdtContent>
    </w:sdt>
    <w:p w14:paraId="36084C29" w14:textId="77777777" w:rsidR="00352AAD" w:rsidRPr="00754637" w:rsidRDefault="00352AAD" w:rsidP="00352AAD"/>
    <w:p w14:paraId="775E964F" w14:textId="77777777" w:rsidR="00352AAD" w:rsidRDefault="00352AAD" w:rsidP="00352AAD">
      <w:r>
        <w:br w:type="page"/>
      </w:r>
    </w:p>
    <w:p w14:paraId="02B9579A" w14:textId="77777777" w:rsidR="00352AAD" w:rsidRDefault="00352AAD" w:rsidP="00352AAD">
      <w:pPr>
        <w:pStyle w:val="Heading1"/>
        <w:sectPr w:rsidR="00352AAD" w:rsidSect="00352AAD">
          <w:footerReference w:type="default" r:id="rId6"/>
          <w:pgSz w:w="11906" w:h="16838" w:code="9"/>
          <w:pgMar w:top="1440" w:right="1440" w:bottom="1440" w:left="1440" w:header="720" w:footer="720" w:gutter="0"/>
          <w:pgNumType w:fmt="lowerRoman"/>
          <w:cols w:space="720"/>
          <w:docGrid w:linePitch="360"/>
        </w:sectPr>
      </w:pPr>
    </w:p>
    <w:p w14:paraId="1B626F03"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0" w:name="_Toc190523059"/>
      <w:r w:rsidRPr="001A3F11">
        <w:rPr>
          <w:rFonts w:eastAsia="Times New Roman" w:cs="Times New Roman"/>
          <w:b/>
          <w:color w:val="auto"/>
          <w:kern w:val="2"/>
          <w:sz w:val="32"/>
          <w:szCs w:val="32"/>
          <w:lang w:val="en-US"/>
          <w14:ligatures w14:val="standardContextual"/>
        </w:rPr>
        <w:t>Introduction</w:t>
      </w:r>
      <w:bookmarkEnd w:id="0"/>
    </w:p>
    <w:p w14:paraId="2A49852F"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Giving Table Charity Brunch is a strategic event </w:t>
      </w:r>
      <w:proofErr w:type="spellStart"/>
      <w:r w:rsidRPr="001A3F11">
        <w:rPr>
          <w:rFonts w:eastAsia="Aptos" w:cs="SimSun"/>
          <w:color w:val="auto"/>
          <w:kern w:val="2"/>
          <w:lang w:val="en-US"/>
          <w14:ligatures w14:val="standardContextual"/>
        </w:rPr>
        <w:t>organised</w:t>
      </w:r>
      <w:proofErr w:type="spellEnd"/>
      <w:r w:rsidRPr="001A3F11">
        <w:rPr>
          <w:rFonts w:eastAsia="Aptos" w:cs="SimSun"/>
          <w:color w:val="auto"/>
          <w:kern w:val="2"/>
          <w:lang w:val="en-US"/>
          <w14:ligatures w14:val="standardContextual"/>
        </w:rPr>
        <w:t xml:space="preserve"> to tackle the issue of mental health concerns affecting hospitality workers. This aspect will work as the event fundraising, while at the same time offering everyone in the industry to share their experiences and ideas regarding mental health issues and their solutions</w:t>
      </w:r>
      <w:r>
        <w:rPr>
          <w:rFonts w:eastAsia="Aptos" w:cs="SimSun"/>
          <w:color w:val="auto"/>
          <w:kern w:val="2"/>
          <w:lang w:val="en-US"/>
          <w14:ligatures w14:val="standardContextual"/>
        </w:rPr>
        <w:t xml:space="preserve"> </w:t>
      </w:r>
      <w:r w:rsidRPr="001A3F11">
        <w:rPr>
          <w:rFonts w:eastAsia="Aptos" w:cs="SimSun"/>
          <w:color w:val="auto"/>
          <w:kern w:val="2"/>
          <w:lang w:val="en-US"/>
          <w14:ligatures w14:val="standardContextual"/>
        </w:rPr>
        <w:t>(CIPD, 2023). Because the hospitality industry is one of the most stressful industries, 84% of the employees of hospitality facilities in the UK had poor mental hea</w:t>
      </w:r>
      <w:r>
        <w:rPr>
          <w:rFonts w:eastAsia="Aptos" w:cs="SimSun"/>
          <w:color w:val="auto"/>
          <w:kern w:val="2"/>
          <w:lang w:val="en-US"/>
          <w14:ligatures w14:val="standardContextual"/>
        </w:rPr>
        <w:t xml:space="preserve">lth in 2023. Hospitality </w:t>
      </w:r>
      <w:proofErr w:type="spellStart"/>
      <w:r>
        <w:rPr>
          <w:rFonts w:eastAsia="Aptos" w:cs="SimSun"/>
          <w:color w:val="auto"/>
          <w:kern w:val="2"/>
          <w:lang w:val="en-US"/>
          <w14:ligatures w14:val="standardContextual"/>
        </w:rPr>
        <w:t>organis</w:t>
      </w:r>
      <w:r w:rsidRPr="001A3F11">
        <w:rPr>
          <w:rFonts w:eastAsia="Aptos" w:cs="SimSun"/>
          <w:color w:val="auto"/>
          <w:kern w:val="2"/>
          <w:lang w:val="en-US"/>
          <w14:ligatures w14:val="standardContextual"/>
        </w:rPr>
        <w:t>ations</w:t>
      </w:r>
      <w:proofErr w:type="spellEnd"/>
      <w:r w:rsidRPr="001A3F11">
        <w:rPr>
          <w:rFonts w:eastAsia="Aptos" w:cs="SimSun"/>
          <w:color w:val="auto"/>
          <w:kern w:val="2"/>
          <w:lang w:val="en-US"/>
          <w14:ligatures w14:val="standardContextual"/>
        </w:rPr>
        <w:t xml:space="preserve"> have recently directed their attention to mental health issues, Hotel and Hospitality Charity – Hospitality Action, and Burnt Chef Project. Such types of initiatives will be supported by this brunch through networking, fundraising and discussions with experts in the industry. This report aims to discuss the feasibility and operation of the Giving Table Charity Brunch from the perspective of strategic planning and delivery.  The report will also cover industry trends, threats and opportunities, and the risk management plan necessary to make the event more sustainable and successful.</w:t>
      </w:r>
    </w:p>
    <w:p w14:paraId="6187244E"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1888A213"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1" w:name="_Toc190523060"/>
      <w:r w:rsidRPr="001A3F11">
        <w:rPr>
          <w:rFonts w:eastAsia="Times New Roman" w:cs="Times New Roman"/>
          <w:b/>
          <w:color w:val="auto"/>
          <w:kern w:val="2"/>
          <w:sz w:val="32"/>
          <w:szCs w:val="32"/>
          <w:lang w:val="en-US"/>
          <w14:ligatures w14:val="standardContextual"/>
        </w:rPr>
        <w:t>The Event Cycle</w:t>
      </w:r>
      <w:bookmarkEnd w:id="1"/>
    </w:p>
    <w:p w14:paraId="4CBE6F4B"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Event Cycle is a planning tool for events and is made up of initiation, planning, implementation and evaluation stages (Getz &amp; Page, 2019). It provides a systematic way of managing events so that they are feasible, efficient and effective. </w:t>
      </w:r>
    </w:p>
    <w:p w14:paraId="40C07985"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Initiation Stage</w:t>
      </w:r>
    </w:p>
    <w:p w14:paraId="3302C506"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It was developed </w:t>
      </w:r>
      <w:proofErr w:type="gramStart"/>
      <w:r w:rsidRPr="001A3F11">
        <w:rPr>
          <w:rFonts w:eastAsia="Aptos" w:cs="SimSun"/>
          <w:color w:val="auto"/>
          <w:kern w:val="2"/>
          <w:lang w:val="en-US"/>
          <w14:ligatures w14:val="standardContextual"/>
        </w:rPr>
        <w:t>as a result of</w:t>
      </w:r>
      <w:proofErr w:type="gramEnd"/>
      <w:r w:rsidRPr="001A3F11">
        <w:rPr>
          <w:rFonts w:eastAsia="Aptos" w:cs="SimSun"/>
          <w:color w:val="auto"/>
          <w:kern w:val="2"/>
          <w:lang w:val="en-US"/>
          <w14:ligatures w14:val="standardContextual"/>
        </w:rPr>
        <w:t xml:space="preserve"> the growing mental health issues affecting the hospitality industry in the UK. Research reveals that about 33% of hospitality employees suffer from critical stress levels, and 45% of them seriously consider changing their profession due to the deterioration of mental health (CIPD, 2023). </w:t>
      </w:r>
      <w:proofErr w:type="spellStart"/>
      <w:r w:rsidRPr="001A3F11">
        <w:rPr>
          <w:rFonts w:eastAsia="Aptos" w:cs="SimSun"/>
          <w:color w:val="auto"/>
          <w:kern w:val="2"/>
          <w:lang w:val="en-US"/>
          <w14:ligatures w14:val="standardContextual"/>
        </w:rPr>
        <w:t>Recognising</w:t>
      </w:r>
      <w:proofErr w:type="spellEnd"/>
      <w:r w:rsidRPr="001A3F11">
        <w:rPr>
          <w:rFonts w:eastAsia="Aptos" w:cs="SimSun"/>
          <w:color w:val="auto"/>
          <w:kern w:val="2"/>
          <w:lang w:val="en-US"/>
          <w14:ligatures w14:val="standardContextual"/>
        </w:rPr>
        <w:t xml:space="preserve"> this shortfall helped to justify the need for a targeted industry gathering.</w:t>
      </w:r>
    </w:p>
    <w:p w14:paraId="0C4D4BA1"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Planning Stage</w:t>
      </w:r>
    </w:p>
    <w:p w14:paraId="0C5B07CE"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It involves processes such as logistics, budgeting of resources and </w:t>
      </w:r>
      <w:r>
        <w:rPr>
          <w:rFonts w:eastAsia="Aptos" w:cs="SimSun"/>
          <w:color w:val="auto"/>
          <w:kern w:val="2"/>
          <w:lang w:val="en-US"/>
          <w14:ligatures w14:val="standardContextual"/>
        </w:rPr>
        <w:t>expenditures</w:t>
      </w:r>
      <w:r w:rsidRPr="001A3F11">
        <w:rPr>
          <w:rFonts w:eastAsia="Aptos" w:cs="SimSun"/>
          <w:color w:val="auto"/>
          <w:kern w:val="2"/>
          <w:lang w:val="en-US"/>
          <w14:ligatures w14:val="standardContextual"/>
        </w:rPr>
        <w:t xml:space="preserve">, identification of stakeholders, and marketing of the product. The venue of choice was The Grand, York because it </w:t>
      </w:r>
      <w:proofErr w:type="gramStart"/>
      <w:r w:rsidRPr="001A3F11">
        <w:rPr>
          <w:rFonts w:eastAsia="Aptos" w:cs="SimSun"/>
          <w:color w:val="auto"/>
          <w:kern w:val="2"/>
          <w:lang w:val="en-US"/>
          <w14:ligatures w14:val="standardContextual"/>
        </w:rPr>
        <w:t>is located in</w:t>
      </w:r>
      <w:proofErr w:type="gramEnd"/>
      <w:r w:rsidRPr="001A3F11">
        <w:rPr>
          <w:rFonts w:eastAsia="Aptos" w:cs="SimSun"/>
          <w:color w:val="auto"/>
          <w:kern w:val="2"/>
          <w:lang w:val="en-US"/>
          <w14:ligatures w14:val="standardContextual"/>
        </w:rPr>
        <w:t xml:space="preserve"> the </w:t>
      </w:r>
      <w:proofErr w:type="spellStart"/>
      <w:r w:rsidRPr="001A3F11">
        <w:rPr>
          <w:rFonts w:eastAsia="Aptos" w:cs="SimSun"/>
          <w:color w:val="auto"/>
          <w:kern w:val="2"/>
          <w:lang w:val="en-US"/>
          <w14:ligatures w14:val="standardContextual"/>
        </w:rPr>
        <w:t>centre</w:t>
      </w:r>
      <w:proofErr w:type="spellEnd"/>
      <w:r w:rsidRPr="001A3F11">
        <w:rPr>
          <w:rFonts w:eastAsia="Aptos" w:cs="SimSun"/>
          <w:color w:val="auto"/>
          <w:kern w:val="2"/>
          <w:lang w:val="en-US"/>
          <w14:ligatures w14:val="standardContextual"/>
        </w:rPr>
        <w:t xml:space="preserve"> of York and has facilities that are above par. Management also adopted the fundraising approach and designed sponsorship and charity </w:t>
      </w:r>
      <w:r>
        <w:rPr>
          <w:rFonts w:eastAsia="Aptos" w:cs="SimSun"/>
          <w:color w:val="auto"/>
          <w:kern w:val="2"/>
          <w:lang w:val="en-US"/>
          <w14:ligatures w14:val="standardContextual"/>
        </w:rPr>
        <w:t>auctions</w:t>
      </w:r>
      <w:r w:rsidRPr="001A3F11">
        <w:rPr>
          <w:rFonts w:eastAsia="Aptos" w:cs="SimSun"/>
          <w:color w:val="auto"/>
          <w:kern w:val="2"/>
          <w:lang w:val="en-US"/>
          <w14:ligatures w14:val="standardContextual"/>
        </w:rPr>
        <w:t xml:space="preserve"> as a way of generating the finances</w:t>
      </w:r>
      <w:r>
        <w:rPr>
          <w:rFonts w:eastAsia="Aptos" w:cs="SimSun"/>
          <w:color w:val="auto"/>
          <w:kern w:val="2"/>
          <w:lang w:val="en-US"/>
          <w14:ligatures w14:val="standardContextual"/>
        </w:rPr>
        <w:t xml:space="preserve"> required for the </w:t>
      </w:r>
      <w:proofErr w:type="spellStart"/>
      <w:r>
        <w:rPr>
          <w:rFonts w:eastAsia="Aptos" w:cs="SimSun"/>
          <w:color w:val="auto"/>
          <w:kern w:val="2"/>
          <w:lang w:val="en-US"/>
          <w14:ligatures w14:val="standardContextual"/>
        </w:rPr>
        <w:t>organis</w:t>
      </w:r>
      <w:r w:rsidRPr="001A3F11">
        <w:rPr>
          <w:rFonts w:eastAsia="Aptos" w:cs="SimSun"/>
          <w:color w:val="auto"/>
          <w:kern w:val="2"/>
          <w:lang w:val="en-US"/>
          <w14:ligatures w14:val="standardContextual"/>
        </w:rPr>
        <w:t>ation</w:t>
      </w:r>
      <w:proofErr w:type="spellEnd"/>
      <w:r w:rsidRPr="001A3F11">
        <w:rPr>
          <w:rFonts w:eastAsia="Aptos" w:cs="SimSun"/>
          <w:color w:val="auto"/>
          <w:kern w:val="2"/>
          <w:lang w:val="en-US"/>
          <w14:ligatures w14:val="standardContextual"/>
        </w:rPr>
        <w:t>.</w:t>
      </w:r>
    </w:p>
    <w:p w14:paraId="1B4712AD"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Execution Stage</w:t>
      </w:r>
    </w:p>
    <w:p w14:paraId="10A42A1A"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During the event day, there will be a registration of participants and a welcome cocktail, then a brunch, opening statements, and a panel discussion on mental health in hospitality. There will be performances before a live relay that will lead to a live fundraising auction to make people donate to mental health causes.</w:t>
      </w:r>
    </w:p>
    <w:p w14:paraId="04EFE437"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Evaluation Stage</w:t>
      </w:r>
    </w:p>
    <w:p w14:paraId="0212D160"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The post-event analysis will in turn use such parameters as Attendance rates, Amount of money raised, and participants’ feedback as the KPIs for measuring success (O’Toole, 2011). The use of the event cycle also results in efficiency and effective risk management and increases engagement, thus increasing fundraising.</w:t>
      </w:r>
    </w:p>
    <w:p w14:paraId="26F6F69D"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2" w:name="_Toc190523061"/>
      <w:r w:rsidRPr="001A3F11">
        <w:rPr>
          <w:rFonts w:eastAsia="Times New Roman" w:cs="Times New Roman"/>
          <w:b/>
          <w:color w:val="auto"/>
          <w:kern w:val="2"/>
          <w:sz w:val="32"/>
          <w:szCs w:val="32"/>
          <w:lang w:val="en-US"/>
          <w14:ligatures w14:val="standardContextual"/>
        </w:rPr>
        <w:t>Event Concept</w:t>
      </w:r>
      <w:bookmarkEnd w:id="2"/>
    </w:p>
    <w:p w14:paraId="6B5FBB5A"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Giving Table Charity Brunch format is an engaging and interactive event that allows participants to network, learn and give back efficiently. The core of the event is devoted to mental health issues as a proper working environment in the hospitality industry to let the workers share their experiences and find ways to overcome them. Since the stress has become normalized and 62% of the hospitality workers have been suffering from anxiety while 51% from depression at the workplace (Hospitality Action, 2023), this event will act as both an awareness and fundraising event for mental health </w:t>
      </w:r>
      <w:proofErr w:type="spellStart"/>
      <w:r w:rsidRPr="001A3F11">
        <w:rPr>
          <w:rFonts w:eastAsia="Aptos" w:cs="SimSun"/>
          <w:color w:val="auto"/>
          <w:kern w:val="2"/>
          <w:lang w:val="en-US"/>
          <w14:ligatures w14:val="standardContextual"/>
        </w:rPr>
        <w:t>organisations</w:t>
      </w:r>
      <w:proofErr w:type="spellEnd"/>
      <w:r w:rsidRPr="001A3F11">
        <w:rPr>
          <w:rFonts w:eastAsia="Aptos" w:cs="SimSun"/>
          <w:color w:val="auto"/>
          <w:kern w:val="2"/>
          <w:lang w:val="en-US"/>
          <w14:ligatures w14:val="standardContextual"/>
        </w:rPr>
        <w:t xml:space="preserve">. It directs the events in a logical sequence to avoid too much educational content with entertaining parts and vice versa. The first part of the event/job fair will be the registration and networking cocktails where the attendees will be able to register, mingle and have some snacks and beverages. Subsequently, there will be brunch accompanied by speeches of business personas and psychologists. Combating stress, wellbeing and the responsibility of employers in a wide range of </w:t>
      </w:r>
      <w:proofErr w:type="spellStart"/>
      <w:r w:rsidRPr="001A3F11">
        <w:rPr>
          <w:rFonts w:eastAsia="Aptos" w:cs="SimSun"/>
          <w:color w:val="auto"/>
          <w:kern w:val="2"/>
          <w:lang w:val="en-US"/>
          <w14:ligatures w14:val="standardContextual"/>
        </w:rPr>
        <w:t>organisations</w:t>
      </w:r>
      <w:proofErr w:type="spellEnd"/>
      <w:r w:rsidRPr="001A3F11">
        <w:rPr>
          <w:rFonts w:eastAsia="Aptos" w:cs="SimSun"/>
          <w:color w:val="auto"/>
          <w:kern w:val="2"/>
          <w:lang w:val="en-US"/>
          <w14:ligatures w14:val="standardContextual"/>
        </w:rPr>
        <w:t xml:space="preserve"> will be discussed. Psychological issues in the hospitality business will be discussed further at a panel wit</w:t>
      </w:r>
      <w:r>
        <w:rPr>
          <w:rFonts w:eastAsia="Aptos" w:cs="SimSun"/>
          <w:color w:val="auto"/>
          <w:kern w:val="2"/>
          <w:lang w:val="en-US"/>
          <w14:ligatures w14:val="standardContextual"/>
        </w:rPr>
        <w:t xml:space="preserve">h Mind UK and Hospitality Action. </w:t>
      </w:r>
      <w:r w:rsidRPr="001A3F11">
        <w:rPr>
          <w:rFonts w:eastAsia="Aptos" w:cs="SimSun"/>
          <w:color w:val="auto"/>
          <w:kern w:val="2"/>
          <w:lang w:val="en-US"/>
          <w14:ligatures w14:val="standardContextual"/>
        </w:rPr>
        <w:t xml:space="preserve"> This way, the auction will encompass high-profile hospitalities and corporate sponsors that raise optimum funds for mental health-related causes. Finally, there will be closing remarks made to recap the essential findings made and remind the participants of the need to continue promoting the mental health championing cause in the industry. This concept combines experts’ and industry members’ exchange, networking, and charity within one event. The presence of profession-related solutions along with an exciting fundraising idea means that the Giving Table Charity Brunch is a valuable initiative to support people suffering from mental health issues in the hospitality industry. The relevance to the industry, the practicability, and the sustainability of the plan confirms the excellent job done with the projected structure (Meredith, 2022).</w:t>
      </w:r>
    </w:p>
    <w:p w14:paraId="52A36621"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6191D22F"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3" w:name="_Toc190523062"/>
      <w:r w:rsidRPr="001A3F11">
        <w:rPr>
          <w:rFonts w:eastAsia="Times New Roman" w:cs="Times New Roman"/>
          <w:b/>
          <w:color w:val="auto"/>
          <w:kern w:val="2"/>
          <w:sz w:val="32"/>
          <w:szCs w:val="32"/>
          <w:lang w:val="en-US"/>
          <w14:ligatures w14:val="standardContextual"/>
        </w:rPr>
        <w:t>Aim and Objectives</w:t>
      </w:r>
      <w:bookmarkEnd w:id="3"/>
    </w:p>
    <w:p w14:paraId="323938E1"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4" w:name="_Toc190523063"/>
      <w:r w:rsidRPr="001A3F11">
        <w:rPr>
          <w:rFonts w:eastAsia="Times New Roman" w:cs="Times New Roman"/>
          <w:b/>
          <w:color w:val="auto"/>
          <w:kern w:val="2"/>
          <w:sz w:val="28"/>
          <w:szCs w:val="26"/>
          <w:lang w:val="en-US"/>
          <w14:ligatures w14:val="standardContextual"/>
        </w:rPr>
        <w:t>Aim</w:t>
      </w:r>
      <w:bookmarkEnd w:id="4"/>
    </w:p>
    <w:p w14:paraId="5847E77A"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The Giving Table Charity Brunch is to be held to raise awareness and to fundraise for mental health causes in the hospitality industry in the United Kingdom. It will give a chance to the industry members to address mental health issues and perspective on strengthening cooperation and developing long-term support approaches.</w:t>
      </w:r>
    </w:p>
    <w:p w14:paraId="5988280F"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5" w:name="_Toc190523064"/>
      <w:r w:rsidRPr="001A3F11">
        <w:rPr>
          <w:rFonts w:eastAsia="Times New Roman" w:cs="Times New Roman"/>
          <w:b/>
          <w:color w:val="auto"/>
          <w:kern w:val="2"/>
          <w:sz w:val="28"/>
          <w:szCs w:val="26"/>
          <w:lang w:val="en-US"/>
          <w14:ligatures w14:val="standardContextual"/>
        </w:rPr>
        <w:t>SMART Objectives:</w:t>
      </w:r>
      <w:bookmarkEnd w:id="5"/>
    </w:p>
    <w:tbl>
      <w:tblPr>
        <w:tblStyle w:val="GridTable4-Accent51"/>
        <w:tblW w:w="0" w:type="auto"/>
        <w:tblLook w:val="04A0" w:firstRow="1" w:lastRow="0" w:firstColumn="1" w:lastColumn="0" w:noHBand="0" w:noVBand="1"/>
      </w:tblPr>
      <w:tblGrid>
        <w:gridCol w:w="1421"/>
        <w:gridCol w:w="2896"/>
        <w:gridCol w:w="2572"/>
        <w:gridCol w:w="2461"/>
      </w:tblGrid>
      <w:tr w:rsidR="00352AAD" w:rsidRPr="001A3F11" w14:paraId="0C401361" w14:textId="77777777" w:rsidTr="003C42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5A123" w14:textId="77777777" w:rsidR="00352AAD" w:rsidRPr="001A3F11" w:rsidRDefault="00352AAD" w:rsidP="003C42F2">
            <w:pPr>
              <w:jc w:val="center"/>
              <w:rPr>
                <w:rFonts w:cs="SimSun"/>
                <w:color w:val="auto"/>
                <w:kern w:val="2"/>
                <w14:ligatures w14:val="standardContextual"/>
              </w:rPr>
            </w:pPr>
            <w:r w:rsidRPr="001A3F11">
              <w:rPr>
                <w:rFonts w:cs="SimSun"/>
                <w:color w:val="auto"/>
                <w:kern w:val="2"/>
                <w14:ligatures w14:val="standardContextual"/>
              </w:rPr>
              <w:t>SMART Criteria</w:t>
            </w:r>
          </w:p>
        </w:tc>
        <w:tc>
          <w:tcPr>
            <w:tcW w:w="0" w:type="auto"/>
            <w:hideMark/>
          </w:tcPr>
          <w:p w14:paraId="56B3A5D0" w14:textId="77777777" w:rsidR="00352AAD" w:rsidRPr="001A3F11" w:rsidRDefault="00352AAD" w:rsidP="003C42F2">
            <w:pPr>
              <w:jc w:val="center"/>
              <w:cnfStyle w:val="100000000000" w:firstRow="1"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Objective 1: Fundraising</w:t>
            </w:r>
          </w:p>
        </w:tc>
        <w:tc>
          <w:tcPr>
            <w:tcW w:w="0" w:type="auto"/>
            <w:hideMark/>
          </w:tcPr>
          <w:p w14:paraId="44ECFE32" w14:textId="77777777" w:rsidR="00352AAD" w:rsidRPr="001A3F11" w:rsidRDefault="00352AAD" w:rsidP="003C42F2">
            <w:pPr>
              <w:jc w:val="center"/>
              <w:cnfStyle w:val="100000000000" w:firstRow="1"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Objective 2: Attendance</w:t>
            </w:r>
          </w:p>
        </w:tc>
        <w:tc>
          <w:tcPr>
            <w:tcW w:w="0" w:type="auto"/>
            <w:hideMark/>
          </w:tcPr>
          <w:p w14:paraId="52E091A4" w14:textId="77777777" w:rsidR="00352AAD" w:rsidRPr="001A3F11" w:rsidRDefault="00352AAD" w:rsidP="003C42F2">
            <w:pPr>
              <w:jc w:val="center"/>
              <w:cnfStyle w:val="100000000000" w:firstRow="1"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Objective 3: Corporate Partnerships</w:t>
            </w:r>
          </w:p>
        </w:tc>
      </w:tr>
      <w:tr w:rsidR="00352AAD" w:rsidRPr="001A3F11" w14:paraId="52486CDB"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3418B4"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Specific</w:t>
            </w:r>
          </w:p>
        </w:tc>
        <w:tc>
          <w:tcPr>
            <w:tcW w:w="0" w:type="auto"/>
            <w:hideMark/>
          </w:tcPr>
          <w:p w14:paraId="16A4682B"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 xml:space="preserve">Raise funds to support mental health </w:t>
            </w:r>
            <w:proofErr w:type="spellStart"/>
            <w:r w:rsidRPr="001A3F11">
              <w:rPr>
                <w:rFonts w:cs="SimSun"/>
                <w:color w:val="auto"/>
                <w:kern w:val="2"/>
                <w14:ligatures w14:val="standardContextual"/>
              </w:rPr>
              <w:t>organisations</w:t>
            </w:r>
            <w:proofErr w:type="spellEnd"/>
            <w:r w:rsidRPr="001A3F11">
              <w:rPr>
                <w:rFonts w:cs="SimSun"/>
                <w:color w:val="auto"/>
                <w:kern w:val="2"/>
                <w14:ligatures w14:val="standardContextual"/>
              </w:rPr>
              <w:t xml:space="preserve"> like Hospitality Action and The Burnt Chef Project.</w:t>
            </w:r>
          </w:p>
        </w:tc>
        <w:tc>
          <w:tcPr>
            <w:tcW w:w="0" w:type="auto"/>
            <w:hideMark/>
          </w:tcPr>
          <w:p w14:paraId="3C3CE4A1"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Attract hospitality professionals, corporate sponsors, and mental health advocates.</w:t>
            </w:r>
          </w:p>
        </w:tc>
        <w:tc>
          <w:tcPr>
            <w:tcW w:w="0" w:type="auto"/>
            <w:hideMark/>
          </w:tcPr>
          <w:p w14:paraId="071BD85F"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Secure long-term corporate partnerships for ongoing mental health support.</w:t>
            </w:r>
          </w:p>
        </w:tc>
      </w:tr>
      <w:tr w:rsidR="00352AAD" w:rsidRPr="001A3F11" w14:paraId="03B1E305"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3F84FE2D"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Measurable</w:t>
            </w:r>
          </w:p>
        </w:tc>
        <w:tc>
          <w:tcPr>
            <w:tcW w:w="0" w:type="auto"/>
            <w:hideMark/>
          </w:tcPr>
          <w:p w14:paraId="6C17DE69"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Generate £50,000 through ticket sales, sponsorships, and the charity auction.</w:t>
            </w:r>
          </w:p>
        </w:tc>
        <w:tc>
          <w:tcPr>
            <w:tcW w:w="0" w:type="auto"/>
            <w:hideMark/>
          </w:tcPr>
          <w:p w14:paraId="6ABC48B8"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Secure attendance of 200 key industry stakeholders.</w:t>
            </w:r>
          </w:p>
        </w:tc>
        <w:tc>
          <w:tcPr>
            <w:tcW w:w="0" w:type="auto"/>
            <w:hideMark/>
          </w:tcPr>
          <w:p w14:paraId="543EAE4F"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Establish at least three long-term corporate sponsorships.</w:t>
            </w:r>
          </w:p>
        </w:tc>
      </w:tr>
      <w:tr w:rsidR="00352AAD" w:rsidRPr="001A3F11" w14:paraId="5F617228"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5EF3E2"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Achievable</w:t>
            </w:r>
          </w:p>
        </w:tc>
        <w:tc>
          <w:tcPr>
            <w:tcW w:w="0" w:type="auto"/>
            <w:hideMark/>
          </w:tcPr>
          <w:p w14:paraId="07BF005E"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Use a well-structured fundraising strategy, leveraging corporate sponsorships and industry networks.</w:t>
            </w:r>
          </w:p>
        </w:tc>
        <w:tc>
          <w:tcPr>
            <w:tcW w:w="0" w:type="auto"/>
            <w:hideMark/>
          </w:tcPr>
          <w:p w14:paraId="457DD2C4"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Promote through targeted marketing and industry partnerships</w:t>
            </w:r>
            <w:r>
              <w:rPr>
                <w:rFonts w:cs="SimSun"/>
                <w:color w:val="auto"/>
                <w:kern w:val="2"/>
                <w14:ligatures w14:val="standardContextual"/>
              </w:rPr>
              <w:t xml:space="preserve"> </w:t>
            </w:r>
            <w:r w:rsidRPr="001A3F11">
              <w:rPr>
                <w:rFonts w:cs="SimSun"/>
                <w:color w:val="auto"/>
                <w:kern w:val="2"/>
                <w14:ligatures w14:val="standardContextual"/>
              </w:rPr>
              <w:t>(Eventbrite, 2023).</w:t>
            </w:r>
          </w:p>
        </w:tc>
        <w:tc>
          <w:tcPr>
            <w:tcW w:w="0" w:type="auto"/>
            <w:hideMark/>
          </w:tcPr>
          <w:p w14:paraId="070B8106"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Engage businesses with compelling CSR opportunities.</w:t>
            </w:r>
          </w:p>
        </w:tc>
      </w:tr>
      <w:tr w:rsidR="00352AAD" w:rsidRPr="001A3F11" w14:paraId="13F28027"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38656477"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Relevant</w:t>
            </w:r>
          </w:p>
        </w:tc>
        <w:tc>
          <w:tcPr>
            <w:tcW w:w="0" w:type="auto"/>
            <w:hideMark/>
          </w:tcPr>
          <w:p w14:paraId="24CBED58"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Addresses the mental health crisis in the UK hospitality industry.</w:t>
            </w:r>
          </w:p>
        </w:tc>
        <w:tc>
          <w:tcPr>
            <w:tcW w:w="0" w:type="auto"/>
            <w:hideMark/>
          </w:tcPr>
          <w:p w14:paraId="3E5D00B7"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Enhances awareness and engagement on mental health issues.</w:t>
            </w:r>
          </w:p>
        </w:tc>
        <w:tc>
          <w:tcPr>
            <w:tcW w:w="0" w:type="auto"/>
            <w:hideMark/>
          </w:tcPr>
          <w:p w14:paraId="10F14BB8"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Ensures sustainability of mental health initiatives beyond the event.</w:t>
            </w:r>
          </w:p>
        </w:tc>
      </w:tr>
      <w:tr w:rsidR="00352AAD" w:rsidRPr="001A3F11" w14:paraId="5AF5915F"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2B1562"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Time-bound</w:t>
            </w:r>
          </w:p>
        </w:tc>
        <w:tc>
          <w:tcPr>
            <w:tcW w:w="0" w:type="auto"/>
            <w:hideMark/>
          </w:tcPr>
          <w:p w14:paraId="64E039CD"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Achieve the fundraising target by the end of the event.</w:t>
            </w:r>
          </w:p>
        </w:tc>
        <w:tc>
          <w:tcPr>
            <w:tcW w:w="0" w:type="auto"/>
            <w:hideMark/>
          </w:tcPr>
          <w:p w14:paraId="09164837"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Achieve the attendance goal by the event date.</w:t>
            </w:r>
          </w:p>
        </w:tc>
        <w:tc>
          <w:tcPr>
            <w:tcW w:w="0" w:type="auto"/>
            <w:hideMark/>
          </w:tcPr>
          <w:p w14:paraId="36DD182F"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Confirm partnerships within three months post-event.</w:t>
            </w:r>
          </w:p>
        </w:tc>
      </w:tr>
    </w:tbl>
    <w:p w14:paraId="19D6E299" w14:textId="77777777" w:rsidR="00352AAD" w:rsidRPr="001A3F11" w:rsidRDefault="00352AAD" w:rsidP="00352AAD">
      <w:pPr>
        <w:jc w:val="center"/>
        <w:rPr>
          <w:rFonts w:eastAsia="Aptos" w:cs="SimSun"/>
          <w:vanish/>
          <w:color w:val="auto"/>
          <w:kern w:val="2"/>
          <w:lang w:val="en-US"/>
          <w14:ligatures w14:val="standardContextual"/>
        </w:rPr>
      </w:pPr>
      <w:bookmarkStart w:id="6" w:name="_Toc190523079"/>
      <w:r>
        <w:t xml:space="preserve">Table </w:t>
      </w:r>
      <w:r>
        <w:fldChar w:fldCharType="begin"/>
      </w:r>
      <w:r>
        <w:instrText xml:space="preserve"> SEQ Table \* ARABIC </w:instrText>
      </w:r>
      <w:r>
        <w:fldChar w:fldCharType="separate"/>
      </w:r>
      <w:r>
        <w:rPr>
          <w:noProof/>
        </w:rPr>
        <w:t>1</w:t>
      </w:r>
      <w:r>
        <w:fldChar w:fldCharType="end"/>
      </w:r>
      <w:r>
        <w:t xml:space="preserve">: </w:t>
      </w:r>
      <w:r w:rsidRPr="00FF6693">
        <w:t>SMART Objectives</w:t>
      </w:r>
      <w:r>
        <w:t xml:space="preserve"> Analysis (</w:t>
      </w:r>
      <w:r>
        <w:rPr>
          <w:rFonts w:eastAsia="Aptos" w:cs="SimSun"/>
          <w:color w:val="auto"/>
          <w:kern w:val="2"/>
          <w:lang w:val="en-US"/>
          <w14:ligatures w14:val="standardContextual"/>
        </w:rPr>
        <w:t xml:space="preserve">Locke and Latham, </w:t>
      </w:r>
      <w:r w:rsidRPr="009F7F7E">
        <w:rPr>
          <w:rFonts w:eastAsia="Aptos" w:cs="SimSun"/>
          <w:color w:val="auto"/>
          <w:kern w:val="2"/>
          <w:lang w:val="en-US"/>
          <w14:ligatures w14:val="standardContextual"/>
        </w:rPr>
        <w:t>2019)</w:t>
      </w:r>
      <w:bookmarkEnd w:id="6"/>
      <w:r w:rsidRPr="009F7F7E">
        <w:rPr>
          <w:rFonts w:eastAsia="Aptos" w:cs="SimSun"/>
          <w:color w:val="auto"/>
          <w:kern w:val="2"/>
          <w:lang w:val="en-US"/>
          <w14:ligatures w14:val="standardContextual"/>
        </w:rPr>
        <w:t xml:space="preserve"> </w:t>
      </w:r>
      <w:r w:rsidRPr="001A3F11">
        <w:rPr>
          <w:rFonts w:eastAsia="Aptos" w:cs="SimSun"/>
          <w:vanish/>
          <w:color w:val="auto"/>
          <w:kern w:val="2"/>
          <w:lang w:val="en-US"/>
          <w14:ligatures w14:val="standardContextual"/>
        </w:rPr>
        <w:t>Bottom of Form</w:t>
      </w:r>
    </w:p>
    <w:p w14:paraId="63BFCF70"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p>
    <w:p w14:paraId="5085DCF2"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7" w:name="_Toc190523065"/>
      <w:r w:rsidRPr="001A3F11">
        <w:rPr>
          <w:rFonts w:eastAsia="Times New Roman" w:cs="Times New Roman"/>
          <w:b/>
          <w:color w:val="auto"/>
          <w:kern w:val="2"/>
          <w:sz w:val="32"/>
          <w:szCs w:val="32"/>
          <w:lang w:val="en-US"/>
          <w14:ligatures w14:val="standardContextual"/>
        </w:rPr>
        <w:t>Event Management</w:t>
      </w:r>
      <w:bookmarkEnd w:id="7"/>
    </w:p>
    <w:p w14:paraId="3A7A00EA"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Event management means the proper management of operations, planning, marketing, and organization. For the Giving Table Charity Brunch which is proposed as the major strategy for the next campaign, the following strategies have been put in place:</w:t>
      </w:r>
    </w:p>
    <w:p w14:paraId="7581D20B"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Operational Considerations</w:t>
      </w:r>
    </w:p>
    <w:p w14:paraId="1063E350"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event entails the involvement of many people in the team, and there is a need to ensure that all activities go as planned. Event Managers will be responsible for organizing, supervising and assessing the event to ensure that everything progresses successfully. Catering Staff will be engaging in the preparation of a quality brunch service, while the Marketing &amp; PR team will </w:t>
      </w:r>
      <w:proofErr w:type="gramStart"/>
      <w:r w:rsidRPr="001A3F11">
        <w:rPr>
          <w:rFonts w:eastAsia="Aptos" w:cs="SimSun"/>
          <w:color w:val="auto"/>
          <w:kern w:val="2"/>
          <w:lang w:val="en-US"/>
          <w14:ligatures w14:val="standardContextual"/>
        </w:rPr>
        <w:t>be in charge of</w:t>
      </w:r>
      <w:proofErr w:type="gramEnd"/>
      <w:r w:rsidRPr="001A3F11">
        <w:rPr>
          <w:rFonts w:eastAsia="Aptos" w:cs="SimSun"/>
          <w:color w:val="auto"/>
          <w:kern w:val="2"/>
          <w:lang w:val="en-US"/>
          <w14:ligatures w14:val="standardContextual"/>
        </w:rPr>
        <w:t xml:space="preserve"> promotions and sponsors. Volunteers will be expected to help in taking people’s details, helping the guests, and helping in the charity auction (Eventbrite, 2023).</w:t>
      </w:r>
    </w:p>
    <w:p w14:paraId="63143C84"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Planning Process</w:t>
      </w:r>
    </w:p>
    <w:p w14:paraId="1A628699"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To avoid the non-structured execution of events, a phased approach will be followed. Sponsorship and invitations and other affiliated matters, speakers and places will be confirmed one month before the event. Two months before the event, the marketing campaign will commence, tickets will be available in the market, and volunteers will be sought. A month before the event, rehearsals, technical run-throughs, and media sponsorship would be arranged. Contingency management to handle any issues that may arise on the day of the event will be conducted on the day as this type of event focuses on real-time execution.</w:t>
      </w:r>
    </w:p>
    <w:p w14:paraId="50D24B9C"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Marketing Strategies</w:t>
      </w:r>
    </w:p>
    <w:p w14:paraId="2EAB8A12"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It is important to have an effective marketing message for the event. In the social media marketing strategy, hospitality professionals will reach out on LinkedIn, Instagram, and Twitter to create awareness of the event and ticket sales. Establishing affiliations with these bodies such as Hospitality Action and The Burnt Chef Project will strengthen the company’s position and bring in more customers. The press will also be involved, as the event will be advertised by influencers and the coverage in Caterer.com and The Guardian.</w:t>
      </w:r>
    </w:p>
    <w:p w14:paraId="05DCABAF"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Logistics &amp; Accessibility</w:t>
      </w:r>
    </w:p>
    <w:p w14:paraId="7DB31590"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event will take place at The Grand, York, with a seating capacity of 200 guests and having full brunch offered. Accessibility measures will be ensured for the attendees such as wheelchair accessibility and specific areas for guests who are sensitive to noise. Safety and security precautions will entail measures such as crowd control, and emergency evacuation plans alongside compliance with GDPR on online registrations. </w:t>
      </w:r>
    </w:p>
    <w:p w14:paraId="5A4F2FF8" w14:textId="77777777" w:rsidR="00352AAD" w:rsidRPr="001A3F11" w:rsidRDefault="00352AAD" w:rsidP="00352AAD">
      <w:pPr>
        <w:rPr>
          <w:rFonts w:eastAsia="Aptos" w:cs="SimSun"/>
          <w:color w:val="auto"/>
          <w:kern w:val="2"/>
          <w:lang w:val="en-US"/>
          <w14:ligatures w14:val="standardContextual"/>
        </w:rPr>
      </w:pPr>
    </w:p>
    <w:p w14:paraId="2AF02446" w14:textId="77777777" w:rsidR="00352AAD" w:rsidRPr="001A3F11" w:rsidRDefault="00352AAD" w:rsidP="00352AAD">
      <w:pPr>
        <w:rPr>
          <w:rFonts w:eastAsia="Aptos" w:cs="SimSun"/>
          <w:color w:val="auto"/>
          <w:kern w:val="2"/>
          <w:lang w:val="en-US"/>
          <w14:ligatures w14:val="standardContextual"/>
        </w:rPr>
      </w:pPr>
    </w:p>
    <w:p w14:paraId="59AC497A" w14:textId="77777777" w:rsidR="00352AAD" w:rsidRPr="001A3F11" w:rsidRDefault="00352AAD" w:rsidP="00352AAD">
      <w:pPr>
        <w:rPr>
          <w:rFonts w:eastAsia="Aptos" w:cs="SimSun"/>
          <w:color w:val="auto"/>
          <w:kern w:val="2"/>
          <w:lang w:val="en-US"/>
          <w14:ligatures w14:val="standardContextual"/>
        </w:rPr>
      </w:pPr>
    </w:p>
    <w:p w14:paraId="418BA210"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24D52A5D"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8" w:name="_Toc190523066"/>
      <w:r w:rsidRPr="001A3F11">
        <w:rPr>
          <w:rFonts w:eastAsia="Times New Roman" w:cs="Times New Roman"/>
          <w:b/>
          <w:color w:val="auto"/>
          <w:kern w:val="2"/>
          <w:sz w:val="32"/>
          <w:szCs w:val="32"/>
          <w:lang w:val="en-US"/>
          <w14:ligatures w14:val="standardContextual"/>
        </w:rPr>
        <w:t>Event Budget</w:t>
      </w:r>
      <w:bookmarkEnd w:id="8"/>
    </w:p>
    <w:p w14:paraId="20C6F081"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A budgeting structure is important in assessing the financial possibility of implementing the Giving Table Charity Brunch. The event will also entail ticket sales, business sponsorships, and a charity sale where all cost aspects will be well budgeted to effectively tap the necessary funds.</w:t>
      </w:r>
    </w:p>
    <w:p w14:paraId="0B05399E"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9" w:name="_Toc190523067"/>
      <w:r w:rsidRPr="001A3F11">
        <w:rPr>
          <w:rFonts w:eastAsia="Times New Roman" w:cs="Times New Roman"/>
          <w:b/>
          <w:color w:val="auto"/>
          <w:kern w:val="2"/>
          <w:sz w:val="28"/>
          <w:szCs w:val="26"/>
          <w:lang w:val="en-US"/>
          <w14:ligatures w14:val="standardContextual"/>
        </w:rPr>
        <w:t>Projected Income and Expenditure</w:t>
      </w:r>
      <w:bookmarkEnd w:id="9"/>
    </w:p>
    <w:tbl>
      <w:tblPr>
        <w:tblStyle w:val="GridTable4-Accent51"/>
        <w:tblW w:w="0" w:type="auto"/>
        <w:tblLook w:val="04A0" w:firstRow="1" w:lastRow="0" w:firstColumn="1" w:lastColumn="0" w:noHBand="0" w:noVBand="1"/>
      </w:tblPr>
      <w:tblGrid>
        <w:gridCol w:w="4818"/>
        <w:gridCol w:w="1964"/>
        <w:gridCol w:w="2233"/>
      </w:tblGrid>
      <w:tr w:rsidR="00352AAD" w:rsidRPr="001A3F11" w14:paraId="08509C00" w14:textId="77777777" w:rsidTr="003C42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801114" w14:textId="77777777" w:rsidR="00352AAD" w:rsidRPr="001A3F11" w:rsidRDefault="00352AAD" w:rsidP="003C42F2">
            <w:pPr>
              <w:jc w:val="center"/>
              <w:rPr>
                <w:rFonts w:cs="SimSun"/>
                <w:color w:val="auto"/>
                <w:kern w:val="2"/>
                <w14:ligatures w14:val="standardContextual"/>
              </w:rPr>
            </w:pPr>
            <w:r w:rsidRPr="001A3F11">
              <w:rPr>
                <w:rFonts w:cs="SimSun"/>
                <w:color w:val="auto"/>
                <w:kern w:val="2"/>
                <w14:ligatures w14:val="standardContextual"/>
              </w:rPr>
              <w:t>Category</w:t>
            </w:r>
          </w:p>
        </w:tc>
        <w:tc>
          <w:tcPr>
            <w:tcW w:w="0" w:type="auto"/>
            <w:hideMark/>
          </w:tcPr>
          <w:p w14:paraId="661C0C52" w14:textId="77777777" w:rsidR="00352AAD" w:rsidRPr="001A3F11" w:rsidRDefault="00352AAD" w:rsidP="003C42F2">
            <w:pPr>
              <w:jc w:val="center"/>
              <w:cnfStyle w:val="100000000000" w:firstRow="1"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Estimated Cost (£)</w:t>
            </w:r>
          </w:p>
        </w:tc>
        <w:tc>
          <w:tcPr>
            <w:tcW w:w="0" w:type="auto"/>
            <w:hideMark/>
          </w:tcPr>
          <w:p w14:paraId="5D11A0BF" w14:textId="77777777" w:rsidR="00352AAD" w:rsidRPr="001A3F11" w:rsidRDefault="00352AAD" w:rsidP="003C42F2">
            <w:pPr>
              <w:jc w:val="center"/>
              <w:cnfStyle w:val="100000000000" w:firstRow="1"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Estimated Income (£)</w:t>
            </w:r>
          </w:p>
        </w:tc>
      </w:tr>
      <w:tr w:rsidR="00352AAD" w:rsidRPr="001A3F11" w14:paraId="0146DDB5"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D72F6"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Venue Rental (</w:t>
            </w:r>
            <w:r w:rsidRPr="001A3F11">
              <w:rPr>
                <w:rFonts w:cs="SimSun"/>
                <w:i/>
                <w:iCs/>
                <w:color w:val="auto"/>
                <w:kern w:val="2"/>
                <w14:ligatures w14:val="standardContextual"/>
              </w:rPr>
              <w:t>The Grand, York</w:t>
            </w:r>
            <w:r w:rsidRPr="001A3F11">
              <w:rPr>
                <w:rFonts w:cs="SimSun"/>
                <w:color w:val="auto"/>
                <w:kern w:val="2"/>
                <w14:ligatures w14:val="standardContextual"/>
              </w:rPr>
              <w:t>)</w:t>
            </w:r>
          </w:p>
        </w:tc>
        <w:tc>
          <w:tcPr>
            <w:tcW w:w="0" w:type="auto"/>
            <w:hideMark/>
          </w:tcPr>
          <w:p w14:paraId="42AFFB5E"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8,000</w:t>
            </w:r>
          </w:p>
        </w:tc>
        <w:tc>
          <w:tcPr>
            <w:tcW w:w="0" w:type="auto"/>
            <w:hideMark/>
          </w:tcPr>
          <w:p w14:paraId="744B213C"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7C548491"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16B4133E"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Catering (200 guests)</w:t>
            </w:r>
          </w:p>
        </w:tc>
        <w:tc>
          <w:tcPr>
            <w:tcW w:w="0" w:type="auto"/>
            <w:hideMark/>
          </w:tcPr>
          <w:p w14:paraId="1552E4A1"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10,000</w:t>
            </w:r>
          </w:p>
        </w:tc>
        <w:tc>
          <w:tcPr>
            <w:tcW w:w="0" w:type="auto"/>
            <w:hideMark/>
          </w:tcPr>
          <w:p w14:paraId="2819AED2"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5EC18DAA"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6EA1CD"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Marketing &amp; PR</w:t>
            </w:r>
          </w:p>
        </w:tc>
        <w:tc>
          <w:tcPr>
            <w:tcW w:w="0" w:type="auto"/>
            <w:hideMark/>
          </w:tcPr>
          <w:p w14:paraId="1C4225F1"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5,000</w:t>
            </w:r>
          </w:p>
        </w:tc>
        <w:tc>
          <w:tcPr>
            <w:tcW w:w="0" w:type="auto"/>
            <w:hideMark/>
          </w:tcPr>
          <w:p w14:paraId="30B65AAE"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01C235B5"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4264A566"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Speaker Fees &amp; Entertainment</w:t>
            </w:r>
          </w:p>
        </w:tc>
        <w:tc>
          <w:tcPr>
            <w:tcW w:w="0" w:type="auto"/>
            <w:hideMark/>
          </w:tcPr>
          <w:p w14:paraId="2A2A1073"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6,000</w:t>
            </w:r>
          </w:p>
        </w:tc>
        <w:tc>
          <w:tcPr>
            <w:tcW w:w="0" w:type="auto"/>
            <w:hideMark/>
          </w:tcPr>
          <w:p w14:paraId="2AC5CFD0"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31C9FACD"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931DC0"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Staffing &amp; Security</w:t>
            </w:r>
          </w:p>
        </w:tc>
        <w:tc>
          <w:tcPr>
            <w:tcW w:w="0" w:type="auto"/>
            <w:hideMark/>
          </w:tcPr>
          <w:p w14:paraId="30E8FCAF"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4,000</w:t>
            </w:r>
          </w:p>
        </w:tc>
        <w:tc>
          <w:tcPr>
            <w:tcW w:w="0" w:type="auto"/>
            <w:hideMark/>
          </w:tcPr>
          <w:p w14:paraId="75329D50"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632810C1"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2CA7642A"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Event Materials (Décor, Printing)</w:t>
            </w:r>
          </w:p>
        </w:tc>
        <w:tc>
          <w:tcPr>
            <w:tcW w:w="0" w:type="auto"/>
            <w:hideMark/>
          </w:tcPr>
          <w:p w14:paraId="2CBA62FF"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3,000</w:t>
            </w:r>
          </w:p>
        </w:tc>
        <w:tc>
          <w:tcPr>
            <w:tcW w:w="0" w:type="auto"/>
            <w:hideMark/>
          </w:tcPr>
          <w:p w14:paraId="05748BE9"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0D80BE20"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17B547"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Miscellaneous &amp; Contingency</w:t>
            </w:r>
          </w:p>
        </w:tc>
        <w:tc>
          <w:tcPr>
            <w:tcW w:w="0" w:type="auto"/>
            <w:hideMark/>
          </w:tcPr>
          <w:p w14:paraId="0F920D42"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4,000</w:t>
            </w:r>
          </w:p>
        </w:tc>
        <w:tc>
          <w:tcPr>
            <w:tcW w:w="0" w:type="auto"/>
            <w:hideMark/>
          </w:tcPr>
          <w:p w14:paraId="711353BF"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r>
      <w:tr w:rsidR="00352AAD" w:rsidRPr="001A3F11" w14:paraId="4FBE205A"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1F0A8F25"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Total Expenses</w:t>
            </w:r>
          </w:p>
        </w:tc>
        <w:tc>
          <w:tcPr>
            <w:tcW w:w="0" w:type="auto"/>
            <w:hideMark/>
          </w:tcPr>
          <w:p w14:paraId="732236C9"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b/>
                <w:bCs/>
                <w:color w:val="auto"/>
                <w:kern w:val="2"/>
                <w14:ligatures w14:val="standardContextual"/>
              </w:rPr>
              <w:t>40,000</w:t>
            </w:r>
          </w:p>
        </w:tc>
        <w:tc>
          <w:tcPr>
            <w:tcW w:w="0" w:type="auto"/>
            <w:hideMark/>
          </w:tcPr>
          <w:p w14:paraId="029CADA4"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p>
        </w:tc>
      </w:tr>
      <w:tr w:rsidR="00352AAD" w:rsidRPr="001A3F11" w14:paraId="6B267609"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C0A3E"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Ticket Sales (200 guests, £75 per ticket)</w:t>
            </w:r>
          </w:p>
        </w:tc>
        <w:tc>
          <w:tcPr>
            <w:tcW w:w="0" w:type="auto"/>
            <w:hideMark/>
          </w:tcPr>
          <w:p w14:paraId="3951CC6F"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c>
          <w:tcPr>
            <w:tcW w:w="0" w:type="auto"/>
            <w:hideMark/>
          </w:tcPr>
          <w:p w14:paraId="121C84FC"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15,000</w:t>
            </w:r>
          </w:p>
        </w:tc>
      </w:tr>
      <w:tr w:rsidR="00352AAD" w:rsidRPr="001A3F11" w14:paraId="40232DBB"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3D8B23D7"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Sponsorships (5 corporate sponsors, £5,000 each)</w:t>
            </w:r>
          </w:p>
        </w:tc>
        <w:tc>
          <w:tcPr>
            <w:tcW w:w="0" w:type="auto"/>
            <w:hideMark/>
          </w:tcPr>
          <w:p w14:paraId="1DEAD097"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c>
          <w:tcPr>
            <w:tcW w:w="0" w:type="auto"/>
            <w:hideMark/>
          </w:tcPr>
          <w:p w14:paraId="5450F065"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25,000</w:t>
            </w:r>
          </w:p>
        </w:tc>
      </w:tr>
      <w:tr w:rsidR="00352AAD" w:rsidRPr="001A3F11" w14:paraId="2303D7A3"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9E2D03"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Charity Auction &amp; Donations</w:t>
            </w:r>
          </w:p>
        </w:tc>
        <w:tc>
          <w:tcPr>
            <w:tcW w:w="0" w:type="auto"/>
            <w:hideMark/>
          </w:tcPr>
          <w:p w14:paraId="6F3189E7"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w:t>
            </w:r>
          </w:p>
        </w:tc>
        <w:tc>
          <w:tcPr>
            <w:tcW w:w="0" w:type="auto"/>
            <w:hideMark/>
          </w:tcPr>
          <w:p w14:paraId="5A845D80"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15,000</w:t>
            </w:r>
          </w:p>
        </w:tc>
      </w:tr>
      <w:tr w:rsidR="00352AAD" w:rsidRPr="001A3F11" w14:paraId="6AD2E2B8" w14:textId="77777777" w:rsidTr="003C42F2">
        <w:tc>
          <w:tcPr>
            <w:cnfStyle w:val="001000000000" w:firstRow="0" w:lastRow="0" w:firstColumn="1" w:lastColumn="0" w:oddVBand="0" w:evenVBand="0" w:oddHBand="0" w:evenHBand="0" w:firstRowFirstColumn="0" w:firstRowLastColumn="0" w:lastRowFirstColumn="0" w:lastRowLastColumn="0"/>
            <w:tcW w:w="0" w:type="auto"/>
            <w:hideMark/>
          </w:tcPr>
          <w:p w14:paraId="65743D69"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Total Income</w:t>
            </w:r>
          </w:p>
        </w:tc>
        <w:tc>
          <w:tcPr>
            <w:tcW w:w="0" w:type="auto"/>
            <w:hideMark/>
          </w:tcPr>
          <w:p w14:paraId="3764E400"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p>
        </w:tc>
        <w:tc>
          <w:tcPr>
            <w:tcW w:w="0" w:type="auto"/>
            <w:hideMark/>
          </w:tcPr>
          <w:p w14:paraId="348B9B55"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b/>
                <w:bCs/>
                <w:color w:val="auto"/>
                <w:kern w:val="2"/>
                <w14:ligatures w14:val="standardContextual"/>
              </w:rPr>
              <w:t>55,000</w:t>
            </w:r>
          </w:p>
        </w:tc>
      </w:tr>
      <w:tr w:rsidR="00352AAD" w:rsidRPr="001A3F11" w14:paraId="7ACD3B27"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509AB1"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Projected Surplus (for charity donation)</w:t>
            </w:r>
          </w:p>
        </w:tc>
        <w:tc>
          <w:tcPr>
            <w:tcW w:w="0" w:type="auto"/>
            <w:hideMark/>
          </w:tcPr>
          <w:p w14:paraId="2A4B36B8"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p>
        </w:tc>
        <w:tc>
          <w:tcPr>
            <w:tcW w:w="0" w:type="auto"/>
            <w:hideMark/>
          </w:tcPr>
          <w:p w14:paraId="227EF016"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b/>
                <w:bCs/>
                <w:color w:val="auto"/>
                <w:kern w:val="2"/>
                <w14:ligatures w14:val="standardContextual"/>
              </w:rPr>
              <w:t>15,000</w:t>
            </w:r>
          </w:p>
        </w:tc>
      </w:tr>
    </w:tbl>
    <w:p w14:paraId="2E634C18" w14:textId="77777777" w:rsidR="00352AAD" w:rsidRPr="001A3F11" w:rsidRDefault="00352AAD" w:rsidP="00352AAD">
      <w:pPr>
        <w:jc w:val="center"/>
        <w:rPr>
          <w:lang w:val="en-US"/>
        </w:rPr>
      </w:pPr>
      <w:bookmarkStart w:id="10" w:name="_Toc190523080"/>
      <w:r>
        <w:t xml:space="preserve">Table </w:t>
      </w:r>
      <w:r>
        <w:fldChar w:fldCharType="begin"/>
      </w:r>
      <w:r>
        <w:instrText xml:space="preserve"> SEQ Table \* ARABIC </w:instrText>
      </w:r>
      <w:r>
        <w:fldChar w:fldCharType="separate"/>
      </w:r>
      <w:r>
        <w:rPr>
          <w:noProof/>
        </w:rPr>
        <w:t>2</w:t>
      </w:r>
      <w:r>
        <w:fldChar w:fldCharType="end"/>
      </w:r>
      <w:r>
        <w:t xml:space="preserve">: Analysis of </w:t>
      </w:r>
      <w:r w:rsidRPr="00597B5D">
        <w:t>Projected Income and Expenditure</w:t>
      </w:r>
      <w:r>
        <w:t xml:space="preserve"> (</w:t>
      </w:r>
      <w:r>
        <w:rPr>
          <w:rFonts w:eastAsia="Aptos" w:cs="SimSun"/>
          <w:color w:val="auto"/>
          <w:kern w:val="2"/>
          <w:lang w:val="en-US"/>
          <w14:ligatures w14:val="standardContextual"/>
        </w:rPr>
        <w:t xml:space="preserve">Getz and Page, </w:t>
      </w:r>
      <w:r w:rsidRPr="009F7F7E">
        <w:rPr>
          <w:rFonts w:eastAsia="Aptos" w:cs="SimSun"/>
          <w:color w:val="auto"/>
          <w:kern w:val="2"/>
          <w:lang w:val="en-US"/>
          <w14:ligatures w14:val="standardContextual"/>
        </w:rPr>
        <w:t>2019)</w:t>
      </w:r>
      <w:bookmarkEnd w:id="10"/>
      <w:r w:rsidRPr="009F7F7E">
        <w:rPr>
          <w:rFonts w:eastAsia="Aptos" w:cs="SimSun"/>
          <w:color w:val="auto"/>
          <w:kern w:val="2"/>
          <w:lang w:val="en-US"/>
          <w14:ligatures w14:val="standardContextual"/>
        </w:rPr>
        <w:t xml:space="preserve"> </w:t>
      </w:r>
    </w:p>
    <w:p w14:paraId="326AF10A"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11" w:name="_Toc190523068"/>
      <w:r w:rsidRPr="001A3F11">
        <w:rPr>
          <w:rFonts w:eastAsia="Times New Roman" w:cs="Times New Roman"/>
          <w:b/>
          <w:color w:val="auto"/>
          <w:kern w:val="2"/>
          <w:sz w:val="28"/>
          <w:szCs w:val="26"/>
          <w:lang w:val="en-US"/>
          <w14:ligatures w14:val="standardContextual"/>
        </w:rPr>
        <w:t>Financial Justification</w:t>
      </w:r>
      <w:bookmarkEnd w:id="11"/>
    </w:p>
    <w:p w14:paraId="4BADC893"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budget projection shows that a surplus of £15, 000 will be maintained and contributed to mental health </w:t>
      </w:r>
      <w:proofErr w:type="spellStart"/>
      <w:r w:rsidRPr="001A3F11">
        <w:rPr>
          <w:rFonts w:eastAsia="Aptos" w:cs="SimSun"/>
          <w:color w:val="auto"/>
          <w:kern w:val="2"/>
          <w:lang w:val="en-US"/>
          <w14:ligatures w14:val="standardContextual"/>
        </w:rPr>
        <w:t>organisations</w:t>
      </w:r>
      <w:proofErr w:type="spellEnd"/>
      <w:r w:rsidRPr="001A3F11">
        <w:rPr>
          <w:rFonts w:eastAsia="Aptos" w:cs="SimSun"/>
          <w:color w:val="auto"/>
          <w:kern w:val="2"/>
          <w:lang w:val="en-US"/>
          <w14:ligatures w14:val="standardContextual"/>
        </w:rPr>
        <w:t xml:space="preserve"> to support hospitality staff. Sponsorship shall be the major source of income and is estimated to contribute 45% of the overall revenue. It also has been underscored by the fact that 72% of corporate sponsors prefer events organized for social causes (Eventbrite, 2023).</w:t>
      </w:r>
    </w:p>
    <w:p w14:paraId="64F4953A"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12" w:name="_Toc190523069"/>
      <w:r w:rsidRPr="001A3F11">
        <w:rPr>
          <w:rFonts w:eastAsia="Times New Roman" w:cs="Times New Roman"/>
          <w:b/>
          <w:color w:val="auto"/>
          <w:kern w:val="2"/>
          <w:sz w:val="28"/>
          <w:szCs w:val="26"/>
          <w:lang w:val="en-US"/>
          <w14:ligatures w14:val="standardContextual"/>
        </w:rPr>
        <w:t>Risk Mitigation</w:t>
      </w:r>
      <w:bookmarkEnd w:id="12"/>
    </w:p>
    <w:p w14:paraId="160DCC82" w14:textId="77777777" w:rsidR="00352AAD" w:rsidRPr="001A3F11" w:rsidRDefault="00352AAD" w:rsidP="00352AAD">
      <w:pPr>
        <w:numPr>
          <w:ilvl w:val="0"/>
          <w:numId w:val="1"/>
        </w:numPr>
        <w:contextualSpacing/>
        <w:rPr>
          <w:rFonts w:eastAsia="Aptos" w:cs="SimSun"/>
          <w:color w:val="auto"/>
          <w:kern w:val="2"/>
          <w:lang w:val="en-US"/>
          <w14:ligatures w14:val="standardContextual"/>
        </w:rPr>
      </w:pPr>
      <w:r w:rsidRPr="001A3F11">
        <w:rPr>
          <w:rFonts w:eastAsia="Aptos" w:cs="SimSun"/>
          <w:color w:val="auto"/>
          <w:kern w:val="2"/>
          <w:lang w:val="en-US"/>
          <w14:ligatures w14:val="standardContextual"/>
        </w:rPr>
        <w:t>If set sponsorship goals are not achieved, the ticket prices might be increased or other fund-raising strategies implemented.</w:t>
      </w:r>
    </w:p>
    <w:p w14:paraId="2A6B4310" w14:textId="77777777" w:rsidR="00352AAD" w:rsidRPr="001A3F11" w:rsidRDefault="00352AAD" w:rsidP="00352AAD">
      <w:pPr>
        <w:numPr>
          <w:ilvl w:val="0"/>
          <w:numId w:val="1"/>
        </w:numPr>
        <w:contextualSpacing/>
        <w:rPr>
          <w:rFonts w:eastAsia="Aptos" w:cs="SimSun"/>
          <w:color w:val="auto"/>
          <w:kern w:val="2"/>
          <w:lang w:val="en-US"/>
          <w14:ligatures w14:val="standardContextual"/>
        </w:rPr>
      </w:pPr>
      <w:r w:rsidRPr="001A3F11">
        <w:rPr>
          <w:rFonts w:eastAsia="Aptos" w:cs="SimSun"/>
          <w:color w:val="auto"/>
          <w:kern w:val="2"/>
          <w:lang w:val="en-US"/>
          <w14:ligatures w14:val="standardContextual"/>
        </w:rPr>
        <w:t>Cost reduction control will be put in place such as Procuring materials for the event in-kind.</w:t>
      </w:r>
    </w:p>
    <w:p w14:paraId="6FF87A40" w14:textId="77777777" w:rsidR="00352AAD" w:rsidRPr="001A3F11" w:rsidRDefault="00352AAD" w:rsidP="00352AAD">
      <w:pPr>
        <w:ind w:left="360"/>
        <w:rPr>
          <w:rFonts w:eastAsia="Aptos" w:cs="SimSun"/>
          <w:color w:val="auto"/>
          <w:kern w:val="2"/>
          <w:lang w:val="en-US"/>
          <w14:ligatures w14:val="standardContextual"/>
        </w:rPr>
      </w:pPr>
      <w:r w:rsidRPr="001A3F11">
        <w:rPr>
          <w:rFonts w:eastAsia="Aptos" w:cs="SimSun"/>
          <w:color w:val="auto"/>
          <w:kern w:val="2"/>
          <w:lang w:val="en-US"/>
          <w14:ligatures w14:val="standardContextual"/>
        </w:rPr>
        <w:t>Balancing the amounts of money spent and earned enables the event’s management to remain financially stable and generate charitable goals.</w:t>
      </w:r>
    </w:p>
    <w:p w14:paraId="2A76E75B"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2E965C83"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13" w:name="_Toc190523070"/>
      <w:r w:rsidRPr="001A3F11">
        <w:rPr>
          <w:rFonts w:eastAsia="Times New Roman" w:cs="Times New Roman"/>
          <w:b/>
          <w:color w:val="auto"/>
          <w:kern w:val="2"/>
          <w:sz w:val="32"/>
          <w:szCs w:val="32"/>
          <w:lang w:val="en-US"/>
          <w14:ligatures w14:val="standardContextual"/>
        </w:rPr>
        <w:t>Industry Trends, Issues, and Impacts</w:t>
      </w:r>
      <w:bookmarkEnd w:id="13"/>
    </w:p>
    <w:p w14:paraId="5967C7E2"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Giving Table Charity Brunch complies with the main trends in the industry and focuses on the critical problems of the UK hospitality industry. There is a growing interest in mental health as the </w:t>
      </w:r>
      <w:proofErr w:type="spellStart"/>
      <w:r w:rsidRPr="001A3F11">
        <w:rPr>
          <w:rFonts w:eastAsia="Aptos" w:cs="SimSun"/>
          <w:color w:val="auto"/>
          <w:kern w:val="2"/>
          <w:lang w:val="en-US"/>
          <w14:ligatures w14:val="standardContextual"/>
        </w:rPr>
        <w:t>organisation</w:t>
      </w:r>
      <w:proofErr w:type="spellEnd"/>
      <w:r w:rsidRPr="001A3F11">
        <w:rPr>
          <w:rFonts w:eastAsia="Aptos" w:cs="SimSun"/>
          <w:color w:val="auto"/>
          <w:kern w:val="2"/>
          <w:lang w:val="en-US"/>
          <w14:ligatures w14:val="standardContextual"/>
        </w:rPr>
        <w:t xml:space="preserve"> learns the effects on their employees and bottom line.</w:t>
      </w:r>
    </w:p>
    <w:p w14:paraId="7D6C0F13"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Mental Health in Hospitality</w:t>
      </w:r>
    </w:p>
    <w:p w14:paraId="358B5446"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Hospitality is one of the most demanding sectors in terms of working conditions, with more than three-fourths of the workers experiencing burnout and almost half of the employees thinking about quitting because of mental health issues (</w:t>
      </w:r>
      <w:proofErr w:type="spellStart"/>
      <w:r w:rsidRPr="001A3F11">
        <w:rPr>
          <w:rFonts w:eastAsia="Aptos" w:cs="SimSun"/>
          <w:color w:val="auto"/>
          <w:kern w:val="2"/>
          <w:lang w:val="en-US"/>
          <w14:ligatures w14:val="standardContextual"/>
        </w:rPr>
        <w:t>UKHospitality</w:t>
      </w:r>
      <w:proofErr w:type="spellEnd"/>
      <w:r w:rsidRPr="001A3F11">
        <w:rPr>
          <w:rFonts w:eastAsia="Aptos" w:cs="SimSun"/>
          <w:color w:val="auto"/>
          <w:kern w:val="2"/>
          <w:lang w:val="en-US"/>
          <w14:ligatures w14:val="standardContextual"/>
        </w:rPr>
        <w:t>, 2023). This makes events such as The Giving Table Charity Brunch important and useful as employers are now taking an interest in the well-being of their employees.</w:t>
      </w:r>
    </w:p>
    <w:p w14:paraId="3D2CCB62"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Rise of Corporate Social Responsibility (CSR) Events</w:t>
      </w:r>
    </w:p>
    <w:p w14:paraId="7A835327"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trend towards CSR events has been on the rise, but 80% of companies in the hospitality industry participate in social responsibility programs (British Hospitality Association, 2023). This event can also enable </w:t>
      </w:r>
      <w:proofErr w:type="spellStart"/>
      <w:r w:rsidRPr="001A3F11">
        <w:rPr>
          <w:rFonts w:eastAsia="Aptos" w:cs="SimSun"/>
          <w:color w:val="auto"/>
          <w:kern w:val="2"/>
          <w:lang w:val="en-US"/>
          <w14:ligatures w14:val="standardContextual"/>
        </w:rPr>
        <w:t>organisations</w:t>
      </w:r>
      <w:proofErr w:type="spellEnd"/>
      <w:r w:rsidRPr="001A3F11">
        <w:rPr>
          <w:rFonts w:eastAsia="Aptos" w:cs="SimSun"/>
          <w:color w:val="auto"/>
          <w:kern w:val="2"/>
          <w:lang w:val="en-US"/>
          <w14:ligatures w14:val="standardContextual"/>
        </w:rPr>
        <w:t xml:space="preserve"> to demonstrate their support for the cause of mental health hence improving their brand image and relations.</w:t>
      </w:r>
    </w:p>
    <w:p w14:paraId="1B19F63B"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Technology Integration in Events</w:t>
      </w:r>
    </w:p>
    <w:p w14:paraId="4E080109"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The use of hybrid and digitality is being integrated into events more and more these days. It is possible to increase the event’s coverage by live-streaming the keynote speeches and providing online donation facilities. According to Eventbrite, its research indicates that hybrid events help to attract 30% more of the audience’s attention and raise 25% more funds.</w:t>
      </w:r>
    </w:p>
    <w:p w14:paraId="241C9AAD" w14:textId="77777777" w:rsidR="00352AAD" w:rsidRPr="001A3F11" w:rsidRDefault="00352AAD" w:rsidP="00352AAD">
      <w:pPr>
        <w:rPr>
          <w:rFonts w:eastAsia="Aptos" w:cs="SimSun"/>
          <w:b/>
          <w:color w:val="auto"/>
          <w:kern w:val="2"/>
          <w:lang w:val="en-US"/>
          <w14:ligatures w14:val="standardContextual"/>
        </w:rPr>
      </w:pPr>
      <w:r w:rsidRPr="001A3F11">
        <w:rPr>
          <w:rFonts w:eastAsia="Aptos" w:cs="SimSun"/>
          <w:b/>
          <w:color w:val="auto"/>
          <w:kern w:val="2"/>
          <w:lang w:val="en-US"/>
          <w14:ligatures w14:val="standardContextual"/>
        </w:rPr>
        <w:t>Sustainability Practices</w:t>
      </w:r>
    </w:p>
    <w:p w14:paraId="7866A19B"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Sustainability is now part of the mainstream event management. The brunch will have environmentally friendly practices such as buying local products, recycling and avoiding printed materials where possible. As shown in the Event Sustainability Report (2023), 67 % of the attendees are concerned with sustainable events That means that sustainability is an important consideration when planning an event.</w:t>
      </w:r>
    </w:p>
    <w:p w14:paraId="1452B172"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436E18BD"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14" w:name="_Toc190523071"/>
      <w:r w:rsidRPr="001A3F11">
        <w:rPr>
          <w:rFonts w:eastAsia="Times New Roman" w:cs="Times New Roman"/>
          <w:b/>
          <w:color w:val="auto"/>
          <w:kern w:val="2"/>
          <w:sz w:val="32"/>
          <w:szCs w:val="32"/>
          <w:lang w:val="en-US"/>
          <w14:ligatures w14:val="standardContextual"/>
        </w:rPr>
        <w:t>Situational and Cultural Considerations</w:t>
      </w:r>
      <w:bookmarkEnd w:id="14"/>
    </w:p>
    <w:p w14:paraId="71B7D895"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An evaluation of the situational and cultural factors is crucial in making The Giving Table Charity Brunch a success. The event should in equal measure be relevant to the requirements of the hospitality industry and </w:t>
      </w:r>
      <w:proofErr w:type="spellStart"/>
      <w:r w:rsidRPr="001A3F11">
        <w:rPr>
          <w:rFonts w:eastAsia="Aptos" w:cs="SimSun"/>
          <w:color w:val="auto"/>
          <w:kern w:val="2"/>
          <w:lang w:val="en-US"/>
          <w14:ligatures w14:val="standardContextual"/>
        </w:rPr>
        <w:t>favourable</w:t>
      </w:r>
      <w:proofErr w:type="spellEnd"/>
      <w:r w:rsidRPr="001A3F11">
        <w:rPr>
          <w:rFonts w:eastAsia="Aptos" w:cs="SimSun"/>
          <w:color w:val="auto"/>
          <w:kern w:val="2"/>
          <w:lang w:val="en-US"/>
          <w14:ligatures w14:val="standardContextual"/>
        </w:rPr>
        <w:t xml:space="preserve"> to the overall socio-economic environment. SWOT analysis will determine the strengths and weaknesses of the event, as well as opportunities and threats from the external environment.</w:t>
      </w:r>
    </w:p>
    <w:p w14:paraId="34FCC8BC"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15" w:name="_Toc190523072"/>
      <w:r w:rsidRPr="001A3F11">
        <w:rPr>
          <w:rFonts w:eastAsia="Times New Roman" w:cs="Times New Roman"/>
          <w:b/>
          <w:color w:val="auto"/>
          <w:kern w:val="2"/>
          <w:sz w:val="28"/>
          <w:szCs w:val="26"/>
          <w:lang w:val="en-US"/>
          <w14:ligatures w14:val="standardContextual"/>
        </w:rPr>
        <w:t>SWOT Analysis</w:t>
      </w:r>
      <w:bookmarkEnd w:id="15"/>
    </w:p>
    <w:tbl>
      <w:tblPr>
        <w:tblStyle w:val="GridTable5Dark-Accent51"/>
        <w:tblW w:w="0" w:type="auto"/>
        <w:tblLook w:val="04A0" w:firstRow="1" w:lastRow="0" w:firstColumn="1" w:lastColumn="0" w:noHBand="0" w:noVBand="1"/>
      </w:tblPr>
      <w:tblGrid>
        <w:gridCol w:w="1537"/>
        <w:gridCol w:w="7813"/>
      </w:tblGrid>
      <w:tr w:rsidR="00352AAD" w:rsidRPr="001A3F11" w14:paraId="14C6016C" w14:textId="77777777" w:rsidTr="003C42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hideMark/>
          </w:tcPr>
          <w:p w14:paraId="60ADB0D5" w14:textId="77777777" w:rsidR="00352AAD" w:rsidRPr="001A3F11" w:rsidRDefault="00352AAD" w:rsidP="003C42F2">
            <w:pPr>
              <w:jc w:val="center"/>
              <w:rPr>
                <w:rFonts w:cs="SimSun"/>
                <w:color w:val="auto"/>
                <w:kern w:val="2"/>
                <w14:ligatures w14:val="standardContextual"/>
              </w:rPr>
            </w:pPr>
            <w:r w:rsidRPr="001A3F11">
              <w:rPr>
                <w:rFonts w:cs="SimSun"/>
                <w:color w:val="auto"/>
                <w:kern w:val="2"/>
                <w14:ligatures w14:val="standardContextual"/>
              </w:rPr>
              <w:t>Factor</w:t>
            </w:r>
          </w:p>
        </w:tc>
        <w:tc>
          <w:tcPr>
            <w:tcW w:w="0" w:type="auto"/>
            <w:shd w:val="clear" w:color="auto" w:fill="D9E2F3"/>
            <w:hideMark/>
          </w:tcPr>
          <w:p w14:paraId="0265C1BC" w14:textId="77777777" w:rsidR="00352AAD" w:rsidRPr="001A3F11" w:rsidRDefault="00352AAD" w:rsidP="003C42F2">
            <w:pPr>
              <w:jc w:val="center"/>
              <w:cnfStyle w:val="100000000000" w:firstRow="1"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Details</w:t>
            </w:r>
          </w:p>
        </w:tc>
      </w:tr>
      <w:tr w:rsidR="00352AAD" w:rsidRPr="001A3F11" w14:paraId="5AA5C056"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hideMark/>
          </w:tcPr>
          <w:p w14:paraId="0B314197"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Strengths</w:t>
            </w:r>
          </w:p>
        </w:tc>
        <w:tc>
          <w:tcPr>
            <w:tcW w:w="0" w:type="auto"/>
            <w:shd w:val="clear" w:color="auto" w:fill="D9E2F3"/>
            <w:hideMark/>
          </w:tcPr>
          <w:p w14:paraId="7BADEE8E"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 xml:space="preserve">- Unique focus on mental health, differentiating it from general hospitality events. </w:t>
            </w:r>
            <w:r w:rsidRPr="001A3F11">
              <w:rPr>
                <w:rFonts w:cs="SimSun"/>
                <w:color w:val="auto"/>
                <w:kern w:val="2"/>
                <w14:ligatures w14:val="standardContextual"/>
              </w:rPr>
              <w:br/>
              <w:t xml:space="preserve">- Strong industry partnerships with </w:t>
            </w:r>
            <w:r w:rsidRPr="001A3F11">
              <w:rPr>
                <w:rFonts w:cs="SimSun"/>
                <w:i/>
                <w:iCs/>
                <w:color w:val="auto"/>
                <w:kern w:val="2"/>
                <w14:ligatures w14:val="standardContextual"/>
              </w:rPr>
              <w:t>Hospitality Action</w:t>
            </w:r>
            <w:r w:rsidRPr="001A3F11">
              <w:rPr>
                <w:rFonts w:cs="SimSun"/>
                <w:color w:val="auto"/>
                <w:kern w:val="2"/>
                <w14:ligatures w14:val="standardContextual"/>
              </w:rPr>
              <w:t xml:space="preserve"> and </w:t>
            </w:r>
            <w:r w:rsidRPr="001A3F11">
              <w:rPr>
                <w:rFonts w:cs="SimSun"/>
                <w:i/>
                <w:iCs/>
                <w:color w:val="auto"/>
                <w:kern w:val="2"/>
                <w14:ligatures w14:val="standardContextual"/>
              </w:rPr>
              <w:t>The Burnt Chef Project</w:t>
            </w:r>
            <w:r w:rsidRPr="001A3F11">
              <w:rPr>
                <w:rFonts w:cs="SimSun"/>
                <w:color w:val="auto"/>
                <w:kern w:val="2"/>
                <w14:ligatures w14:val="standardContextual"/>
              </w:rPr>
              <w:t xml:space="preserve">. </w:t>
            </w:r>
            <w:r w:rsidRPr="001A3F11">
              <w:rPr>
                <w:rFonts w:cs="SimSun"/>
                <w:color w:val="auto"/>
                <w:kern w:val="2"/>
                <w14:ligatures w14:val="standardContextual"/>
              </w:rPr>
              <w:br/>
              <w:t>- Prestigious venue (</w:t>
            </w:r>
            <w:r w:rsidRPr="001A3F11">
              <w:rPr>
                <w:rFonts w:cs="SimSun"/>
                <w:i/>
                <w:iCs/>
                <w:color w:val="auto"/>
                <w:kern w:val="2"/>
                <w14:ligatures w14:val="standardContextual"/>
              </w:rPr>
              <w:t>The Grand, York</w:t>
            </w:r>
            <w:r w:rsidRPr="001A3F11">
              <w:rPr>
                <w:rFonts w:cs="SimSun"/>
                <w:color w:val="auto"/>
                <w:kern w:val="2"/>
                <w14:ligatures w14:val="standardContextual"/>
              </w:rPr>
              <w:t>) attracts high-profile attendees.</w:t>
            </w:r>
          </w:p>
        </w:tc>
      </w:tr>
      <w:tr w:rsidR="00352AAD" w:rsidRPr="001A3F11" w14:paraId="5B96D154" w14:textId="77777777" w:rsidTr="003C42F2">
        <w:tc>
          <w:tcPr>
            <w:cnfStyle w:val="001000000000" w:firstRow="0" w:lastRow="0" w:firstColumn="1" w:lastColumn="0" w:oddVBand="0" w:evenVBand="0" w:oddHBand="0" w:evenHBand="0" w:firstRowFirstColumn="0" w:firstRowLastColumn="0" w:lastRowFirstColumn="0" w:lastRowLastColumn="0"/>
            <w:tcW w:w="0" w:type="auto"/>
            <w:shd w:val="clear" w:color="auto" w:fill="D9E2F3"/>
            <w:hideMark/>
          </w:tcPr>
          <w:p w14:paraId="23D07BBC"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Weaknesses</w:t>
            </w:r>
          </w:p>
        </w:tc>
        <w:tc>
          <w:tcPr>
            <w:tcW w:w="0" w:type="auto"/>
            <w:hideMark/>
          </w:tcPr>
          <w:p w14:paraId="1027A2A2"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 xml:space="preserve">- High operational costs, requiring strong sponsorship backing. </w:t>
            </w:r>
            <w:r w:rsidRPr="001A3F11">
              <w:rPr>
                <w:rFonts w:cs="SimSun"/>
                <w:color w:val="auto"/>
                <w:kern w:val="2"/>
                <w14:ligatures w14:val="standardContextual"/>
              </w:rPr>
              <w:br/>
              <w:t>- Competition from other charity events targeting general workplace well-being.</w:t>
            </w:r>
          </w:p>
        </w:tc>
      </w:tr>
      <w:tr w:rsidR="00352AAD" w:rsidRPr="001A3F11" w14:paraId="63507921" w14:textId="77777777" w:rsidTr="003C42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hideMark/>
          </w:tcPr>
          <w:p w14:paraId="43E9715C"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Opportunities</w:t>
            </w:r>
          </w:p>
        </w:tc>
        <w:tc>
          <w:tcPr>
            <w:tcW w:w="0" w:type="auto"/>
            <w:shd w:val="clear" w:color="auto" w:fill="D9E2F3"/>
            <w:hideMark/>
          </w:tcPr>
          <w:p w14:paraId="6DAEBB33" w14:textId="77777777" w:rsidR="00352AAD" w:rsidRPr="001A3F11" w:rsidRDefault="00352AAD" w:rsidP="003C42F2">
            <w:pPr>
              <w:cnfStyle w:val="000000100000" w:firstRow="0" w:lastRow="0" w:firstColumn="0" w:lastColumn="0" w:oddVBand="0" w:evenVBand="0" w:oddHBand="1"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 xml:space="preserve">- Growing corporate interest in </w:t>
            </w:r>
            <w:r w:rsidRPr="001A3F11">
              <w:rPr>
                <w:rFonts w:cs="SimSun"/>
                <w:i/>
                <w:iCs/>
                <w:color w:val="auto"/>
                <w:kern w:val="2"/>
                <w14:ligatures w14:val="standardContextual"/>
              </w:rPr>
              <w:t>mental health and CSR initiatives</w:t>
            </w:r>
            <w:r>
              <w:rPr>
                <w:rFonts w:cs="SimSun"/>
                <w:color w:val="auto"/>
                <w:kern w:val="2"/>
                <w14:ligatures w14:val="standardContextual"/>
              </w:rPr>
              <w:t xml:space="preserve"> (UKHospitality,</w:t>
            </w:r>
            <w:r w:rsidRPr="001A3F11">
              <w:rPr>
                <w:rFonts w:cs="SimSun"/>
                <w:color w:val="auto"/>
                <w:kern w:val="2"/>
                <w14:ligatures w14:val="standardContextual"/>
              </w:rPr>
              <w:t xml:space="preserve">2023). </w:t>
            </w:r>
            <w:r w:rsidRPr="001A3F11">
              <w:rPr>
                <w:rFonts w:cs="SimSun"/>
                <w:color w:val="auto"/>
                <w:kern w:val="2"/>
                <w14:ligatures w14:val="standardContextual"/>
              </w:rPr>
              <w:br/>
              <w:t xml:space="preserve">- Potential for event expansion into an annual conference. </w:t>
            </w:r>
            <w:r w:rsidRPr="001A3F11">
              <w:rPr>
                <w:rFonts w:cs="SimSun"/>
                <w:color w:val="auto"/>
                <w:kern w:val="2"/>
                <w14:ligatures w14:val="standardContextual"/>
              </w:rPr>
              <w:br/>
              <w:t>- Digital integration (live streaming, online donations) to enhance reach.</w:t>
            </w:r>
          </w:p>
        </w:tc>
      </w:tr>
      <w:tr w:rsidR="00352AAD" w:rsidRPr="001A3F11" w14:paraId="2E77FE46" w14:textId="77777777" w:rsidTr="003C42F2">
        <w:tc>
          <w:tcPr>
            <w:cnfStyle w:val="001000000000" w:firstRow="0" w:lastRow="0" w:firstColumn="1" w:lastColumn="0" w:oddVBand="0" w:evenVBand="0" w:oddHBand="0" w:evenHBand="0" w:firstRowFirstColumn="0" w:firstRowLastColumn="0" w:lastRowFirstColumn="0" w:lastRowLastColumn="0"/>
            <w:tcW w:w="0" w:type="auto"/>
            <w:shd w:val="clear" w:color="auto" w:fill="D9E2F3"/>
            <w:hideMark/>
          </w:tcPr>
          <w:p w14:paraId="2143CC85" w14:textId="77777777" w:rsidR="00352AAD" w:rsidRPr="001A3F11" w:rsidRDefault="00352AAD" w:rsidP="003C42F2">
            <w:pPr>
              <w:rPr>
                <w:rFonts w:cs="SimSun"/>
                <w:color w:val="auto"/>
                <w:kern w:val="2"/>
                <w14:ligatures w14:val="standardContextual"/>
              </w:rPr>
            </w:pPr>
            <w:r w:rsidRPr="001A3F11">
              <w:rPr>
                <w:rFonts w:cs="SimSun"/>
                <w:color w:val="auto"/>
                <w:kern w:val="2"/>
                <w14:ligatures w14:val="standardContextual"/>
              </w:rPr>
              <w:t>Threats</w:t>
            </w:r>
          </w:p>
        </w:tc>
        <w:tc>
          <w:tcPr>
            <w:tcW w:w="0" w:type="auto"/>
            <w:hideMark/>
          </w:tcPr>
          <w:p w14:paraId="4109C283" w14:textId="77777777" w:rsidR="00352AAD" w:rsidRPr="001A3F11" w:rsidRDefault="00352AAD" w:rsidP="003C42F2">
            <w:pPr>
              <w:cnfStyle w:val="000000000000" w:firstRow="0" w:lastRow="0" w:firstColumn="0" w:lastColumn="0" w:oddVBand="0" w:evenVBand="0" w:oddHBand="0" w:evenHBand="0" w:firstRowFirstColumn="0" w:firstRowLastColumn="0" w:lastRowFirstColumn="0" w:lastRowLastColumn="0"/>
              <w:rPr>
                <w:rFonts w:cs="SimSun"/>
                <w:color w:val="auto"/>
                <w:kern w:val="2"/>
                <w14:ligatures w14:val="standardContextual"/>
              </w:rPr>
            </w:pPr>
            <w:r w:rsidRPr="001A3F11">
              <w:rPr>
                <w:rFonts w:cs="SimSun"/>
                <w:color w:val="auto"/>
                <w:kern w:val="2"/>
                <w14:ligatures w14:val="standardContextual"/>
              </w:rPr>
              <w:t xml:space="preserve">- Economic downturns </w:t>
            </w:r>
            <w:r>
              <w:rPr>
                <w:rFonts w:cs="SimSun"/>
                <w:color w:val="auto"/>
                <w:kern w:val="2"/>
                <w14:ligatures w14:val="standardContextual"/>
              </w:rPr>
              <w:t>affect</w:t>
            </w:r>
            <w:r w:rsidRPr="001A3F11">
              <w:rPr>
                <w:rFonts w:cs="SimSun"/>
                <w:color w:val="auto"/>
                <w:kern w:val="2"/>
                <w14:ligatures w14:val="standardContextual"/>
              </w:rPr>
              <w:t xml:space="preserve"> sponsorship commitments. </w:t>
            </w:r>
            <w:r w:rsidRPr="001A3F11">
              <w:rPr>
                <w:rFonts w:cs="SimSun"/>
                <w:color w:val="auto"/>
                <w:kern w:val="2"/>
                <w14:ligatures w14:val="standardContextual"/>
              </w:rPr>
              <w:br/>
              <w:t>- Logistical risks, including staff shortages and unforeseen disruptions.</w:t>
            </w:r>
          </w:p>
        </w:tc>
      </w:tr>
    </w:tbl>
    <w:p w14:paraId="4C627F5F" w14:textId="77777777" w:rsidR="00352AAD" w:rsidRPr="001A3F11" w:rsidRDefault="00352AAD" w:rsidP="00352AAD">
      <w:pPr>
        <w:jc w:val="center"/>
        <w:rPr>
          <w:rFonts w:eastAsia="Aptos" w:cs="SimSun"/>
          <w:color w:val="auto"/>
          <w:kern w:val="2"/>
          <w:lang w:val="en-US"/>
          <w14:ligatures w14:val="standardContextual"/>
        </w:rPr>
      </w:pPr>
      <w:bookmarkStart w:id="16" w:name="_Toc190523081"/>
      <w:r>
        <w:t xml:space="preserve">Table </w:t>
      </w:r>
      <w:r>
        <w:fldChar w:fldCharType="begin"/>
      </w:r>
      <w:r>
        <w:instrText xml:space="preserve"> SEQ Table \* ARABIC </w:instrText>
      </w:r>
      <w:r>
        <w:fldChar w:fldCharType="separate"/>
      </w:r>
      <w:r>
        <w:rPr>
          <w:noProof/>
        </w:rPr>
        <w:t>3</w:t>
      </w:r>
      <w:r>
        <w:fldChar w:fldCharType="end"/>
      </w:r>
      <w:r>
        <w:t xml:space="preserve">: </w:t>
      </w:r>
      <w:r w:rsidRPr="002E7909">
        <w:t>SWOT Analysis</w:t>
      </w:r>
      <w:r>
        <w:t xml:space="preserve"> Framework (</w:t>
      </w:r>
      <w:r>
        <w:rPr>
          <w:rFonts w:eastAsia="Aptos" w:cs="SimSun"/>
          <w:color w:val="auto"/>
          <w:kern w:val="2"/>
          <w:lang w:val="en-US"/>
          <w14:ligatures w14:val="standardContextual"/>
        </w:rPr>
        <w:t xml:space="preserve">O’Toole, </w:t>
      </w:r>
      <w:r w:rsidRPr="009F7F7E">
        <w:rPr>
          <w:rFonts w:eastAsia="Aptos" w:cs="SimSun"/>
          <w:color w:val="auto"/>
          <w:kern w:val="2"/>
          <w:lang w:val="en-US"/>
          <w14:ligatures w14:val="standardContextual"/>
        </w:rPr>
        <w:t>2011)</w:t>
      </w:r>
      <w:bookmarkEnd w:id="16"/>
      <w:r w:rsidRPr="009F7F7E">
        <w:rPr>
          <w:rFonts w:eastAsia="Aptos" w:cs="SimSun"/>
          <w:color w:val="auto"/>
          <w:kern w:val="2"/>
          <w:lang w:val="en-US"/>
          <w14:ligatures w14:val="standardContextual"/>
        </w:rPr>
        <w:t xml:space="preserve"> </w:t>
      </w:r>
    </w:p>
    <w:p w14:paraId="79BD4556"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17" w:name="_Toc190523073"/>
      <w:r w:rsidRPr="001A3F11">
        <w:rPr>
          <w:rFonts w:eastAsia="Times New Roman" w:cs="Times New Roman"/>
          <w:b/>
          <w:color w:val="auto"/>
          <w:kern w:val="2"/>
          <w:sz w:val="28"/>
          <w:szCs w:val="26"/>
          <w:lang w:val="en-US"/>
          <w14:ligatures w14:val="standardContextual"/>
        </w:rPr>
        <w:t>Cultural Considerations</w:t>
      </w:r>
      <w:bookmarkEnd w:id="17"/>
    </w:p>
    <w:p w14:paraId="6D19EEAC"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Cultural sensitivity is very important in the UK since approximately one out of three workers employed in hospitality are non-British (ONS, 2023). To encourage equality during the event the following measures are taken. There is a focus on equality among the speakers, which includes professionals from the diverse population of the working environment. Multilingualism is also taken care of in the way that the main documents of every event are translated into multiple languages thus increasing accessibility. However, more importantly, cultural attitudes towards mental health also differ, and some may differ in their approach. To address this challenge, the event will focus on sharing people’s stories and incorporate testimonies of other industry players who have suffered from mental health issues.</w:t>
      </w:r>
    </w:p>
    <w:p w14:paraId="16E6350C"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18" w:name="_Toc190523074"/>
      <w:r w:rsidRPr="001A3F11">
        <w:rPr>
          <w:rFonts w:eastAsia="Times New Roman" w:cs="Times New Roman"/>
          <w:b/>
          <w:color w:val="auto"/>
          <w:kern w:val="2"/>
          <w:sz w:val="28"/>
          <w:szCs w:val="26"/>
          <w:lang w:val="en-US"/>
          <w14:ligatures w14:val="standardContextual"/>
        </w:rPr>
        <w:t>Business Analysis Tools</w:t>
      </w:r>
      <w:bookmarkEnd w:id="18"/>
    </w:p>
    <w:p w14:paraId="188DCAE1"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xml:space="preserve">The main external factors that can affect the chances of success at the event are captured by the PESTLE analysis. From a political perspective, the event supports the UK Mental Health at Work 2023 policy to support mental health at the workplace. On the economic dimension, the cost of living could lead to reduced ticket sales but on the other hand, may lead to increased corporate sponsorship since </w:t>
      </w:r>
      <w:proofErr w:type="spellStart"/>
      <w:r w:rsidRPr="001A3F11">
        <w:rPr>
          <w:rFonts w:eastAsia="Aptos" w:cs="SimSun"/>
          <w:color w:val="auto"/>
          <w:kern w:val="2"/>
          <w:lang w:val="en-US"/>
          <w14:ligatures w14:val="standardContextual"/>
        </w:rPr>
        <w:t>organisations</w:t>
      </w:r>
      <w:proofErr w:type="spellEnd"/>
      <w:r w:rsidRPr="001A3F11">
        <w:rPr>
          <w:rFonts w:eastAsia="Aptos" w:cs="SimSun"/>
          <w:color w:val="auto"/>
          <w:kern w:val="2"/>
          <w:lang w:val="en-US"/>
          <w14:ligatures w14:val="standardContextual"/>
        </w:rPr>
        <w:t xml:space="preserve"> develop their Corporate Social Responsibilities. On the social level, it is good to see the increased focus on mental health in the industry and such events as this are much needed. In terms of technology, online platforms for fundraising and live streams increase convenience and target individuals. From a legal perspective, it meets the legal requirement of the General Data Protection Regulation (GDPR) and Health and Safety. In an environmental context, sustainable measures are incorporated to conform to the principles of green hospitality management, to enhance the practices of the industry on event management. These cultural and situational factors contribute positively to improving the feasibility of the event, </w:t>
      </w:r>
      <w:proofErr w:type="spellStart"/>
      <w:r w:rsidRPr="001A3F11">
        <w:rPr>
          <w:rFonts w:eastAsia="Aptos" w:cs="SimSun"/>
          <w:color w:val="auto"/>
          <w:kern w:val="2"/>
          <w:lang w:val="en-US"/>
          <w14:ligatures w14:val="standardContextual"/>
        </w:rPr>
        <w:t>optimising</w:t>
      </w:r>
      <w:proofErr w:type="spellEnd"/>
      <w:r w:rsidRPr="001A3F11">
        <w:rPr>
          <w:rFonts w:eastAsia="Aptos" w:cs="SimSun"/>
          <w:color w:val="auto"/>
          <w:kern w:val="2"/>
          <w:lang w:val="en-US"/>
          <w14:ligatures w14:val="standardContextual"/>
        </w:rPr>
        <w:t xml:space="preserve"> the event and guaranteeing its sustainability (ONS, 2023). </w:t>
      </w:r>
    </w:p>
    <w:p w14:paraId="12ACD216"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 </w:t>
      </w:r>
    </w:p>
    <w:p w14:paraId="0B046040"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41ED2AF3"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19" w:name="_Toc190523075"/>
      <w:r w:rsidRPr="001A3F11">
        <w:rPr>
          <w:rFonts w:eastAsia="Times New Roman" w:cs="Times New Roman"/>
          <w:b/>
          <w:color w:val="auto"/>
          <w:kern w:val="2"/>
          <w:sz w:val="32"/>
          <w:szCs w:val="32"/>
          <w:lang w:val="en-US"/>
          <w14:ligatures w14:val="standardContextual"/>
        </w:rPr>
        <w:t>Conclusion and Recommendations</w:t>
      </w:r>
      <w:bookmarkEnd w:id="19"/>
    </w:p>
    <w:p w14:paraId="429592DB"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20" w:name="_Toc190523076"/>
      <w:r w:rsidRPr="001A3F11">
        <w:rPr>
          <w:rFonts w:eastAsia="Times New Roman" w:cs="Times New Roman"/>
          <w:b/>
          <w:color w:val="auto"/>
          <w:kern w:val="2"/>
          <w:sz w:val="28"/>
          <w:szCs w:val="26"/>
          <w:lang w:val="en-US"/>
          <w14:ligatures w14:val="standardContextual"/>
        </w:rPr>
        <w:t>Conclusion</w:t>
      </w:r>
      <w:bookmarkEnd w:id="20"/>
    </w:p>
    <w:p w14:paraId="7F2FA895"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The Giving Table Charity Brunch is on mental health issues surrounding the hospitality sector in the UK, where 74% of the employees suffer from burnout. The event has an initial budget of £55,000 with a projected £15,000 for charity and obtains its revenues through corporate sponsorship, ticket sales and charity auctions. Other related technologies like live streaming and digital donation facilities will increase participation. SWOT reveals the strong and weak aspects of the sector, as well as opportunities and threats; PESTLE analysis reflects the culturally diverse sector by inviting various speakers and offering multiple languages, although the sector has 33% of the non-British workforce.</w:t>
      </w:r>
    </w:p>
    <w:p w14:paraId="626351D7" w14:textId="77777777" w:rsidR="00352AAD" w:rsidRPr="001A3F11" w:rsidRDefault="00352AAD" w:rsidP="00352AAD">
      <w:pPr>
        <w:keepNext/>
        <w:keepLines/>
        <w:spacing w:before="40" w:after="0"/>
        <w:outlineLvl w:val="1"/>
        <w:rPr>
          <w:rFonts w:eastAsia="Times New Roman" w:cs="Times New Roman"/>
          <w:b/>
          <w:color w:val="auto"/>
          <w:kern w:val="2"/>
          <w:sz w:val="28"/>
          <w:szCs w:val="26"/>
          <w:lang w:val="en-US"/>
          <w14:ligatures w14:val="standardContextual"/>
        </w:rPr>
      </w:pPr>
      <w:bookmarkStart w:id="21" w:name="_Toc190523077"/>
      <w:r w:rsidRPr="001A3F11">
        <w:rPr>
          <w:rFonts w:eastAsia="Times New Roman" w:cs="Times New Roman"/>
          <w:b/>
          <w:color w:val="auto"/>
          <w:kern w:val="2"/>
          <w:sz w:val="28"/>
          <w:szCs w:val="26"/>
          <w:lang w:val="en-US"/>
          <w14:ligatures w14:val="standardContextual"/>
        </w:rPr>
        <w:t>Recommendations</w:t>
      </w:r>
      <w:bookmarkEnd w:id="21"/>
    </w:p>
    <w:p w14:paraId="17478CBC"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color w:val="auto"/>
          <w:kern w:val="2"/>
          <w:lang w:val="en-US"/>
          <w14:ligatures w14:val="standardContextual"/>
        </w:rPr>
        <w:t>By taking the following strategic actions, more success and sustainability of the Giving Table Charity Brunch will be achieved:</w:t>
      </w:r>
    </w:p>
    <w:p w14:paraId="2EEEC3CB"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b/>
          <w:color w:val="auto"/>
          <w:kern w:val="2"/>
          <w:lang w:val="en-US"/>
          <w14:ligatures w14:val="standardContextual"/>
        </w:rPr>
        <w:t>Strengthening Corporate Sponsorships:</w:t>
      </w:r>
      <w:r w:rsidRPr="001A3F11">
        <w:rPr>
          <w:rFonts w:eastAsia="Aptos" w:cs="SimSun"/>
          <w:color w:val="auto"/>
          <w:kern w:val="2"/>
          <w:lang w:val="en-US"/>
          <w14:ligatures w14:val="standardContextual"/>
        </w:rPr>
        <w:t xml:space="preserve"> Since the British Hospitality Association noted that 45% of UK businesses consider CSR as a top priority in their business operations, engaging sponsors at the earliest will help establish financial stability. When offering our packages, we will have different levels with different benefits such as corporate brand awareness.</w:t>
      </w:r>
    </w:p>
    <w:p w14:paraId="18D9FEC4"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b/>
          <w:color w:val="auto"/>
          <w:kern w:val="2"/>
          <w:lang w:val="en-US"/>
          <w14:ligatures w14:val="standardContextual"/>
        </w:rPr>
        <w:t>Expanding Digital Engagement:</w:t>
      </w:r>
      <w:r w:rsidRPr="001A3F11">
        <w:rPr>
          <w:rFonts w:eastAsia="Aptos" w:cs="SimSun"/>
          <w:color w:val="auto"/>
          <w:kern w:val="2"/>
          <w:lang w:val="en-US"/>
          <w14:ligatures w14:val="standardContextual"/>
        </w:rPr>
        <w:t xml:space="preserve"> The event could livestream the keynote speeches and set up an online donation platform to increase even the event’s audience beyond the hall. According to statistics, online fundraising boosts the chances of people donating by twenty-five per cent (Eventbrite, 2023).</w:t>
      </w:r>
    </w:p>
    <w:p w14:paraId="7E0F6BA2" w14:textId="77777777" w:rsidR="00352AAD" w:rsidRPr="001A3F11" w:rsidRDefault="00352AAD" w:rsidP="00352AAD">
      <w:pPr>
        <w:rPr>
          <w:rFonts w:eastAsia="Aptos" w:cs="SimSun"/>
          <w:color w:val="auto"/>
          <w:kern w:val="2"/>
          <w:lang w:val="en-US"/>
          <w14:ligatures w14:val="standardContextual"/>
        </w:rPr>
      </w:pPr>
      <w:r w:rsidRPr="001A3F11">
        <w:rPr>
          <w:rFonts w:eastAsia="Aptos" w:cs="SimSun"/>
          <w:b/>
          <w:color w:val="auto"/>
          <w:kern w:val="2"/>
          <w:lang w:val="en-US"/>
          <w14:ligatures w14:val="standardContextual"/>
        </w:rPr>
        <w:t>Implementing Sustainability Practices:</w:t>
      </w:r>
      <w:r w:rsidRPr="001A3F11">
        <w:rPr>
          <w:rFonts w:eastAsia="Aptos" w:cs="SimSun"/>
          <w:color w:val="auto"/>
          <w:kern w:val="2"/>
          <w:lang w:val="en-US"/>
          <w14:ligatures w14:val="standardContextual"/>
        </w:rPr>
        <w:t xml:space="preserve"> To adhere to the current changes in the hospitality industry, local food suppliers should reduce the use of plastics, and tickets should be digital. According to the Event Sustainability Report 2023, 67% of those attending an event like this would like the event to be sustainable.</w:t>
      </w:r>
    </w:p>
    <w:p w14:paraId="30A11C2A" w14:textId="77777777" w:rsidR="00352AAD" w:rsidRDefault="00352AAD" w:rsidP="00352AAD">
      <w:pPr>
        <w:spacing w:line="259" w:lineRule="auto"/>
        <w:jc w:val="left"/>
        <w:rPr>
          <w:rFonts w:eastAsia="Times New Roman" w:cs="Times New Roman"/>
          <w:b/>
          <w:color w:val="auto"/>
          <w:kern w:val="2"/>
          <w:sz w:val="32"/>
          <w:szCs w:val="32"/>
          <w:lang w:val="en-US"/>
          <w14:ligatures w14:val="standardContextual"/>
        </w:rPr>
      </w:pPr>
      <w:r>
        <w:rPr>
          <w:rFonts w:eastAsia="Times New Roman" w:cs="Times New Roman"/>
          <w:b/>
          <w:color w:val="auto"/>
          <w:kern w:val="2"/>
          <w:sz w:val="32"/>
          <w:szCs w:val="32"/>
          <w:lang w:val="en-US"/>
          <w14:ligatures w14:val="standardContextual"/>
        </w:rPr>
        <w:br w:type="page"/>
      </w:r>
    </w:p>
    <w:p w14:paraId="2FC249E8" w14:textId="77777777" w:rsidR="00352AAD" w:rsidRPr="001A3F11" w:rsidRDefault="00352AAD" w:rsidP="00352AAD">
      <w:pPr>
        <w:keepNext/>
        <w:keepLines/>
        <w:spacing w:before="240" w:after="0"/>
        <w:outlineLvl w:val="0"/>
        <w:rPr>
          <w:rFonts w:eastAsia="Times New Roman" w:cs="Times New Roman"/>
          <w:b/>
          <w:color w:val="auto"/>
          <w:kern w:val="2"/>
          <w:sz w:val="32"/>
          <w:szCs w:val="32"/>
          <w:lang w:val="en-US"/>
          <w14:ligatures w14:val="standardContextual"/>
        </w:rPr>
      </w:pPr>
      <w:bookmarkStart w:id="22" w:name="_Toc190523078"/>
      <w:r w:rsidRPr="001A3F11">
        <w:rPr>
          <w:rFonts w:eastAsia="Times New Roman" w:cs="Times New Roman"/>
          <w:b/>
          <w:color w:val="auto"/>
          <w:kern w:val="2"/>
          <w:sz w:val="32"/>
          <w:szCs w:val="32"/>
          <w:lang w:val="en-US"/>
          <w14:ligatures w14:val="standardContextual"/>
        </w:rPr>
        <w:t>References</w:t>
      </w:r>
      <w:bookmarkEnd w:id="22"/>
      <w:r w:rsidRPr="001A3F11">
        <w:rPr>
          <w:rFonts w:eastAsia="Times New Roman" w:cs="Times New Roman"/>
          <w:b/>
          <w:color w:val="auto"/>
          <w:kern w:val="2"/>
          <w:sz w:val="32"/>
          <w:szCs w:val="32"/>
          <w:lang w:val="en-US"/>
          <w14:ligatures w14:val="standardContextual"/>
        </w:rPr>
        <w:t xml:space="preserve"> </w:t>
      </w:r>
    </w:p>
    <w:p w14:paraId="4B9A0A2B"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British Hospitality Association (2023) </w:t>
      </w:r>
      <w:r w:rsidRPr="009F7F7E">
        <w:rPr>
          <w:rFonts w:eastAsia="Aptos" w:cs="SimSun"/>
          <w:i/>
          <w:iCs/>
          <w:color w:val="auto"/>
          <w:kern w:val="2"/>
          <w:lang w:val="en-US"/>
          <w14:ligatures w14:val="standardContextual"/>
        </w:rPr>
        <w:t>Corporate Social Responsibility in Hospitality: Trends and Impact</w:t>
      </w:r>
      <w:r w:rsidRPr="009F7F7E">
        <w:rPr>
          <w:rFonts w:eastAsia="Aptos" w:cs="SimSun"/>
          <w:color w:val="auto"/>
          <w:kern w:val="2"/>
          <w:lang w:val="en-US"/>
          <w14:ligatures w14:val="standardContextual"/>
        </w:rPr>
        <w:t>. Available at: https://www.bha.org.uk/csr-hospitality</w:t>
      </w:r>
    </w:p>
    <w:p w14:paraId="6F84F8FF"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CIPD (2023) </w:t>
      </w:r>
      <w:r w:rsidRPr="009F7F7E">
        <w:rPr>
          <w:rFonts w:eastAsia="Aptos" w:cs="SimSun"/>
          <w:i/>
          <w:iCs/>
          <w:color w:val="auto"/>
          <w:kern w:val="2"/>
          <w:lang w:val="en-US"/>
          <w14:ligatures w14:val="standardContextual"/>
        </w:rPr>
        <w:t>Health and Wellbeing at Work Survey 2023</w:t>
      </w:r>
      <w:r w:rsidRPr="009F7F7E">
        <w:rPr>
          <w:rFonts w:eastAsia="Aptos" w:cs="SimSun"/>
          <w:color w:val="auto"/>
          <w:kern w:val="2"/>
          <w:lang w:val="en-US"/>
          <w14:ligatures w14:val="standardContextual"/>
        </w:rPr>
        <w:t>. Available at: https://www.cipd.org/uk/knowledge/reports/health-wellbeing-work</w:t>
      </w:r>
    </w:p>
    <w:p w14:paraId="5B51459F"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Eventbrite (2023) </w:t>
      </w:r>
      <w:r w:rsidRPr="009F7F7E">
        <w:rPr>
          <w:rFonts w:eastAsia="Aptos" w:cs="SimSun"/>
          <w:i/>
          <w:iCs/>
          <w:color w:val="auto"/>
          <w:kern w:val="2"/>
          <w:lang w:val="en-US"/>
          <w14:ligatures w14:val="standardContextual"/>
        </w:rPr>
        <w:t xml:space="preserve">2023 Event Trends Report: </w:t>
      </w:r>
      <w:proofErr w:type="spellStart"/>
      <w:r w:rsidRPr="009F7F7E">
        <w:rPr>
          <w:rFonts w:eastAsia="Aptos" w:cs="SimSun"/>
          <w:i/>
          <w:iCs/>
          <w:color w:val="auto"/>
          <w:kern w:val="2"/>
          <w:lang w:val="en-US"/>
          <w14:ligatures w14:val="standardContextual"/>
        </w:rPr>
        <w:t>Maximising</w:t>
      </w:r>
      <w:proofErr w:type="spellEnd"/>
      <w:r w:rsidRPr="009F7F7E">
        <w:rPr>
          <w:rFonts w:eastAsia="Aptos" w:cs="SimSun"/>
          <w:i/>
          <w:iCs/>
          <w:color w:val="auto"/>
          <w:kern w:val="2"/>
          <w:lang w:val="en-US"/>
          <w14:ligatures w14:val="standardContextual"/>
        </w:rPr>
        <w:t xml:space="preserve"> Engagement and Fundraising</w:t>
      </w:r>
      <w:r w:rsidRPr="009F7F7E">
        <w:rPr>
          <w:rFonts w:eastAsia="Aptos" w:cs="SimSun"/>
          <w:color w:val="auto"/>
          <w:kern w:val="2"/>
          <w:lang w:val="en-US"/>
          <w14:ligatures w14:val="standardContextual"/>
        </w:rPr>
        <w:t>. Available at: https://www.eventbrite.com/blog/event-trends-2023</w:t>
      </w:r>
    </w:p>
    <w:p w14:paraId="57E8CFAF"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Event Sustainability Report (2023) </w:t>
      </w:r>
      <w:r w:rsidRPr="009F7F7E">
        <w:rPr>
          <w:rFonts w:eastAsia="Aptos" w:cs="SimSun"/>
          <w:i/>
          <w:iCs/>
          <w:color w:val="auto"/>
          <w:kern w:val="2"/>
          <w:lang w:val="en-US"/>
          <w14:ligatures w14:val="standardContextual"/>
        </w:rPr>
        <w:t>Sustainable Event Management: Industry Best Practices</w:t>
      </w:r>
      <w:r w:rsidRPr="009F7F7E">
        <w:rPr>
          <w:rFonts w:eastAsia="Aptos" w:cs="SimSun"/>
          <w:color w:val="auto"/>
          <w:kern w:val="2"/>
          <w:lang w:val="en-US"/>
          <w14:ligatures w14:val="standardContextual"/>
        </w:rPr>
        <w:t xml:space="preserve">. Available at: </w:t>
      </w:r>
      <w:hyperlink r:id="rId7" w:tgtFrame="_new" w:history="1">
        <w:r w:rsidRPr="009F7F7E">
          <w:rPr>
            <w:rStyle w:val="Hyperlink"/>
            <w:rFonts w:eastAsia="Aptos" w:cs="SimSun"/>
            <w:kern w:val="2"/>
            <w:lang w:val="en-US"/>
            <w14:ligatures w14:val="standardContextual"/>
          </w:rPr>
          <w:t>https://www.sustainableeventsreport.com</w:t>
        </w:r>
      </w:hyperlink>
    </w:p>
    <w:p w14:paraId="19744E22"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Getz, D. and Page, S. (2019) </w:t>
      </w:r>
      <w:r w:rsidRPr="009F7F7E">
        <w:rPr>
          <w:rFonts w:eastAsia="Aptos" w:cs="SimSun"/>
          <w:i/>
          <w:iCs/>
          <w:color w:val="auto"/>
          <w:kern w:val="2"/>
          <w:lang w:val="en-US"/>
          <w14:ligatures w14:val="standardContextual"/>
        </w:rPr>
        <w:t>Event Studies: Theory, Research and Policy for Planned Events</w:t>
      </w:r>
      <w:r w:rsidRPr="009F7F7E">
        <w:rPr>
          <w:rFonts w:eastAsia="Aptos" w:cs="SimSun"/>
          <w:color w:val="auto"/>
          <w:kern w:val="2"/>
          <w:lang w:val="en-US"/>
          <w14:ligatures w14:val="standardContextual"/>
        </w:rPr>
        <w:t xml:space="preserve">. 3rd </w:t>
      </w:r>
      <w:r>
        <w:rPr>
          <w:rFonts w:eastAsia="Aptos" w:cs="SimSun"/>
          <w:color w:val="auto"/>
          <w:kern w:val="2"/>
          <w:lang w:val="en-US"/>
          <w14:ligatures w14:val="standardContextual"/>
        </w:rPr>
        <w:t>ed</w:t>
      </w:r>
      <w:r w:rsidRPr="009F7F7E">
        <w:rPr>
          <w:rFonts w:eastAsia="Aptos" w:cs="SimSun"/>
          <w:color w:val="auto"/>
          <w:kern w:val="2"/>
          <w:lang w:val="en-US"/>
          <w14:ligatures w14:val="standardContextual"/>
        </w:rPr>
        <w:t>. Oxford: Routledge.</w:t>
      </w:r>
    </w:p>
    <w:p w14:paraId="1DE634DD"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Hospitality Action (2023) </w:t>
      </w:r>
      <w:r w:rsidRPr="009F7F7E">
        <w:rPr>
          <w:rFonts w:eastAsia="Aptos" w:cs="SimSun"/>
          <w:i/>
          <w:iCs/>
          <w:color w:val="auto"/>
          <w:kern w:val="2"/>
          <w:lang w:val="en-US"/>
          <w14:ligatures w14:val="standardContextual"/>
        </w:rPr>
        <w:t>Mental Health in the Hospitality Industry: A Growing Concern</w:t>
      </w:r>
      <w:r w:rsidRPr="009F7F7E">
        <w:rPr>
          <w:rFonts w:eastAsia="Aptos" w:cs="SimSun"/>
          <w:color w:val="auto"/>
          <w:kern w:val="2"/>
          <w:lang w:val="en-US"/>
          <w14:ligatures w14:val="standardContextual"/>
        </w:rPr>
        <w:t>. Available at: https://www.hospitalityaction.org.uk/mental-health-report</w:t>
      </w:r>
    </w:p>
    <w:p w14:paraId="2386B2D7"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Locke, E. A. and Latham, G. P. (2019) </w:t>
      </w:r>
      <w:r w:rsidRPr="009F7F7E">
        <w:rPr>
          <w:rFonts w:eastAsia="Aptos" w:cs="SimSun"/>
          <w:i/>
          <w:iCs/>
          <w:color w:val="auto"/>
          <w:kern w:val="2"/>
          <w:lang w:val="en-US"/>
          <w14:ligatures w14:val="standardContextual"/>
        </w:rPr>
        <w:t>A Theory of Goal Setting and Task Performance</w:t>
      </w:r>
      <w:r w:rsidRPr="009F7F7E">
        <w:rPr>
          <w:rFonts w:eastAsia="Aptos" w:cs="SimSun"/>
          <w:color w:val="auto"/>
          <w:kern w:val="2"/>
          <w:lang w:val="en-US"/>
          <w14:ligatures w14:val="standardContextual"/>
        </w:rPr>
        <w:t>. New York: Routledge.</w:t>
      </w:r>
    </w:p>
    <w:p w14:paraId="0187B08F"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Meredith, J. (2022) </w:t>
      </w:r>
      <w:r w:rsidRPr="009F7F7E">
        <w:rPr>
          <w:rFonts w:eastAsia="Aptos" w:cs="SimSun"/>
          <w:i/>
          <w:iCs/>
          <w:color w:val="auto"/>
          <w:kern w:val="2"/>
          <w:lang w:val="en-US"/>
          <w14:ligatures w14:val="standardContextual"/>
        </w:rPr>
        <w:t>Project Management: A Managerial Approach</w:t>
      </w:r>
      <w:r w:rsidRPr="009F7F7E">
        <w:rPr>
          <w:rFonts w:eastAsia="Aptos" w:cs="SimSun"/>
          <w:color w:val="auto"/>
          <w:kern w:val="2"/>
          <w:lang w:val="en-US"/>
          <w14:ligatures w14:val="standardContextual"/>
        </w:rPr>
        <w:t xml:space="preserve">. Available at: </w:t>
      </w:r>
      <w:hyperlink r:id="rId8" w:tgtFrame="_new" w:history="1">
        <w:r w:rsidRPr="009F7F7E">
          <w:rPr>
            <w:rStyle w:val="Hyperlink"/>
            <w:rFonts w:eastAsia="Aptos" w:cs="SimSun"/>
            <w:kern w:val="2"/>
            <w:lang w:val="en-US"/>
            <w14:ligatures w14:val="standardContextual"/>
          </w:rPr>
          <w:t>https://www.wiley.com/en-us/Project+Management+2022</w:t>
        </w:r>
      </w:hyperlink>
    </w:p>
    <w:p w14:paraId="4D8D183E"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O’Toole, W. (2011) </w:t>
      </w:r>
      <w:r w:rsidRPr="009F7F7E">
        <w:rPr>
          <w:rFonts w:eastAsia="Aptos" w:cs="SimSun"/>
          <w:i/>
          <w:iCs/>
          <w:color w:val="auto"/>
          <w:kern w:val="2"/>
          <w:lang w:val="en-US"/>
          <w14:ligatures w14:val="standardContextual"/>
        </w:rPr>
        <w:t>Events Feasibility and Development: From Strategy to Operations</w:t>
      </w:r>
      <w:r w:rsidRPr="009F7F7E">
        <w:rPr>
          <w:rFonts w:eastAsia="Aptos" w:cs="SimSun"/>
          <w:color w:val="auto"/>
          <w:kern w:val="2"/>
          <w:lang w:val="en-US"/>
          <w14:ligatures w14:val="standardContextual"/>
        </w:rPr>
        <w:t>. Oxford: Elsevier.</w:t>
      </w:r>
    </w:p>
    <w:p w14:paraId="38E7E881"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Office for National Statistics (ONS) (2023) </w:t>
      </w:r>
      <w:proofErr w:type="spellStart"/>
      <w:r w:rsidRPr="009F7F7E">
        <w:rPr>
          <w:rFonts w:eastAsia="Aptos" w:cs="SimSun"/>
          <w:i/>
          <w:iCs/>
          <w:color w:val="auto"/>
          <w:kern w:val="2"/>
          <w:lang w:val="en-US"/>
          <w14:ligatures w14:val="standardContextual"/>
        </w:rPr>
        <w:t>Labour</w:t>
      </w:r>
      <w:proofErr w:type="spellEnd"/>
      <w:r w:rsidRPr="009F7F7E">
        <w:rPr>
          <w:rFonts w:eastAsia="Aptos" w:cs="SimSun"/>
          <w:i/>
          <w:iCs/>
          <w:color w:val="auto"/>
          <w:kern w:val="2"/>
          <w:lang w:val="en-US"/>
          <w14:ligatures w14:val="standardContextual"/>
        </w:rPr>
        <w:t xml:space="preserve"> Market Overview: The Role of Migrant Workers in UK Hospitality</w:t>
      </w:r>
      <w:r w:rsidRPr="009F7F7E">
        <w:rPr>
          <w:rFonts w:eastAsia="Aptos" w:cs="SimSun"/>
          <w:color w:val="auto"/>
          <w:kern w:val="2"/>
          <w:lang w:val="en-US"/>
          <w14:ligatures w14:val="standardContextual"/>
        </w:rPr>
        <w:t>. Available at: https://www.ons.gov.uk/employmentandlabourmarket</w:t>
      </w:r>
    </w:p>
    <w:p w14:paraId="33CF63F9"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Rogers, T. and Wynn-Moylan, P. (2022) </w:t>
      </w:r>
      <w:r w:rsidRPr="009F7F7E">
        <w:rPr>
          <w:rFonts w:eastAsia="Aptos" w:cs="SimSun"/>
          <w:i/>
          <w:iCs/>
          <w:color w:val="auto"/>
          <w:kern w:val="2"/>
          <w:lang w:val="en-US"/>
          <w14:ligatures w14:val="standardContextual"/>
        </w:rPr>
        <w:t>Conferences and Conventions: A Global Industry</w:t>
      </w:r>
      <w:r w:rsidRPr="009F7F7E">
        <w:rPr>
          <w:rFonts w:eastAsia="Aptos" w:cs="SimSun"/>
          <w:color w:val="auto"/>
          <w:kern w:val="2"/>
          <w:lang w:val="en-US"/>
          <w14:ligatures w14:val="standardContextual"/>
        </w:rPr>
        <w:t xml:space="preserve">. 4th </w:t>
      </w:r>
      <w:proofErr w:type="spellStart"/>
      <w:r w:rsidRPr="009F7F7E">
        <w:rPr>
          <w:rFonts w:eastAsia="Aptos" w:cs="SimSun"/>
          <w:color w:val="auto"/>
          <w:kern w:val="2"/>
          <w:lang w:val="en-US"/>
          <w14:ligatures w14:val="standardContextual"/>
        </w:rPr>
        <w:t>edn</w:t>
      </w:r>
      <w:proofErr w:type="spellEnd"/>
      <w:r w:rsidRPr="009F7F7E">
        <w:rPr>
          <w:rFonts w:eastAsia="Aptos" w:cs="SimSun"/>
          <w:color w:val="auto"/>
          <w:kern w:val="2"/>
          <w:lang w:val="en-US"/>
          <w14:ligatures w14:val="standardContextual"/>
        </w:rPr>
        <w:t>. Oxford: Routledge.</w:t>
      </w:r>
    </w:p>
    <w:p w14:paraId="363B0965" w14:textId="77777777" w:rsidR="00352AAD" w:rsidRPr="009F7F7E" w:rsidRDefault="00352AAD" w:rsidP="00352AAD">
      <w:pPr>
        <w:ind w:left="720" w:hanging="720"/>
        <w:rPr>
          <w:rFonts w:eastAsia="Aptos" w:cs="SimSun"/>
          <w:color w:val="auto"/>
          <w:kern w:val="2"/>
          <w:lang w:val="en-US"/>
          <w14:ligatures w14:val="standardContextual"/>
        </w:rPr>
      </w:pPr>
      <w:r w:rsidRPr="009F7F7E">
        <w:rPr>
          <w:rFonts w:eastAsia="Aptos" w:cs="SimSun"/>
          <w:color w:val="auto"/>
          <w:kern w:val="2"/>
          <w:lang w:val="en-US"/>
          <w14:ligatures w14:val="standardContextual"/>
        </w:rPr>
        <w:t xml:space="preserve">Statista (2024) </w:t>
      </w:r>
      <w:r w:rsidRPr="009F7F7E">
        <w:rPr>
          <w:rFonts w:eastAsia="Aptos" w:cs="SimSun"/>
          <w:i/>
          <w:iCs/>
          <w:color w:val="auto"/>
          <w:kern w:val="2"/>
          <w:lang w:val="en-US"/>
          <w14:ligatures w14:val="standardContextual"/>
        </w:rPr>
        <w:t>Economic Contribution of the UK Hospitality Industry 2024</w:t>
      </w:r>
      <w:r w:rsidRPr="009F7F7E">
        <w:rPr>
          <w:rFonts w:eastAsia="Aptos" w:cs="SimSun"/>
          <w:color w:val="auto"/>
          <w:kern w:val="2"/>
          <w:lang w:val="en-US"/>
          <w14:ligatures w14:val="standardContextual"/>
        </w:rPr>
        <w:t>. Available at: https://www.statista.com/hospitality-uk-economy</w:t>
      </w:r>
    </w:p>
    <w:p w14:paraId="11E43B8A" w14:textId="77777777" w:rsidR="00352AAD" w:rsidRPr="009F7F7E" w:rsidRDefault="00352AAD" w:rsidP="00352AAD">
      <w:pPr>
        <w:ind w:left="720" w:hanging="720"/>
        <w:rPr>
          <w:rFonts w:eastAsia="Aptos" w:cs="SimSun"/>
          <w:color w:val="auto"/>
          <w:kern w:val="2"/>
          <w:lang w:val="en-US"/>
          <w14:ligatures w14:val="standardContextual"/>
        </w:rPr>
      </w:pPr>
      <w:proofErr w:type="spellStart"/>
      <w:r w:rsidRPr="009F7F7E">
        <w:rPr>
          <w:rFonts w:eastAsia="Aptos" w:cs="SimSun"/>
          <w:color w:val="auto"/>
          <w:kern w:val="2"/>
          <w:lang w:val="en-US"/>
          <w14:ligatures w14:val="standardContextual"/>
        </w:rPr>
        <w:t>UKHospitality</w:t>
      </w:r>
      <w:proofErr w:type="spellEnd"/>
      <w:r w:rsidRPr="009F7F7E">
        <w:rPr>
          <w:rFonts w:eastAsia="Aptos" w:cs="SimSun"/>
          <w:color w:val="auto"/>
          <w:kern w:val="2"/>
          <w:lang w:val="en-US"/>
          <w14:ligatures w14:val="standardContextual"/>
        </w:rPr>
        <w:t xml:space="preserve"> (2023) </w:t>
      </w:r>
      <w:r w:rsidRPr="009F7F7E">
        <w:rPr>
          <w:rFonts w:eastAsia="Aptos" w:cs="SimSun"/>
          <w:i/>
          <w:iCs/>
          <w:color w:val="auto"/>
          <w:kern w:val="2"/>
          <w:lang w:val="en-US"/>
          <w14:ligatures w14:val="standardContextual"/>
        </w:rPr>
        <w:t>State of the Hospitality Industry: Workforce Challenges and Mental Health</w:t>
      </w:r>
      <w:r w:rsidRPr="009F7F7E">
        <w:rPr>
          <w:rFonts w:eastAsia="Aptos" w:cs="SimSun"/>
          <w:color w:val="auto"/>
          <w:kern w:val="2"/>
          <w:lang w:val="en-US"/>
          <w14:ligatures w14:val="standardContextual"/>
        </w:rPr>
        <w:t>. Available at: https://www.ukhospitality.org.uk/workforce-report</w:t>
      </w:r>
    </w:p>
    <w:p w14:paraId="7BCCDA6C" w14:textId="77777777" w:rsidR="00352AAD" w:rsidRPr="000F02BF" w:rsidRDefault="00352AAD" w:rsidP="00352AAD">
      <w:pPr>
        <w:ind w:left="720" w:hanging="720"/>
      </w:pPr>
    </w:p>
    <w:p w14:paraId="305EF332" w14:textId="77777777" w:rsidR="00DF618D" w:rsidRDefault="00DF618D"/>
    <w:sectPr w:rsidR="00DF618D" w:rsidSect="00352A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34CB1928" w14:textId="77777777" w:rsidR="00000000" w:rsidRDefault="00000000">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6E90E128"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45DF1"/>
    <w:multiLevelType w:val="hybridMultilevel"/>
    <w:tmpl w:val="5FB06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8771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AAD"/>
    <w:rsid w:val="0018661E"/>
    <w:rsid w:val="00352AAD"/>
    <w:rsid w:val="00493405"/>
    <w:rsid w:val="00DF618D"/>
    <w:rsid w:val="00F35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AFF95A"/>
  <w15:chartTrackingRefBased/>
  <w15:docId w15:val="{A3750B0F-E7E4-8F45-9B1A-99BBD951A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AAD"/>
    <w:pPr>
      <w:spacing w:after="160" w:line="360" w:lineRule="auto"/>
      <w:jc w:val="both"/>
    </w:pPr>
    <w:rPr>
      <w:rFonts w:ascii="Times New Roman" w:hAnsi="Times New Roman"/>
      <w:color w:val="000000" w:themeColor="text1"/>
      <w:kern w:val="0"/>
      <w:szCs w:val="22"/>
      <w14:ligatures w14:val="none"/>
    </w:rPr>
  </w:style>
  <w:style w:type="paragraph" w:styleId="Heading1">
    <w:name w:val="heading 1"/>
    <w:basedOn w:val="Normal"/>
    <w:next w:val="Normal"/>
    <w:link w:val="Heading1Char"/>
    <w:uiPriority w:val="9"/>
    <w:qFormat/>
    <w:rsid w:val="00352A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A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A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A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A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AA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AA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AA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AA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A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A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A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A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A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A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A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A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AAD"/>
    <w:rPr>
      <w:rFonts w:eastAsiaTheme="majorEastAsia" w:cstheme="majorBidi"/>
      <w:color w:val="272727" w:themeColor="text1" w:themeTint="D8"/>
    </w:rPr>
  </w:style>
  <w:style w:type="paragraph" w:styleId="Title">
    <w:name w:val="Title"/>
    <w:basedOn w:val="Normal"/>
    <w:next w:val="Normal"/>
    <w:link w:val="TitleChar"/>
    <w:uiPriority w:val="10"/>
    <w:qFormat/>
    <w:rsid w:val="00352AA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A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A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A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AAD"/>
    <w:pPr>
      <w:spacing w:before="160"/>
      <w:jc w:val="center"/>
    </w:pPr>
    <w:rPr>
      <w:i/>
      <w:iCs/>
      <w:color w:val="404040" w:themeColor="text1" w:themeTint="BF"/>
    </w:rPr>
  </w:style>
  <w:style w:type="character" w:customStyle="1" w:styleId="QuoteChar">
    <w:name w:val="Quote Char"/>
    <w:basedOn w:val="DefaultParagraphFont"/>
    <w:link w:val="Quote"/>
    <w:uiPriority w:val="29"/>
    <w:rsid w:val="00352AAD"/>
    <w:rPr>
      <w:i/>
      <w:iCs/>
      <w:color w:val="404040" w:themeColor="text1" w:themeTint="BF"/>
    </w:rPr>
  </w:style>
  <w:style w:type="paragraph" w:styleId="ListParagraph">
    <w:name w:val="List Paragraph"/>
    <w:basedOn w:val="Normal"/>
    <w:uiPriority w:val="34"/>
    <w:qFormat/>
    <w:rsid w:val="00352AAD"/>
    <w:pPr>
      <w:ind w:left="720"/>
      <w:contextualSpacing/>
    </w:pPr>
  </w:style>
  <w:style w:type="character" w:styleId="IntenseEmphasis">
    <w:name w:val="Intense Emphasis"/>
    <w:basedOn w:val="DefaultParagraphFont"/>
    <w:uiPriority w:val="21"/>
    <w:qFormat/>
    <w:rsid w:val="00352AAD"/>
    <w:rPr>
      <w:i/>
      <w:iCs/>
      <w:color w:val="0F4761" w:themeColor="accent1" w:themeShade="BF"/>
    </w:rPr>
  </w:style>
  <w:style w:type="paragraph" w:styleId="IntenseQuote">
    <w:name w:val="Intense Quote"/>
    <w:basedOn w:val="Normal"/>
    <w:next w:val="Normal"/>
    <w:link w:val="IntenseQuoteChar"/>
    <w:uiPriority w:val="30"/>
    <w:qFormat/>
    <w:rsid w:val="00352A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AAD"/>
    <w:rPr>
      <w:i/>
      <w:iCs/>
      <w:color w:val="0F4761" w:themeColor="accent1" w:themeShade="BF"/>
    </w:rPr>
  </w:style>
  <w:style w:type="character" w:styleId="IntenseReference">
    <w:name w:val="Intense Reference"/>
    <w:basedOn w:val="DefaultParagraphFont"/>
    <w:uiPriority w:val="32"/>
    <w:qFormat/>
    <w:rsid w:val="00352AAD"/>
    <w:rPr>
      <w:b/>
      <w:bCs/>
      <w:smallCaps/>
      <w:color w:val="0F4761" w:themeColor="accent1" w:themeShade="BF"/>
      <w:spacing w:val="5"/>
    </w:rPr>
  </w:style>
  <w:style w:type="paragraph" w:styleId="Footer">
    <w:name w:val="footer"/>
    <w:basedOn w:val="Normal"/>
    <w:link w:val="FooterChar"/>
    <w:uiPriority w:val="99"/>
    <w:unhideWhenUsed/>
    <w:rsid w:val="00352A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AAD"/>
    <w:rPr>
      <w:rFonts w:ascii="Times New Roman" w:hAnsi="Times New Roman"/>
      <w:color w:val="000000" w:themeColor="text1"/>
      <w:kern w:val="0"/>
      <w:szCs w:val="22"/>
      <w14:ligatures w14:val="none"/>
    </w:rPr>
  </w:style>
  <w:style w:type="paragraph" w:styleId="TOCHeading">
    <w:name w:val="TOC Heading"/>
    <w:basedOn w:val="Heading1"/>
    <w:next w:val="Normal"/>
    <w:uiPriority w:val="39"/>
    <w:unhideWhenUsed/>
    <w:qFormat/>
    <w:rsid w:val="00352AAD"/>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352AAD"/>
    <w:pPr>
      <w:spacing w:after="100"/>
    </w:pPr>
  </w:style>
  <w:style w:type="character" w:styleId="Hyperlink">
    <w:name w:val="Hyperlink"/>
    <w:basedOn w:val="DefaultParagraphFont"/>
    <w:uiPriority w:val="99"/>
    <w:unhideWhenUsed/>
    <w:rsid w:val="00352AAD"/>
    <w:rPr>
      <w:color w:val="467886" w:themeColor="hyperlink"/>
      <w:u w:val="single"/>
    </w:rPr>
  </w:style>
  <w:style w:type="table" w:customStyle="1" w:styleId="GridTable4-Accent51">
    <w:name w:val="Grid Table 4 - Accent 51"/>
    <w:basedOn w:val="TableNormal"/>
    <w:next w:val="GridTable4-Accent5"/>
    <w:uiPriority w:val="49"/>
    <w:rsid w:val="00352AAD"/>
    <w:rPr>
      <w:rFonts w:eastAsia="Aptos"/>
      <w:kern w:val="0"/>
      <w:sz w:val="22"/>
      <w:szCs w:val="22"/>
      <w:lang w:val="en-US"/>
      <w14:ligatures w14:val="none"/>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customStyle="1" w:styleId="GridTable5Dark-Accent51">
    <w:name w:val="Grid Table 5 Dark - Accent 51"/>
    <w:basedOn w:val="TableNormal"/>
    <w:next w:val="GridTable5Dark-Accent5"/>
    <w:uiPriority w:val="50"/>
    <w:rsid w:val="00352AAD"/>
    <w:rPr>
      <w:rFonts w:eastAsia="Aptos"/>
      <w:kern w:val="0"/>
      <w:sz w:val="22"/>
      <w:szCs w:val="22"/>
      <w:lang w:val="en-US"/>
      <w14:ligatures w14:val="none"/>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9E2F3"/>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472C4"/>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472C4"/>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472C4"/>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472C4"/>
      </w:tcPr>
    </w:tblStylePr>
    <w:tblStylePr w:type="band1Vert">
      <w:tblPr/>
      <w:tcPr>
        <w:shd w:val="clear" w:color="auto" w:fill="B4C6E7"/>
      </w:tcPr>
    </w:tblStylePr>
    <w:tblStylePr w:type="band1Horz">
      <w:tblPr/>
      <w:tcPr>
        <w:shd w:val="clear" w:color="auto" w:fill="B4C6E7"/>
      </w:tcPr>
    </w:tblStylePr>
  </w:style>
  <w:style w:type="paragraph" w:styleId="TOC2">
    <w:name w:val="toc 2"/>
    <w:basedOn w:val="Normal"/>
    <w:next w:val="Normal"/>
    <w:autoRedefine/>
    <w:uiPriority w:val="39"/>
    <w:unhideWhenUsed/>
    <w:rsid w:val="00352AAD"/>
    <w:pPr>
      <w:spacing w:after="100"/>
      <w:ind w:left="240"/>
    </w:pPr>
  </w:style>
  <w:style w:type="paragraph" w:styleId="TableofFigures">
    <w:name w:val="table of figures"/>
    <w:basedOn w:val="Normal"/>
    <w:next w:val="Normal"/>
    <w:uiPriority w:val="99"/>
    <w:unhideWhenUsed/>
    <w:rsid w:val="00352AAD"/>
    <w:pPr>
      <w:spacing w:after="0"/>
    </w:pPr>
  </w:style>
  <w:style w:type="table" w:styleId="GridTable4-Accent5">
    <w:name w:val="Grid Table 4 Accent 5"/>
    <w:basedOn w:val="TableNormal"/>
    <w:uiPriority w:val="49"/>
    <w:rsid w:val="00352AAD"/>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352AA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customStyle="1" w:styleId="p1">
    <w:name w:val="p1"/>
    <w:basedOn w:val="Normal"/>
    <w:rsid w:val="00F35D23"/>
    <w:pPr>
      <w:spacing w:after="0" w:line="240" w:lineRule="auto"/>
      <w:jc w:val="left"/>
    </w:pPr>
    <w:rPr>
      <w:rFonts w:ascii="Arial" w:eastAsia="Times New Roman" w:hAnsi="Arial" w:cs="Arial"/>
      <w:color w:val="000000"/>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543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ley.com/en-us/Project+Management+2022" TargetMode="External"/><Relationship Id="rId3" Type="http://schemas.openxmlformats.org/officeDocument/2006/relationships/settings" Target="settings.xml"/><Relationship Id="rId7" Type="http://schemas.openxmlformats.org/officeDocument/2006/relationships/hyperlink" Target="https://www.sustainableeventsrepor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3366</Words>
  <Characters>19191</Characters>
  <Application>Microsoft Office Word</Application>
  <DocSecurity>0</DocSecurity>
  <Lines>159</Lines>
  <Paragraphs>45</Paragraphs>
  <ScaleCrop>false</ScaleCrop>
  <Company/>
  <LinksUpToDate>false</LinksUpToDate>
  <CharactersWithSpaces>22512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2</cp:revision>
  <dcterms:created xsi:type="dcterms:W3CDTF">2025-02-26T09:33:00Z</dcterms:created>
  <dcterms:modified xsi:type="dcterms:W3CDTF">2025-02-26T09:33:00Z</dcterms:modified>
</cp:coreProperties>
</file>