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210E14" w14:textId="0BE42226" w:rsidR="00B9569F" w:rsidRDefault="00B9569F" w:rsidP="00B9569F">
      <w:pPr>
        <w:jc w:val="center"/>
        <w:rPr>
          <w:rFonts w:ascii="Arial" w:hAnsi="Arial" w:cs="Arial"/>
          <w:sz w:val="40"/>
        </w:rPr>
      </w:pPr>
      <w:r w:rsidRPr="0029024A">
        <w:rPr>
          <w:noProof/>
          <w:lang w:val="en-US"/>
        </w:rPr>
        <w:drawing>
          <wp:anchor distT="0" distB="0" distL="114300" distR="114300" simplePos="0" relativeHeight="251659264" behindDoc="1" locked="0" layoutInCell="1" allowOverlap="1" wp14:anchorId="49FECB1E" wp14:editId="4EC32A65">
            <wp:simplePos x="0" y="0"/>
            <wp:positionH relativeFrom="column">
              <wp:posOffset>0</wp:posOffset>
            </wp:positionH>
            <wp:positionV relativeFrom="paragraph">
              <wp:posOffset>419100</wp:posOffset>
            </wp:positionV>
            <wp:extent cx="3028950" cy="1333500"/>
            <wp:effectExtent l="0" t="0" r="0" b="0"/>
            <wp:wrapTight wrapText="bothSides">
              <wp:wrapPolygon edited="0">
                <wp:start x="0" y="0"/>
                <wp:lineTo x="0" y="21291"/>
                <wp:lineTo x="21464" y="21291"/>
                <wp:lineTo x="21464" y="0"/>
                <wp:lineTo x="0" y="0"/>
              </wp:wrapPolygon>
            </wp:wrapTight>
            <wp:docPr id="1312886513" name="Picture 1312886513" descr="A logo with a shield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with a shield and text&#10;&#10;Description automatically generated"/>
                    <pic:cNvPicPr/>
                  </pic:nvPicPr>
                  <pic:blipFill rotWithShape="1">
                    <a:blip r:embed="rId8">
                      <a:extLst>
                        <a:ext uri="{28A0092B-C50C-407E-A947-70E740481C1C}">
                          <a14:useLocalDpi xmlns:a14="http://schemas.microsoft.com/office/drawing/2010/main" val="0"/>
                        </a:ext>
                      </a:extLst>
                    </a:blip>
                    <a:srcRect t="31372"/>
                    <a:stretch/>
                  </pic:blipFill>
                  <pic:spPr bwMode="auto">
                    <a:xfrm>
                      <a:off x="0" y="0"/>
                      <a:ext cx="3028950" cy="1333500"/>
                    </a:xfrm>
                    <a:prstGeom prst="rect">
                      <a:avLst/>
                    </a:prstGeom>
                    <a:ln>
                      <a:noFill/>
                    </a:ln>
                    <a:extLst>
                      <a:ext uri="{53640926-AAD7-44D8-BBD7-CCE9431645EC}">
                        <a14:shadowObscured xmlns:a14="http://schemas.microsoft.com/office/drawing/2010/main"/>
                      </a:ext>
                    </a:extLst>
                  </pic:spPr>
                </pic:pic>
              </a:graphicData>
            </a:graphic>
          </wp:anchor>
        </w:drawing>
      </w:r>
    </w:p>
    <w:p w14:paraId="6F25F6F8" w14:textId="77777777" w:rsidR="00B9569F" w:rsidRPr="00F4384A" w:rsidRDefault="00B9569F" w:rsidP="00B9569F">
      <w:pPr>
        <w:jc w:val="center"/>
        <w:rPr>
          <w:rFonts w:ascii="Arial" w:hAnsi="Arial" w:cs="Arial"/>
          <w:sz w:val="40"/>
        </w:rPr>
      </w:pPr>
    </w:p>
    <w:p w14:paraId="1E8082E7" w14:textId="77777777" w:rsidR="00B9569F" w:rsidRPr="00A774D2" w:rsidRDefault="00B9569F" w:rsidP="00B9569F">
      <w:pPr>
        <w:jc w:val="center"/>
        <w:rPr>
          <w:rFonts w:ascii="Arial" w:hAnsi="Arial" w:cs="Arial"/>
          <w:b/>
          <w:bCs/>
          <w:sz w:val="40"/>
          <w:szCs w:val="40"/>
        </w:rPr>
      </w:pPr>
      <w:r w:rsidRPr="00A774D2">
        <w:rPr>
          <w:rFonts w:ascii="Arial" w:hAnsi="Arial" w:cs="Arial"/>
          <w:b/>
          <w:bCs/>
          <w:sz w:val="40"/>
          <w:szCs w:val="40"/>
        </w:rPr>
        <w:t>BA</w:t>
      </w:r>
      <w:r>
        <w:rPr>
          <w:rFonts w:ascii="Arial" w:hAnsi="Arial" w:cs="Arial"/>
          <w:b/>
          <w:bCs/>
          <w:sz w:val="40"/>
          <w:szCs w:val="40"/>
        </w:rPr>
        <w:t xml:space="preserve"> (Hons)</w:t>
      </w:r>
      <w:r w:rsidRPr="00A774D2">
        <w:rPr>
          <w:rFonts w:ascii="Arial" w:hAnsi="Arial" w:cs="Arial"/>
          <w:b/>
          <w:bCs/>
          <w:sz w:val="40"/>
          <w:szCs w:val="40"/>
        </w:rPr>
        <w:t xml:space="preserve"> International Hotel Management</w:t>
      </w:r>
    </w:p>
    <w:p w14:paraId="432AA6AB" w14:textId="77777777" w:rsidR="00B9569F" w:rsidRDefault="00B9569F" w:rsidP="00B9569F">
      <w:pPr>
        <w:jc w:val="center"/>
        <w:rPr>
          <w:rFonts w:ascii="Arial" w:hAnsi="Arial" w:cs="Arial"/>
          <w:b/>
          <w:bCs/>
          <w:sz w:val="32"/>
          <w:szCs w:val="32"/>
        </w:rPr>
      </w:pPr>
    </w:p>
    <w:p w14:paraId="69EAF3E7" w14:textId="77777777" w:rsidR="006224DD" w:rsidRDefault="006224DD" w:rsidP="006224DD">
      <w:pPr>
        <w:jc w:val="center"/>
        <w:rPr>
          <w:rFonts w:ascii="Arial" w:hAnsi="Arial" w:cs="Arial"/>
          <w:b/>
          <w:bCs/>
          <w:color w:val="8EAADB" w:themeColor="accent1" w:themeTint="99"/>
          <w:sz w:val="32"/>
          <w:szCs w:val="32"/>
          <w:u w:val="single"/>
        </w:rPr>
      </w:pPr>
      <w:r>
        <w:rPr>
          <w:rFonts w:ascii="Arial" w:hAnsi="Arial" w:cs="Arial"/>
          <w:b/>
          <w:bCs/>
          <w:color w:val="8EAADB" w:themeColor="accent1" w:themeTint="99"/>
          <w:sz w:val="32"/>
          <w:szCs w:val="32"/>
          <w:u w:val="single"/>
        </w:rPr>
        <w:t>Assignment 1—Individual Business Model Canvas with entrepreneurial reflection using appropriate academic models.</w:t>
      </w:r>
    </w:p>
    <w:p w14:paraId="4A9F62AE" w14:textId="77777777" w:rsidR="006224DD" w:rsidRDefault="006224DD" w:rsidP="006224DD">
      <w:pPr>
        <w:jc w:val="center"/>
        <w:rPr>
          <w:rFonts w:ascii="Arial" w:hAnsi="Arial" w:cs="Arial"/>
          <w:b/>
          <w:bCs/>
          <w:color w:val="8EAADB" w:themeColor="accent1" w:themeTint="99"/>
          <w:sz w:val="32"/>
          <w:szCs w:val="32"/>
          <w:u w:val="single"/>
        </w:rPr>
      </w:pPr>
    </w:p>
    <w:p w14:paraId="40CEAB08" w14:textId="77777777" w:rsidR="006224DD" w:rsidRDefault="006224DD" w:rsidP="006224DD">
      <w:pPr>
        <w:spacing w:line="480" w:lineRule="auto"/>
        <w:jc w:val="center"/>
        <w:rPr>
          <w:rFonts w:ascii="Arial" w:hAnsi="Arial" w:cs="Arial"/>
          <w:i/>
          <w:iCs/>
          <w:color w:val="002060"/>
          <w:sz w:val="32"/>
          <w:szCs w:val="32"/>
          <w:u w:val="single"/>
        </w:rPr>
      </w:pPr>
      <w:r w:rsidRPr="00C2369D">
        <w:rPr>
          <w:rFonts w:ascii="Arial" w:hAnsi="Arial" w:cs="Arial"/>
          <w:i/>
          <w:iCs/>
          <w:color w:val="002060"/>
          <w:sz w:val="32"/>
          <w:szCs w:val="32"/>
          <w:u w:val="single"/>
        </w:rPr>
        <w:t xml:space="preserve">Student: </w:t>
      </w:r>
      <w:r w:rsidRPr="00C2369D">
        <w:rPr>
          <w:rFonts w:ascii="Arial" w:hAnsi="Arial" w:cs="Arial"/>
          <w:i/>
          <w:iCs/>
          <w:color w:val="002060"/>
          <w:sz w:val="32"/>
          <w:szCs w:val="32"/>
          <w:u w:val="single"/>
          <w:shd w:val="clear" w:color="auto" w:fill="FFFFFF"/>
        </w:rPr>
        <w:t>Mohammed Abdul Bathen</w:t>
      </w:r>
      <w:r w:rsidRPr="00C2369D">
        <w:rPr>
          <w:rFonts w:ascii="Arial" w:hAnsi="Arial" w:cs="Arial"/>
          <w:i/>
          <w:iCs/>
          <w:color w:val="002060"/>
          <w:sz w:val="32"/>
          <w:szCs w:val="32"/>
          <w:u w:val="single"/>
        </w:rPr>
        <w:t xml:space="preserve"> </w:t>
      </w:r>
    </w:p>
    <w:p w14:paraId="78BA478B" w14:textId="538419B0" w:rsidR="006224DD" w:rsidRPr="006224DD" w:rsidRDefault="006224DD" w:rsidP="006224DD">
      <w:pPr>
        <w:spacing w:line="480" w:lineRule="auto"/>
        <w:jc w:val="center"/>
        <w:rPr>
          <w:rFonts w:ascii="Arial" w:hAnsi="Arial" w:cs="Arial"/>
          <w:i/>
          <w:iCs/>
          <w:color w:val="002060"/>
          <w:sz w:val="32"/>
          <w:szCs w:val="32"/>
          <w:u w:val="single"/>
        </w:rPr>
      </w:pPr>
      <w:r w:rsidRPr="00C2369D">
        <w:rPr>
          <w:rFonts w:ascii="Arial" w:hAnsi="Arial" w:cs="Arial"/>
          <w:i/>
          <w:iCs/>
          <w:color w:val="002060"/>
          <w:sz w:val="32"/>
          <w:szCs w:val="32"/>
          <w:u w:val="single"/>
        </w:rPr>
        <w:t>Student ID: 2212002</w:t>
      </w:r>
    </w:p>
    <w:p w14:paraId="5648C44A" w14:textId="7EB6D866" w:rsidR="00B9569F" w:rsidRDefault="00F47D49" w:rsidP="00F47D49">
      <w:pPr>
        <w:pStyle w:val="Heading1"/>
        <w:shd w:val="clear" w:color="auto" w:fill="FFFFFF"/>
        <w:spacing w:before="0"/>
        <w:jc w:val="center"/>
        <w:rPr>
          <w:rFonts w:ascii="Arial" w:hAnsi="Arial" w:cs="Arial"/>
          <w:b/>
          <w:bCs/>
          <w:color w:val="1F3864" w:themeColor="accent1" w:themeShade="80"/>
          <w:sz w:val="36"/>
          <w:szCs w:val="36"/>
          <w:u w:val="single"/>
        </w:rPr>
      </w:pPr>
      <w:r w:rsidRPr="00F47D49">
        <w:rPr>
          <w:rFonts w:ascii="Arial" w:hAnsi="Arial" w:cs="Arial"/>
          <w:b/>
          <w:bCs/>
          <w:color w:val="1F3864" w:themeColor="accent1" w:themeShade="80"/>
          <w:sz w:val="36"/>
          <w:szCs w:val="36"/>
          <w:u w:val="single"/>
        </w:rPr>
        <w:t>Entrepreneurship (BMIH5001)</w:t>
      </w:r>
    </w:p>
    <w:p w14:paraId="0C601E74" w14:textId="77777777" w:rsidR="00C2369D" w:rsidRPr="00176312" w:rsidRDefault="00C2369D" w:rsidP="006224DD">
      <w:pPr>
        <w:rPr>
          <w:rFonts w:ascii="Arial" w:hAnsi="Arial" w:cs="Arial"/>
          <w:sz w:val="40"/>
        </w:rPr>
      </w:pPr>
    </w:p>
    <w:p w14:paraId="0177055F" w14:textId="77777777" w:rsidR="006224DD" w:rsidRPr="00C2369D" w:rsidRDefault="006224DD" w:rsidP="006224DD">
      <w:pPr>
        <w:spacing w:line="480" w:lineRule="auto"/>
        <w:jc w:val="center"/>
        <w:rPr>
          <w:rFonts w:ascii="Arial" w:hAnsi="Arial" w:cs="Arial"/>
          <w:i/>
          <w:iCs/>
          <w:color w:val="002060"/>
          <w:sz w:val="32"/>
          <w:szCs w:val="32"/>
          <w:u w:val="single"/>
        </w:rPr>
      </w:pPr>
      <w:r w:rsidRPr="00C2369D">
        <w:rPr>
          <w:rFonts w:ascii="Arial" w:hAnsi="Arial" w:cs="Arial"/>
          <w:i/>
          <w:iCs/>
          <w:color w:val="002060"/>
          <w:sz w:val="32"/>
          <w:szCs w:val="32"/>
          <w:u w:val="single"/>
        </w:rPr>
        <w:t xml:space="preserve">Lecturer: </w:t>
      </w:r>
      <w:r>
        <w:rPr>
          <w:rFonts w:ascii="Arial" w:hAnsi="Arial" w:cs="Arial"/>
          <w:i/>
          <w:iCs/>
          <w:color w:val="002060"/>
          <w:sz w:val="32"/>
          <w:szCs w:val="32"/>
          <w:u w:val="single"/>
        </w:rPr>
        <w:t>Ka Po Chong</w:t>
      </w:r>
    </w:p>
    <w:p w14:paraId="10356BFC" w14:textId="45DA26E2" w:rsidR="00C2369D" w:rsidRPr="00A774D2" w:rsidRDefault="00C2369D" w:rsidP="00B9569F">
      <w:pPr>
        <w:spacing w:line="480" w:lineRule="auto"/>
        <w:jc w:val="center"/>
        <w:rPr>
          <w:rFonts w:ascii="Arial" w:hAnsi="Arial" w:cs="Arial"/>
          <w:sz w:val="32"/>
          <w:szCs w:val="32"/>
        </w:rPr>
      </w:pPr>
      <w:r>
        <w:rPr>
          <w:rFonts w:ascii="Arial" w:hAnsi="Arial" w:cs="Arial"/>
          <w:sz w:val="32"/>
          <w:szCs w:val="32"/>
        </w:rPr>
        <w:t xml:space="preserve">Word Count: </w:t>
      </w:r>
      <w:r w:rsidR="00990899">
        <w:rPr>
          <w:rFonts w:ascii="Arial" w:hAnsi="Arial" w:cs="Arial"/>
          <w:sz w:val="32"/>
          <w:szCs w:val="32"/>
        </w:rPr>
        <w:t>1</w:t>
      </w:r>
      <w:r w:rsidR="007609A8">
        <w:rPr>
          <w:rFonts w:ascii="Arial" w:hAnsi="Arial" w:cs="Arial"/>
          <w:sz w:val="32"/>
          <w:szCs w:val="32"/>
        </w:rPr>
        <w:t>495+540 = Total 2035 words</w:t>
      </w:r>
    </w:p>
    <w:p w14:paraId="173BA7B4" w14:textId="77777777" w:rsidR="00B9569F" w:rsidRPr="00F4384A" w:rsidRDefault="00B9569F" w:rsidP="00B9569F">
      <w:pPr>
        <w:rPr>
          <w:rFonts w:ascii="Arial" w:hAnsi="Arial" w:cs="Arial"/>
        </w:rPr>
      </w:pPr>
    </w:p>
    <w:p w14:paraId="669D655A" w14:textId="77777777" w:rsidR="00B9569F" w:rsidRDefault="00B9569F" w:rsidP="00B9569F">
      <w:pPr>
        <w:rPr>
          <w:rFonts w:ascii="Arial" w:hAnsi="Arial" w:cs="Arial"/>
        </w:rPr>
      </w:pPr>
    </w:p>
    <w:p w14:paraId="3F461A0B" w14:textId="77777777" w:rsidR="00B9569F" w:rsidRPr="00F4384A" w:rsidRDefault="00B9569F" w:rsidP="00B9569F">
      <w:pPr>
        <w:rPr>
          <w:rFonts w:ascii="Arial" w:hAnsi="Arial" w:cs="Arial"/>
        </w:rPr>
      </w:pPr>
    </w:p>
    <w:p w14:paraId="7F61E47F" w14:textId="77777777" w:rsidR="00B9569F" w:rsidRPr="00F4384A" w:rsidRDefault="00B9569F" w:rsidP="00B9569F">
      <w:pPr>
        <w:rPr>
          <w:rFonts w:ascii="Arial" w:hAnsi="Arial" w:cs="Arial"/>
        </w:rPr>
      </w:pPr>
    </w:p>
    <w:p w14:paraId="43D0C0A2" w14:textId="4C170C10" w:rsidR="00703DE5" w:rsidRPr="006224DD" w:rsidRDefault="00703DE5" w:rsidP="00703DE5">
      <w:pPr>
        <w:rPr>
          <w:rFonts w:ascii="Arial" w:hAnsi="Arial" w:cs="Arial"/>
          <w:b/>
          <w:sz w:val="32"/>
          <w:szCs w:val="32"/>
        </w:rPr>
      </w:pPr>
    </w:p>
    <w:p w14:paraId="14B4D2E0" w14:textId="0146BF95" w:rsidR="00703DE5" w:rsidRPr="00313560" w:rsidRDefault="00703DE5" w:rsidP="006224DD">
      <w:r>
        <w:br w:type="page"/>
      </w:r>
    </w:p>
    <w:p w14:paraId="780A9B96" w14:textId="77777777" w:rsidR="00703DE5" w:rsidRPr="00313560" w:rsidRDefault="00703DE5" w:rsidP="006224DD">
      <w:pPr>
        <w:spacing w:line="360" w:lineRule="auto"/>
        <w:jc w:val="both"/>
      </w:pPr>
      <w:r w:rsidRPr="00313560">
        <w:lastRenderedPageBreak/>
        <w:t xml:space="preserve">The </w:t>
      </w:r>
      <w:r>
        <w:t xml:space="preserve">aim of this </w:t>
      </w:r>
      <w:r w:rsidRPr="00313560">
        <w:t>essay</w:t>
      </w:r>
      <w:r>
        <w:t xml:space="preserve"> is to</w:t>
      </w:r>
      <w:r w:rsidRPr="00313560">
        <w:t xml:space="preserve"> justify "ExploreEra Escapes" as a hospitality </w:t>
      </w:r>
      <w:r>
        <w:t>business</w:t>
      </w:r>
      <w:r w:rsidRPr="00313560">
        <w:t xml:space="preserve"> using the </w:t>
      </w:r>
      <w:r>
        <w:t xml:space="preserve">Business </w:t>
      </w:r>
      <w:r w:rsidRPr="00313560">
        <w:t>Model Canvas. BMC sections describe the company's concept and benefits in class. The value proposition and parts of BMC are investigated to determine its competitive advantage. Instead of just saying "eco or environmental restaurant/hotel," local suppliers and competitors will be assessed as well. Contemporary examples and sources will aid company concept decisions. A complete and accurate class BMC template will be submitted for assessment. The essay justifies "ExploreEra Escapes" via business model research.</w:t>
      </w:r>
    </w:p>
    <w:p w14:paraId="49FFBCE2" w14:textId="77777777" w:rsidR="00703DE5" w:rsidRPr="00313560" w:rsidRDefault="00703DE5" w:rsidP="006224DD">
      <w:pPr>
        <w:spacing w:line="360" w:lineRule="auto"/>
        <w:jc w:val="both"/>
      </w:pPr>
      <w:r w:rsidRPr="00313560">
        <w:t>The tourism-related hospitality venture, "ExploreEra Escapes," is the new hospitality venture. Several products and services enhance trips. Tour packages for different tastes dominate. The company arranges cheap lodging. ExploreEra Escapes offers tours, lodging, and transportation. For easy and varied travel, clients can use planes, trains, buses, and private shuttles (Kim et al., 2021). The company emphasises guided tours to improve travel. Experienced guides enhance client pleasure by highlighting local history, culture, and attractions (Zimmerer, 2011). The hotel offers customised tours. Personalised itineraries make travel unforgettable. ExploreEra Escapes wants to stand out in the tourism industry by offering a variety of services and travel characteristics. Vacation packages, hotels, transport, guided excursions, and bespoke itineraries show the company's commitment to a personalised travel experience.</w:t>
      </w:r>
    </w:p>
    <w:p w14:paraId="72FDF973" w14:textId="77777777" w:rsidR="00703DE5" w:rsidRPr="00313560" w:rsidRDefault="00703DE5" w:rsidP="006224DD">
      <w:pPr>
        <w:spacing w:line="360" w:lineRule="auto"/>
        <w:jc w:val="both"/>
      </w:pPr>
      <w:r w:rsidRPr="00313560">
        <w:t xml:space="preserve">To optimise travel, ExploreEra Escapes needs smart connections with local companies, lodgings, and transportation. Partnerships boost firm credibility, efficiency, and consumer happiness. British Airways' luxury hotel partnerships work. Airlines and hotels collaborate to improve travel (Carlisle, Ivanov and </w:t>
      </w:r>
      <w:proofErr w:type="spellStart"/>
      <w:r w:rsidRPr="00313560">
        <w:t>Dijkmans</w:t>
      </w:r>
      <w:proofErr w:type="spellEnd"/>
      <w:r w:rsidRPr="00313560">
        <w:t xml:space="preserve">, 2021). Like British Airways, ExploreEra Escapes works with reputable firms. Strategic alliances give the firm accommodation, transit, and lodging discounts. Offering innovative and integrated products gives the company credibility and an edge. ExploreEra Escapes may become a trusted travel curator by using local partners' experience and reputation, improving its competitiveness in the evolving tourist industry (Smith, </w:t>
      </w:r>
      <w:proofErr w:type="gramStart"/>
      <w:r w:rsidRPr="00313560">
        <w:t>Rees</w:t>
      </w:r>
      <w:proofErr w:type="gramEnd"/>
      <w:r w:rsidRPr="00313560">
        <w:t xml:space="preserve"> and Murray, 2016).</w:t>
      </w:r>
    </w:p>
    <w:p w14:paraId="14579855" w14:textId="77777777" w:rsidR="00703DE5" w:rsidRPr="00313560" w:rsidRDefault="00703DE5" w:rsidP="006224DD">
      <w:pPr>
        <w:spacing w:line="360" w:lineRule="auto"/>
        <w:jc w:val="both"/>
      </w:pPr>
      <w:r w:rsidRPr="00313560">
        <w:t>ExploreEra Escapes guides are local experts. Rick Steves' Europe, a UK company that hires local guides to deliver real European experiences, has thrived using this technique. ExploreEra Escapes improves tours with local knowledge (</w:t>
      </w:r>
      <w:proofErr w:type="spellStart"/>
      <w:r w:rsidRPr="00313560">
        <w:t>Ntounis</w:t>
      </w:r>
      <w:proofErr w:type="spellEnd"/>
      <w:r w:rsidRPr="00313560">
        <w:t xml:space="preserve"> </w:t>
      </w:r>
      <w:r w:rsidRPr="00E0582A">
        <w:rPr>
          <w:i/>
          <w:iCs/>
        </w:rPr>
        <w:t>et al</w:t>
      </w:r>
      <w:r w:rsidRPr="00313560">
        <w:t xml:space="preserve">., 2021). An easy-to-use website and technology investment are crucial. ExploreEra Escapes uses technology to boost client interactions and bookings, like Booking.com. This investment makes the company a tourist technology leader </w:t>
      </w:r>
      <w:r w:rsidRPr="00313560">
        <w:lastRenderedPageBreak/>
        <w:t>and user-friendly. Uber's UK transport cooperation shows how local companies, hotels, and transport providers may combine to improve efficiency. ExploreEra Escapes wants similar partnerships for service integration and efficiency. These resources give the hotel a competitive edge by providing local expertise, technical sophistication, and efficient operations for superior client service (Williams, 2021).</w:t>
      </w:r>
    </w:p>
    <w:p w14:paraId="7F7BA98D" w14:textId="77777777" w:rsidR="00703DE5" w:rsidRPr="00313560" w:rsidRDefault="00703DE5" w:rsidP="006224DD">
      <w:pPr>
        <w:spacing w:line="360" w:lineRule="auto"/>
        <w:jc w:val="both"/>
      </w:pPr>
      <w:r w:rsidRPr="00313560">
        <w:t>ExploreEra Escapes' trip packages are interesting. UK private holiday company Secret Escapes utilises this strategy. ExploreEra Escapes' unique packages suit different tastes. Skyscanner's user-friendly website shows a commitment to usability. ExploreEra Escapes' unique technology simplifies booking and navigation online. Customer satisfaction is increased by strong local guide</w:t>
      </w:r>
      <w:r>
        <w:t>s</w:t>
      </w:r>
      <w:r w:rsidRPr="00313560">
        <w:t>, business, and travel broker ties. This was inspired by VisitBritain, a UK firm that partners to offer amazing vacations (Adamovich and Nadda, 2021). ExploreEra Escapes provides a complete and captivating experience with innovative vacation packages, advanced technology, and strong local ties.</w:t>
      </w:r>
    </w:p>
    <w:p w14:paraId="46247AA9" w14:textId="02A4BA18" w:rsidR="00703DE5" w:rsidRPr="00313560" w:rsidRDefault="00703DE5" w:rsidP="006224DD">
      <w:pPr>
        <w:spacing w:line="360" w:lineRule="auto"/>
        <w:jc w:val="both"/>
      </w:pPr>
      <w:r w:rsidRPr="00313560">
        <w:t xml:space="preserve">ExploreEra Escapes seeks adventurers, culturists, and tailored travellers. Trailfinders, a UK travel customizer, succeeded with segmentation. ExploreEra Escapes targets different, interested audiences in various categories. Segmentation enables the company </w:t>
      </w:r>
      <w:r>
        <w:t xml:space="preserve">to </w:t>
      </w:r>
      <w:r w:rsidRPr="00313560">
        <w:t xml:space="preserve">customise trips. Audley Travel </w:t>
      </w:r>
      <w:r w:rsidR="006224DD" w:rsidRPr="00313560">
        <w:t>tailors’</w:t>
      </w:r>
      <w:r w:rsidRPr="00313560">
        <w:t xml:space="preserve"> itineraries for travellers in the UK</w:t>
      </w:r>
      <w:r>
        <w:t xml:space="preserve"> </w:t>
      </w:r>
      <w:r w:rsidRPr="00313560">
        <w:t>(</w:t>
      </w:r>
      <w:proofErr w:type="spellStart"/>
      <w:r w:rsidRPr="00313560">
        <w:t>Massidda</w:t>
      </w:r>
      <w:proofErr w:type="spellEnd"/>
      <w:r w:rsidRPr="00313560">
        <w:t xml:space="preserve">, </w:t>
      </w:r>
      <w:proofErr w:type="spellStart"/>
      <w:r w:rsidRPr="00313560">
        <w:t>Piras</w:t>
      </w:r>
      <w:proofErr w:type="spellEnd"/>
      <w:r w:rsidRPr="00313560">
        <w:t xml:space="preserve"> and Seetaram, 2022). Inspired by such ideas, ExploreEra Escapes learns each consumer segment's preferences to improve engagement and happiness. ExploreEra Escapes competes with UK giants with this customer-focused model. The company creates unique experiences for adventurers, cultural buffs, and personalised travellers.</w:t>
      </w:r>
    </w:p>
    <w:p w14:paraId="008289BA" w14:textId="77777777" w:rsidR="00703DE5" w:rsidRPr="00313560" w:rsidRDefault="00703DE5" w:rsidP="006224DD">
      <w:pPr>
        <w:spacing w:line="360" w:lineRule="auto"/>
        <w:jc w:val="both"/>
      </w:pPr>
      <w:r w:rsidRPr="00313560">
        <w:t>UK Company Wild Frontiers inspired ExploreEra Escapes to create vacations. This legendary brand built its value by pioneering personalised travel. Customisation distinguishes ExploreEra Escapes. Rick Steves values local guide collaboration in Europe. This cooperation gives clients unique destination information, improving vacations (Similarweb.com, 2023). ExploreEra Escapes combines local experience with cultural, historical, and attraction information. Tours, transportation, and lodging increase client value. This strategy has helped UK all-inclusive holiday company Kuoni succeed (</w:t>
      </w:r>
      <w:proofErr w:type="spellStart"/>
      <w:r w:rsidRPr="00313560">
        <w:t>Korstanje</w:t>
      </w:r>
      <w:proofErr w:type="spellEnd"/>
      <w:r w:rsidRPr="00313560">
        <w:t>, Seraphin and Maingi, 2022). ExploreEra Escapes offers a one-stop solution to improve client happiness and stay ahead in tourism.</w:t>
      </w:r>
    </w:p>
    <w:p w14:paraId="2AEA605D" w14:textId="77777777" w:rsidR="00703DE5" w:rsidRPr="00313560" w:rsidRDefault="00703DE5" w:rsidP="006224DD">
      <w:pPr>
        <w:spacing w:line="360" w:lineRule="auto"/>
        <w:jc w:val="both"/>
      </w:pPr>
      <w:r w:rsidRPr="00313560">
        <w:lastRenderedPageBreak/>
        <w:t xml:space="preserve">ExploreEra Escapes uses multiple channels like UK-based Expedia. This worldwide online travel company interacts </w:t>
      </w:r>
      <w:r>
        <w:t xml:space="preserve">with </w:t>
      </w:r>
      <w:r w:rsidRPr="00313560">
        <w:t xml:space="preserve">customers in different ways. ExploreEra Escapes' mobile app and website make bookings easier for flexible modern tourists. UK-based TUI Group partners with travel companies for visibility. Alliances let ExploreEra Escapes contact more customers and use networks (Adedoyin </w:t>
      </w:r>
      <w:r w:rsidRPr="00E0582A">
        <w:rPr>
          <w:i/>
          <w:iCs/>
        </w:rPr>
        <w:t>et al</w:t>
      </w:r>
      <w:r w:rsidRPr="00313560">
        <w:t>., 2021). Strategy partnerships increase client visibility and accessibility. Airbnb UK uses influencer marketing well. ExploreEra Escapes wants more influencer marketing. Influencers boost reputation and reach, giving the tourism business an edge.</w:t>
      </w:r>
    </w:p>
    <w:p w14:paraId="7C7FA7AD" w14:textId="77777777" w:rsidR="00703DE5" w:rsidRPr="00313560" w:rsidRDefault="00703DE5" w:rsidP="006224DD">
      <w:pPr>
        <w:spacing w:line="360" w:lineRule="auto"/>
        <w:jc w:val="both"/>
      </w:pPr>
      <w:r w:rsidRPr="00313560">
        <w:t>Virgin Atlantic's success inspired ExploreEra Escapes' personalised service. Excellent customer service unifies Virgin Atlantic passengers. ExploreEra Escapes helps consumers tailor their trips based on their passions. British Airways cherishes consumers, therefore post-trip questionnaires are fine (Blackwell, 2011). Customer reviews on ExploreEra Escapes exceed expectations. Feedback improves customer relations and constant improvement. UK retailer Tesco has long-term loyalty programmes. ExploreEra Escapes rewards and incentivizes customers. Tourist and hospitality companies benefit from customer loyalty.</w:t>
      </w:r>
    </w:p>
    <w:p w14:paraId="48507FA9" w14:textId="77777777" w:rsidR="00703DE5" w:rsidRPr="00313560" w:rsidRDefault="00703DE5" w:rsidP="006224DD">
      <w:pPr>
        <w:spacing w:line="360" w:lineRule="auto"/>
        <w:jc w:val="both"/>
      </w:pPr>
      <w:r w:rsidRPr="00313560">
        <w:t>ExploreEra Escapes uses EasyJet's cost</w:t>
      </w:r>
      <w:r>
        <w:t xml:space="preserve"> </w:t>
      </w:r>
      <w:r w:rsidRPr="00313560">
        <w:t xml:space="preserve">control. EasyJet saves money without losing quality by using resources efficiently. ExploreEra Escapes optimises resources for user satisfaction and cost control. UK airline Ryanair invests in technology to cut costs. ExploreEra Escapes uses technology to improve productivity, client service, and cost. Whitbread benefits from strategic alliances' scale and cost savings (Barringer and Ireland, 2018). ExploreEra Escapes works with local hotels, </w:t>
      </w:r>
      <w:proofErr w:type="gramStart"/>
      <w:r w:rsidRPr="00313560">
        <w:t>motels</w:t>
      </w:r>
      <w:proofErr w:type="gramEnd"/>
      <w:r w:rsidRPr="00313560">
        <w:t xml:space="preserve"> and transportation businesses to cut expenses and enhance tourism. In the dynamic, cost-sensitive tourist industry, strategic cost management maximises customer value and gives a competitive edge.</w:t>
      </w:r>
    </w:p>
    <w:p w14:paraId="533E5687" w14:textId="77777777" w:rsidR="00703DE5" w:rsidRPr="00313560" w:rsidRDefault="00703DE5" w:rsidP="006224DD">
      <w:pPr>
        <w:spacing w:line="360" w:lineRule="auto"/>
        <w:jc w:val="both"/>
      </w:pPr>
      <w:r w:rsidRPr="00313560">
        <w:t>ExploreEra Escapes follows Thomas Cook's multi-revenue strategy. Travel pioneer Thomas Cook expanded into travel services. ExploreEra Escapes diversifies revenue to compete. Customised vacations from UK-based Intrepid Travel are popular. Personalised packages let ExploreEra Escapes reach many (</w:t>
      </w:r>
      <w:proofErr w:type="spellStart"/>
      <w:r w:rsidRPr="00313560">
        <w:t>Massidda</w:t>
      </w:r>
      <w:proofErr w:type="spellEnd"/>
      <w:r w:rsidRPr="00313560">
        <w:t xml:space="preserve">, </w:t>
      </w:r>
      <w:proofErr w:type="spellStart"/>
      <w:r w:rsidRPr="00313560">
        <w:t>Piras</w:t>
      </w:r>
      <w:proofErr w:type="spellEnd"/>
      <w:r w:rsidRPr="00313560">
        <w:t xml:space="preserve"> and Seetaram, 2022). Accommodation commissions like Booking.com. ExploreEra Escapes profits from internet accommodation reservations with this strategy. Strategically including comprehensive transport services benefits National Express, a UK company. ExploreEra Escapes' varied revenue stream stabilises and competes </w:t>
      </w:r>
      <w:r>
        <w:t xml:space="preserve">with </w:t>
      </w:r>
      <w:r w:rsidRPr="00313560">
        <w:t>the dynamic tourism industry.</w:t>
      </w:r>
    </w:p>
    <w:p w14:paraId="198A549C" w14:textId="77777777" w:rsidR="00703DE5" w:rsidRPr="00313560" w:rsidRDefault="00703DE5" w:rsidP="006224DD">
      <w:pPr>
        <w:spacing w:line="360" w:lineRule="auto"/>
        <w:jc w:val="both"/>
      </w:pPr>
      <w:r w:rsidRPr="00313560">
        <w:lastRenderedPageBreak/>
        <w:t xml:space="preserve">Market trends, customer preferences, and industry realities drove ExploreEra Escapes' hospitality strategy. Understanding these elements and making strategic judgements based on UK visitor examples will decide the concept's success. Modern travellers' tastes matter. Trailfinders' success in the UK shows </w:t>
      </w:r>
      <w:r>
        <w:t xml:space="preserve">the </w:t>
      </w:r>
      <w:r w:rsidRPr="00313560">
        <w:t>need for customised experiences (</w:t>
      </w:r>
      <w:proofErr w:type="spellStart"/>
      <w:r w:rsidRPr="00313560">
        <w:t>Entina</w:t>
      </w:r>
      <w:proofErr w:type="spellEnd"/>
      <w:r w:rsidRPr="00313560">
        <w:t xml:space="preserve"> et al., 2021). ExploreEra Escapes targets explorers, culturists, and tailored tourists to capitalise on this trend. Targeted segmentation lets the company access a diverse and engaged audience. </w:t>
      </w:r>
      <w:proofErr w:type="spellStart"/>
      <w:r w:rsidRPr="00313560">
        <w:t>ExplorEra</w:t>
      </w:r>
      <w:proofErr w:type="spellEnd"/>
      <w:r w:rsidRPr="00313560">
        <w:t xml:space="preserve"> Escapes tailors travel to each segment and provide unforgettable experiences. Local guides collaborate because travellers want real experiences. Rick Steves' Europe in the UK shows how such partnerships might provide destination information. Exploring local culture, history, and sites may enrich the holiday, according to ExploreEra Escapes. Digital travel channels increased the need for technology to build and maintain an intuitive web platform. Skyscanner demonstrates how technology may improve customer relations (</w:t>
      </w:r>
      <w:proofErr w:type="spellStart"/>
      <w:r w:rsidRPr="00313560">
        <w:t>Jiddi</w:t>
      </w:r>
      <w:proofErr w:type="spellEnd"/>
      <w:r w:rsidRPr="00313560">
        <w:t xml:space="preserve"> and </w:t>
      </w:r>
      <w:proofErr w:type="spellStart"/>
      <w:r w:rsidRPr="00313560">
        <w:t>Ibenrissoul</w:t>
      </w:r>
      <w:proofErr w:type="spellEnd"/>
      <w:r w:rsidRPr="00313560">
        <w:t>, 2020). ExploreEra Escapes' technologically advanced and user-friendly website will improve client experience.</w:t>
      </w:r>
    </w:p>
    <w:p w14:paraId="6ADC96CC" w14:textId="77777777" w:rsidR="00703DE5" w:rsidRPr="00313560" w:rsidRDefault="00703DE5" w:rsidP="006224DD">
      <w:pPr>
        <w:spacing w:line="360" w:lineRule="auto"/>
        <w:jc w:val="both"/>
      </w:pPr>
      <w:r w:rsidRPr="00313560">
        <w:t xml:space="preserve">The UK's Airbnb and Uber success </w:t>
      </w:r>
      <w:r>
        <w:t>a</w:t>
      </w:r>
      <w:r w:rsidRPr="00313560">
        <w:t>ffects strategic collaborations with local businesses, accommodations, and transportation services. Partnerships optimised travel for these companies (Zhang et al., 2021). ExploreEra Escapes believes such cooperation boost</w:t>
      </w:r>
      <w:r>
        <w:t>s</w:t>
      </w:r>
      <w:r w:rsidRPr="00313560">
        <w:t xml:space="preserve"> reputation, efficiency, and customer satisfaction, giving it a tourism advantage. </w:t>
      </w:r>
      <w:r>
        <w:t>The s</w:t>
      </w:r>
      <w:r w:rsidRPr="00313560">
        <w:t>uccess of UK-based Thomas Cook promoted revenue diversification to decrease reliance. ExploreEra Escapes can secure company finances by diversifying revenue. UK bespoke trip operator Intrepid Travel recommends them. UK-based Booking.com encourages lodging booking commissions by including reservations for revenue. UK internet transit operator National Express makes money from extensive services. Exploring these concerns, ExploreEra Escapes' hospitality philosophy promotes adaptability to changing customer tastes, technology for smooth interactions, and strong collaborations for operational efficiency and improved experiences (Horsfall, 2019). Modern UK industry examples demonstrate these strategic activities' longevity and success, improving ExploreEra Escapes' tourist competitiveness.</w:t>
      </w:r>
    </w:p>
    <w:p w14:paraId="2B91FDCE" w14:textId="77777777" w:rsidR="00703DE5" w:rsidRDefault="00703DE5" w:rsidP="006224DD">
      <w:pPr>
        <w:spacing w:line="360" w:lineRule="auto"/>
        <w:jc w:val="both"/>
      </w:pPr>
      <w:r w:rsidRPr="00313560">
        <w:t xml:space="preserve">Finally, ExploreEra Escapes tracks industry and consumer trends. Well-planned holiday packages, housing booking assistance, broad transit options, guided tours, and bespoke itineraries show excellent client service (Williams, 2020). Hotel dynamics influenced Business Model Canvas (BMC) decisions. Trailfinders' success in the UK spurred thorough client category segmentation </w:t>
      </w:r>
      <w:r w:rsidRPr="00313560">
        <w:lastRenderedPageBreak/>
        <w:t>to meet modern visitors' desire for customised experiences. To suit immersive travel needs, Rick Steves' Europe-inspired local guide collaborations offer unique insights. Local businesses, hotels, and transport services join with Airbnb and Uber after their UK success. The BMC claims these relationships boost credibility, efficiency, and customer happiness. Skyscanner's UK performance and investment in an appealing online platform reflect rising digital travel channel use. ExploreEra Escapes diversifies its revenue streams to strengthen its finances, inspired by Thomas Cook. Personalised trips, lodging booking commissions, and transportation revenue sustain profitability (Ali, 2020). These decisions are driven by market shifts, client behaviour, and hospitality industry adaptability. Customised, diverse, and unique vacations from ExploreEra Escapes can adapt to changing travel habits. Help ExploreEra Escapes succeed in the vibrant and competitive tourism sector by learning from successful UK businesses.</w:t>
      </w:r>
    </w:p>
    <w:p w14:paraId="1AC29EAE" w14:textId="77777777" w:rsidR="00703DE5" w:rsidRDefault="00703DE5" w:rsidP="006224DD">
      <w:pPr>
        <w:spacing w:line="360" w:lineRule="auto"/>
        <w:jc w:val="both"/>
      </w:pPr>
    </w:p>
    <w:p w14:paraId="374E40B2" w14:textId="77777777" w:rsidR="00703DE5" w:rsidRDefault="00703DE5" w:rsidP="006224DD">
      <w:pPr>
        <w:spacing w:line="360" w:lineRule="auto"/>
        <w:jc w:val="both"/>
      </w:pPr>
    </w:p>
    <w:p w14:paraId="5014AB14" w14:textId="77777777" w:rsidR="00703DE5" w:rsidRDefault="00703DE5" w:rsidP="006224DD">
      <w:pPr>
        <w:spacing w:line="360" w:lineRule="auto"/>
        <w:jc w:val="both"/>
      </w:pPr>
    </w:p>
    <w:p w14:paraId="43F403DE" w14:textId="77777777" w:rsidR="00703DE5" w:rsidRDefault="00703DE5" w:rsidP="006224DD">
      <w:pPr>
        <w:spacing w:line="360" w:lineRule="auto"/>
        <w:jc w:val="both"/>
      </w:pPr>
    </w:p>
    <w:p w14:paraId="0345412E" w14:textId="77777777" w:rsidR="00703DE5" w:rsidRDefault="00703DE5" w:rsidP="006224DD">
      <w:pPr>
        <w:spacing w:line="360" w:lineRule="auto"/>
        <w:jc w:val="both"/>
      </w:pPr>
    </w:p>
    <w:p w14:paraId="12E239E9" w14:textId="77777777" w:rsidR="00703DE5" w:rsidRDefault="00703DE5" w:rsidP="006224DD">
      <w:pPr>
        <w:spacing w:line="360" w:lineRule="auto"/>
        <w:jc w:val="both"/>
      </w:pPr>
    </w:p>
    <w:p w14:paraId="0BD45BF8" w14:textId="77777777" w:rsidR="00703DE5" w:rsidRDefault="00703DE5" w:rsidP="006224DD">
      <w:pPr>
        <w:spacing w:line="360" w:lineRule="auto"/>
        <w:jc w:val="both"/>
      </w:pPr>
    </w:p>
    <w:p w14:paraId="6CD8E5AC" w14:textId="77777777" w:rsidR="00703DE5" w:rsidRDefault="00703DE5" w:rsidP="006224DD">
      <w:pPr>
        <w:spacing w:line="360" w:lineRule="auto"/>
        <w:jc w:val="both"/>
      </w:pPr>
    </w:p>
    <w:p w14:paraId="57EFFA9C" w14:textId="77777777" w:rsidR="00703DE5" w:rsidRDefault="00703DE5" w:rsidP="006224DD">
      <w:pPr>
        <w:spacing w:line="360" w:lineRule="auto"/>
        <w:jc w:val="both"/>
      </w:pPr>
    </w:p>
    <w:p w14:paraId="2C6E07B8" w14:textId="77777777" w:rsidR="00703DE5" w:rsidRDefault="00703DE5" w:rsidP="006224DD">
      <w:pPr>
        <w:spacing w:line="360" w:lineRule="auto"/>
        <w:jc w:val="both"/>
      </w:pPr>
    </w:p>
    <w:p w14:paraId="142AD78B" w14:textId="77777777" w:rsidR="00703DE5" w:rsidRDefault="00703DE5" w:rsidP="006224DD">
      <w:pPr>
        <w:spacing w:line="360" w:lineRule="auto"/>
        <w:jc w:val="both"/>
      </w:pPr>
    </w:p>
    <w:p w14:paraId="4A9B9DBA" w14:textId="77777777" w:rsidR="00703DE5" w:rsidRDefault="00703DE5" w:rsidP="006224DD">
      <w:pPr>
        <w:spacing w:line="360" w:lineRule="auto"/>
        <w:jc w:val="both"/>
      </w:pPr>
    </w:p>
    <w:p w14:paraId="4EFEC52E" w14:textId="77777777" w:rsidR="00703DE5" w:rsidRDefault="00703DE5" w:rsidP="006224DD">
      <w:pPr>
        <w:spacing w:line="360" w:lineRule="auto"/>
        <w:jc w:val="both"/>
      </w:pPr>
    </w:p>
    <w:p w14:paraId="0B9BA728" w14:textId="60ED8050" w:rsidR="00703DE5" w:rsidRPr="00313560" w:rsidRDefault="00703DE5" w:rsidP="007609A8"/>
    <w:p w14:paraId="6D686625" w14:textId="28E37E8F" w:rsidR="00703DE5" w:rsidRPr="00313560" w:rsidRDefault="00703DE5" w:rsidP="007609A8">
      <w:pPr>
        <w:spacing w:line="360" w:lineRule="auto"/>
        <w:jc w:val="both"/>
      </w:pPr>
      <w:r w:rsidRPr="00313560">
        <w:lastRenderedPageBreak/>
        <w:t xml:space="preserve">My entrepreneurial and managerial motives and traits are shown by the class Entrepreneurial Questionnaire and GET2 Test (Kusa, Duda and Suder, 2021). These ratings and how they reflect my entrepreneurial goals will be critically assessed utilising the Gibbs Reflective Cycle. My 41 Entrepreneurial Questionnaire scores for business skills are 36–48. GET2 scores were 67%, with high scores in Need for Achievement and Autonomy (83%), Creative Tendency (67%), Calculated Risk-taking (67%), and Locus of Control (42%). The insights assist me </w:t>
      </w:r>
      <w:r>
        <w:t>in comprehending</w:t>
      </w:r>
      <w:r w:rsidRPr="00313560">
        <w:t xml:space="preserve"> my entrepreneurial mentality (Riar et al., 2021). My exam scores demonstrate my entrepreneurship and determination.</w:t>
      </w:r>
    </w:p>
    <w:p w14:paraId="5923979F" w14:textId="77777777" w:rsidR="00703DE5" w:rsidRPr="00313560" w:rsidRDefault="00703DE5" w:rsidP="007609A8">
      <w:pPr>
        <w:spacing w:line="360" w:lineRule="auto"/>
        <w:jc w:val="both"/>
      </w:pPr>
      <w:r w:rsidRPr="00313560">
        <w:t xml:space="preserve">Scores inspire confidence and curiosity. High Entrepreneurial Questionnaire and GET2 Test Need for Achievement and Autonomy scores suggest entrepreneurial potential. My lower Locus of Control score requires more life event control (Zimmerer, 2011). This complex emotion shows self-awareness of strengths and weaknesses. Confidence and curiosity boost </w:t>
      </w:r>
      <w:r>
        <w:t xml:space="preserve">the </w:t>
      </w:r>
      <w:r w:rsidRPr="00313560">
        <w:t>company</w:t>
      </w:r>
      <w:r>
        <w:t>'s</w:t>
      </w:r>
      <w:r w:rsidRPr="00313560">
        <w:t xml:space="preserve"> image. Accepting this emotional climate helps me grow personally, professionally, and entrepreneurially.</w:t>
      </w:r>
    </w:p>
    <w:p w14:paraId="457C841B" w14:textId="77777777" w:rsidR="00703DE5" w:rsidRPr="00313560" w:rsidRDefault="00703DE5" w:rsidP="007609A8">
      <w:pPr>
        <w:spacing w:line="360" w:lineRule="auto"/>
        <w:jc w:val="both"/>
      </w:pPr>
      <w:r w:rsidRPr="00313560">
        <w:t>After careful examination, the Entrepreneurial Questionnaire places me in a range with all the necessary entrepreneurship traits. GET2 Test results show a high desire for achievement and autonomy, indicating entrepreneurship. The lower Locus of Control score shows that my concept of result control may need to be altered for a more balanced company approach. The review offers improvements (Williams, 2021). To develop a well-rounded entrepreneurial approach that drives my activities and gives me control and influence in the changing world of business, I must acknowledge and manage this component.</w:t>
      </w:r>
    </w:p>
    <w:p w14:paraId="54E4D560" w14:textId="77777777" w:rsidR="00703DE5" w:rsidRPr="00313560" w:rsidRDefault="00703DE5" w:rsidP="007609A8">
      <w:pPr>
        <w:spacing w:line="360" w:lineRule="auto"/>
        <w:jc w:val="both"/>
      </w:pPr>
      <w:r w:rsidRPr="00313560">
        <w:t xml:space="preserve">Complete results analysis demonstrates my entrepreneurial potential. The Entrepreneurial Questionnaire promotes independence, achievement, and creativity. The GET2 Test highlights moderate risk-taking, crucial to entrepreneurial decision-making. The lower Locus of Control score reflects better internal control and result influence (Barringer and Ireland, 2018). These patterns reveal my entrepreneurial strengths and flaws. Self-reflection fosters entrepreneurship to solve enterprise and innovation problems. Comprehensive results evaluation improves my entrepreneurial talents. My need for autonomy, success, and minimal risk-taking make me a successful entrepreneur. The lower Locus of Control score shows improvement. This must be addressed for a balanced entrepreneurial mind-set. Self-awareness lets me control and influence outcomes, ensuring a well-rounded entrepreneurial profile. </w:t>
      </w:r>
    </w:p>
    <w:p w14:paraId="69DAAE59" w14:textId="77777777" w:rsidR="00703DE5" w:rsidRPr="00313560" w:rsidRDefault="00703DE5" w:rsidP="007609A8">
      <w:pPr>
        <w:spacing w:line="360" w:lineRule="auto"/>
        <w:jc w:val="both"/>
      </w:pPr>
      <w:r w:rsidRPr="00313560">
        <w:lastRenderedPageBreak/>
        <w:t>Finally, the Entrepreneurial Questionnaire and GET2 Test encourage personal and professional success. The introspective method showed my entrepreneurial and managerial goals, skills, and weaknesses (Adedoyin et al., 2021). This combination of examinations improves and reveals my entrepreneurial abilities. Self-awareness helps me manage entrepreneurship by revealing my talents and weaknesses. This contemplative vacation dynamically boosts my personal and professional growth, making me a better entrepreneur.</w:t>
      </w:r>
    </w:p>
    <w:p w14:paraId="055F6A72" w14:textId="77777777" w:rsidR="00703DE5" w:rsidRPr="00313560" w:rsidRDefault="00703DE5" w:rsidP="007609A8">
      <w:pPr>
        <w:spacing w:line="360" w:lineRule="auto"/>
        <w:jc w:val="both"/>
      </w:pPr>
      <w:r w:rsidRPr="00313560">
        <w:t>A detailed plan is needed to improve identified regions. I may increase my internal locus of control by knowing how my actions affect outcomes. Actively taking reasonable risks enhances entrepreneurial decision-making skills. I will need creativity to brainstorm company concepts. Proactive self-improvement makes me a stronger, more adaptive, and more successful entrepreneur (Riar et al., 2021). With a plan, I can apply these strategic endeavours and improve personally and entrepreneurially.</w:t>
      </w:r>
    </w:p>
    <w:p w14:paraId="38835049" w14:textId="77777777" w:rsidR="00703DE5" w:rsidRDefault="00703DE5" w:rsidP="007609A8">
      <w:pPr>
        <w:spacing w:line="360" w:lineRule="auto"/>
        <w:jc w:val="both"/>
      </w:pPr>
      <w:r w:rsidRPr="00313560">
        <w:t>These should help me develop entrepreneurial and business management skills. Reflecting improves personal and professional growth, enabling entrepreneurial success. Personal reflection has shown my entrepreneurial potential (Kusa, Duda and Suder, 2021). GET2 and Entrepreneurial Questionnaire affirmed my strengths and growth areas. This reflection trip shows how self-awareness influences business, leadership, and entrepreneurship.</w:t>
      </w:r>
    </w:p>
    <w:p w14:paraId="20ABD531" w14:textId="77777777" w:rsidR="00703DE5" w:rsidRDefault="00703DE5" w:rsidP="00703DE5"/>
    <w:p w14:paraId="7B1E7604" w14:textId="77777777" w:rsidR="00703DE5" w:rsidRDefault="00703DE5" w:rsidP="00703DE5"/>
    <w:p w14:paraId="5AA260A7" w14:textId="77777777" w:rsidR="00703DE5" w:rsidRDefault="00703DE5" w:rsidP="00703DE5"/>
    <w:p w14:paraId="2262C169" w14:textId="77777777" w:rsidR="00703DE5" w:rsidRDefault="00703DE5" w:rsidP="00703DE5"/>
    <w:p w14:paraId="41A28B59" w14:textId="77777777" w:rsidR="00703DE5" w:rsidRDefault="00703DE5" w:rsidP="00703DE5"/>
    <w:p w14:paraId="13C8A3A3" w14:textId="77777777" w:rsidR="00703DE5" w:rsidRDefault="00703DE5" w:rsidP="00703DE5"/>
    <w:p w14:paraId="133A5093" w14:textId="77777777" w:rsidR="00703DE5" w:rsidRDefault="00703DE5" w:rsidP="00703DE5"/>
    <w:p w14:paraId="3F31DF42" w14:textId="77777777" w:rsidR="00703DE5" w:rsidRDefault="00703DE5" w:rsidP="00703DE5"/>
    <w:p w14:paraId="774EC83B" w14:textId="77777777" w:rsidR="00703DE5" w:rsidRDefault="00703DE5" w:rsidP="00703DE5"/>
    <w:p w14:paraId="246476CC" w14:textId="77777777" w:rsidR="00703DE5" w:rsidRDefault="00703DE5" w:rsidP="00703DE5"/>
    <w:p w14:paraId="19E374B0" w14:textId="77777777" w:rsidR="007609A8" w:rsidRDefault="007609A8" w:rsidP="00703DE5"/>
    <w:p w14:paraId="3D2E3139" w14:textId="77777777" w:rsidR="00703DE5" w:rsidRPr="007609A8" w:rsidRDefault="00703DE5" w:rsidP="00703DE5">
      <w:pPr>
        <w:pStyle w:val="Heading1"/>
        <w:rPr>
          <w:rFonts w:ascii="Times New Roman" w:hAnsi="Times New Roman" w:cs="Times New Roman"/>
          <w:sz w:val="36"/>
          <w:szCs w:val="36"/>
        </w:rPr>
      </w:pPr>
      <w:r w:rsidRPr="007609A8">
        <w:rPr>
          <w:rFonts w:ascii="Times New Roman" w:hAnsi="Times New Roman" w:cs="Times New Roman"/>
          <w:sz w:val="36"/>
          <w:szCs w:val="36"/>
        </w:rPr>
        <w:lastRenderedPageBreak/>
        <w:t>References</w:t>
      </w:r>
    </w:p>
    <w:p w14:paraId="30232BA1" w14:textId="77777777" w:rsidR="00703DE5" w:rsidRPr="00313560" w:rsidRDefault="00703DE5" w:rsidP="00703DE5">
      <w:pPr>
        <w:pStyle w:val="NormalWeb"/>
        <w:spacing w:before="0" w:beforeAutospacing="0" w:after="240" w:afterAutospacing="0" w:line="360" w:lineRule="auto"/>
        <w:jc w:val="both"/>
      </w:pPr>
      <w:r w:rsidRPr="00313560">
        <w:t xml:space="preserve">Adamovich, V. and Nadda, V. (2021). Camping vs. Glamping Tourism: Providers’ Perspective in the United Kingdom. </w:t>
      </w:r>
      <w:r w:rsidRPr="00313560">
        <w:rPr>
          <w:i/>
          <w:iCs/>
        </w:rPr>
        <w:t>Journal of Environmental Management and Tourism (JEMT)</w:t>
      </w:r>
      <w:r w:rsidRPr="00313560">
        <w:t xml:space="preserve">, [online] </w:t>
      </w:r>
      <w:proofErr w:type="gramStart"/>
      <w:r w:rsidRPr="00313560">
        <w:t>XII(</w:t>
      </w:r>
      <w:proofErr w:type="gramEnd"/>
      <w:r w:rsidRPr="00313560">
        <w:t xml:space="preserve">06(54)), pp.1431–1441. Available at: </w:t>
      </w:r>
      <w:hyperlink r:id="rId9" w:history="1">
        <w:r w:rsidRPr="000C3EAA">
          <w:rPr>
            <w:rStyle w:val="Hyperlink"/>
          </w:rPr>
          <w:t>https://www.ceeol.com/search/article-detail?id=1019400</w:t>
        </w:r>
      </w:hyperlink>
      <w:r>
        <w:t xml:space="preserve"> </w:t>
      </w:r>
      <w:r w:rsidRPr="00313560">
        <w:t xml:space="preserve">[Accessed </w:t>
      </w:r>
      <w:r>
        <w:t>30 January</w:t>
      </w:r>
      <w:r w:rsidRPr="00313560">
        <w:t xml:space="preserve"> 2024].</w:t>
      </w:r>
    </w:p>
    <w:p w14:paraId="504D83BF" w14:textId="544E04FC" w:rsidR="00703DE5" w:rsidRPr="00313560" w:rsidRDefault="00703DE5" w:rsidP="00703DE5">
      <w:pPr>
        <w:pStyle w:val="NormalWeb"/>
        <w:spacing w:before="0" w:beforeAutospacing="0" w:after="240" w:afterAutospacing="0" w:line="360" w:lineRule="auto"/>
        <w:jc w:val="both"/>
      </w:pPr>
      <w:r w:rsidRPr="00313560">
        <w:t xml:space="preserve">Adedoyin, F., Agboola, P.O., Ozturk, I., </w:t>
      </w:r>
      <w:proofErr w:type="spellStart"/>
      <w:r w:rsidRPr="00313560">
        <w:t>Bekun</w:t>
      </w:r>
      <w:proofErr w:type="spellEnd"/>
      <w:r w:rsidRPr="00313560">
        <w:t xml:space="preserve">, F.V. and Agboola, M.O. (2021). Environmental consequences of economic complexities in the EU amidst a booming tourism industry: Accounting for the role of </w:t>
      </w:r>
      <w:r w:rsidR="007609A8" w:rsidRPr="00313560">
        <w:t>Brexit</w:t>
      </w:r>
      <w:r w:rsidRPr="00313560">
        <w:t xml:space="preserve"> and other crisis events. </w:t>
      </w:r>
      <w:r w:rsidRPr="00313560">
        <w:rPr>
          <w:i/>
          <w:iCs/>
        </w:rPr>
        <w:t>Journal of Cleaner Production</w:t>
      </w:r>
      <w:r w:rsidRPr="00313560">
        <w:t xml:space="preserve">, [online] 305, </w:t>
      </w:r>
      <w:proofErr w:type="spellStart"/>
      <w:r w:rsidRPr="00313560">
        <w:t>p.N.PAG</w:t>
      </w:r>
      <w:proofErr w:type="spellEnd"/>
      <w:r w:rsidRPr="00313560">
        <w:t xml:space="preserve">–N.PAG. </w:t>
      </w:r>
      <w:proofErr w:type="spellStart"/>
      <w:proofErr w:type="gramStart"/>
      <w:r w:rsidRPr="00313560">
        <w:t>doi:https</w:t>
      </w:r>
      <w:proofErr w:type="spellEnd"/>
      <w:r w:rsidRPr="00313560">
        <w:t>://doi.org/10.1016/j.jclepro.2021.127117</w:t>
      </w:r>
      <w:proofErr w:type="gramEnd"/>
      <w:r>
        <w:t xml:space="preserve"> </w:t>
      </w:r>
      <w:r w:rsidRPr="00313560">
        <w:t>[Accessed 1 Feb. 2024].</w:t>
      </w:r>
    </w:p>
    <w:p w14:paraId="48C4226F" w14:textId="77777777" w:rsidR="00703DE5" w:rsidRPr="00313560" w:rsidRDefault="00703DE5" w:rsidP="00703DE5">
      <w:pPr>
        <w:pStyle w:val="NormalWeb"/>
        <w:spacing w:before="0" w:beforeAutospacing="0" w:after="240" w:afterAutospacing="0" w:line="360" w:lineRule="auto"/>
        <w:jc w:val="both"/>
      </w:pPr>
      <w:r w:rsidRPr="00313560">
        <w:t xml:space="preserve">Ali, A. (2020). Technology in Tourism and Hospitality to Achieve Sustainable Development Goals (SDGs)(Editorial) Technology in Tourism and Hospitality to Achieve Sustainable Development Goals (SDGs). </w:t>
      </w:r>
      <w:r w:rsidRPr="00313560">
        <w:rPr>
          <w:i/>
          <w:iCs/>
        </w:rPr>
        <w:t>Journal of Hospitality and Tourism Technology</w:t>
      </w:r>
      <w:r w:rsidRPr="00313560">
        <w:t xml:space="preserve">, [online] 11(2), pp.177–181. Available at: </w:t>
      </w:r>
      <w:hyperlink r:id="rId10" w:history="1">
        <w:r w:rsidRPr="000C3EAA">
          <w:rPr>
            <w:rStyle w:val="Hyperlink"/>
          </w:rPr>
          <w:t>https://shura.shu.ac.uk/26757/9/Ali_TechnologyTourismHospitality%28AM%29.pdf</w:t>
        </w:r>
      </w:hyperlink>
      <w:r>
        <w:t xml:space="preserve"> </w:t>
      </w:r>
      <w:r w:rsidRPr="00313560">
        <w:t xml:space="preserve">[Accessed </w:t>
      </w:r>
      <w:r>
        <w:t>30 January</w:t>
      </w:r>
      <w:r w:rsidRPr="00313560">
        <w:t xml:space="preserve"> 2024].</w:t>
      </w:r>
    </w:p>
    <w:p w14:paraId="2769D351" w14:textId="77777777" w:rsidR="00703DE5" w:rsidRPr="00313560" w:rsidRDefault="00703DE5" w:rsidP="00703DE5">
      <w:pPr>
        <w:pStyle w:val="NormalWeb"/>
        <w:spacing w:before="0" w:beforeAutospacing="0" w:after="240" w:afterAutospacing="0" w:line="360" w:lineRule="auto"/>
        <w:jc w:val="both"/>
      </w:pPr>
      <w:r w:rsidRPr="00313560">
        <w:t xml:space="preserve">Barringer, B.R. and Ireland, R.D. (2018). </w:t>
      </w:r>
      <w:proofErr w:type="gramStart"/>
      <w:r w:rsidRPr="00313560">
        <w:rPr>
          <w:i/>
          <w:iCs/>
        </w:rPr>
        <w:t>Entrepreneurship :</w:t>
      </w:r>
      <w:proofErr w:type="gramEnd"/>
      <w:r w:rsidRPr="00313560">
        <w:rPr>
          <w:i/>
          <w:iCs/>
        </w:rPr>
        <w:t xml:space="preserve"> Successfully Launching New Ventures</w:t>
      </w:r>
      <w:r w:rsidRPr="00313560">
        <w:t>. 4th ed. New York, Ny: Pearson.</w:t>
      </w:r>
    </w:p>
    <w:p w14:paraId="21DC9FD9" w14:textId="77777777" w:rsidR="00703DE5" w:rsidRPr="00313560" w:rsidRDefault="00703DE5" w:rsidP="00703DE5">
      <w:pPr>
        <w:pStyle w:val="NormalWeb"/>
        <w:spacing w:before="0" w:beforeAutospacing="0" w:after="240" w:afterAutospacing="0" w:line="360" w:lineRule="auto"/>
        <w:jc w:val="both"/>
      </w:pPr>
      <w:r w:rsidRPr="00313560">
        <w:t xml:space="preserve">Blackwell, E. (2011). </w:t>
      </w:r>
      <w:r w:rsidRPr="00313560">
        <w:rPr>
          <w:i/>
          <w:iCs/>
        </w:rPr>
        <w:t>How to Prepare a Business Plan</w:t>
      </w:r>
      <w:r w:rsidRPr="00313560">
        <w:t>. 5th ed. Kogan Page Publishers.</w:t>
      </w:r>
    </w:p>
    <w:p w14:paraId="27ECFE02" w14:textId="77777777" w:rsidR="00703DE5" w:rsidRPr="00313560" w:rsidRDefault="00703DE5" w:rsidP="00703DE5">
      <w:pPr>
        <w:pStyle w:val="NormalWeb"/>
        <w:spacing w:before="0" w:beforeAutospacing="0" w:after="240" w:afterAutospacing="0" w:line="360" w:lineRule="auto"/>
        <w:jc w:val="both"/>
      </w:pPr>
      <w:r w:rsidRPr="00313560">
        <w:t xml:space="preserve">Carlisle, S., Ivanov, S. and </w:t>
      </w:r>
      <w:proofErr w:type="spellStart"/>
      <w:r w:rsidRPr="00313560">
        <w:t>Dijkmans</w:t>
      </w:r>
      <w:proofErr w:type="spellEnd"/>
      <w:r w:rsidRPr="00313560">
        <w:t xml:space="preserve">, C. (2021). The digital skills </w:t>
      </w:r>
      <w:proofErr w:type="gramStart"/>
      <w:r w:rsidRPr="00313560">
        <w:t>divide:</w:t>
      </w:r>
      <w:proofErr w:type="gramEnd"/>
      <w:r w:rsidRPr="00313560">
        <w:t xml:space="preserve"> evidence from the European tourism industry. </w:t>
      </w:r>
      <w:r w:rsidRPr="00313560">
        <w:rPr>
          <w:i/>
          <w:iCs/>
        </w:rPr>
        <w:t>Journal of Tourism Futures</w:t>
      </w:r>
      <w:r w:rsidRPr="00313560">
        <w:t xml:space="preserve">, [online] ahead-of-print(ahead-of-print). </w:t>
      </w:r>
      <w:proofErr w:type="spellStart"/>
      <w:proofErr w:type="gramStart"/>
      <w:r w:rsidRPr="00313560">
        <w:t>doi:https</w:t>
      </w:r>
      <w:proofErr w:type="spellEnd"/>
      <w:r w:rsidRPr="00313560">
        <w:t>://doi.org/10.1108/jtf-07-2020-0114</w:t>
      </w:r>
      <w:proofErr w:type="gramEnd"/>
      <w:r>
        <w:t xml:space="preserve"> </w:t>
      </w:r>
      <w:r w:rsidRPr="00313560">
        <w:t xml:space="preserve">[Accessed </w:t>
      </w:r>
      <w:r>
        <w:t>31 January</w:t>
      </w:r>
      <w:r w:rsidRPr="00313560">
        <w:t xml:space="preserve"> 2024].</w:t>
      </w:r>
    </w:p>
    <w:p w14:paraId="49D952B7" w14:textId="77777777" w:rsidR="00703DE5" w:rsidRPr="00313560" w:rsidRDefault="00703DE5" w:rsidP="00703DE5">
      <w:pPr>
        <w:pStyle w:val="NormalWeb"/>
        <w:spacing w:before="0" w:beforeAutospacing="0" w:after="240" w:afterAutospacing="0" w:line="360" w:lineRule="auto"/>
        <w:jc w:val="both"/>
      </w:pPr>
      <w:proofErr w:type="spellStart"/>
      <w:r w:rsidRPr="00313560">
        <w:t>Entina</w:t>
      </w:r>
      <w:proofErr w:type="spellEnd"/>
      <w:r w:rsidRPr="00313560">
        <w:t xml:space="preserve">, T., </w:t>
      </w:r>
      <w:proofErr w:type="spellStart"/>
      <w:r w:rsidRPr="00313560">
        <w:t>Karabulatova</w:t>
      </w:r>
      <w:proofErr w:type="spellEnd"/>
      <w:r w:rsidRPr="00313560">
        <w:t xml:space="preserve">, I., </w:t>
      </w:r>
      <w:proofErr w:type="spellStart"/>
      <w:r w:rsidRPr="00313560">
        <w:t>Kormishova</w:t>
      </w:r>
      <w:proofErr w:type="spellEnd"/>
      <w:r w:rsidRPr="00313560">
        <w:t xml:space="preserve">, A., </w:t>
      </w:r>
      <w:proofErr w:type="spellStart"/>
      <w:r w:rsidRPr="00313560">
        <w:t>Ekaterinovskaya</w:t>
      </w:r>
      <w:proofErr w:type="spellEnd"/>
      <w:r w:rsidRPr="00313560">
        <w:t xml:space="preserve">, M. and </w:t>
      </w:r>
      <w:proofErr w:type="spellStart"/>
      <w:r w:rsidRPr="00313560">
        <w:t>Troyanskaya</w:t>
      </w:r>
      <w:proofErr w:type="spellEnd"/>
      <w:r w:rsidRPr="00313560">
        <w:t xml:space="preserve">, M. (2021). TOURISM INDUSTRY MANAGEMENT IN THE GLOBAL TRANSFORMATION: MEETING THE NEEDS OF GENERATION Z. </w:t>
      </w:r>
      <w:r w:rsidRPr="00313560">
        <w:rPr>
          <w:i/>
          <w:iCs/>
        </w:rPr>
        <w:t>Polish Journal of Management Studies</w:t>
      </w:r>
      <w:r w:rsidRPr="00313560">
        <w:t xml:space="preserve">, 23(2), pp.130–148. </w:t>
      </w:r>
      <w:proofErr w:type="spellStart"/>
      <w:proofErr w:type="gramStart"/>
      <w:r w:rsidRPr="00313560">
        <w:t>doi:https</w:t>
      </w:r>
      <w:proofErr w:type="spellEnd"/>
      <w:r w:rsidRPr="00313560">
        <w:t>://doi.org/10.17512/pjms.2021.23.2.08</w:t>
      </w:r>
      <w:proofErr w:type="gramEnd"/>
      <w:r>
        <w:t xml:space="preserve"> </w:t>
      </w:r>
      <w:r w:rsidRPr="00313560">
        <w:t xml:space="preserve">[Accessed </w:t>
      </w:r>
      <w:r>
        <w:t>30 January</w:t>
      </w:r>
      <w:r w:rsidRPr="00313560">
        <w:t xml:space="preserve"> 2024].</w:t>
      </w:r>
    </w:p>
    <w:p w14:paraId="314714F7" w14:textId="77777777" w:rsidR="00703DE5" w:rsidRPr="00313560" w:rsidRDefault="00703DE5" w:rsidP="00703DE5">
      <w:pPr>
        <w:pStyle w:val="NormalWeb"/>
        <w:spacing w:before="0" w:beforeAutospacing="0" w:after="240" w:afterAutospacing="0" w:line="360" w:lineRule="auto"/>
        <w:jc w:val="both"/>
      </w:pPr>
      <w:r w:rsidRPr="00313560">
        <w:lastRenderedPageBreak/>
        <w:t xml:space="preserve">Horsfall, D. (2019). Medical tourism from the UK to Poland: how the market masks migration. </w:t>
      </w:r>
      <w:r w:rsidRPr="00313560">
        <w:rPr>
          <w:i/>
          <w:iCs/>
        </w:rPr>
        <w:t>Journal of Ethnic and Migration Studies</w:t>
      </w:r>
      <w:r w:rsidRPr="00313560">
        <w:t xml:space="preserve">, pp.1–19. </w:t>
      </w:r>
      <w:proofErr w:type="spellStart"/>
      <w:proofErr w:type="gramStart"/>
      <w:r w:rsidRPr="00313560">
        <w:t>doi:https</w:t>
      </w:r>
      <w:proofErr w:type="spellEnd"/>
      <w:r w:rsidRPr="00313560">
        <w:t>://doi.org/10.1080/1369183x.2019.1597470</w:t>
      </w:r>
      <w:proofErr w:type="gramEnd"/>
      <w:r>
        <w:t xml:space="preserve"> </w:t>
      </w:r>
      <w:r w:rsidRPr="00313560">
        <w:t xml:space="preserve">[Accessed </w:t>
      </w:r>
      <w:r>
        <w:t>29 January</w:t>
      </w:r>
      <w:r w:rsidRPr="00313560">
        <w:t xml:space="preserve"> 2024].</w:t>
      </w:r>
    </w:p>
    <w:p w14:paraId="0EFC2372" w14:textId="77777777" w:rsidR="00703DE5" w:rsidRPr="00313560" w:rsidRDefault="00703DE5" w:rsidP="00703DE5">
      <w:pPr>
        <w:pStyle w:val="NormalWeb"/>
        <w:spacing w:before="0" w:beforeAutospacing="0" w:after="240" w:afterAutospacing="0" w:line="360" w:lineRule="auto"/>
        <w:jc w:val="both"/>
      </w:pPr>
      <w:proofErr w:type="spellStart"/>
      <w:r w:rsidRPr="00313560">
        <w:t>Jiddi</w:t>
      </w:r>
      <w:proofErr w:type="spellEnd"/>
      <w:r w:rsidRPr="00313560">
        <w:t xml:space="preserve">, F.E. and </w:t>
      </w:r>
      <w:proofErr w:type="spellStart"/>
      <w:r w:rsidRPr="00313560">
        <w:t>Ibenrissoul</w:t>
      </w:r>
      <w:proofErr w:type="spellEnd"/>
      <w:r w:rsidRPr="00313560">
        <w:t xml:space="preserve">, A. (2020). Mapping 20 Years of Literature on CSR in Tourism Industry: A Bibliometric Analysis. </w:t>
      </w:r>
      <w:r w:rsidRPr="00313560">
        <w:rPr>
          <w:i/>
          <w:iCs/>
        </w:rPr>
        <w:t>American Journal of Industrial and Business Management</w:t>
      </w:r>
      <w:r w:rsidRPr="00313560">
        <w:t xml:space="preserve">, 10(11), pp.1739–1759. </w:t>
      </w:r>
      <w:proofErr w:type="spellStart"/>
      <w:proofErr w:type="gramStart"/>
      <w:r w:rsidRPr="00313560">
        <w:t>doi:https</w:t>
      </w:r>
      <w:proofErr w:type="spellEnd"/>
      <w:r w:rsidRPr="00313560">
        <w:t>://doi.org/10.4236/ajibm.2020.1011109</w:t>
      </w:r>
      <w:proofErr w:type="gramEnd"/>
      <w:r>
        <w:t xml:space="preserve"> </w:t>
      </w:r>
      <w:r w:rsidRPr="00313560">
        <w:t xml:space="preserve">[Accessed </w:t>
      </w:r>
      <w:r>
        <w:t>30 January</w:t>
      </w:r>
      <w:r w:rsidRPr="00313560">
        <w:t xml:space="preserve"> 2024].</w:t>
      </w:r>
    </w:p>
    <w:p w14:paraId="79E88C79" w14:textId="77777777" w:rsidR="00703DE5" w:rsidRPr="00313560" w:rsidRDefault="00703DE5" w:rsidP="00703DE5">
      <w:pPr>
        <w:pStyle w:val="NormalWeb"/>
        <w:spacing w:before="0" w:beforeAutospacing="0" w:after="240" w:afterAutospacing="0" w:line="360" w:lineRule="auto"/>
        <w:jc w:val="both"/>
      </w:pPr>
      <w:r w:rsidRPr="00313560">
        <w:t xml:space="preserve">Kim, Y.R., Williams, A.M., Park, </w:t>
      </w:r>
      <w:proofErr w:type="gramStart"/>
      <w:r w:rsidRPr="00313560">
        <w:t>S.</w:t>
      </w:r>
      <w:proofErr w:type="gramEnd"/>
      <w:r w:rsidRPr="00313560">
        <w:t xml:space="preserve"> and Chen, J.L. (2021). Spatial spillovers of agglomeration economies and productivity in the tourism industry: The case of the UK. </w:t>
      </w:r>
      <w:r w:rsidRPr="00313560">
        <w:rPr>
          <w:i/>
          <w:iCs/>
        </w:rPr>
        <w:t>Tourism Management</w:t>
      </w:r>
      <w:r w:rsidRPr="00313560">
        <w:t xml:space="preserve">, 82(3), p.104201. </w:t>
      </w:r>
      <w:proofErr w:type="spellStart"/>
      <w:proofErr w:type="gramStart"/>
      <w:r w:rsidRPr="00313560">
        <w:t>doi:https</w:t>
      </w:r>
      <w:proofErr w:type="spellEnd"/>
      <w:r w:rsidRPr="00313560">
        <w:t>://doi.org/10.1016/j.tourman.2020.104201</w:t>
      </w:r>
      <w:proofErr w:type="gramEnd"/>
      <w:r>
        <w:t xml:space="preserve"> </w:t>
      </w:r>
      <w:r w:rsidRPr="00313560">
        <w:t>[Accessed 1 Feb. 2024].</w:t>
      </w:r>
    </w:p>
    <w:p w14:paraId="696209C5" w14:textId="77777777" w:rsidR="00703DE5" w:rsidRPr="00313560" w:rsidRDefault="00703DE5" w:rsidP="00703DE5">
      <w:pPr>
        <w:pStyle w:val="NormalWeb"/>
        <w:spacing w:before="0" w:beforeAutospacing="0" w:after="240" w:afterAutospacing="0" w:line="360" w:lineRule="auto"/>
        <w:jc w:val="both"/>
      </w:pPr>
      <w:proofErr w:type="spellStart"/>
      <w:r w:rsidRPr="00313560">
        <w:t>Korstanje</w:t>
      </w:r>
      <w:proofErr w:type="spellEnd"/>
      <w:r w:rsidRPr="00313560">
        <w:t xml:space="preserve">, M.E., Seraphin, H. and Maingi, S.W. (2022). </w:t>
      </w:r>
      <w:r w:rsidRPr="00313560">
        <w:rPr>
          <w:i/>
          <w:iCs/>
        </w:rPr>
        <w:t>Tourism Through Troubled Times</w:t>
      </w:r>
      <w:r w:rsidRPr="00313560">
        <w:t>. Emerald Group Publishing.</w:t>
      </w:r>
    </w:p>
    <w:p w14:paraId="711DC8AB" w14:textId="77777777" w:rsidR="00703DE5" w:rsidRPr="00313560" w:rsidRDefault="00703DE5" w:rsidP="00703DE5">
      <w:pPr>
        <w:pStyle w:val="NormalWeb"/>
        <w:spacing w:before="0" w:beforeAutospacing="0" w:after="240" w:afterAutospacing="0" w:line="360" w:lineRule="auto"/>
        <w:jc w:val="both"/>
      </w:pPr>
      <w:r w:rsidRPr="00313560">
        <w:t xml:space="preserve">Kusa, R., Duda, J. and Suder, M. (2021). Explaining SME performance with </w:t>
      </w:r>
      <w:proofErr w:type="spellStart"/>
      <w:r w:rsidRPr="00313560">
        <w:t>fsQCA</w:t>
      </w:r>
      <w:proofErr w:type="spellEnd"/>
      <w:r w:rsidRPr="00313560">
        <w:t xml:space="preserve">: The role of entrepreneurial orientation, entrepreneur motivation, and opportunity perception. </w:t>
      </w:r>
      <w:r w:rsidRPr="00313560">
        <w:rPr>
          <w:i/>
          <w:iCs/>
        </w:rPr>
        <w:t>Journal of Innovation &amp; Knowledge</w:t>
      </w:r>
      <w:r w:rsidRPr="00313560">
        <w:t xml:space="preserve">, 6(4). </w:t>
      </w:r>
      <w:proofErr w:type="spellStart"/>
      <w:proofErr w:type="gramStart"/>
      <w:r w:rsidRPr="00313560">
        <w:t>doi:https</w:t>
      </w:r>
      <w:proofErr w:type="spellEnd"/>
      <w:r w:rsidRPr="00313560">
        <w:t>://doi.org/10.1016/j.jik.2021.06.001</w:t>
      </w:r>
      <w:proofErr w:type="gramEnd"/>
      <w:r w:rsidRPr="00313560">
        <w:t>.</w:t>
      </w:r>
    </w:p>
    <w:p w14:paraId="1EA83CDD" w14:textId="77777777" w:rsidR="00703DE5" w:rsidRPr="00313560" w:rsidRDefault="00703DE5" w:rsidP="00703DE5">
      <w:pPr>
        <w:pStyle w:val="NormalWeb"/>
        <w:spacing w:before="0" w:beforeAutospacing="0" w:after="240" w:afterAutospacing="0" w:line="360" w:lineRule="auto"/>
        <w:jc w:val="both"/>
      </w:pPr>
      <w:proofErr w:type="spellStart"/>
      <w:r w:rsidRPr="00313560">
        <w:t>Massidda</w:t>
      </w:r>
      <w:proofErr w:type="spellEnd"/>
      <w:r w:rsidRPr="00313560">
        <w:t xml:space="preserve">, C., </w:t>
      </w:r>
      <w:proofErr w:type="spellStart"/>
      <w:r w:rsidRPr="00313560">
        <w:t>Piras</w:t>
      </w:r>
      <w:proofErr w:type="spellEnd"/>
      <w:r w:rsidRPr="00313560">
        <w:t xml:space="preserve">, R. and Seetaram, N. (2022). Analysing the drivers of </w:t>
      </w:r>
      <w:proofErr w:type="spellStart"/>
      <w:r w:rsidRPr="00313560">
        <w:t>itemised</w:t>
      </w:r>
      <w:proofErr w:type="spellEnd"/>
      <w:r w:rsidRPr="00313560">
        <w:t xml:space="preserve"> tourism expenditure from the UK using survey data. </w:t>
      </w:r>
      <w:r w:rsidRPr="00313560">
        <w:rPr>
          <w:i/>
          <w:iCs/>
        </w:rPr>
        <w:t>Annals of Tourism Research Empirical Insights</w:t>
      </w:r>
      <w:r w:rsidRPr="00313560">
        <w:t xml:space="preserve">, 3(1), p.100037. </w:t>
      </w:r>
      <w:proofErr w:type="spellStart"/>
      <w:proofErr w:type="gramStart"/>
      <w:r w:rsidRPr="00313560">
        <w:t>doi:https</w:t>
      </w:r>
      <w:proofErr w:type="spellEnd"/>
      <w:r w:rsidRPr="00313560">
        <w:t>://doi.org/10.1016/j.annale.2022.100037</w:t>
      </w:r>
      <w:proofErr w:type="gramEnd"/>
      <w:r>
        <w:t xml:space="preserve"> </w:t>
      </w:r>
      <w:r w:rsidRPr="00313560">
        <w:t xml:space="preserve">[Accessed </w:t>
      </w:r>
      <w:r>
        <w:t>31 January</w:t>
      </w:r>
      <w:r w:rsidRPr="00313560">
        <w:t xml:space="preserve"> 2024].</w:t>
      </w:r>
    </w:p>
    <w:p w14:paraId="37339DC3" w14:textId="77777777" w:rsidR="00703DE5" w:rsidRPr="00313560" w:rsidRDefault="00703DE5" w:rsidP="00703DE5">
      <w:pPr>
        <w:pStyle w:val="NormalWeb"/>
        <w:spacing w:before="0" w:beforeAutospacing="0" w:after="240" w:afterAutospacing="0" w:line="360" w:lineRule="auto"/>
        <w:jc w:val="both"/>
      </w:pPr>
      <w:proofErr w:type="spellStart"/>
      <w:r w:rsidRPr="00313560">
        <w:t>Ntounis</w:t>
      </w:r>
      <w:proofErr w:type="spellEnd"/>
      <w:r w:rsidRPr="00313560">
        <w:t xml:space="preserve">, N., Parker, C., Skinner, H., Steadman, C. and </w:t>
      </w:r>
      <w:proofErr w:type="spellStart"/>
      <w:r w:rsidRPr="00313560">
        <w:t>Warnaby</w:t>
      </w:r>
      <w:proofErr w:type="spellEnd"/>
      <w:r w:rsidRPr="00313560">
        <w:t xml:space="preserve">, G. (2021). Tourism and hospitality industry resilience during the covid-19 pandemic: Evidence from </w:t>
      </w:r>
      <w:proofErr w:type="spellStart"/>
      <w:r w:rsidRPr="00313560">
        <w:t>england</w:t>
      </w:r>
      <w:proofErr w:type="spellEnd"/>
      <w:r w:rsidRPr="00313560">
        <w:t xml:space="preserve">. </w:t>
      </w:r>
      <w:r w:rsidRPr="00313560">
        <w:rPr>
          <w:i/>
          <w:iCs/>
        </w:rPr>
        <w:t>Current Issues in Tourism</w:t>
      </w:r>
      <w:r w:rsidRPr="00313560">
        <w:t>, 25(1), pp.1–14</w:t>
      </w:r>
      <w:r>
        <w:t xml:space="preserve"> </w:t>
      </w:r>
      <w:r w:rsidRPr="00313560">
        <w:t>[Accessed 1 Feb. 2024].</w:t>
      </w:r>
    </w:p>
    <w:p w14:paraId="52381383" w14:textId="77777777" w:rsidR="00703DE5" w:rsidRPr="00313560" w:rsidRDefault="00703DE5" w:rsidP="00703DE5">
      <w:pPr>
        <w:pStyle w:val="NormalWeb"/>
        <w:spacing w:before="0" w:beforeAutospacing="0" w:after="240" w:afterAutospacing="0" w:line="360" w:lineRule="auto"/>
        <w:jc w:val="both"/>
      </w:pPr>
      <w:r w:rsidRPr="00313560">
        <w:t xml:space="preserve">Riar, F.J., </w:t>
      </w:r>
      <w:proofErr w:type="spellStart"/>
      <w:r w:rsidRPr="00313560">
        <w:t>Wiedeler</w:t>
      </w:r>
      <w:proofErr w:type="spellEnd"/>
      <w:r w:rsidRPr="00313560">
        <w:t xml:space="preserve">, C., </w:t>
      </w:r>
      <w:proofErr w:type="spellStart"/>
      <w:r w:rsidRPr="00313560">
        <w:t>Kammerlander</w:t>
      </w:r>
      <w:proofErr w:type="spellEnd"/>
      <w:r w:rsidRPr="00313560">
        <w:t xml:space="preserve">, N. and </w:t>
      </w:r>
      <w:proofErr w:type="spellStart"/>
      <w:r w:rsidRPr="00313560">
        <w:t>Kellermanns</w:t>
      </w:r>
      <w:proofErr w:type="spellEnd"/>
      <w:r w:rsidRPr="00313560">
        <w:t xml:space="preserve">, F.W. (2021). Venturing Motives and Venturing Types in Entrepreneurial Families: A Corporate Entrepreneurship Perspective. </w:t>
      </w:r>
      <w:r w:rsidRPr="00313560">
        <w:rPr>
          <w:i/>
          <w:iCs/>
        </w:rPr>
        <w:t>Entrepreneurship Theory and Practice</w:t>
      </w:r>
      <w:r w:rsidRPr="00313560">
        <w:t xml:space="preserve">, p.104225872110064. </w:t>
      </w:r>
      <w:proofErr w:type="spellStart"/>
      <w:proofErr w:type="gramStart"/>
      <w:r w:rsidRPr="00313560">
        <w:t>doi:https</w:t>
      </w:r>
      <w:proofErr w:type="spellEnd"/>
      <w:r w:rsidRPr="00313560">
        <w:t>://doi.org/10.1177/10422587211006427</w:t>
      </w:r>
      <w:proofErr w:type="gramEnd"/>
      <w:r>
        <w:t xml:space="preserve"> </w:t>
      </w:r>
      <w:r w:rsidRPr="00313560">
        <w:t>[Accessed 1 Feb. 2024].</w:t>
      </w:r>
    </w:p>
    <w:p w14:paraId="4C5161FB" w14:textId="77777777" w:rsidR="00703DE5" w:rsidRPr="00313560" w:rsidRDefault="00703DE5" w:rsidP="00703DE5">
      <w:pPr>
        <w:pStyle w:val="NormalWeb"/>
        <w:spacing w:before="0" w:beforeAutospacing="0" w:after="240" w:afterAutospacing="0" w:line="360" w:lineRule="auto"/>
        <w:jc w:val="both"/>
      </w:pPr>
      <w:r w:rsidRPr="00313560">
        <w:lastRenderedPageBreak/>
        <w:t xml:space="preserve">Similarweb.com (2023). </w:t>
      </w:r>
      <w:r w:rsidRPr="00313560">
        <w:rPr>
          <w:i/>
          <w:iCs/>
        </w:rPr>
        <w:t>Most Visited Travel and Tourism Websites in United Kingdom</w:t>
      </w:r>
      <w:r w:rsidRPr="00313560">
        <w:t xml:space="preserve">. [online] Available at: https://www.similarweb.com/top-websites/united-kingdom/travel-and-tourism/ [Accessed </w:t>
      </w:r>
      <w:r>
        <w:t>30 January</w:t>
      </w:r>
      <w:r w:rsidRPr="00313560">
        <w:t xml:space="preserve"> 2024].</w:t>
      </w:r>
    </w:p>
    <w:p w14:paraId="6928A868" w14:textId="77777777" w:rsidR="00703DE5" w:rsidRPr="00313560" w:rsidRDefault="00703DE5" w:rsidP="00703DE5">
      <w:pPr>
        <w:pStyle w:val="NormalWeb"/>
        <w:spacing w:before="0" w:beforeAutospacing="0" w:after="240" w:afterAutospacing="0" w:line="360" w:lineRule="auto"/>
        <w:jc w:val="both"/>
      </w:pPr>
      <w:r w:rsidRPr="00313560">
        <w:t xml:space="preserve">Smith, L., Rees, P. and Murray, N. (2016). Turning entrepreneurs into intrapreneurs: Thomas Cook, a case-study. </w:t>
      </w:r>
      <w:r w:rsidRPr="00313560">
        <w:rPr>
          <w:i/>
          <w:iCs/>
        </w:rPr>
        <w:t>Tourism Management</w:t>
      </w:r>
      <w:r w:rsidRPr="00313560">
        <w:t xml:space="preserve">, 56, pp.191–204. </w:t>
      </w:r>
      <w:proofErr w:type="spellStart"/>
      <w:proofErr w:type="gramStart"/>
      <w:r w:rsidRPr="00313560">
        <w:t>doi:https</w:t>
      </w:r>
      <w:proofErr w:type="spellEnd"/>
      <w:r w:rsidRPr="00313560">
        <w:t>://doi.org/10.1016/j.tourman.2016.04.005</w:t>
      </w:r>
      <w:proofErr w:type="gramEnd"/>
      <w:r>
        <w:t xml:space="preserve"> </w:t>
      </w:r>
      <w:r w:rsidRPr="00313560">
        <w:t xml:space="preserve">[Accessed </w:t>
      </w:r>
      <w:r>
        <w:t>28 January</w:t>
      </w:r>
      <w:r w:rsidRPr="00313560">
        <w:t xml:space="preserve"> 2024].</w:t>
      </w:r>
    </w:p>
    <w:p w14:paraId="57D18FE5" w14:textId="77777777" w:rsidR="00703DE5" w:rsidRPr="00313560" w:rsidRDefault="00703DE5" w:rsidP="00703DE5">
      <w:pPr>
        <w:pStyle w:val="NormalWeb"/>
        <w:spacing w:before="0" w:beforeAutospacing="0" w:after="240" w:afterAutospacing="0" w:line="360" w:lineRule="auto"/>
        <w:jc w:val="both"/>
      </w:pPr>
      <w:r w:rsidRPr="00313560">
        <w:t xml:space="preserve">Williams, C.C. (2020). Impacts of the coronavirus pandemic on Europe’s tourism industry: Addressing tourism enterprises and workers in the undeclared economy. </w:t>
      </w:r>
      <w:r w:rsidRPr="00313560">
        <w:rPr>
          <w:i/>
          <w:iCs/>
        </w:rPr>
        <w:t>International Journal of Tourism Research</w:t>
      </w:r>
      <w:r w:rsidRPr="00313560">
        <w:t xml:space="preserve">, 23(1). </w:t>
      </w:r>
      <w:proofErr w:type="spellStart"/>
      <w:proofErr w:type="gramStart"/>
      <w:r w:rsidRPr="00313560">
        <w:t>doi:https</w:t>
      </w:r>
      <w:proofErr w:type="spellEnd"/>
      <w:r w:rsidRPr="00313560">
        <w:t>://doi.org/10.1002/jtr.2395</w:t>
      </w:r>
      <w:proofErr w:type="gramEnd"/>
      <w:r>
        <w:t xml:space="preserve"> </w:t>
      </w:r>
      <w:r w:rsidRPr="00313560">
        <w:t>[Accessed 1 Feb. 2024].</w:t>
      </w:r>
    </w:p>
    <w:p w14:paraId="1D8A3689" w14:textId="77777777" w:rsidR="00703DE5" w:rsidRPr="00313560" w:rsidRDefault="00703DE5" w:rsidP="00703DE5">
      <w:pPr>
        <w:pStyle w:val="NormalWeb"/>
        <w:spacing w:before="0" w:beforeAutospacing="0" w:after="240" w:afterAutospacing="0" w:line="360" w:lineRule="auto"/>
        <w:jc w:val="both"/>
      </w:pPr>
      <w:r w:rsidRPr="00313560">
        <w:t xml:space="preserve">Williams, S. (2021). </w:t>
      </w:r>
      <w:r w:rsidRPr="00313560">
        <w:rPr>
          <w:i/>
          <w:iCs/>
        </w:rPr>
        <w:t>The Financial Times guide to business start up 2021/</w:t>
      </w:r>
      <w:proofErr w:type="gramStart"/>
      <w:r w:rsidRPr="00313560">
        <w:rPr>
          <w:i/>
          <w:iCs/>
        </w:rPr>
        <w:t>2023 :</w:t>
      </w:r>
      <w:proofErr w:type="gramEnd"/>
      <w:r w:rsidRPr="00313560">
        <w:rPr>
          <w:i/>
          <w:iCs/>
        </w:rPr>
        <w:t xml:space="preserve"> the most comprehensive guide for entrepreneurs</w:t>
      </w:r>
      <w:r w:rsidRPr="00313560">
        <w:t xml:space="preserve">. Harlow, </w:t>
      </w:r>
      <w:proofErr w:type="gramStart"/>
      <w:r w:rsidRPr="00313560">
        <w:t>England ;</w:t>
      </w:r>
      <w:proofErr w:type="gramEnd"/>
      <w:r w:rsidRPr="00313560">
        <w:t xml:space="preserve"> London ; New York: Pearson.</w:t>
      </w:r>
    </w:p>
    <w:p w14:paraId="5A5AE04A" w14:textId="77777777" w:rsidR="00703DE5" w:rsidRPr="00313560" w:rsidRDefault="00703DE5" w:rsidP="00703DE5">
      <w:pPr>
        <w:pStyle w:val="NormalWeb"/>
        <w:spacing w:before="0" w:beforeAutospacing="0" w:after="240" w:afterAutospacing="0" w:line="360" w:lineRule="auto"/>
        <w:jc w:val="both"/>
      </w:pPr>
      <w:r w:rsidRPr="00313560">
        <w:t xml:space="preserve">Zhang, H., Song, H., Wen, L. and Liu, C. (2021). Forecasting tourism recovery amid COVID-19. </w:t>
      </w:r>
      <w:r w:rsidRPr="00313560">
        <w:rPr>
          <w:i/>
          <w:iCs/>
        </w:rPr>
        <w:t>Annals of Tourism Research</w:t>
      </w:r>
      <w:r w:rsidRPr="00313560">
        <w:t xml:space="preserve">, [online] 87(1), p.103149. </w:t>
      </w:r>
      <w:proofErr w:type="spellStart"/>
      <w:proofErr w:type="gramStart"/>
      <w:r w:rsidRPr="00313560">
        <w:t>doi:https</w:t>
      </w:r>
      <w:proofErr w:type="spellEnd"/>
      <w:r w:rsidRPr="00313560">
        <w:t>://doi.org/10.1016/j.annals.2021.103149</w:t>
      </w:r>
      <w:proofErr w:type="gramEnd"/>
      <w:r>
        <w:t xml:space="preserve"> </w:t>
      </w:r>
      <w:r w:rsidRPr="00313560">
        <w:t xml:space="preserve">[Accessed </w:t>
      </w:r>
      <w:r>
        <w:t>29 January</w:t>
      </w:r>
      <w:r w:rsidRPr="00313560">
        <w:t xml:space="preserve"> 2024].</w:t>
      </w:r>
    </w:p>
    <w:p w14:paraId="6B5B4B66" w14:textId="77777777" w:rsidR="00703DE5" w:rsidRPr="00313560" w:rsidRDefault="00703DE5" w:rsidP="00703DE5">
      <w:pPr>
        <w:pStyle w:val="NormalWeb"/>
        <w:spacing w:before="0" w:beforeAutospacing="0" w:after="240" w:afterAutospacing="0" w:line="360" w:lineRule="auto"/>
        <w:jc w:val="both"/>
      </w:pPr>
      <w:r w:rsidRPr="00313560">
        <w:t xml:space="preserve">Zimmerer, T.W. (2011). </w:t>
      </w:r>
      <w:r w:rsidRPr="00313560">
        <w:rPr>
          <w:i/>
          <w:iCs/>
        </w:rPr>
        <w:t>Essentials of entrepreneurship.</w:t>
      </w:r>
      <w:r w:rsidRPr="00313560">
        <w:t xml:space="preserve"> 6th ed. Pearson Custom.</w:t>
      </w:r>
    </w:p>
    <w:p w14:paraId="28688410" w14:textId="77777777" w:rsidR="00703DE5" w:rsidRDefault="00703DE5" w:rsidP="00703DE5"/>
    <w:p w14:paraId="4C9F24F7" w14:textId="77777777" w:rsidR="00703DE5" w:rsidRDefault="00703DE5" w:rsidP="00703DE5"/>
    <w:p w14:paraId="1059F8B1" w14:textId="77777777" w:rsidR="00703DE5" w:rsidRDefault="00703DE5" w:rsidP="00703DE5"/>
    <w:p w14:paraId="66A6536C" w14:textId="77777777" w:rsidR="00703DE5" w:rsidRDefault="00703DE5" w:rsidP="00703DE5"/>
    <w:p w14:paraId="15DB4E1F" w14:textId="77777777" w:rsidR="00703DE5" w:rsidRDefault="00703DE5" w:rsidP="00703DE5"/>
    <w:p w14:paraId="1950C6B8" w14:textId="77777777" w:rsidR="00703DE5" w:rsidRDefault="00703DE5" w:rsidP="00703DE5"/>
    <w:p w14:paraId="4AE430F3" w14:textId="77777777" w:rsidR="00703DE5" w:rsidRDefault="00703DE5" w:rsidP="00703DE5"/>
    <w:p w14:paraId="2F36A548" w14:textId="77777777" w:rsidR="00703DE5" w:rsidRDefault="00703DE5" w:rsidP="00703DE5"/>
    <w:p w14:paraId="5E6F8E2D" w14:textId="77777777" w:rsidR="00703DE5" w:rsidRDefault="00703DE5" w:rsidP="00703DE5"/>
    <w:p w14:paraId="358D25E6" w14:textId="77777777" w:rsidR="00D215C3" w:rsidRDefault="00D215C3" w:rsidP="00703DE5">
      <w:pPr>
        <w:pStyle w:val="Heading1"/>
      </w:pPr>
    </w:p>
    <w:p w14:paraId="4EAA280A" w14:textId="55CD06DD" w:rsidR="00703DE5" w:rsidRPr="00D215C3" w:rsidRDefault="00703DE5" w:rsidP="00703DE5">
      <w:pPr>
        <w:pStyle w:val="Heading1"/>
        <w:rPr>
          <w:rFonts w:ascii="Times New Roman" w:hAnsi="Times New Roman" w:cs="Times New Roman"/>
        </w:rPr>
      </w:pPr>
      <w:r w:rsidRPr="00D215C3">
        <w:rPr>
          <w:rFonts w:ascii="Times New Roman" w:hAnsi="Times New Roman" w:cs="Times New Roman"/>
        </w:rPr>
        <w:t xml:space="preserve">Appendix </w:t>
      </w:r>
    </w:p>
    <w:p w14:paraId="70CEDA47" w14:textId="77777777" w:rsidR="00703DE5" w:rsidRPr="009D483F" w:rsidRDefault="00703DE5" w:rsidP="00703DE5">
      <w:pPr>
        <w:rPr>
          <w:b/>
        </w:rPr>
      </w:pPr>
      <w:r w:rsidRPr="009D483F">
        <w:rPr>
          <w:b/>
        </w:rPr>
        <w:t xml:space="preserve">BMC </w:t>
      </w:r>
    </w:p>
    <w:p w14:paraId="4A98BD0B" w14:textId="77777777" w:rsidR="00703DE5" w:rsidRPr="00313560" w:rsidRDefault="00703DE5" w:rsidP="00703DE5">
      <w:r w:rsidRPr="00313560">
        <w:rPr>
          <w:noProof/>
          <w:lang w:val="en-US"/>
        </w:rPr>
        <w:drawing>
          <wp:inline distT="0" distB="0" distL="0" distR="0" wp14:anchorId="7BE3C4CB" wp14:editId="6C01887E">
            <wp:extent cx="5591175" cy="3648075"/>
            <wp:effectExtent l="0" t="0" r="9525" b="9525"/>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rotWithShape="1">
                    <a:blip r:embed="rId11"/>
                    <a:srcRect l="26857" t="23044" r="27543" b="24224"/>
                    <a:stretch/>
                  </pic:blipFill>
                  <pic:spPr bwMode="auto">
                    <a:xfrm>
                      <a:off x="0" y="0"/>
                      <a:ext cx="5591175" cy="3648075"/>
                    </a:xfrm>
                    <a:prstGeom prst="rect">
                      <a:avLst/>
                    </a:prstGeom>
                    <a:ln>
                      <a:noFill/>
                    </a:ln>
                    <a:extLst>
                      <a:ext uri="{53640926-AAD7-44D8-BBD7-CCE9431645EC}">
                        <a14:shadowObscured xmlns:a14="http://schemas.microsoft.com/office/drawing/2010/main"/>
                      </a:ext>
                    </a:extLst>
                  </pic:spPr>
                </pic:pic>
              </a:graphicData>
            </a:graphic>
          </wp:inline>
        </w:drawing>
      </w:r>
    </w:p>
    <w:p w14:paraId="4923D08E" w14:textId="77777777" w:rsidR="007609A8" w:rsidRDefault="007609A8" w:rsidP="00703DE5">
      <w:pPr>
        <w:rPr>
          <w:b/>
        </w:rPr>
      </w:pPr>
    </w:p>
    <w:p w14:paraId="1531531C" w14:textId="77777777" w:rsidR="007609A8" w:rsidRDefault="007609A8" w:rsidP="00703DE5">
      <w:pPr>
        <w:rPr>
          <w:b/>
        </w:rPr>
      </w:pPr>
    </w:p>
    <w:p w14:paraId="6D6A8C6C" w14:textId="77777777" w:rsidR="007609A8" w:rsidRDefault="007609A8" w:rsidP="00703DE5">
      <w:pPr>
        <w:rPr>
          <w:b/>
        </w:rPr>
      </w:pPr>
    </w:p>
    <w:p w14:paraId="4DFAED5A" w14:textId="77777777" w:rsidR="007609A8" w:rsidRDefault="007609A8" w:rsidP="00703DE5">
      <w:pPr>
        <w:rPr>
          <w:b/>
        </w:rPr>
      </w:pPr>
    </w:p>
    <w:p w14:paraId="28CD1F74" w14:textId="77777777" w:rsidR="007609A8" w:rsidRDefault="007609A8" w:rsidP="00703DE5">
      <w:pPr>
        <w:rPr>
          <w:b/>
        </w:rPr>
      </w:pPr>
    </w:p>
    <w:p w14:paraId="0A9B6379" w14:textId="77777777" w:rsidR="007609A8" w:rsidRDefault="007609A8" w:rsidP="00703DE5">
      <w:pPr>
        <w:rPr>
          <w:b/>
        </w:rPr>
      </w:pPr>
    </w:p>
    <w:p w14:paraId="72C16796" w14:textId="77777777" w:rsidR="007609A8" w:rsidRDefault="007609A8" w:rsidP="00703DE5">
      <w:pPr>
        <w:rPr>
          <w:b/>
        </w:rPr>
      </w:pPr>
    </w:p>
    <w:p w14:paraId="77144F18" w14:textId="77777777" w:rsidR="007609A8" w:rsidRDefault="007609A8" w:rsidP="00703DE5">
      <w:pPr>
        <w:rPr>
          <w:b/>
        </w:rPr>
      </w:pPr>
    </w:p>
    <w:p w14:paraId="55379801" w14:textId="77777777" w:rsidR="007609A8" w:rsidRDefault="007609A8" w:rsidP="00703DE5">
      <w:pPr>
        <w:rPr>
          <w:b/>
        </w:rPr>
      </w:pPr>
    </w:p>
    <w:p w14:paraId="3AAE7D6A" w14:textId="77777777" w:rsidR="007609A8" w:rsidRDefault="007609A8" w:rsidP="00703DE5">
      <w:pPr>
        <w:rPr>
          <w:b/>
        </w:rPr>
      </w:pPr>
    </w:p>
    <w:p w14:paraId="5F5A08E9" w14:textId="77777777" w:rsidR="007609A8" w:rsidRDefault="007609A8" w:rsidP="00703DE5">
      <w:pPr>
        <w:rPr>
          <w:b/>
        </w:rPr>
      </w:pPr>
    </w:p>
    <w:p w14:paraId="6151F565" w14:textId="77777777" w:rsidR="007609A8" w:rsidRDefault="007609A8" w:rsidP="00703DE5">
      <w:pPr>
        <w:rPr>
          <w:b/>
        </w:rPr>
      </w:pPr>
    </w:p>
    <w:p w14:paraId="573DBEE8" w14:textId="77777777" w:rsidR="007609A8" w:rsidRDefault="007609A8" w:rsidP="00703DE5">
      <w:pPr>
        <w:rPr>
          <w:b/>
        </w:rPr>
      </w:pPr>
    </w:p>
    <w:p w14:paraId="60993486" w14:textId="204020F9" w:rsidR="00703DE5" w:rsidRPr="009D483F" w:rsidRDefault="00703DE5" w:rsidP="00703DE5">
      <w:pPr>
        <w:rPr>
          <w:b/>
        </w:rPr>
      </w:pPr>
      <w:r w:rsidRPr="009D483F">
        <w:rPr>
          <w:b/>
        </w:rPr>
        <w:t xml:space="preserve">GET2 Result </w:t>
      </w:r>
    </w:p>
    <w:p w14:paraId="7080D73D" w14:textId="77777777" w:rsidR="00703DE5" w:rsidRPr="00313560" w:rsidRDefault="00703DE5" w:rsidP="00703DE5">
      <w:r w:rsidRPr="00313560">
        <w:rPr>
          <w:noProof/>
          <w:lang w:val="en-US"/>
        </w:rPr>
        <w:drawing>
          <wp:inline distT="0" distB="0" distL="0" distR="0" wp14:anchorId="11DE4795" wp14:editId="176CD1B5">
            <wp:extent cx="5505450" cy="3638550"/>
            <wp:effectExtent l="0" t="0" r="0" b="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rotWithShape="1">
                    <a:blip r:embed="rId12"/>
                    <a:srcRect l="26922" t="15363" r="24551" b="7820"/>
                    <a:stretch/>
                  </pic:blipFill>
                  <pic:spPr bwMode="auto">
                    <a:xfrm>
                      <a:off x="0" y="0"/>
                      <a:ext cx="5505450" cy="3638550"/>
                    </a:xfrm>
                    <a:prstGeom prst="rect">
                      <a:avLst/>
                    </a:prstGeom>
                    <a:ln>
                      <a:noFill/>
                    </a:ln>
                    <a:extLst>
                      <a:ext uri="{53640926-AAD7-44D8-BBD7-CCE9431645EC}">
                        <a14:shadowObscured xmlns:a14="http://schemas.microsoft.com/office/drawing/2010/main"/>
                      </a:ext>
                    </a:extLst>
                  </pic:spPr>
                </pic:pic>
              </a:graphicData>
            </a:graphic>
          </wp:inline>
        </w:drawing>
      </w:r>
    </w:p>
    <w:p w14:paraId="64979F2A" w14:textId="77777777" w:rsidR="007609A8" w:rsidRDefault="007609A8" w:rsidP="00703DE5">
      <w:pPr>
        <w:rPr>
          <w:b/>
        </w:rPr>
      </w:pPr>
    </w:p>
    <w:p w14:paraId="562E0A87" w14:textId="77777777" w:rsidR="007609A8" w:rsidRDefault="007609A8" w:rsidP="00703DE5">
      <w:pPr>
        <w:rPr>
          <w:b/>
        </w:rPr>
      </w:pPr>
    </w:p>
    <w:p w14:paraId="7DAFC264" w14:textId="77777777" w:rsidR="007609A8" w:rsidRDefault="007609A8" w:rsidP="00703DE5">
      <w:pPr>
        <w:rPr>
          <w:b/>
        </w:rPr>
      </w:pPr>
    </w:p>
    <w:p w14:paraId="4840EFEF" w14:textId="77777777" w:rsidR="007609A8" w:rsidRDefault="007609A8" w:rsidP="00703DE5">
      <w:pPr>
        <w:rPr>
          <w:b/>
        </w:rPr>
      </w:pPr>
    </w:p>
    <w:p w14:paraId="2FFAA5E4" w14:textId="77777777" w:rsidR="007609A8" w:rsidRDefault="007609A8" w:rsidP="00703DE5">
      <w:pPr>
        <w:rPr>
          <w:b/>
        </w:rPr>
      </w:pPr>
    </w:p>
    <w:p w14:paraId="4584146B" w14:textId="77777777" w:rsidR="007609A8" w:rsidRDefault="007609A8" w:rsidP="00703DE5">
      <w:pPr>
        <w:rPr>
          <w:b/>
        </w:rPr>
      </w:pPr>
    </w:p>
    <w:p w14:paraId="41312B39" w14:textId="77777777" w:rsidR="007609A8" w:rsidRDefault="007609A8" w:rsidP="00703DE5">
      <w:pPr>
        <w:rPr>
          <w:b/>
        </w:rPr>
      </w:pPr>
    </w:p>
    <w:p w14:paraId="2D3904A4" w14:textId="77777777" w:rsidR="007609A8" w:rsidRDefault="007609A8" w:rsidP="00703DE5">
      <w:pPr>
        <w:rPr>
          <w:b/>
        </w:rPr>
      </w:pPr>
    </w:p>
    <w:p w14:paraId="18AA796E" w14:textId="77777777" w:rsidR="007609A8" w:rsidRDefault="007609A8" w:rsidP="00703DE5">
      <w:pPr>
        <w:rPr>
          <w:b/>
        </w:rPr>
      </w:pPr>
    </w:p>
    <w:p w14:paraId="4AA32591" w14:textId="77777777" w:rsidR="007609A8" w:rsidRDefault="007609A8" w:rsidP="00703DE5">
      <w:pPr>
        <w:rPr>
          <w:b/>
        </w:rPr>
      </w:pPr>
    </w:p>
    <w:p w14:paraId="3E3FBF94" w14:textId="77777777" w:rsidR="007609A8" w:rsidRDefault="007609A8" w:rsidP="00703DE5">
      <w:pPr>
        <w:rPr>
          <w:b/>
        </w:rPr>
      </w:pPr>
    </w:p>
    <w:p w14:paraId="1776B655" w14:textId="77777777" w:rsidR="007609A8" w:rsidRDefault="007609A8" w:rsidP="00703DE5">
      <w:pPr>
        <w:rPr>
          <w:b/>
        </w:rPr>
      </w:pPr>
    </w:p>
    <w:p w14:paraId="1770A95E" w14:textId="77777777" w:rsidR="007609A8" w:rsidRDefault="007609A8" w:rsidP="00703DE5">
      <w:pPr>
        <w:rPr>
          <w:b/>
        </w:rPr>
      </w:pPr>
    </w:p>
    <w:p w14:paraId="596F7AB5" w14:textId="77777777" w:rsidR="00C73F8C" w:rsidRDefault="00C73F8C" w:rsidP="00703DE5">
      <w:pPr>
        <w:rPr>
          <w:b/>
        </w:rPr>
      </w:pPr>
    </w:p>
    <w:p w14:paraId="19CE21D8" w14:textId="27EA0FDE" w:rsidR="00703DE5" w:rsidRPr="009D483F" w:rsidRDefault="00703DE5" w:rsidP="00703DE5">
      <w:pPr>
        <w:rPr>
          <w:b/>
        </w:rPr>
      </w:pPr>
      <w:r w:rsidRPr="009D483F">
        <w:rPr>
          <w:b/>
        </w:rPr>
        <w:t>Entrepreneur Questionnaire</w:t>
      </w:r>
    </w:p>
    <w:p w14:paraId="13F5177D" w14:textId="77777777" w:rsidR="00703DE5" w:rsidRPr="00313560" w:rsidRDefault="00703DE5" w:rsidP="00703DE5">
      <w:r w:rsidRPr="00313560">
        <w:rPr>
          <w:noProof/>
          <w:lang w:val="en-US"/>
        </w:rPr>
        <w:drawing>
          <wp:inline distT="0" distB="0" distL="0" distR="0" wp14:anchorId="44B5D788" wp14:editId="0F1A60E3">
            <wp:extent cx="5295900" cy="5838825"/>
            <wp:effectExtent l="0" t="0" r="0" b="9525"/>
            <wp:docPr id="3" name="Picture 3"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omputer screen shot of a computer&#10;&#10;Description automatically generated"/>
                    <pic:cNvPicPr/>
                  </pic:nvPicPr>
                  <pic:blipFill rotWithShape="1">
                    <a:blip r:embed="rId13"/>
                    <a:srcRect l="33071" t="14773" r="34190" b="6047"/>
                    <a:stretch/>
                  </pic:blipFill>
                  <pic:spPr bwMode="auto">
                    <a:xfrm>
                      <a:off x="0" y="0"/>
                      <a:ext cx="5295900" cy="5838825"/>
                    </a:xfrm>
                    <a:prstGeom prst="rect">
                      <a:avLst/>
                    </a:prstGeom>
                    <a:ln>
                      <a:noFill/>
                    </a:ln>
                    <a:extLst>
                      <a:ext uri="{53640926-AAD7-44D8-BBD7-CCE9431645EC}">
                        <a14:shadowObscured xmlns:a14="http://schemas.microsoft.com/office/drawing/2010/main"/>
                      </a:ext>
                    </a:extLst>
                  </pic:spPr>
                </pic:pic>
              </a:graphicData>
            </a:graphic>
          </wp:inline>
        </w:drawing>
      </w:r>
      <w:r w:rsidRPr="00313560">
        <w:t xml:space="preserve"> </w:t>
      </w:r>
    </w:p>
    <w:p w14:paraId="3C92DCD8" w14:textId="77777777" w:rsidR="00703DE5" w:rsidRPr="00313560" w:rsidRDefault="00703DE5" w:rsidP="00703DE5"/>
    <w:p w14:paraId="30DB902D" w14:textId="231B0F27" w:rsidR="00B9569F" w:rsidRPr="00B9569F" w:rsidRDefault="00B9569F" w:rsidP="00B9569F"/>
    <w:sectPr w:rsidR="00B9569F" w:rsidRPr="00B9569F" w:rsidSect="00BE55A7">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E6E079" w14:textId="77777777" w:rsidR="00BE55A7" w:rsidRDefault="00BE55A7" w:rsidP="004D0F63">
      <w:pPr>
        <w:spacing w:after="0" w:line="240" w:lineRule="auto"/>
      </w:pPr>
      <w:r>
        <w:separator/>
      </w:r>
    </w:p>
  </w:endnote>
  <w:endnote w:type="continuationSeparator" w:id="0">
    <w:p w14:paraId="63016D8D" w14:textId="77777777" w:rsidR="00BE55A7" w:rsidRDefault="00BE55A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4881579"/>
      <w:docPartObj>
        <w:docPartGallery w:val="Page Numbers (Bottom of Page)"/>
        <w:docPartUnique/>
      </w:docPartObj>
    </w:sdtPr>
    <w:sdtEndPr>
      <w:rPr>
        <w:noProof/>
      </w:rPr>
    </w:sdtEndPr>
    <w:sdtContent>
      <w:p w14:paraId="36508767" w14:textId="77777777" w:rsidR="008D45B0" w:rsidRDefault="00000000">
        <w:pPr>
          <w:pStyle w:val="Footer"/>
          <w:jc w:val="right"/>
        </w:pPr>
        <w:r>
          <w:fldChar w:fldCharType="begin"/>
        </w:r>
        <w:r>
          <w:instrText xml:space="preserve"> PAGE   \* MERGEFORMAT </w:instrText>
        </w:r>
        <w:r>
          <w:fldChar w:fldCharType="separate"/>
        </w:r>
        <w:r>
          <w:rPr>
            <w:noProof/>
          </w:rPr>
          <w:t>16</w:t>
        </w:r>
        <w:r>
          <w:rPr>
            <w:noProof/>
          </w:rPr>
          <w:fldChar w:fldCharType="end"/>
        </w:r>
      </w:p>
    </w:sdtContent>
  </w:sdt>
  <w:p w14:paraId="4A6746B2" w14:textId="77777777" w:rsidR="008D45B0" w:rsidRDefault="008D45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746869" w14:textId="77777777" w:rsidR="00BE55A7" w:rsidRDefault="00BE55A7" w:rsidP="004D0F63">
      <w:pPr>
        <w:spacing w:after="0" w:line="240" w:lineRule="auto"/>
      </w:pPr>
      <w:r>
        <w:separator/>
      </w:r>
    </w:p>
  </w:footnote>
  <w:footnote w:type="continuationSeparator" w:id="0">
    <w:p w14:paraId="670BD34C" w14:textId="77777777" w:rsidR="00BE55A7" w:rsidRDefault="00BE55A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2E0DCA"/>
    <w:multiLevelType w:val="hybridMultilevel"/>
    <w:tmpl w:val="55366B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4B368A"/>
    <w:multiLevelType w:val="hybridMultilevel"/>
    <w:tmpl w:val="33AEEAF2"/>
    <w:lvl w:ilvl="0" w:tplc="D6A406BA">
      <w:start w:val="1"/>
      <w:numFmt w:val="bullet"/>
      <w:lvlText w:val="-"/>
      <w:lvlJc w:val="left"/>
      <w:pPr>
        <w:tabs>
          <w:tab w:val="num" w:pos="720"/>
        </w:tabs>
        <w:ind w:left="720" w:hanging="360"/>
      </w:pPr>
      <w:rPr>
        <w:rFonts w:ascii="Times New Roman" w:hAnsi="Times New Roman" w:cs="Times New Roman" w:hint="default"/>
      </w:rPr>
    </w:lvl>
    <w:lvl w:ilvl="1" w:tplc="83B63C64">
      <w:start w:val="1"/>
      <w:numFmt w:val="bullet"/>
      <w:lvlText w:val="-"/>
      <w:lvlJc w:val="left"/>
      <w:pPr>
        <w:tabs>
          <w:tab w:val="num" w:pos="1440"/>
        </w:tabs>
        <w:ind w:left="1440" w:hanging="360"/>
      </w:pPr>
      <w:rPr>
        <w:rFonts w:ascii="Times New Roman" w:hAnsi="Times New Roman" w:cs="Times New Roman" w:hint="default"/>
      </w:rPr>
    </w:lvl>
    <w:lvl w:ilvl="2" w:tplc="345C327C">
      <w:start w:val="1"/>
      <w:numFmt w:val="bullet"/>
      <w:lvlText w:val="-"/>
      <w:lvlJc w:val="left"/>
      <w:pPr>
        <w:tabs>
          <w:tab w:val="num" w:pos="2160"/>
        </w:tabs>
        <w:ind w:left="2160" w:hanging="360"/>
      </w:pPr>
      <w:rPr>
        <w:rFonts w:ascii="Times New Roman" w:hAnsi="Times New Roman" w:cs="Times New Roman" w:hint="default"/>
      </w:rPr>
    </w:lvl>
    <w:lvl w:ilvl="3" w:tplc="450071D2">
      <w:start w:val="1"/>
      <w:numFmt w:val="bullet"/>
      <w:lvlText w:val="-"/>
      <w:lvlJc w:val="left"/>
      <w:pPr>
        <w:tabs>
          <w:tab w:val="num" w:pos="2880"/>
        </w:tabs>
        <w:ind w:left="2880" w:hanging="360"/>
      </w:pPr>
      <w:rPr>
        <w:rFonts w:ascii="Times New Roman" w:hAnsi="Times New Roman" w:cs="Times New Roman" w:hint="default"/>
      </w:rPr>
    </w:lvl>
    <w:lvl w:ilvl="4" w:tplc="F5348404">
      <w:start w:val="1"/>
      <w:numFmt w:val="bullet"/>
      <w:lvlText w:val="-"/>
      <w:lvlJc w:val="left"/>
      <w:pPr>
        <w:tabs>
          <w:tab w:val="num" w:pos="3600"/>
        </w:tabs>
        <w:ind w:left="3600" w:hanging="360"/>
      </w:pPr>
      <w:rPr>
        <w:rFonts w:ascii="Times New Roman" w:hAnsi="Times New Roman" w:cs="Times New Roman" w:hint="default"/>
      </w:rPr>
    </w:lvl>
    <w:lvl w:ilvl="5" w:tplc="EF788BB4">
      <w:start w:val="1"/>
      <w:numFmt w:val="bullet"/>
      <w:lvlText w:val="-"/>
      <w:lvlJc w:val="left"/>
      <w:pPr>
        <w:tabs>
          <w:tab w:val="num" w:pos="4320"/>
        </w:tabs>
        <w:ind w:left="4320" w:hanging="360"/>
      </w:pPr>
      <w:rPr>
        <w:rFonts w:ascii="Times New Roman" w:hAnsi="Times New Roman" w:cs="Times New Roman" w:hint="default"/>
      </w:rPr>
    </w:lvl>
    <w:lvl w:ilvl="6" w:tplc="E87EAD3E">
      <w:start w:val="1"/>
      <w:numFmt w:val="bullet"/>
      <w:lvlText w:val="-"/>
      <w:lvlJc w:val="left"/>
      <w:pPr>
        <w:tabs>
          <w:tab w:val="num" w:pos="5040"/>
        </w:tabs>
        <w:ind w:left="5040" w:hanging="360"/>
      </w:pPr>
      <w:rPr>
        <w:rFonts w:ascii="Times New Roman" w:hAnsi="Times New Roman" w:cs="Times New Roman" w:hint="default"/>
      </w:rPr>
    </w:lvl>
    <w:lvl w:ilvl="7" w:tplc="D31200C8">
      <w:start w:val="1"/>
      <w:numFmt w:val="bullet"/>
      <w:lvlText w:val="-"/>
      <w:lvlJc w:val="left"/>
      <w:pPr>
        <w:tabs>
          <w:tab w:val="num" w:pos="5760"/>
        </w:tabs>
        <w:ind w:left="5760" w:hanging="360"/>
      </w:pPr>
      <w:rPr>
        <w:rFonts w:ascii="Times New Roman" w:hAnsi="Times New Roman" w:cs="Times New Roman" w:hint="default"/>
      </w:rPr>
    </w:lvl>
    <w:lvl w:ilvl="8" w:tplc="52DAD662">
      <w:start w:val="1"/>
      <w:numFmt w:val="bullet"/>
      <w:lvlText w:val="-"/>
      <w:lvlJc w:val="left"/>
      <w:pPr>
        <w:tabs>
          <w:tab w:val="num" w:pos="6480"/>
        </w:tabs>
        <w:ind w:left="6480" w:hanging="360"/>
      </w:pPr>
      <w:rPr>
        <w:rFonts w:ascii="Times New Roman" w:hAnsi="Times New Roman" w:cs="Times New Roman" w:hint="default"/>
      </w:rPr>
    </w:lvl>
  </w:abstractNum>
  <w:abstractNum w:abstractNumId="2" w15:restartNumberingAfterBreak="0">
    <w:nsid w:val="1E0258F4"/>
    <w:multiLevelType w:val="hybridMultilevel"/>
    <w:tmpl w:val="730AA4E4"/>
    <w:lvl w:ilvl="0" w:tplc="D6A406BA">
      <w:start w:val="1"/>
      <w:numFmt w:val="bullet"/>
      <w:lvlText w:val="-"/>
      <w:lvlJc w:val="left"/>
      <w:pPr>
        <w:ind w:left="720" w:hanging="360"/>
      </w:pPr>
      <w:rPr>
        <w:rFonts w:ascii="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3"/>
  </w:num>
  <w:num w:numId="2" w16cid:durableId="1986470946">
    <w:abstractNumId w:val="4"/>
  </w:num>
  <w:num w:numId="3" w16cid:durableId="339283932">
    <w:abstractNumId w:val="1"/>
  </w:num>
  <w:num w:numId="4" w16cid:durableId="987787825">
    <w:abstractNumId w:val="2"/>
  </w:num>
  <w:num w:numId="5" w16cid:durableId="1847474523">
    <w:abstractNumId w:val="1"/>
  </w:num>
  <w:num w:numId="6" w16cid:durableId="3924315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2179"/>
    <w:rsid w:val="000F5B10"/>
    <w:rsid w:val="00137075"/>
    <w:rsid w:val="001749FD"/>
    <w:rsid w:val="002C70FD"/>
    <w:rsid w:val="00330917"/>
    <w:rsid w:val="00357851"/>
    <w:rsid w:val="0045538B"/>
    <w:rsid w:val="004A1BDF"/>
    <w:rsid w:val="004D0F63"/>
    <w:rsid w:val="00592A7E"/>
    <w:rsid w:val="005F689A"/>
    <w:rsid w:val="006224DD"/>
    <w:rsid w:val="006B6681"/>
    <w:rsid w:val="006C5D05"/>
    <w:rsid w:val="006F0879"/>
    <w:rsid w:val="00703DE5"/>
    <w:rsid w:val="007609A8"/>
    <w:rsid w:val="00781461"/>
    <w:rsid w:val="00860AF6"/>
    <w:rsid w:val="0086599B"/>
    <w:rsid w:val="008D45B0"/>
    <w:rsid w:val="00977466"/>
    <w:rsid w:val="00990899"/>
    <w:rsid w:val="009D31CA"/>
    <w:rsid w:val="00AE6CB0"/>
    <w:rsid w:val="00B0725C"/>
    <w:rsid w:val="00B755BF"/>
    <w:rsid w:val="00B9569F"/>
    <w:rsid w:val="00BE55A7"/>
    <w:rsid w:val="00C13ECB"/>
    <w:rsid w:val="00C2369D"/>
    <w:rsid w:val="00C65A12"/>
    <w:rsid w:val="00C73F8C"/>
    <w:rsid w:val="00CD26B9"/>
    <w:rsid w:val="00D215C3"/>
    <w:rsid w:val="00D877A9"/>
    <w:rsid w:val="00D879FA"/>
    <w:rsid w:val="00E47D82"/>
    <w:rsid w:val="00E90A87"/>
    <w:rsid w:val="00EC389C"/>
    <w:rsid w:val="00F03E94"/>
    <w:rsid w:val="00F47D49"/>
    <w:rsid w:val="00F52677"/>
    <w:rsid w:val="00F92A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9569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semiHidden/>
    <w:unhideWhenUsed/>
    <w:rsid w:val="00B755BF"/>
    <w:pPr>
      <w:spacing w:line="256" w:lineRule="auto"/>
    </w:pPr>
  </w:style>
  <w:style w:type="character" w:customStyle="1" w:styleId="Heading2Char">
    <w:name w:val="Heading 2 Char"/>
    <w:basedOn w:val="DefaultParagraphFont"/>
    <w:link w:val="Heading2"/>
    <w:uiPriority w:val="9"/>
    <w:semiHidden/>
    <w:rsid w:val="00B9569F"/>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B9569F"/>
    <w:pPr>
      <w:spacing w:before="100" w:beforeAutospacing="1" w:after="100" w:afterAutospacing="1" w:line="240" w:lineRule="auto"/>
    </w:pPr>
    <w:rPr>
      <w:rFonts w:eastAsia="Times New Roman" w:cs="Times New Roman"/>
      <w:color w:val="auto"/>
      <w:szCs w:val="24"/>
      <w:lang w:val="en-US"/>
    </w:rPr>
  </w:style>
  <w:style w:type="paragraph" w:styleId="TOCHeading">
    <w:name w:val="TOC Heading"/>
    <w:basedOn w:val="Heading1"/>
    <w:next w:val="Normal"/>
    <w:uiPriority w:val="39"/>
    <w:unhideWhenUsed/>
    <w:qFormat/>
    <w:rsid w:val="00B9569F"/>
    <w:pPr>
      <w:outlineLvl w:val="9"/>
    </w:pPr>
    <w:rPr>
      <w:lang w:val="en-US"/>
    </w:rPr>
  </w:style>
  <w:style w:type="paragraph" w:styleId="TOC1">
    <w:name w:val="toc 1"/>
    <w:basedOn w:val="Normal"/>
    <w:next w:val="Normal"/>
    <w:autoRedefine/>
    <w:uiPriority w:val="39"/>
    <w:unhideWhenUsed/>
    <w:rsid w:val="00B9569F"/>
    <w:pPr>
      <w:spacing w:after="100" w:line="360" w:lineRule="auto"/>
      <w:jc w:val="both"/>
    </w:pPr>
    <w:rPr>
      <w:color w:val="auto"/>
      <w:lang w:val="en-US"/>
    </w:rPr>
  </w:style>
  <w:style w:type="paragraph" w:styleId="TOC2">
    <w:name w:val="toc 2"/>
    <w:basedOn w:val="Normal"/>
    <w:next w:val="Normal"/>
    <w:autoRedefine/>
    <w:uiPriority w:val="39"/>
    <w:unhideWhenUsed/>
    <w:rsid w:val="00B9569F"/>
    <w:pPr>
      <w:spacing w:after="100" w:line="360" w:lineRule="auto"/>
      <w:ind w:left="240"/>
      <w:jc w:val="both"/>
    </w:pPr>
    <w:rPr>
      <w:color w:val="auto"/>
      <w:lang w:val="en-US"/>
    </w:rPr>
  </w:style>
  <w:style w:type="character" w:styleId="Hyperlink">
    <w:name w:val="Hyperlink"/>
    <w:basedOn w:val="DefaultParagraphFont"/>
    <w:uiPriority w:val="99"/>
    <w:unhideWhenUsed/>
    <w:rsid w:val="00B9569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450199">
      <w:bodyDiv w:val="1"/>
      <w:marLeft w:val="0"/>
      <w:marRight w:val="0"/>
      <w:marTop w:val="0"/>
      <w:marBottom w:val="0"/>
      <w:divBdr>
        <w:top w:val="none" w:sz="0" w:space="0" w:color="auto"/>
        <w:left w:val="none" w:sz="0" w:space="0" w:color="auto"/>
        <w:bottom w:val="none" w:sz="0" w:space="0" w:color="auto"/>
        <w:right w:val="none" w:sz="0" w:space="0" w:color="auto"/>
      </w:divBdr>
    </w:div>
    <w:div w:id="138422171">
      <w:bodyDiv w:val="1"/>
      <w:marLeft w:val="0"/>
      <w:marRight w:val="0"/>
      <w:marTop w:val="0"/>
      <w:marBottom w:val="0"/>
      <w:divBdr>
        <w:top w:val="none" w:sz="0" w:space="0" w:color="auto"/>
        <w:left w:val="none" w:sz="0" w:space="0" w:color="auto"/>
        <w:bottom w:val="none" w:sz="0" w:space="0" w:color="auto"/>
        <w:right w:val="none" w:sz="0" w:space="0" w:color="auto"/>
      </w:divBdr>
    </w:div>
    <w:div w:id="277226210">
      <w:bodyDiv w:val="1"/>
      <w:marLeft w:val="0"/>
      <w:marRight w:val="0"/>
      <w:marTop w:val="0"/>
      <w:marBottom w:val="0"/>
      <w:divBdr>
        <w:top w:val="none" w:sz="0" w:space="0" w:color="auto"/>
        <w:left w:val="none" w:sz="0" w:space="0" w:color="auto"/>
        <w:bottom w:val="none" w:sz="0" w:space="0" w:color="auto"/>
        <w:right w:val="none" w:sz="0" w:space="0" w:color="auto"/>
      </w:divBdr>
    </w:div>
    <w:div w:id="449400820">
      <w:bodyDiv w:val="1"/>
      <w:marLeft w:val="0"/>
      <w:marRight w:val="0"/>
      <w:marTop w:val="0"/>
      <w:marBottom w:val="0"/>
      <w:divBdr>
        <w:top w:val="none" w:sz="0" w:space="0" w:color="auto"/>
        <w:left w:val="none" w:sz="0" w:space="0" w:color="auto"/>
        <w:bottom w:val="none" w:sz="0" w:space="0" w:color="auto"/>
        <w:right w:val="none" w:sz="0" w:space="0" w:color="auto"/>
      </w:divBdr>
    </w:div>
    <w:div w:id="503595445">
      <w:bodyDiv w:val="1"/>
      <w:marLeft w:val="0"/>
      <w:marRight w:val="0"/>
      <w:marTop w:val="0"/>
      <w:marBottom w:val="0"/>
      <w:divBdr>
        <w:top w:val="none" w:sz="0" w:space="0" w:color="auto"/>
        <w:left w:val="none" w:sz="0" w:space="0" w:color="auto"/>
        <w:bottom w:val="none" w:sz="0" w:space="0" w:color="auto"/>
        <w:right w:val="none" w:sz="0" w:space="0" w:color="auto"/>
      </w:divBdr>
    </w:div>
    <w:div w:id="546182127">
      <w:bodyDiv w:val="1"/>
      <w:marLeft w:val="0"/>
      <w:marRight w:val="0"/>
      <w:marTop w:val="0"/>
      <w:marBottom w:val="0"/>
      <w:divBdr>
        <w:top w:val="none" w:sz="0" w:space="0" w:color="auto"/>
        <w:left w:val="none" w:sz="0" w:space="0" w:color="auto"/>
        <w:bottom w:val="none" w:sz="0" w:space="0" w:color="auto"/>
        <w:right w:val="none" w:sz="0" w:space="0" w:color="auto"/>
      </w:divBdr>
    </w:div>
    <w:div w:id="636955481">
      <w:bodyDiv w:val="1"/>
      <w:marLeft w:val="0"/>
      <w:marRight w:val="0"/>
      <w:marTop w:val="0"/>
      <w:marBottom w:val="0"/>
      <w:divBdr>
        <w:top w:val="none" w:sz="0" w:space="0" w:color="auto"/>
        <w:left w:val="none" w:sz="0" w:space="0" w:color="auto"/>
        <w:bottom w:val="none" w:sz="0" w:space="0" w:color="auto"/>
        <w:right w:val="none" w:sz="0" w:space="0" w:color="auto"/>
      </w:divBdr>
    </w:div>
    <w:div w:id="660430829">
      <w:bodyDiv w:val="1"/>
      <w:marLeft w:val="0"/>
      <w:marRight w:val="0"/>
      <w:marTop w:val="0"/>
      <w:marBottom w:val="0"/>
      <w:divBdr>
        <w:top w:val="none" w:sz="0" w:space="0" w:color="auto"/>
        <w:left w:val="none" w:sz="0" w:space="0" w:color="auto"/>
        <w:bottom w:val="none" w:sz="0" w:space="0" w:color="auto"/>
        <w:right w:val="none" w:sz="0" w:space="0" w:color="auto"/>
      </w:divBdr>
    </w:div>
    <w:div w:id="808474752">
      <w:bodyDiv w:val="1"/>
      <w:marLeft w:val="0"/>
      <w:marRight w:val="0"/>
      <w:marTop w:val="0"/>
      <w:marBottom w:val="0"/>
      <w:divBdr>
        <w:top w:val="none" w:sz="0" w:space="0" w:color="auto"/>
        <w:left w:val="none" w:sz="0" w:space="0" w:color="auto"/>
        <w:bottom w:val="none" w:sz="0" w:space="0" w:color="auto"/>
        <w:right w:val="none" w:sz="0" w:space="0" w:color="auto"/>
      </w:divBdr>
    </w:div>
    <w:div w:id="942765732">
      <w:bodyDiv w:val="1"/>
      <w:marLeft w:val="0"/>
      <w:marRight w:val="0"/>
      <w:marTop w:val="0"/>
      <w:marBottom w:val="0"/>
      <w:divBdr>
        <w:top w:val="none" w:sz="0" w:space="0" w:color="auto"/>
        <w:left w:val="none" w:sz="0" w:space="0" w:color="auto"/>
        <w:bottom w:val="none" w:sz="0" w:space="0" w:color="auto"/>
        <w:right w:val="none" w:sz="0" w:space="0" w:color="auto"/>
      </w:divBdr>
    </w:div>
    <w:div w:id="964239769">
      <w:bodyDiv w:val="1"/>
      <w:marLeft w:val="0"/>
      <w:marRight w:val="0"/>
      <w:marTop w:val="0"/>
      <w:marBottom w:val="0"/>
      <w:divBdr>
        <w:top w:val="none" w:sz="0" w:space="0" w:color="auto"/>
        <w:left w:val="none" w:sz="0" w:space="0" w:color="auto"/>
        <w:bottom w:val="none" w:sz="0" w:space="0" w:color="auto"/>
        <w:right w:val="none" w:sz="0" w:space="0" w:color="auto"/>
      </w:divBdr>
    </w:div>
    <w:div w:id="1086224487">
      <w:bodyDiv w:val="1"/>
      <w:marLeft w:val="0"/>
      <w:marRight w:val="0"/>
      <w:marTop w:val="0"/>
      <w:marBottom w:val="0"/>
      <w:divBdr>
        <w:top w:val="none" w:sz="0" w:space="0" w:color="auto"/>
        <w:left w:val="none" w:sz="0" w:space="0" w:color="auto"/>
        <w:bottom w:val="none" w:sz="0" w:space="0" w:color="auto"/>
        <w:right w:val="none" w:sz="0" w:space="0" w:color="auto"/>
      </w:divBdr>
    </w:div>
    <w:div w:id="1116558003">
      <w:bodyDiv w:val="1"/>
      <w:marLeft w:val="0"/>
      <w:marRight w:val="0"/>
      <w:marTop w:val="0"/>
      <w:marBottom w:val="0"/>
      <w:divBdr>
        <w:top w:val="none" w:sz="0" w:space="0" w:color="auto"/>
        <w:left w:val="none" w:sz="0" w:space="0" w:color="auto"/>
        <w:bottom w:val="none" w:sz="0" w:space="0" w:color="auto"/>
        <w:right w:val="none" w:sz="0" w:space="0" w:color="auto"/>
      </w:divBdr>
    </w:div>
    <w:div w:id="1175069636">
      <w:bodyDiv w:val="1"/>
      <w:marLeft w:val="0"/>
      <w:marRight w:val="0"/>
      <w:marTop w:val="0"/>
      <w:marBottom w:val="0"/>
      <w:divBdr>
        <w:top w:val="none" w:sz="0" w:space="0" w:color="auto"/>
        <w:left w:val="none" w:sz="0" w:space="0" w:color="auto"/>
        <w:bottom w:val="none" w:sz="0" w:space="0" w:color="auto"/>
        <w:right w:val="none" w:sz="0" w:space="0" w:color="auto"/>
      </w:divBdr>
    </w:div>
    <w:div w:id="1299647682">
      <w:bodyDiv w:val="1"/>
      <w:marLeft w:val="0"/>
      <w:marRight w:val="0"/>
      <w:marTop w:val="0"/>
      <w:marBottom w:val="0"/>
      <w:divBdr>
        <w:top w:val="none" w:sz="0" w:space="0" w:color="auto"/>
        <w:left w:val="none" w:sz="0" w:space="0" w:color="auto"/>
        <w:bottom w:val="none" w:sz="0" w:space="0" w:color="auto"/>
        <w:right w:val="none" w:sz="0" w:space="0" w:color="auto"/>
      </w:divBdr>
    </w:div>
    <w:div w:id="1307277395">
      <w:bodyDiv w:val="1"/>
      <w:marLeft w:val="0"/>
      <w:marRight w:val="0"/>
      <w:marTop w:val="0"/>
      <w:marBottom w:val="0"/>
      <w:divBdr>
        <w:top w:val="none" w:sz="0" w:space="0" w:color="auto"/>
        <w:left w:val="none" w:sz="0" w:space="0" w:color="auto"/>
        <w:bottom w:val="none" w:sz="0" w:space="0" w:color="auto"/>
        <w:right w:val="none" w:sz="0" w:space="0" w:color="auto"/>
      </w:divBdr>
    </w:div>
    <w:div w:id="1354377227">
      <w:bodyDiv w:val="1"/>
      <w:marLeft w:val="0"/>
      <w:marRight w:val="0"/>
      <w:marTop w:val="0"/>
      <w:marBottom w:val="0"/>
      <w:divBdr>
        <w:top w:val="none" w:sz="0" w:space="0" w:color="auto"/>
        <w:left w:val="none" w:sz="0" w:space="0" w:color="auto"/>
        <w:bottom w:val="none" w:sz="0" w:space="0" w:color="auto"/>
        <w:right w:val="none" w:sz="0" w:space="0" w:color="auto"/>
      </w:divBdr>
    </w:div>
    <w:div w:id="1418677389">
      <w:bodyDiv w:val="1"/>
      <w:marLeft w:val="0"/>
      <w:marRight w:val="0"/>
      <w:marTop w:val="0"/>
      <w:marBottom w:val="0"/>
      <w:divBdr>
        <w:top w:val="none" w:sz="0" w:space="0" w:color="auto"/>
        <w:left w:val="none" w:sz="0" w:space="0" w:color="auto"/>
        <w:bottom w:val="none" w:sz="0" w:space="0" w:color="auto"/>
        <w:right w:val="none" w:sz="0" w:space="0" w:color="auto"/>
      </w:divBdr>
    </w:div>
    <w:div w:id="1426608780">
      <w:bodyDiv w:val="1"/>
      <w:marLeft w:val="0"/>
      <w:marRight w:val="0"/>
      <w:marTop w:val="0"/>
      <w:marBottom w:val="0"/>
      <w:divBdr>
        <w:top w:val="none" w:sz="0" w:space="0" w:color="auto"/>
        <w:left w:val="none" w:sz="0" w:space="0" w:color="auto"/>
        <w:bottom w:val="none" w:sz="0" w:space="0" w:color="auto"/>
        <w:right w:val="none" w:sz="0" w:space="0" w:color="auto"/>
      </w:divBdr>
    </w:div>
    <w:div w:id="1605919488">
      <w:bodyDiv w:val="1"/>
      <w:marLeft w:val="0"/>
      <w:marRight w:val="0"/>
      <w:marTop w:val="0"/>
      <w:marBottom w:val="0"/>
      <w:divBdr>
        <w:top w:val="none" w:sz="0" w:space="0" w:color="auto"/>
        <w:left w:val="none" w:sz="0" w:space="0" w:color="auto"/>
        <w:bottom w:val="none" w:sz="0" w:space="0" w:color="auto"/>
        <w:right w:val="none" w:sz="0" w:space="0" w:color="auto"/>
      </w:divBdr>
    </w:div>
    <w:div w:id="1631589738">
      <w:bodyDiv w:val="1"/>
      <w:marLeft w:val="0"/>
      <w:marRight w:val="0"/>
      <w:marTop w:val="0"/>
      <w:marBottom w:val="0"/>
      <w:divBdr>
        <w:top w:val="none" w:sz="0" w:space="0" w:color="auto"/>
        <w:left w:val="none" w:sz="0" w:space="0" w:color="auto"/>
        <w:bottom w:val="none" w:sz="0" w:space="0" w:color="auto"/>
        <w:right w:val="none" w:sz="0" w:space="0" w:color="auto"/>
      </w:divBdr>
    </w:div>
    <w:div w:id="1644458043">
      <w:bodyDiv w:val="1"/>
      <w:marLeft w:val="0"/>
      <w:marRight w:val="0"/>
      <w:marTop w:val="0"/>
      <w:marBottom w:val="0"/>
      <w:divBdr>
        <w:top w:val="none" w:sz="0" w:space="0" w:color="auto"/>
        <w:left w:val="none" w:sz="0" w:space="0" w:color="auto"/>
        <w:bottom w:val="none" w:sz="0" w:space="0" w:color="auto"/>
        <w:right w:val="none" w:sz="0" w:space="0" w:color="auto"/>
      </w:divBdr>
    </w:div>
    <w:div w:id="1819423509">
      <w:bodyDiv w:val="1"/>
      <w:marLeft w:val="0"/>
      <w:marRight w:val="0"/>
      <w:marTop w:val="0"/>
      <w:marBottom w:val="0"/>
      <w:divBdr>
        <w:top w:val="none" w:sz="0" w:space="0" w:color="auto"/>
        <w:left w:val="none" w:sz="0" w:space="0" w:color="auto"/>
        <w:bottom w:val="none" w:sz="0" w:space="0" w:color="auto"/>
        <w:right w:val="none" w:sz="0" w:space="0" w:color="auto"/>
      </w:divBdr>
    </w:div>
    <w:div w:id="1871801554">
      <w:bodyDiv w:val="1"/>
      <w:marLeft w:val="0"/>
      <w:marRight w:val="0"/>
      <w:marTop w:val="0"/>
      <w:marBottom w:val="0"/>
      <w:divBdr>
        <w:top w:val="none" w:sz="0" w:space="0" w:color="auto"/>
        <w:left w:val="none" w:sz="0" w:space="0" w:color="auto"/>
        <w:bottom w:val="none" w:sz="0" w:space="0" w:color="auto"/>
        <w:right w:val="none" w:sz="0" w:space="0" w:color="auto"/>
      </w:divBdr>
    </w:div>
    <w:div w:id="1933926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shura.shu.ac.uk/26757/9/Ali_TechnologyTourismHospitality%28AM%29.pdf" TargetMode="External"/><Relationship Id="rId4" Type="http://schemas.openxmlformats.org/officeDocument/2006/relationships/settings" Target="settings.xml"/><Relationship Id="rId9" Type="http://schemas.openxmlformats.org/officeDocument/2006/relationships/hyperlink" Target="https://www.ceeol.com/search/article-detail?id=101940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DBC21B-7CF1-44D8-8708-62CC584C48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266</TotalTime>
  <Pages>14</Pages>
  <Words>3182</Words>
  <Characters>18141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Mohammed Bathen</cp:lastModifiedBy>
  <cp:revision>17</cp:revision>
  <dcterms:created xsi:type="dcterms:W3CDTF">2023-01-08T15:17:00Z</dcterms:created>
  <dcterms:modified xsi:type="dcterms:W3CDTF">2024-02-04T22:40:00Z</dcterms:modified>
</cp:coreProperties>
</file>