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5563B" w14:textId="643F42FA" w:rsidR="006F40CC" w:rsidRPr="00E31D2F" w:rsidRDefault="00E31D2F" w:rsidP="00E31D2F">
      <w:pPr>
        <w:jc w:val="center"/>
        <w:rPr>
          <w:rFonts w:ascii="Aparajita" w:hAnsi="Aparajita" w:cs="Aparajita"/>
          <w:b/>
          <w:i/>
          <w:u w:val="single"/>
        </w:rPr>
      </w:pPr>
      <w:r w:rsidRPr="00E31D2F">
        <w:rPr>
          <w:rFonts w:ascii="Aparajita" w:hAnsi="Aparajita" w:cs="Aparajita"/>
          <w:b/>
          <w:u w:val="single"/>
        </w:rPr>
        <w:t xml:space="preserve">A Source Description of </w:t>
      </w:r>
      <w:r w:rsidR="00D966CC">
        <w:rPr>
          <w:rFonts w:ascii="Aparajita" w:hAnsi="Aparajita" w:cs="Aparajita"/>
          <w:b/>
          <w:u w:val="single"/>
        </w:rPr>
        <w:t>Gang</w:t>
      </w:r>
      <w:r w:rsidR="006C4D23">
        <w:rPr>
          <w:rFonts w:ascii="Aparajita" w:hAnsi="Aparajita" w:cs="Aparajita"/>
          <w:b/>
          <w:u w:val="single"/>
        </w:rPr>
        <w:t xml:space="preserve"> Zhao</w:t>
      </w:r>
      <w:r w:rsidR="006C4D23">
        <w:rPr>
          <w:rFonts w:ascii="Aparajita" w:hAnsi="Aparajita" w:cs="Aparajita"/>
          <w:b/>
          <w:u w:val="single"/>
        </w:rPr>
        <w:t>’s</w:t>
      </w:r>
      <w:r w:rsidR="006C4D23">
        <w:rPr>
          <w:rFonts w:ascii="Aparajita" w:hAnsi="Aparajita" w:cs="Aparajita"/>
          <w:b/>
          <w:u w:val="single"/>
        </w:rPr>
        <w:t xml:space="preserve">, </w:t>
      </w:r>
      <w:r w:rsidR="00D966CC">
        <w:rPr>
          <w:rFonts w:ascii="Aparajita" w:hAnsi="Aparajita" w:cs="Aparajita"/>
          <w:b/>
          <w:u w:val="single"/>
        </w:rPr>
        <w:t xml:space="preserve">Reinventing </w:t>
      </w:r>
      <w:r w:rsidRPr="00E31D2F">
        <w:rPr>
          <w:rFonts w:ascii="Aparajita" w:hAnsi="Aparajita" w:cs="Aparajita"/>
          <w:b/>
          <w:u w:val="single"/>
        </w:rPr>
        <w:t xml:space="preserve">China: </w:t>
      </w:r>
      <w:bookmarkStart w:id="0" w:name="_Hlk532914508"/>
      <w:r w:rsidRPr="00E31D2F">
        <w:rPr>
          <w:rFonts w:ascii="Aparajita" w:hAnsi="Aparajita" w:cs="Aparajita"/>
          <w:b/>
          <w:u w:val="single"/>
        </w:rPr>
        <w:t xml:space="preserve">Imperial Qing Ideology and the Rise of Modern Chinese National Identity in the Early Twentieth Century, </w:t>
      </w:r>
      <w:r w:rsidRPr="00E31D2F">
        <w:rPr>
          <w:rFonts w:ascii="Aparajita" w:hAnsi="Aparajita" w:cs="Aparajita"/>
          <w:b/>
          <w:i/>
          <w:u w:val="single"/>
        </w:rPr>
        <w:t>Modern China, Vol. 32, No. 1 (2006), pp. 3-30</w:t>
      </w:r>
      <w:bookmarkEnd w:id="0"/>
    </w:p>
    <w:p w14:paraId="131494D3" w14:textId="179E2C9C" w:rsidR="00E31D2F" w:rsidRPr="00E31D2F" w:rsidRDefault="00E31D2F" w:rsidP="00E31D2F">
      <w:pPr>
        <w:jc w:val="center"/>
        <w:rPr>
          <w:rFonts w:ascii="Aparajita" w:hAnsi="Aparajita" w:cs="Aparajita"/>
          <w:b/>
          <w:i/>
          <w:u w:val="single"/>
        </w:rPr>
      </w:pPr>
    </w:p>
    <w:p w14:paraId="0B5CC75B" w14:textId="3CD8A3D8" w:rsidR="00E31D2F" w:rsidRDefault="00E31D2F" w:rsidP="00E31D2F">
      <w:pPr>
        <w:rPr>
          <w:rFonts w:ascii="Aparajita" w:hAnsi="Aparajita" w:cs="Aparajita"/>
        </w:rPr>
      </w:pPr>
      <w:r w:rsidRPr="00E31D2F">
        <w:rPr>
          <w:rFonts w:ascii="Aparajita" w:hAnsi="Aparajita" w:cs="Aparajita"/>
        </w:rPr>
        <w:t xml:space="preserve">This journal articles </w:t>
      </w:r>
      <w:r>
        <w:rPr>
          <w:rFonts w:ascii="Aparajita" w:hAnsi="Aparajita" w:cs="Aparajita"/>
        </w:rPr>
        <w:t xml:space="preserve">published in the </w:t>
      </w:r>
      <w:r>
        <w:rPr>
          <w:rFonts w:ascii="Aparajita" w:hAnsi="Aparajita" w:cs="Aparajita"/>
          <w:i/>
        </w:rPr>
        <w:t>Journal of Modern China</w:t>
      </w:r>
      <w:r>
        <w:rPr>
          <w:rFonts w:ascii="Aparajita" w:hAnsi="Aparajita" w:cs="Aparajita"/>
        </w:rPr>
        <w:t xml:space="preserve"> questions the role of national identity politics in Qing China, but also just after the 1911 revolution. The aim is to question what the national identity of China is. It is something that is defined by the reigning dynasty of the empire or is it defined as a nation state, by physical borders or by a defined people that can be Chinese. This article also considers the scholarly interpretations of the </w:t>
      </w:r>
      <w:r w:rsidR="00D944B6">
        <w:rPr>
          <w:rFonts w:ascii="Aparajita" w:hAnsi="Aparajita" w:cs="Aparajita"/>
        </w:rPr>
        <w:t xml:space="preserve">question. How originally China was just an abstract that defined the Chinese Empire but eventually became what is the modern China. </w:t>
      </w:r>
    </w:p>
    <w:p w14:paraId="5E127659" w14:textId="769A94EF" w:rsidR="00D944B6" w:rsidRDefault="00D944B6" w:rsidP="00E31D2F">
      <w:pPr>
        <w:rPr>
          <w:rFonts w:ascii="Aparajita" w:hAnsi="Aparajita" w:cs="Aparajita"/>
        </w:rPr>
      </w:pPr>
      <w:r>
        <w:rPr>
          <w:rFonts w:ascii="Aparajita" w:hAnsi="Aparajita" w:cs="Aparajita"/>
        </w:rPr>
        <w:t>The first couple of pages in brief look at the evolving notion of what is China by addressing how the Qing Dynasty chose to address it</w:t>
      </w:r>
      <w:r w:rsidR="009F0EDA">
        <w:rPr>
          <w:rStyle w:val="FootnoteReference"/>
          <w:rFonts w:ascii="Aparajita" w:hAnsi="Aparajita" w:cs="Aparajita"/>
        </w:rPr>
        <w:footnoteReference w:id="1"/>
      </w:r>
      <w:r>
        <w:rPr>
          <w:rFonts w:ascii="Aparajita" w:hAnsi="Aparajita" w:cs="Aparajita"/>
        </w:rPr>
        <w:t>. The Qing defined the Empire as by the name of the Dynasty but also the name of China</w:t>
      </w:r>
      <w:r w:rsidR="009F0EDA">
        <w:rPr>
          <w:rStyle w:val="FootnoteReference"/>
          <w:rFonts w:ascii="Aparajita" w:hAnsi="Aparajita" w:cs="Aparajita"/>
        </w:rPr>
        <w:footnoteReference w:id="2"/>
      </w:r>
      <w:r>
        <w:rPr>
          <w:rFonts w:ascii="Aparajita" w:hAnsi="Aparajita" w:cs="Aparajita"/>
        </w:rPr>
        <w:t>. The difference being that China referred to what was ordinarily considered Chines provinces</w:t>
      </w:r>
      <w:r w:rsidR="009F0EDA">
        <w:rPr>
          <w:rStyle w:val="FootnoteReference"/>
          <w:rFonts w:ascii="Aparajita" w:hAnsi="Aparajita" w:cs="Aparajita"/>
        </w:rPr>
        <w:footnoteReference w:id="3"/>
      </w:r>
      <w:r w:rsidR="009F0EDA">
        <w:rPr>
          <w:rFonts w:ascii="Aparajita" w:hAnsi="Aparajita" w:cs="Aparajita"/>
        </w:rPr>
        <w:t>. T</w:t>
      </w:r>
      <w:r>
        <w:rPr>
          <w:rFonts w:ascii="Aparajita" w:hAnsi="Aparajita" w:cs="Aparajita"/>
        </w:rPr>
        <w:t>he name of Qing not just referred to traditional Chinese territory but also the provinces of southern and the northern frontiers that were not quite considered China proper</w:t>
      </w:r>
      <w:r w:rsidR="009F0EDA">
        <w:rPr>
          <w:rStyle w:val="FootnoteReference"/>
          <w:rFonts w:ascii="Aparajita" w:hAnsi="Aparajita" w:cs="Aparajita"/>
        </w:rPr>
        <w:footnoteReference w:id="4"/>
      </w:r>
      <w:r>
        <w:rPr>
          <w:rFonts w:ascii="Aparajita" w:hAnsi="Aparajita" w:cs="Aparajita"/>
        </w:rPr>
        <w:t>. This is in part due to the multi ethnic position that that the used in order to legitimate its rule, and as such no serious attempts were made to create a unified race</w:t>
      </w:r>
      <w:r w:rsidR="009F0EDA">
        <w:rPr>
          <w:rStyle w:val="FootnoteReference"/>
          <w:rFonts w:ascii="Aparajita" w:hAnsi="Aparajita" w:cs="Aparajita"/>
        </w:rPr>
        <w:footnoteReference w:id="5"/>
      </w:r>
      <w:r>
        <w:rPr>
          <w:rFonts w:ascii="Aparajita" w:hAnsi="Aparajita" w:cs="Aparajita"/>
        </w:rPr>
        <w:t xml:space="preserve">. </w:t>
      </w:r>
      <w:bookmarkStart w:id="1" w:name="_GoBack"/>
      <w:bookmarkEnd w:id="1"/>
    </w:p>
    <w:p w14:paraId="6EC31A17" w14:textId="649C99BC" w:rsidR="00D944B6" w:rsidRDefault="00D944B6" w:rsidP="00E31D2F">
      <w:pPr>
        <w:rPr>
          <w:rFonts w:ascii="Aparajita" w:hAnsi="Aparajita" w:cs="Aparajita"/>
        </w:rPr>
      </w:pPr>
      <w:r>
        <w:rPr>
          <w:rFonts w:ascii="Aparajita" w:hAnsi="Aparajita" w:cs="Aparajita"/>
        </w:rPr>
        <w:t xml:space="preserve">In </w:t>
      </w:r>
      <w:r w:rsidR="00865C60">
        <w:rPr>
          <w:rFonts w:ascii="Aparajita" w:hAnsi="Aparajita" w:cs="Aparajita"/>
        </w:rPr>
        <w:t>general,</w:t>
      </w:r>
      <w:r>
        <w:rPr>
          <w:rFonts w:ascii="Aparajita" w:hAnsi="Aparajita" w:cs="Aparajita"/>
        </w:rPr>
        <w:t xml:space="preserve"> when referring to Imperial China the</w:t>
      </w:r>
      <w:r w:rsidR="00865C60">
        <w:rPr>
          <w:rFonts w:ascii="Aparajita" w:hAnsi="Aparajita" w:cs="Aparajita"/>
        </w:rPr>
        <w:t xml:space="preserve"> imperial stand point changed depending on the dynasty, be it Qing, Song, Ming, or Qin Dynasties</w:t>
      </w:r>
      <w:r w:rsidR="009F0EDA">
        <w:rPr>
          <w:rStyle w:val="FootnoteReference"/>
          <w:rFonts w:ascii="Aparajita" w:hAnsi="Aparajita" w:cs="Aparajita"/>
        </w:rPr>
        <w:footnoteReference w:id="6"/>
      </w:r>
      <w:r w:rsidR="00865C60">
        <w:rPr>
          <w:rFonts w:ascii="Aparajita" w:hAnsi="Aparajita" w:cs="Aparajita"/>
        </w:rPr>
        <w:t>. The article argues that as each came from a different ethnic group then their idea of what China was is inherently different</w:t>
      </w:r>
      <w:r w:rsidR="009F0EDA">
        <w:rPr>
          <w:rStyle w:val="FootnoteReference"/>
          <w:rFonts w:ascii="Aparajita" w:hAnsi="Aparajita" w:cs="Aparajita"/>
        </w:rPr>
        <w:footnoteReference w:id="7"/>
      </w:r>
      <w:r w:rsidR="00865C60">
        <w:rPr>
          <w:rFonts w:ascii="Aparajita" w:hAnsi="Aparajita" w:cs="Aparajita"/>
        </w:rPr>
        <w:t>. They would define it as our China, non-so as much as the Qing</w:t>
      </w:r>
      <w:r w:rsidR="009F0EDA">
        <w:rPr>
          <w:rStyle w:val="FootnoteReference"/>
          <w:rFonts w:ascii="Aparajita" w:hAnsi="Aparajita" w:cs="Aparajita"/>
        </w:rPr>
        <w:footnoteReference w:id="8"/>
      </w:r>
      <w:r w:rsidR="00865C60">
        <w:rPr>
          <w:rFonts w:ascii="Aparajita" w:hAnsi="Aparajita" w:cs="Aparajita"/>
        </w:rPr>
        <w:t xml:space="preserve">. This would infer that China is defined by the Dynasty and the ruling family rather than by specific geographic borders. Under the Ching both concepts became common place </w:t>
      </w:r>
      <w:r w:rsidR="00AE2263">
        <w:rPr>
          <w:rFonts w:ascii="Aparajita" w:hAnsi="Aparajita" w:cs="Aparajita"/>
        </w:rPr>
        <w:t>with diplomatic showing China being described as both. In other words, by the Qing dynasty both had become one and the same</w:t>
      </w:r>
      <w:r w:rsidR="009F0EDA">
        <w:rPr>
          <w:rStyle w:val="FootnoteReference"/>
          <w:rFonts w:ascii="Aparajita" w:hAnsi="Aparajita" w:cs="Aparajita"/>
        </w:rPr>
        <w:footnoteReference w:id="9"/>
      </w:r>
      <w:r w:rsidR="00AE2263">
        <w:rPr>
          <w:rFonts w:ascii="Aparajita" w:hAnsi="Aparajita" w:cs="Aparajita"/>
        </w:rPr>
        <w:t xml:space="preserve">. </w:t>
      </w:r>
    </w:p>
    <w:p w14:paraId="13FDBA89" w14:textId="012E8622" w:rsidR="00AE2263" w:rsidRDefault="00AE2263" w:rsidP="00E31D2F">
      <w:pPr>
        <w:rPr>
          <w:rFonts w:ascii="Aparajita" w:hAnsi="Aparajita" w:cs="Aparajita"/>
        </w:rPr>
      </w:pPr>
      <w:r>
        <w:rPr>
          <w:rFonts w:ascii="Aparajita" w:hAnsi="Aparajita" w:cs="Aparajita"/>
        </w:rPr>
        <w:t xml:space="preserve">The viewpoint certainly changed under the Republic after 1911. The Republic sought to create China proper with an administration dominated by the Han Chinese, the predominant ethnic group in China. They sought to do this by emigrating the Han </w:t>
      </w:r>
      <w:r w:rsidR="00C606B6">
        <w:rPr>
          <w:rFonts w:ascii="Aparajita" w:hAnsi="Aparajita" w:cs="Aparajita"/>
        </w:rPr>
        <w:t>to other provinces so that became dominated by Ethnic Chinese rather than other peoples</w:t>
      </w:r>
      <w:r w:rsidR="009F0EDA">
        <w:rPr>
          <w:rStyle w:val="FootnoteReference"/>
          <w:rFonts w:ascii="Aparajita" w:hAnsi="Aparajita" w:cs="Aparajita"/>
        </w:rPr>
        <w:footnoteReference w:id="10"/>
      </w:r>
      <w:r w:rsidR="00C606B6">
        <w:rPr>
          <w:rFonts w:ascii="Aparajita" w:hAnsi="Aparajita" w:cs="Aparajita"/>
        </w:rPr>
        <w:t>. Certain officials argued however that there should simply be reform that decreased the differences between the races to create a strong and unified nation</w:t>
      </w:r>
      <w:r w:rsidR="00CE5906">
        <w:rPr>
          <w:rStyle w:val="FootnoteReference"/>
          <w:rFonts w:ascii="Aparajita" w:hAnsi="Aparajita" w:cs="Aparajita"/>
        </w:rPr>
        <w:footnoteReference w:id="11"/>
      </w:r>
      <w:r w:rsidR="00C606B6">
        <w:rPr>
          <w:rFonts w:ascii="Aparajita" w:hAnsi="Aparajita" w:cs="Aparajita"/>
        </w:rPr>
        <w:t>. The conclusion of the article suggests that whereas the Republic may have achieved something, the Qing won an ideological victory on this issue as they where able to define what is on a Multi Ethnic Platform that is the direct precedent that has created the modern Chinse Identity</w:t>
      </w:r>
      <w:r w:rsidR="00CE5906">
        <w:rPr>
          <w:rStyle w:val="FootnoteReference"/>
          <w:rFonts w:ascii="Aparajita" w:hAnsi="Aparajita" w:cs="Aparajita"/>
        </w:rPr>
        <w:footnoteReference w:id="12"/>
      </w:r>
      <w:r w:rsidR="00C606B6">
        <w:rPr>
          <w:rFonts w:ascii="Aparajita" w:hAnsi="Aparajita" w:cs="Aparajita"/>
        </w:rPr>
        <w:t xml:space="preserve">. </w:t>
      </w:r>
    </w:p>
    <w:p w14:paraId="4EDA7B62" w14:textId="77777777" w:rsidR="00AE2263" w:rsidRDefault="00AE2263" w:rsidP="00E31D2F">
      <w:pPr>
        <w:rPr>
          <w:rFonts w:ascii="Aparajita" w:hAnsi="Aparajita" w:cs="Aparajita"/>
        </w:rPr>
      </w:pPr>
    </w:p>
    <w:p w14:paraId="6B202B0A" w14:textId="77777777" w:rsidR="00D944B6" w:rsidRDefault="00D944B6" w:rsidP="00E31D2F">
      <w:pPr>
        <w:rPr>
          <w:rFonts w:ascii="Aparajita" w:hAnsi="Aparajita" w:cs="Aparajita"/>
        </w:rPr>
      </w:pPr>
    </w:p>
    <w:p w14:paraId="41E6232C" w14:textId="77777777" w:rsidR="00E31D2F" w:rsidRDefault="00E31D2F" w:rsidP="00E31D2F">
      <w:pPr>
        <w:rPr>
          <w:rFonts w:ascii="Aparajita" w:hAnsi="Aparajita" w:cs="Aparajita"/>
        </w:rPr>
      </w:pPr>
    </w:p>
    <w:p w14:paraId="2A221ADD" w14:textId="25F03638" w:rsidR="00E31D2F" w:rsidRPr="00E31D2F" w:rsidRDefault="00E31D2F" w:rsidP="00E31D2F">
      <w:pPr>
        <w:rPr>
          <w:rFonts w:ascii="Aparajita" w:hAnsi="Aparajita" w:cs="Aparajita"/>
        </w:rPr>
      </w:pPr>
      <w:r>
        <w:rPr>
          <w:rFonts w:ascii="Aparajita" w:hAnsi="Aparajita" w:cs="Aparajita"/>
        </w:rPr>
        <w:t xml:space="preserve"> </w:t>
      </w:r>
    </w:p>
    <w:sectPr w:rsidR="00E31D2F" w:rsidRPr="00E31D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30040" w14:textId="77777777" w:rsidR="00246616" w:rsidRDefault="00246616" w:rsidP="009F0EDA">
      <w:pPr>
        <w:spacing w:after="0" w:line="240" w:lineRule="auto"/>
      </w:pPr>
      <w:r>
        <w:separator/>
      </w:r>
    </w:p>
  </w:endnote>
  <w:endnote w:type="continuationSeparator" w:id="0">
    <w:p w14:paraId="78B86194" w14:textId="77777777" w:rsidR="00246616" w:rsidRDefault="00246616" w:rsidP="009F0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arajita">
    <w:altName w:val="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317787" w14:textId="77777777" w:rsidR="00246616" w:rsidRDefault="00246616" w:rsidP="009F0EDA">
      <w:pPr>
        <w:spacing w:after="0" w:line="240" w:lineRule="auto"/>
      </w:pPr>
      <w:r>
        <w:separator/>
      </w:r>
    </w:p>
  </w:footnote>
  <w:footnote w:type="continuationSeparator" w:id="0">
    <w:p w14:paraId="4D60F3D8" w14:textId="77777777" w:rsidR="00246616" w:rsidRDefault="00246616" w:rsidP="009F0EDA">
      <w:pPr>
        <w:spacing w:after="0" w:line="240" w:lineRule="auto"/>
      </w:pPr>
      <w:r>
        <w:continuationSeparator/>
      </w:r>
    </w:p>
  </w:footnote>
  <w:footnote w:id="1">
    <w:p w14:paraId="71FCC0C4" w14:textId="5B81E5F5" w:rsidR="009F0EDA" w:rsidRDefault="009F0EDA">
      <w:pPr>
        <w:pStyle w:val="FootnoteText"/>
      </w:pPr>
      <w:r>
        <w:rPr>
          <w:rStyle w:val="FootnoteReference"/>
        </w:rPr>
        <w:footnoteRef/>
      </w:r>
      <w:r>
        <w:t xml:space="preserve"> </w:t>
      </w:r>
      <w:r w:rsidRPr="009F0EDA">
        <w:rPr>
          <w:rFonts w:ascii="Aparajita" w:hAnsi="Aparajita" w:cs="Aparajita"/>
        </w:rPr>
        <w:t xml:space="preserve">Imperial Qing Ideology and the Rise of Modern Chinese National Identity in the Early Twentieth Century, </w:t>
      </w:r>
      <w:r w:rsidRPr="009F0EDA">
        <w:rPr>
          <w:rFonts w:ascii="Aparajita" w:hAnsi="Aparajita" w:cs="Aparajita"/>
          <w:i/>
        </w:rPr>
        <w:t xml:space="preserve">Modern China, Vol. 32, No. 1 </w:t>
      </w:r>
      <w:r w:rsidRPr="009F0EDA">
        <w:rPr>
          <w:rFonts w:ascii="Aparajita" w:hAnsi="Aparajita" w:cs="Aparajita"/>
        </w:rPr>
        <w:t>(2006), pp. 3-30.</w:t>
      </w:r>
      <w:r>
        <w:rPr>
          <w:rFonts w:ascii="Aparajita" w:hAnsi="Aparajita" w:cs="Aparajita"/>
          <w:i/>
        </w:rPr>
        <w:t xml:space="preserve"> </w:t>
      </w:r>
    </w:p>
  </w:footnote>
  <w:footnote w:id="2">
    <w:p w14:paraId="6D50F24D" w14:textId="1A323925" w:rsidR="009F0EDA" w:rsidRDefault="009F0EDA">
      <w:pPr>
        <w:pStyle w:val="FootnoteText"/>
      </w:pPr>
      <w:r>
        <w:rPr>
          <w:rStyle w:val="FootnoteReference"/>
        </w:rPr>
        <w:footnoteRef/>
      </w:r>
      <w:r>
        <w:t xml:space="preserve"> Ibid., p. 4. </w:t>
      </w:r>
    </w:p>
  </w:footnote>
  <w:footnote w:id="3">
    <w:p w14:paraId="5D5682B4" w14:textId="277F9566" w:rsidR="009F0EDA" w:rsidRDefault="009F0EDA">
      <w:pPr>
        <w:pStyle w:val="FootnoteText"/>
      </w:pPr>
      <w:r>
        <w:rPr>
          <w:rStyle w:val="FootnoteReference"/>
        </w:rPr>
        <w:footnoteRef/>
      </w:r>
      <w:r>
        <w:t xml:space="preserve"> Ibid., p. 4. </w:t>
      </w:r>
    </w:p>
  </w:footnote>
  <w:footnote w:id="4">
    <w:p w14:paraId="16A5F2EA" w14:textId="6933784A" w:rsidR="009F0EDA" w:rsidRDefault="009F0EDA">
      <w:pPr>
        <w:pStyle w:val="FootnoteText"/>
      </w:pPr>
      <w:r>
        <w:rPr>
          <w:rStyle w:val="FootnoteReference"/>
        </w:rPr>
        <w:footnoteRef/>
      </w:r>
      <w:r>
        <w:t xml:space="preserve"> Ibid., p. 3. </w:t>
      </w:r>
    </w:p>
  </w:footnote>
  <w:footnote w:id="5">
    <w:p w14:paraId="23507DCD" w14:textId="028BE162" w:rsidR="009F0EDA" w:rsidRDefault="009F0EDA">
      <w:pPr>
        <w:pStyle w:val="FootnoteText"/>
      </w:pPr>
      <w:r>
        <w:rPr>
          <w:rStyle w:val="FootnoteReference"/>
        </w:rPr>
        <w:footnoteRef/>
      </w:r>
      <w:r>
        <w:t xml:space="preserve"> Ibid., p. 10. </w:t>
      </w:r>
    </w:p>
  </w:footnote>
  <w:footnote w:id="6">
    <w:p w14:paraId="61BA145C" w14:textId="0AED5B82" w:rsidR="009F0EDA" w:rsidRDefault="009F0EDA">
      <w:pPr>
        <w:pStyle w:val="FootnoteText"/>
      </w:pPr>
      <w:r>
        <w:rPr>
          <w:rStyle w:val="FootnoteReference"/>
        </w:rPr>
        <w:footnoteRef/>
      </w:r>
      <w:r>
        <w:t xml:space="preserve"> Ibid., p. 21. </w:t>
      </w:r>
    </w:p>
  </w:footnote>
  <w:footnote w:id="7">
    <w:p w14:paraId="71BC599F" w14:textId="2422BF1D" w:rsidR="009F0EDA" w:rsidRDefault="009F0EDA">
      <w:pPr>
        <w:pStyle w:val="FootnoteText"/>
      </w:pPr>
      <w:r>
        <w:rPr>
          <w:rStyle w:val="FootnoteReference"/>
        </w:rPr>
        <w:footnoteRef/>
      </w:r>
      <w:r>
        <w:t xml:space="preserve"> Ibid., p. 21. </w:t>
      </w:r>
    </w:p>
  </w:footnote>
  <w:footnote w:id="8">
    <w:p w14:paraId="04060F37" w14:textId="336C80F9" w:rsidR="009F0EDA" w:rsidRDefault="009F0EDA">
      <w:pPr>
        <w:pStyle w:val="FootnoteText"/>
      </w:pPr>
      <w:r>
        <w:rPr>
          <w:rStyle w:val="FootnoteReference"/>
        </w:rPr>
        <w:footnoteRef/>
      </w:r>
      <w:r>
        <w:t xml:space="preserve"> Ibid., p. 22. </w:t>
      </w:r>
    </w:p>
  </w:footnote>
  <w:footnote w:id="9">
    <w:p w14:paraId="66C2B3DC" w14:textId="3D232500" w:rsidR="009F0EDA" w:rsidRDefault="009F0EDA">
      <w:pPr>
        <w:pStyle w:val="FootnoteText"/>
      </w:pPr>
      <w:r>
        <w:rPr>
          <w:rStyle w:val="FootnoteReference"/>
        </w:rPr>
        <w:footnoteRef/>
      </w:r>
      <w:r>
        <w:t xml:space="preserve"> Ibid., p. 7. </w:t>
      </w:r>
    </w:p>
  </w:footnote>
  <w:footnote w:id="10">
    <w:p w14:paraId="640576A4" w14:textId="02C20A4D" w:rsidR="009F0EDA" w:rsidRDefault="009F0EDA">
      <w:pPr>
        <w:pStyle w:val="FootnoteText"/>
      </w:pPr>
      <w:r>
        <w:rPr>
          <w:rStyle w:val="FootnoteReference"/>
        </w:rPr>
        <w:footnoteRef/>
      </w:r>
      <w:r>
        <w:t xml:space="preserve"> Ibid., </w:t>
      </w:r>
      <w:r w:rsidR="00CE5906">
        <w:t xml:space="preserve">pp. 18 – 19. </w:t>
      </w:r>
    </w:p>
  </w:footnote>
  <w:footnote w:id="11">
    <w:p w14:paraId="6B3ACD08" w14:textId="136768DC" w:rsidR="00CE5906" w:rsidRDefault="00CE5906">
      <w:pPr>
        <w:pStyle w:val="FootnoteText"/>
      </w:pPr>
      <w:r>
        <w:rPr>
          <w:rStyle w:val="FootnoteReference"/>
        </w:rPr>
        <w:footnoteRef/>
      </w:r>
      <w:r>
        <w:t xml:space="preserve"> Ibid., p. 19. </w:t>
      </w:r>
    </w:p>
  </w:footnote>
  <w:footnote w:id="12">
    <w:p w14:paraId="70DC8164" w14:textId="16247197" w:rsidR="00CE5906" w:rsidRDefault="00CE5906">
      <w:pPr>
        <w:pStyle w:val="FootnoteText"/>
      </w:pPr>
      <w:r>
        <w:rPr>
          <w:rStyle w:val="FootnoteReference"/>
        </w:rPr>
        <w:footnoteRef/>
      </w:r>
      <w:r>
        <w:t xml:space="preserve"> Ibid., p. 28.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CFE9F" w14:textId="2E232048" w:rsidR="00D966CC" w:rsidRDefault="00D966CC">
    <w:pPr>
      <w:pStyle w:val="Header"/>
    </w:pPr>
    <w:r>
      <w:t xml:space="preserve">Henry Gillson – Gant       </w:t>
    </w:r>
    <w:proofErr w:type="gramStart"/>
    <w:r>
      <w:t>1600129                  word</w:t>
    </w:r>
    <w:proofErr w:type="gramEnd"/>
    <w:r>
      <w:t xml:space="preserve"> count: 499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D2F"/>
    <w:rsid w:val="00015126"/>
    <w:rsid w:val="00246616"/>
    <w:rsid w:val="0025161F"/>
    <w:rsid w:val="003B12A1"/>
    <w:rsid w:val="006912D0"/>
    <w:rsid w:val="006C4D23"/>
    <w:rsid w:val="006C7569"/>
    <w:rsid w:val="007E79AB"/>
    <w:rsid w:val="00865C60"/>
    <w:rsid w:val="009C7238"/>
    <w:rsid w:val="009F0EDA"/>
    <w:rsid w:val="00AE2263"/>
    <w:rsid w:val="00C606B6"/>
    <w:rsid w:val="00CE5906"/>
    <w:rsid w:val="00D55E59"/>
    <w:rsid w:val="00D944B6"/>
    <w:rsid w:val="00D966CC"/>
    <w:rsid w:val="00E273B6"/>
    <w:rsid w:val="00E31D2F"/>
    <w:rsid w:val="00EA1210"/>
    <w:rsid w:val="00F13291"/>
    <w:rsid w:val="00F30D8F"/>
    <w:rsid w:val="00FC4E08"/>
    <w:rsid w:val="00FD5D9B"/>
    <w:rsid w:val="00FE4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66B012"/>
  <w15:chartTrackingRefBased/>
  <w15:docId w15:val="{500F5013-D455-40E9-ADE4-289B3FA30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0E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0EDA"/>
    <w:rPr>
      <w:sz w:val="20"/>
      <w:szCs w:val="20"/>
    </w:rPr>
  </w:style>
  <w:style w:type="character" w:styleId="FootnoteReference">
    <w:name w:val="footnote reference"/>
    <w:basedOn w:val="DefaultParagraphFont"/>
    <w:uiPriority w:val="99"/>
    <w:semiHidden/>
    <w:unhideWhenUsed/>
    <w:rsid w:val="009F0EDA"/>
    <w:rPr>
      <w:vertAlign w:val="superscript"/>
    </w:rPr>
  </w:style>
  <w:style w:type="paragraph" w:styleId="Header">
    <w:name w:val="header"/>
    <w:basedOn w:val="Normal"/>
    <w:link w:val="HeaderChar"/>
    <w:uiPriority w:val="99"/>
    <w:unhideWhenUsed/>
    <w:rsid w:val="00D966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6CC"/>
  </w:style>
  <w:style w:type="paragraph" w:styleId="Footer">
    <w:name w:val="footer"/>
    <w:basedOn w:val="Normal"/>
    <w:link w:val="FooterChar"/>
    <w:uiPriority w:val="99"/>
    <w:unhideWhenUsed/>
    <w:rsid w:val="00D966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911C2-6A2E-43D6-8BBF-37CA6D783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499</Words>
  <Characters>2386</Characters>
  <Application>Microsoft Office Word</Application>
  <DocSecurity>0</DocSecurity>
  <Lines>30</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cp:keywords/>
  <dc:description/>
  <cp:lastModifiedBy>Henry Gillson-Gant</cp:lastModifiedBy>
  <cp:revision>10</cp:revision>
  <dcterms:created xsi:type="dcterms:W3CDTF">2018-12-16T13:16:00Z</dcterms:created>
  <dcterms:modified xsi:type="dcterms:W3CDTF">2018-12-18T17:12:00Z</dcterms:modified>
</cp:coreProperties>
</file>