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5EE5D" w14:textId="77777777" w:rsidR="00D4792F" w:rsidRPr="00D4792F" w:rsidRDefault="00D4792F" w:rsidP="00D4792F">
      <w:pPr>
        <w:rPr>
          <w:sz w:val="40"/>
          <w:szCs w:val="40"/>
        </w:rPr>
      </w:pPr>
      <w:r w:rsidRPr="00D4792F">
        <w:rPr>
          <w:sz w:val="40"/>
          <w:szCs w:val="40"/>
        </w:rPr>
        <w:t>Student Name: Rokeya Bushra Chowdhury</w:t>
      </w:r>
    </w:p>
    <w:p w14:paraId="72B63701" w14:textId="77777777" w:rsidR="00D4792F" w:rsidRPr="00D4792F" w:rsidRDefault="00D4792F" w:rsidP="00D4792F">
      <w:pPr>
        <w:rPr>
          <w:sz w:val="40"/>
          <w:szCs w:val="40"/>
        </w:rPr>
      </w:pPr>
      <w:r w:rsidRPr="00D4792F">
        <w:rPr>
          <w:sz w:val="40"/>
          <w:szCs w:val="40"/>
        </w:rPr>
        <w:t>Student ID: 2409435</w:t>
      </w:r>
    </w:p>
    <w:p w14:paraId="53691DAB" w14:textId="77777777" w:rsidR="00D4792F" w:rsidRPr="00D4792F" w:rsidRDefault="00D4792F" w:rsidP="00D4792F">
      <w:pPr>
        <w:rPr>
          <w:sz w:val="40"/>
          <w:szCs w:val="40"/>
        </w:rPr>
      </w:pPr>
      <w:r w:rsidRPr="00D4792F">
        <w:rPr>
          <w:sz w:val="40"/>
          <w:szCs w:val="40"/>
        </w:rPr>
        <w:t>Organisation: Tesco plc UK</w:t>
      </w:r>
    </w:p>
    <w:p w14:paraId="02A41027" w14:textId="77777777" w:rsidR="00D4792F" w:rsidRPr="00D4792F" w:rsidRDefault="00D4792F" w:rsidP="00D4792F">
      <w:pPr>
        <w:rPr>
          <w:sz w:val="40"/>
          <w:szCs w:val="40"/>
        </w:rPr>
      </w:pPr>
      <w:r w:rsidRPr="00D4792F">
        <w:rPr>
          <w:sz w:val="40"/>
          <w:szCs w:val="40"/>
        </w:rPr>
        <w:t>Date: August 2026</w:t>
      </w:r>
    </w:p>
    <w:p w14:paraId="6B0C5246" w14:textId="77777777" w:rsidR="00D4792F" w:rsidRDefault="00D4792F" w:rsidP="00D4792F">
      <w:pPr>
        <w:rPr>
          <w:sz w:val="40"/>
          <w:szCs w:val="40"/>
        </w:rPr>
      </w:pPr>
      <w:r w:rsidRPr="00D4792F">
        <w:rPr>
          <w:sz w:val="40"/>
          <w:szCs w:val="40"/>
        </w:rPr>
        <w:t>Word Count: 2000 total</w:t>
      </w:r>
    </w:p>
    <w:p w14:paraId="2823F832" w14:textId="49613676" w:rsidR="00407F86" w:rsidRPr="00407F86" w:rsidRDefault="00407F86" w:rsidP="00407F86">
      <w:pPr>
        <w:rPr>
          <w:sz w:val="48"/>
          <w:szCs w:val="48"/>
        </w:rPr>
      </w:pPr>
      <w:r w:rsidRPr="00407F86">
        <w:rPr>
          <w:sz w:val="48"/>
          <w:szCs w:val="48"/>
        </w:rPr>
        <w:t>Introduction</w:t>
      </w:r>
    </w:p>
    <w:p w14:paraId="0CC8F6BA" w14:textId="2BE06A74" w:rsidR="00407F86" w:rsidRDefault="00407F86" w:rsidP="00407F86">
      <w:r>
        <w:t>This report assesses three unique, non-overlapping HR challenges facing Tesco during its multi-year digital and operational transformation: adapting to technological change, securing and retaining critical talent, and advancing diversity, equity and inclusion (DEI). It evaluates separate targeted practices for each challenge, examines how line managers can deliver these effectively, and sets out practical recommendations. The analysis draws on CIPD (2025) and core HRM research, with no cross-over between discussion of different factors.</w:t>
      </w:r>
    </w:p>
    <w:p w14:paraId="6EAF1A6B" w14:textId="5B60B37D" w:rsidR="00407F86" w:rsidRPr="00407F86" w:rsidRDefault="00407F86" w:rsidP="00407F86">
      <w:pPr>
        <w:rPr>
          <w:sz w:val="52"/>
          <w:szCs w:val="52"/>
        </w:rPr>
      </w:pPr>
      <w:r w:rsidRPr="00407F86">
        <w:rPr>
          <w:sz w:val="52"/>
          <w:szCs w:val="52"/>
        </w:rPr>
        <w:t>Conclusion</w:t>
      </w:r>
    </w:p>
    <w:p w14:paraId="564F08B4" w14:textId="27D2A9F6" w:rsidR="00407F86" w:rsidRDefault="00407F86" w:rsidP="00407F86">
      <w:r>
        <w:t>Each challenge requires distinct, purpose-built solutions rather than generic HR measures. Technological adaptation focuses on skill alignment and role redesign; talent management centres on targeted attraction and structured retention; DEI demands fair process and cultural embedding. While each practice has clear strengths, success depends on manager ownership and consistent application, rather than shared one-size-fits-all approaches.</w:t>
      </w:r>
    </w:p>
    <w:p w14:paraId="7A07D33F" w14:textId="57CF1D41" w:rsidR="00407F86" w:rsidRPr="00407F86" w:rsidRDefault="00407F86" w:rsidP="00407F86">
      <w:pPr>
        <w:rPr>
          <w:sz w:val="52"/>
          <w:szCs w:val="52"/>
        </w:rPr>
      </w:pPr>
      <w:r w:rsidRPr="00407F86">
        <w:rPr>
          <w:sz w:val="52"/>
          <w:szCs w:val="52"/>
        </w:rPr>
        <w:t>Recommendations</w:t>
      </w:r>
    </w:p>
    <w:p w14:paraId="474E458A" w14:textId="3FA22D1E" w:rsidR="00407F86" w:rsidRDefault="00407F86" w:rsidP="00407F86">
      <w:r>
        <w:t>1.</w:t>
      </w:r>
      <w:r>
        <w:rPr>
          <w:rFonts w:ascii="Segoe UI Symbol" w:hAnsi="Segoe UI Symbol" w:cs="Segoe UI Symbol"/>
        </w:rPr>
        <w:t>⁠</w:t>
      </w:r>
      <w:r>
        <w:t xml:space="preserve"> </w:t>
      </w:r>
      <w:r>
        <w:rPr>
          <w:rFonts w:ascii="Segoe UI Symbol" w:hAnsi="Segoe UI Symbol" w:cs="Segoe UI Symbol"/>
        </w:rPr>
        <w:t>⁠</w:t>
      </w:r>
      <w:r>
        <w:t>For technology: Map all roles to new digital system requirements by end of 2026.</w:t>
      </w:r>
    </w:p>
    <w:p w14:paraId="33841AF6" w14:textId="4BA99DF5" w:rsidR="00407F86" w:rsidRDefault="00407F86" w:rsidP="00407F86">
      <w:r>
        <w:t>2.</w:t>
      </w:r>
      <w:r>
        <w:rPr>
          <w:rFonts w:ascii="Segoe UI Symbol" w:hAnsi="Segoe UI Symbol" w:cs="Segoe UI Symbol"/>
        </w:rPr>
        <w:t>⁠</w:t>
      </w:r>
      <w:r>
        <w:t xml:space="preserve"> </w:t>
      </w:r>
      <w:r>
        <w:rPr>
          <w:rFonts w:ascii="Segoe UI Symbol" w:hAnsi="Segoe UI Symbol" w:cs="Segoe UI Symbol"/>
        </w:rPr>
        <w:t>⁠</w:t>
      </w:r>
      <w:r>
        <w:t>For talent: Launch a dedicated transformation career pathway with clear progression routes.</w:t>
      </w:r>
    </w:p>
    <w:p w14:paraId="3DCB4155" w14:textId="451D9379" w:rsidR="00407F86" w:rsidRDefault="00407F86" w:rsidP="00407F86">
      <w:r>
        <w:t>3.</w:t>
      </w:r>
      <w:r>
        <w:rPr>
          <w:rFonts w:ascii="Segoe UI Symbol" w:hAnsi="Segoe UI Symbol" w:cs="Segoe UI Symbol"/>
        </w:rPr>
        <w:t>⁠</w:t>
      </w:r>
      <w:r>
        <w:t xml:space="preserve"> </w:t>
      </w:r>
      <w:r>
        <w:rPr>
          <w:rFonts w:ascii="Segoe UI Symbol" w:hAnsi="Segoe UI Symbol" w:cs="Segoe UI Symbol"/>
        </w:rPr>
        <w:t>⁠</w:t>
      </w:r>
      <w:r>
        <w:t>For DEI: Mandate diverse interview panels for all senior and change-focused roles.</w:t>
      </w:r>
    </w:p>
    <w:p w14:paraId="399620FD" w14:textId="77777777" w:rsidR="00407F86" w:rsidRDefault="00407F86" w:rsidP="00407F86">
      <w:r>
        <w:t>4.</w:t>
      </w:r>
      <w:r>
        <w:rPr>
          <w:rFonts w:ascii="Segoe UI Symbol" w:hAnsi="Segoe UI Symbol" w:cs="Segoe UI Symbol"/>
        </w:rPr>
        <w:t>⁠</w:t>
      </w:r>
      <w:r>
        <w:t xml:space="preserve"> </w:t>
      </w:r>
      <w:r>
        <w:rPr>
          <w:rFonts w:ascii="Segoe UI Symbol" w:hAnsi="Segoe UI Symbol" w:cs="Segoe UI Symbol"/>
        </w:rPr>
        <w:t>⁠</w:t>
      </w:r>
      <w:r>
        <w:t>For implementation: Give line managers clear, role-specific guidance for each practice area.</w:t>
      </w:r>
    </w:p>
    <w:p w14:paraId="6E7697AD" w14:textId="576DA6C3" w:rsidR="00407F86" w:rsidRDefault="00407F86" w:rsidP="00407F86">
      <w:r>
        <w:lastRenderedPageBreak/>
        <w:t>2.</w:t>
      </w:r>
      <w:r>
        <w:rPr>
          <w:rFonts w:ascii="Segoe UI Symbol" w:hAnsi="Segoe UI Symbol" w:cs="Segoe UI Symbol"/>
        </w:rPr>
        <w:t>⁠</w:t>
      </w:r>
      <w:r>
        <w:t xml:space="preserve"> </w:t>
      </w:r>
      <w:r>
        <w:rPr>
          <w:rFonts w:ascii="Segoe UI Symbol" w:hAnsi="Segoe UI Symbol" w:cs="Segoe UI Symbol"/>
        </w:rPr>
        <w:t>⁠</w:t>
      </w:r>
      <w:r>
        <w:t xml:space="preserve">Explanation of Key Factors </w:t>
      </w:r>
    </w:p>
    <w:p w14:paraId="2CB13DAB" w14:textId="24A35B96" w:rsidR="00407F86" w:rsidRPr="00407F86" w:rsidRDefault="00407F86" w:rsidP="00407F86">
      <w:pPr>
        <w:rPr>
          <w:sz w:val="52"/>
          <w:szCs w:val="52"/>
        </w:rPr>
      </w:pPr>
      <w:r w:rsidRPr="00407F86">
        <w:rPr>
          <w:sz w:val="52"/>
          <w:szCs w:val="52"/>
        </w:rPr>
        <w:t>Adapting to Technological Advancements</w:t>
      </w:r>
    </w:p>
    <w:p w14:paraId="21D7EE9A" w14:textId="29FD4DAE" w:rsidR="00407F86" w:rsidRDefault="00407F86" w:rsidP="00407F86">
      <w:r>
        <w:t xml:space="preserve">This factor focuses entirely on how new systems reshape work and skill needs, separate from hiring or culture. Tesco’s rollout of AI forecasting, automated stock control and hybrid fulfilment fundamentally changes what employees do and what they can do. Store teams must now interpret data rather than just count stock; supply chain staff manage digital platforms instead of manual logs. Misalignment here leads to wasted technology investment, slower operations and falling staff confidence. Unlike talent or DEI issues, this challenge is driven by operational change, requiring HR to redefine role purpose and capability needs rather than recruitment or fairness rules (Bratton &amp; Gold, 2023). It directly impacts efficiency and customer </w:t>
      </w:r>
      <w:proofErr w:type="gramStart"/>
      <w:r>
        <w:t>service, but</w:t>
      </w:r>
      <w:proofErr w:type="gramEnd"/>
      <w:r>
        <w:t xml:space="preserve"> does not address who is hired or how they are treated.</w:t>
      </w:r>
    </w:p>
    <w:p w14:paraId="596421AF" w14:textId="7599CAEC" w:rsidR="00407F86" w:rsidRPr="00407F86" w:rsidRDefault="00407F86" w:rsidP="00407F86">
      <w:pPr>
        <w:rPr>
          <w:sz w:val="52"/>
          <w:szCs w:val="52"/>
        </w:rPr>
      </w:pPr>
      <w:r w:rsidRPr="00407F86">
        <w:rPr>
          <w:sz w:val="52"/>
          <w:szCs w:val="52"/>
        </w:rPr>
        <w:t>Talent Acquisition and Retention</w:t>
      </w:r>
    </w:p>
    <w:p w14:paraId="03741DA5" w14:textId="280AC136" w:rsidR="00407F86" w:rsidRDefault="00407F86" w:rsidP="00407F86">
      <w:r>
        <w:t xml:space="preserve">This factor centres on securing people with the right capabilities and keeping them engaged, independent of technology or DEI. Tesco faces a specific shortage of candidates with change management, agile delivery and digital operations experience. High turnover in these roles creates project delays, repeated recruitment costs and lost momentum. Unlike technological adaptation, this is a market and workforce behaviour challenge: even with perfect systems, the business will fail without the right people in place. Unlike DEI, it focuses on skills, experience and commitment rather than representation or fair treatment. Poor talent management directly affects delivery timelines and business </w:t>
      </w:r>
      <w:proofErr w:type="gramStart"/>
      <w:r>
        <w:t>continuity, but</w:t>
      </w:r>
      <w:proofErr w:type="gramEnd"/>
      <w:r>
        <w:t xml:space="preserve"> does not address equity or system fit (CIPD, 2025).</w:t>
      </w:r>
    </w:p>
    <w:p w14:paraId="1854BA19" w14:textId="3FA309A9" w:rsidR="00407F86" w:rsidRPr="00407F86" w:rsidRDefault="00407F86" w:rsidP="00407F86">
      <w:pPr>
        <w:rPr>
          <w:sz w:val="52"/>
          <w:szCs w:val="52"/>
        </w:rPr>
      </w:pPr>
      <w:r w:rsidRPr="00407F86">
        <w:rPr>
          <w:sz w:val="52"/>
          <w:szCs w:val="52"/>
        </w:rPr>
        <w:t>Diversity, Equity and Inclusion (DEI)</w:t>
      </w:r>
    </w:p>
    <w:p w14:paraId="05740F34" w14:textId="77777777" w:rsidR="00407F86" w:rsidRDefault="00407F86" w:rsidP="00407F86">
      <w:r>
        <w:t xml:space="preserve">This factor concerns fair access, representation and inclusive culture, separate from skills or staffing levels. Under the Equality Act 2010, Tesco must eliminate bias in all people processes. Beyond compliance, diverse teams bring broader customer insight and creative problem-solving vital for transformation. Current gaps include underrepresentation of minority groups in leadership, unequal access to development for part-time staff, and inconsistent inclusive behaviours. Unlike technology, this is not about skills or systems; unlike talent, it is not about filling vacancies or retaining expertise. Poor DEI damages reputation, limits innovation and increases legal risk, but </w:t>
      </w:r>
      <w:r>
        <w:lastRenderedPageBreak/>
        <w:t>does not directly cause skill shortages or system implementation failure (Anderson &amp; Vickery, 2024).</w:t>
      </w:r>
    </w:p>
    <w:p w14:paraId="220970A1" w14:textId="1DFC144C" w:rsidR="00407F86" w:rsidRPr="00407F86" w:rsidRDefault="00407F86" w:rsidP="00407F86">
      <w:pPr>
        <w:rPr>
          <w:sz w:val="52"/>
          <w:szCs w:val="52"/>
        </w:rPr>
      </w:pPr>
      <w:r w:rsidRPr="00407F86">
        <w:rPr>
          <w:sz w:val="52"/>
          <w:szCs w:val="52"/>
        </w:rPr>
        <w:t>3.</w:t>
      </w:r>
      <w:r w:rsidRPr="00407F86">
        <w:rPr>
          <w:rFonts w:ascii="Segoe UI Symbol" w:hAnsi="Segoe UI Symbol" w:cs="Segoe UI Symbol"/>
          <w:sz w:val="52"/>
          <w:szCs w:val="52"/>
        </w:rPr>
        <w:t>⁠</w:t>
      </w:r>
      <w:r w:rsidRPr="00407F86">
        <w:rPr>
          <w:sz w:val="52"/>
          <w:szCs w:val="52"/>
        </w:rPr>
        <w:t xml:space="preserve"> </w:t>
      </w:r>
      <w:r w:rsidRPr="00407F86">
        <w:rPr>
          <w:rFonts w:ascii="Segoe UI Symbol" w:hAnsi="Segoe UI Symbol" w:cs="Segoe UI Symbol"/>
          <w:sz w:val="52"/>
          <w:szCs w:val="52"/>
        </w:rPr>
        <w:t>⁠</w:t>
      </w:r>
      <w:r w:rsidRPr="00407F86">
        <w:rPr>
          <w:sz w:val="52"/>
          <w:szCs w:val="52"/>
        </w:rPr>
        <w:t xml:space="preserve">Evaluation of Contemporary HR Practices </w:t>
      </w:r>
    </w:p>
    <w:p w14:paraId="307906D8" w14:textId="5B63C7FD" w:rsidR="00407F86" w:rsidRPr="00407F86" w:rsidRDefault="00407F86" w:rsidP="00407F86">
      <w:pPr>
        <w:rPr>
          <w:sz w:val="52"/>
          <w:szCs w:val="52"/>
        </w:rPr>
      </w:pPr>
      <w:r w:rsidRPr="00407F86">
        <w:rPr>
          <w:sz w:val="52"/>
          <w:szCs w:val="52"/>
        </w:rPr>
        <w:t>Practices for Technological Adaptation: Digital HR Systems &amp; Workforce Analytics</w:t>
      </w:r>
    </w:p>
    <w:p w14:paraId="2E084E1B" w14:textId="77777777" w:rsidR="00407F86" w:rsidRDefault="00407F86" w:rsidP="00407F86">
      <w:r>
        <w:t>This practice uses data to identify skill gaps and redesign roles for new technology. It maps current capabilities against future requirements, supporting targeted upskilling and role redefinition.</w:t>
      </w:r>
    </w:p>
    <w:p w14:paraId="0FA94026" w14:textId="77777777" w:rsidR="00407F86" w:rsidRDefault="00407F86" w:rsidP="00407F86">
      <w:r>
        <w:t>Strengths: directly links people data to operational change, removes guesswork from planning, and ensures systems are matched to workforce capacity (Armstrong &amp; Taylor, 2024).</w:t>
      </w:r>
    </w:p>
    <w:p w14:paraId="6B0E9937" w14:textId="77777777" w:rsidR="00407F86" w:rsidRDefault="00407F86" w:rsidP="00407F86">
      <w:r>
        <w:t>Limitations: does not address recruitment bias or staff motivation; requires investment in data literacy and risks over-reliance on metrics at the expense of practical job knowledge.</w:t>
      </w:r>
    </w:p>
    <w:p w14:paraId="2A18C1A7" w14:textId="77777777" w:rsidR="00407F86" w:rsidRDefault="00407F86" w:rsidP="00407F86"/>
    <w:p w14:paraId="12C9E216" w14:textId="77777777" w:rsidR="00407F86" w:rsidRDefault="00407F86" w:rsidP="00407F86">
      <w:r>
        <w:t>Practices for Talent Acquisition &amp; Retention: Structured Selection &amp; Career Pathways</w:t>
      </w:r>
    </w:p>
    <w:p w14:paraId="65F3253B" w14:textId="77777777" w:rsidR="00407F86" w:rsidRDefault="00407F86" w:rsidP="00407F86"/>
    <w:p w14:paraId="3BE82DF6" w14:textId="77777777" w:rsidR="00407F86" w:rsidRDefault="00407F86" w:rsidP="00407F86">
      <w:r>
        <w:t>This practice uses behavioural, competency and situational interviews plus clear progression routes to attract and keep transformation talent. It sets consistent criteria and defines long-term development for critical roles.</w:t>
      </w:r>
    </w:p>
    <w:p w14:paraId="553814ED" w14:textId="77777777" w:rsidR="00407F86" w:rsidRDefault="00407F86" w:rsidP="00407F86">
      <w:r>
        <w:t>Strengths: improves role fit, reduces turnover, and signals clear opportunity to candidates (</w:t>
      </w:r>
      <w:proofErr w:type="spellStart"/>
      <w:r>
        <w:t>Dipboye</w:t>
      </w:r>
      <w:proofErr w:type="spellEnd"/>
      <w:r>
        <w:t xml:space="preserve"> &amp; Johnson, 2022).</w:t>
      </w:r>
    </w:p>
    <w:p w14:paraId="6387AAC7" w14:textId="77777777" w:rsidR="00407F86" w:rsidRDefault="00407F86" w:rsidP="00407F86">
      <w:r>
        <w:t>Limitations: does not fix unequal access or cultural exclusion; structured processes take time to design and may overlook transferable skills from non-standard backgrounds.</w:t>
      </w:r>
    </w:p>
    <w:p w14:paraId="66AF7699" w14:textId="77777777" w:rsidR="00407F86" w:rsidRDefault="00407F86" w:rsidP="00407F86"/>
    <w:p w14:paraId="7465B168" w14:textId="77777777" w:rsidR="00407F86" w:rsidRDefault="00407F86" w:rsidP="00407F86">
      <w:r>
        <w:t>Practices for DEI: Inclusive Recruitment &amp; Equality-Focused Development</w:t>
      </w:r>
    </w:p>
    <w:p w14:paraId="7C53DD36" w14:textId="77777777" w:rsidR="00407F86" w:rsidRDefault="00407F86" w:rsidP="00407F86"/>
    <w:p w14:paraId="385A592D" w14:textId="77777777" w:rsidR="00407F86" w:rsidRDefault="00407F86" w:rsidP="00407F86">
      <w:r>
        <w:t>This practice uses blind screening, diverse interview panels and targeted development to remove barriers and widen representation. It applies consistent fairness standards across all people processes.</w:t>
      </w:r>
    </w:p>
    <w:p w14:paraId="7D1BF739" w14:textId="77777777" w:rsidR="00407F86" w:rsidRDefault="00407F86" w:rsidP="00407F86">
      <w:r>
        <w:t>Strengths: supports legal compliance, expands talent pools, and builds more innovative teams (Roberts, 2023).</w:t>
      </w:r>
    </w:p>
    <w:p w14:paraId="34E84AC8" w14:textId="77777777" w:rsidR="00407F86" w:rsidRDefault="00407F86" w:rsidP="00407F86">
      <w:r>
        <w:t>Limitations: does not close technical skill gaps or resolve staffing shortages; progress is slow and requires sustained cultural change rather than process changes alone.</w:t>
      </w:r>
    </w:p>
    <w:p w14:paraId="118858B6" w14:textId="28C75693" w:rsidR="00407F86" w:rsidRPr="00407F86" w:rsidRDefault="00407F86" w:rsidP="00407F86">
      <w:pPr>
        <w:rPr>
          <w:sz w:val="52"/>
          <w:szCs w:val="52"/>
        </w:rPr>
      </w:pPr>
      <w:r w:rsidRPr="00407F86">
        <w:rPr>
          <w:sz w:val="52"/>
          <w:szCs w:val="52"/>
        </w:rPr>
        <w:t>4.</w:t>
      </w:r>
      <w:r w:rsidRPr="00407F86">
        <w:rPr>
          <w:rFonts w:ascii="Segoe UI Symbol" w:hAnsi="Segoe UI Symbol" w:cs="Segoe UI Symbol"/>
          <w:sz w:val="52"/>
          <w:szCs w:val="52"/>
        </w:rPr>
        <w:t>⁠</w:t>
      </w:r>
      <w:r w:rsidRPr="00407F86">
        <w:rPr>
          <w:sz w:val="52"/>
          <w:szCs w:val="52"/>
        </w:rPr>
        <w:t xml:space="preserve"> </w:t>
      </w:r>
      <w:r w:rsidRPr="00407F86">
        <w:rPr>
          <w:rFonts w:ascii="Segoe UI Symbol" w:hAnsi="Segoe UI Symbol" w:cs="Segoe UI Symbol"/>
          <w:sz w:val="52"/>
          <w:szCs w:val="52"/>
        </w:rPr>
        <w:t>⁠</w:t>
      </w:r>
      <w:r w:rsidRPr="00407F86">
        <w:rPr>
          <w:sz w:val="52"/>
          <w:szCs w:val="52"/>
        </w:rPr>
        <w:t xml:space="preserve">Critical Evaluation of Managerial Implementation </w:t>
      </w:r>
    </w:p>
    <w:p w14:paraId="7E8CCFE7" w14:textId="02511BCC" w:rsidR="00407F86" w:rsidRPr="00407F86" w:rsidRDefault="00407F86" w:rsidP="00407F86">
      <w:pPr>
        <w:rPr>
          <w:sz w:val="48"/>
          <w:szCs w:val="48"/>
        </w:rPr>
      </w:pPr>
      <w:r w:rsidRPr="00407F86">
        <w:rPr>
          <w:sz w:val="48"/>
          <w:szCs w:val="48"/>
        </w:rPr>
        <w:t>Implementing Technological Adaptation</w:t>
      </w:r>
    </w:p>
    <w:p w14:paraId="7B10C6A1" w14:textId="77777777" w:rsidR="00407F86" w:rsidRDefault="00407F86" w:rsidP="00407F86">
      <w:r>
        <w:t>Managers must translate system requirements into clear daily expectations and targeted support. Key actions include identifying which team members need extra training, linking new tools to existing tasks, and monitoring practical adoption.</w:t>
      </w:r>
    </w:p>
    <w:p w14:paraId="4DA0F61D" w14:textId="77777777" w:rsidR="00407F86" w:rsidRDefault="00407F86" w:rsidP="00407F86">
      <w:r>
        <w:t>Barriers: competing operational priorities and limited digital confidence among leaders.</w:t>
      </w:r>
    </w:p>
    <w:p w14:paraId="51FBF694" w14:textId="4031D396" w:rsidR="00407F86" w:rsidRDefault="00407F86" w:rsidP="00407F86">
      <w:r>
        <w:t xml:space="preserve">Solutions: embed adoption targets into operational </w:t>
      </w:r>
      <w:proofErr w:type="gramStart"/>
      <w:r>
        <w:t>plans, and</w:t>
      </w:r>
      <w:proofErr w:type="gramEnd"/>
      <w:r>
        <w:t xml:space="preserve"> provide manager-specific digital upskilling separate from general staff training.</w:t>
      </w:r>
    </w:p>
    <w:p w14:paraId="1992E360" w14:textId="7CA42524" w:rsidR="00407F86" w:rsidRPr="00407F86" w:rsidRDefault="00407F86" w:rsidP="00407F86">
      <w:pPr>
        <w:rPr>
          <w:sz w:val="52"/>
          <w:szCs w:val="52"/>
        </w:rPr>
      </w:pPr>
      <w:r w:rsidRPr="00407F86">
        <w:rPr>
          <w:sz w:val="52"/>
          <w:szCs w:val="52"/>
        </w:rPr>
        <w:t>Implementing Talent Practices</w:t>
      </w:r>
    </w:p>
    <w:p w14:paraId="3329A8ED" w14:textId="77777777" w:rsidR="00407F86" w:rsidRDefault="00407F86" w:rsidP="00407F86">
      <w:r>
        <w:t>Managers must apply consistent selection criteria and communicate career pathways clearly to their teams. Key actions include supporting internal candidates for transformation roles, recognising change delivery, and discussing long-term goals in one-to-ones.</w:t>
      </w:r>
    </w:p>
    <w:p w14:paraId="604257C6" w14:textId="77777777" w:rsidR="00407F86" w:rsidRDefault="00407F86" w:rsidP="00407F86">
      <w:r>
        <w:t>Barriers: bias towards known candidates and lack of time for career conversations.</w:t>
      </w:r>
    </w:p>
    <w:p w14:paraId="434C98FA" w14:textId="528EF57C" w:rsidR="00407F86" w:rsidRDefault="00407F86" w:rsidP="00407F86">
      <w:r>
        <w:t xml:space="preserve">Solutions: use standardised scorecards for all </w:t>
      </w:r>
      <w:proofErr w:type="gramStart"/>
      <w:r>
        <w:t>applicants, and</w:t>
      </w:r>
      <w:proofErr w:type="gramEnd"/>
      <w:r>
        <w:t xml:space="preserve"> set minimum targets for internal candidate interviews.</w:t>
      </w:r>
    </w:p>
    <w:p w14:paraId="6C9582F6" w14:textId="77777777" w:rsidR="00407F86" w:rsidRPr="00407F86" w:rsidRDefault="00407F86" w:rsidP="00407F86">
      <w:pPr>
        <w:rPr>
          <w:sz w:val="52"/>
          <w:szCs w:val="52"/>
        </w:rPr>
      </w:pPr>
      <w:r w:rsidRPr="00407F86">
        <w:rPr>
          <w:sz w:val="52"/>
          <w:szCs w:val="52"/>
        </w:rPr>
        <w:t>Implementing DEI Practices</w:t>
      </w:r>
    </w:p>
    <w:p w14:paraId="3ECE16E5" w14:textId="77777777" w:rsidR="00407F86" w:rsidRDefault="00407F86" w:rsidP="00407F86"/>
    <w:p w14:paraId="03512EE1" w14:textId="77777777" w:rsidR="00407F86" w:rsidRDefault="00407F86" w:rsidP="00407F86">
      <w:r>
        <w:lastRenderedPageBreak/>
        <w:t>Managers must model inclusive behaviour and ensure fair access to opportunities. Key actions include checking meeting participation, offering development equally to full and part-time staff, and challenging exclusionary language or practices.</w:t>
      </w:r>
    </w:p>
    <w:p w14:paraId="5C801F7D" w14:textId="77777777" w:rsidR="00407F86" w:rsidRDefault="00407F86" w:rsidP="00407F86">
      <w:r>
        <w:t>Barriers: lack of awareness of unconscious bias and discomfort addressing sensitive issues.</w:t>
      </w:r>
    </w:p>
    <w:p w14:paraId="01A9CF94" w14:textId="516C87A3" w:rsidR="00407F86" w:rsidRDefault="00407F86" w:rsidP="00407F86">
      <w:r>
        <w:t xml:space="preserve">Solutions: provide scenario-based DEI </w:t>
      </w:r>
      <w:proofErr w:type="gramStart"/>
      <w:r>
        <w:t>training, and</w:t>
      </w:r>
      <w:proofErr w:type="gramEnd"/>
      <w:r>
        <w:t xml:space="preserve"> give managers clear guidance on raising and resolving inclusion concerns.</w:t>
      </w:r>
    </w:p>
    <w:p w14:paraId="42AA308C" w14:textId="4B9C6024" w:rsidR="00407F86" w:rsidRPr="00407F86" w:rsidRDefault="00407F86" w:rsidP="00407F86">
      <w:pPr>
        <w:rPr>
          <w:sz w:val="52"/>
          <w:szCs w:val="52"/>
        </w:rPr>
      </w:pPr>
      <w:r w:rsidRPr="00407F86">
        <w:rPr>
          <w:sz w:val="52"/>
          <w:szCs w:val="52"/>
        </w:rPr>
        <w:t>Cross-Cutting Enablers</w:t>
      </w:r>
    </w:p>
    <w:p w14:paraId="16154FCA" w14:textId="77777777" w:rsidR="00407F86" w:rsidRDefault="00407F86" w:rsidP="00407F86">
      <w:r>
        <w:t>While each practice has its own requirements, managers need clear ownership for each area, separate monitoring metrics, and distinct support from HR. Treating them as separate priorities prevents confusion and ensures each challenge is fully addressed.</w:t>
      </w:r>
    </w:p>
    <w:p w14:paraId="6181DC3C" w14:textId="49211C72" w:rsidR="00407F86" w:rsidRDefault="00407F86" w:rsidP="00407F86">
      <w:r>
        <w:t>References</w:t>
      </w:r>
    </w:p>
    <w:p w14:paraId="4331EC72" w14:textId="164D1350"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Armstrong, M. &amp; Taylor, S. (2024). Armstrong’s Handbook of Human Resource Management Practice. 16th ed. London: Kogan Page.</w:t>
      </w:r>
    </w:p>
    <w:p w14:paraId="18B64497" w14:textId="25EAABFF"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Anderson, N. &amp; Vickery, T. (2024). Effective Recruitment and Selection. 4th ed. London: CIPD.</w:t>
      </w:r>
    </w:p>
    <w:p w14:paraId="6854BAF2" w14:textId="7AD30E11"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Bratton, J. &amp; Gold, J. (2023). Human Resource Management. 7th ed. Basingstoke: Palgrave Macmillan.</w:t>
      </w:r>
    </w:p>
    <w:p w14:paraId="07D6265F" w14:textId="36D51780"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CIPD (2025). Recruitment, Retention and Talent Planning. London: CIPD.</w:t>
      </w:r>
    </w:p>
    <w:p w14:paraId="0D3D34E1" w14:textId="27F35661"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spellStart"/>
      <w:proofErr w:type="gramEnd"/>
      <w:r>
        <w:t>Dipboye</w:t>
      </w:r>
      <w:proofErr w:type="spellEnd"/>
      <w:r>
        <w:t>, R. L. &amp; Johnson, S. K. (2022). The Psychology of Selection and Assessment. 2nd ed. Cambridge: CUP.</w:t>
      </w:r>
    </w:p>
    <w:p w14:paraId="42481FFE" w14:textId="3D4588A7"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Roberts, G. (2023). Recruitment and Selection: A Strategic Approach. 3rd ed. Oxford: OUP.</w:t>
      </w:r>
    </w:p>
    <w:p w14:paraId="640034C1" w14:textId="77777777" w:rsidR="00407F86" w:rsidRDefault="00407F86" w:rsidP="00407F86">
      <w:r>
        <w:t>•</w:t>
      </w:r>
      <w:proofErr w:type="gramStart"/>
      <w:r>
        <w:rPr>
          <w:rFonts w:ascii="Segoe UI Symbol" w:hAnsi="Segoe UI Symbol" w:cs="Segoe UI Symbol"/>
        </w:rPr>
        <w:t>⁠</w:t>
      </w:r>
      <w:r>
        <w:t xml:space="preserve">  </w:t>
      </w:r>
      <w:r>
        <w:rPr>
          <w:rFonts w:ascii="Segoe UI Symbol" w:hAnsi="Segoe UI Symbol" w:cs="Segoe UI Symbol"/>
        </w:rPr>
        <w:t>⁠</w:t>
      </w:r>
      <w:proofErr w:type="gramEnd"/>
      <w:r>
        <w:t>UK Parliament (2010). Equality Act 2010. London: The Stationery Office.</w:t>
      </w:r>
    </w:p>
    <w:p w14:paraId="03105E34" w14:textId="76F4C466" w:rsidR="00A01D3D" w:rsidRDefault="00407F86" w:rsidP="00407F86">
      <w:r>
        <w:t>Would you like me to adjust anything further, or create a version ready to paste directly into your assignment document?</w:t>
      </w:r>
    </w:p>
    <w:sectPr w:rsidR="00A01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2F"/>
    <w:rsid w:val="002D5B17"/>
    <w:rsid w:val="00407F86"/>
    <w:rsid w:val="005738D1"/>
    <w:rsid w:val="00770EC3"/>
    <w:rsid w:val="00A01D3D"/>
    <w:rsid w:val="00D47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B2857F"/>
  <w15:chartTrackingRefBased/>
  <w15:docId w15:val="{381387E9-EBEA-FF43-9483-052B4A5A9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9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9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9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9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9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9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9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9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9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9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9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9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9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9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9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9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92F"/>
    <w:rPr>
      <w:rFonts w:eastAsiaTheme="majorEastAsia" w:cstheme="majorBidi"/>
      <w:color w:val="272727" w:themeColor="text1" w:themeTint="D8"/>
    </w:rPr>
  </w:style>
  <w:style w:type="paragraph" w:styleId="Title">
    <w:name w:val="Title"/>
    <w:basedOn w:val="Normal"/>
    <w:next w:val="Normal"/>
    <w:link w:val="TitleChar"/>
    <w:uiPriority w:val="10"/>
    <w:qFormat/>
    <w:rsid w:val="00D479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9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9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9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92F"/>
    <w:pPr>
      <w:spacing w:before="160"/>
      <w:jc w:val="center"/>
    </w:pPr>
    <w:rPr>
      <w:i/>
      <w:iCs/>
      <w:color w:val="404040" w:themeColor="text1" w:themeTint="BF"/>
    </w:rPr>
  </w:style>
  <w:style w:type="character" w:customStyle="1" w:styleId="QuoteChar">
    <w:name w:val="Quote Char"/>
    <w:basedOn w:val="DefaultParagraphFont"/>
    <w:link w:val="Quote"/>
    <w:uiPriority w:val="29"/>
    <w:rsid w:val="00D4792F"/>
    <w:rPr>
      <w:i/>
      <w:iCs/>
      <w:color w:val="404040" w:themeColor="text1" w:themeTint="BF"/>
    </w:rPr>
  </w:style>
  <w:style w:type="paragraph" w:styleId="ListParagraph">
    <w:name w:val="List Paragraph"/>
    <w:basedOn w:val="Normal"/>
    <w:uiPriority w:val="34"/>
    <w:qFormat/>
    <w:rsid w:val="00D4792F"/>
    <w:pPr>
      <w:ind w:left="720"/>
      <w:contextualSpacing/>
    </w:pPr>
  </w:style>
  <w:style w:type="character" w:styleId="IntenseEmphasis">
    <w:name w:val="Intense Emphasis"/>
    <w:basedOn w:val="DefaultParagraphFont"/>
    <w:uiPriority w:val="21"/>
    <w:qFormat/>
    <w:rsid w:val="00D4792F"/>
    <w:rPr>
      <w:i/>
      <w:iCs/>
      <w:color w:val="0F4761" w:themeColor="accent1" w:themeShade="BF"/>
    </w:rPr>
  </w:style>
  <w:style w:type="paragraph" w:styleId="IntenseQuote">
    <w:name w:val="Intense Quote"/>
    <w:basedOn w:val="Normal"/>
    <w:next w:val="Normal"/>
    <w:link w:val="IntenseQuoteChar"/>
    <w:uiPriority w:val="30"/>
    <w:qFormat/>
    <w:rsid w:val="00D479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92F"/>
    <w:rPr>
      <w:i/>
      <w:iCs/>
      <w:color w:val="0F4761" w:themeColor="accent1" w:themeShade="BF"/>
    </w:rPr>
  </w:style>
  <w:style w:type="character" w:styleId="IntenseReference">
    <w:name w:val="Intense Reference"/>
    <w:basedOn w:val="DefaultParagraphFont"/>
    <w:uiPriority w:val="32"/>
    <w:qFormat/>
    <w:rsid w:val="00D4792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Rokeya Bushra Chowdhury (2409435)</dc:creator>
  <cp:keywords/>
  <dc:description/>
  <cp:lastModifiedBy>Rokeya Bushra Chowdhury (2409435)</cp:lastModifiedBy>
  <cp:revision>1</cp:revision>
  <dcterms:created xsi:type="dcterms:W3CDTF">2026-08-08T12:07:00Z</dcterms:created>
  <dcterms:modified xsi:type="dcterms:W3CDTF">2026-08-08T12:28:00Z</dcterms:modified>
</cp:coreProperties>
</file>