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EC39C" w14:textId="77777777" w:rsidR="004E4AF8" w:rsidRDefault="004E4AF8" w:rsidP="004E4AF8">
      <w:pPr>
        <w:spacing w:after="220"/>
        <w:ind w:right="1438"/>
        <w:jc w:val="right"/>
      </w:pPr>
      <w:r>
        <w:rPr>
          <w:noProof/>
        </w:rPr>
        <w:drawing>
          <wp:inline distT="0" distB="0" distL="0" distR="0" wp14:anchorId="31EEADEA" wp14:editId="2C92B4B6">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05A31DA7" w14:textId="77777777" w:rsidR="004E4AF8" w:rsidRDefault="004E4AF8" w:rsidP="004E4AF8">
      <w:pPr>
        <w:spacing w:after="273"/>
        <w:ind w:right="5"/>
        <w:jc w:val="center"/>
      </w:pPr>
      <w:r>
        <w:rPr>
          <w:rFonts w:ascii="Times New Roman" w:eastAsia="Times New Roman" w:hAnsi="Times New Roman" w:cs="Times New Roman"/>
          <w:b/>
        </w:rPr>
        <w:t xml:space="preserve"> </w:t>
      </w:r>
    </w:p>
    <w:p w14:paraId="5DB54B4F" w14:textId="77777777" w:rsidR="004E4AF8" w:rsidRDefault="004E4AF8" w:rsidP="004E4AF8">
      <w:pPr>
        <w:spacing w:after="274"/>
      </w:pPr>
      <w:r>
        <w:rPr>
          <w:rFonts w:ascii="Times New Roman" w:eastAsia="Times New Roman" w:hAnsi="Times New Roman" w:cs="Times New Roman"/>
          <w:b/>
        </w:rPr>
        <w:t xml:space="preserve"> </w:t>
      </w:r>
    </w:p>
    <w:p w14:paraId="0F170605" w14:textId="77777777" w:rsidR="004E4AF8" w:rsidRPr="00D51540" w:rsidRDefault="004E4AF8" w:rsidP="004E4AF8">
      <w:pPr>
        <w:spacing w:after="276"/>
        <w:jc w:val="center"/>
        <w:rPr>
          <w:sz w:val="24"/>
          <w:szCs w:val="32"/>
        </w:rPr>
      </w:pPr>
    </w:p>
    <w:p w14:paraId="014EAC03" w14:textId="77777777" w:rsidR="004E4AF8" w:rsidRPr="00D51540" w:rsidRDefault="004E4AF8" w:rsidP="004E4AF8">
      <w:pPr>
        <w:spacing w:after="274"/>
        <w:ind w:left="2716" w:firstLine="93"/>
        <w:rPr>
          <w:sz w:val="28"/>
        </w:rPr>
      </w:pPr>
      <w:r w:rsidRPr="00D51540">
        <w:rPr>
          <w:rFonts w:ascii="Times New Roman" w:eastAsia="Times New Roman" w:hAnsi="Times New Roman" w:cs="Times New Roman"/>
          <w:b/>
          <w:sz w:val="28"/>
        </w:rPr>
        <w:t>Programme: Master of Business Administration</w:t>
      </w:r>
    </w:p>
    <w:p w14:paraId="4229996D" w14:textId="77777777" w:rsidR="004E4AF8" w:rsidRPr="00D51540" w:rsidRDefault="004E4AF8" w:rsidP="004E4AF8">
      <w:pPr>
        <w:spacing w:after="274"/>
        <w:ind w:left="2809"/>
        <w:rPr>
          <w:sz w:val="28"/>
        </w:rPr>
      </w:pPr>
      <w:r w:rsidRPr="00D51540">
        <w:rPr>
          <w:rFonts w:ascii="Times New Roman" w:eastAsia="Times New Roman" w:hAnsi="Times New Roman" w:cs="Times New Roman"/>
          <w:b/>
          <w:sz w:val="28"/>
        </w:rPr>
        <w:t xml:space="preserve">Module: </w:t>
      </w:r>
      <w:r>
        <w:rPr>
          <w:rFonts w:ascii="Times New Roman" w:eastAsia="Times New Roman" w:hAnsi="Times New Roman" w:cs="Times New Roman"/>
          <w:b/>
          <w:sz w:val="28"/>
        </w:rPr>
        <w:t>Financial</w:t>
      </w:r>
      <w:r w:rsidRPr="00D51540">
        <w:rPr>
          <w:rFonts w:ascii="Times New Roman" w:eastAsia="Times New Roman" w:hAnsi="Times New Roman" w:cs="Times New Roman"/>
          <w:b/>
          <w:sz w:val="28"/>
        </w:rPr>
        <w:t xml:space="preserve"> Management</w:t>
      </w:r>
    </w:p>
    <w:p w14:paraId="50EFB620" w14:textId="77777777" w:rsidR="004E4AF8" w:rsidRPr="00D51540" w:rsidRDefault="004E4AF8" w:rsidP="004E4AF8">
      <w:pPr>
        <w:spacing w:after="274"/>
        <w:ind w:left="2099" w:right="66" w:firstLine="710"/>
        <w:rPr>
          <w:sz w:val="28"/>
        </w:rPr>
      </w:pPr>
      <w:r w:rsidRPr="00D51540">
        <w:rPr>
          <w:rFonts w:ascii="Times New Roman" w:eastAsia="Times New Roman" w:hAnsi="Times New Roman" w:cs="Times New Roman"/>
          <w:b/>
          <w:sz w:val="28"/>
        </w:rPr>
        <w:t xml:space="preserve">Module code: </w:t>
      </w:r>
      <w:r>
        <w:rPr>
          <w:rFonts w:ascii="Arial" w:hAnsi="Arial" w:cs="Arial"/>
          <w:b/>
          <w:szCs w:val="22"/>
        </w:rPr>
        <w:t>LCMB7002</w:t>
      </w:r>
    </w:p>
    <w:p w14:paraId="172AD287" w14:textId="77777777" w:rsidR="004E4AF8" w:rsidRPr="000F1EFB" w:rsidRDefault="004E4AF8" w:rsidP="004E4AF8">
      <w:pPr>
        <w:spacing w:after="274"/>
        <w:ind w:left="2099" w:right="65" w:firstLine="710"/>
        <w:rPr>
          <w:rFonts w:ascii="Times New Roman" w:eastAsia="Times New Roman" w:hAnsi="Times New Roman" w:cs="Times New Roman"/>
          <w:b/>
          <w:sz w:val="28"/>
          <w:lang w:val="en-GB"/>
        </w:rPr>
      </w:pPr>
      <w:r w:rsidRPr="00D51540">
        <w:rPr>
          <w:rFonts w:ascii="Times New Roman" w:eastAsia="Times New Roman" w:hAnsi="Times New Roman" w:cs="Times New Roman"/>
          <w:b/>
          <w:sz w:val="28"/>
        </w:rPr>
        <w:t>Title</w:t>
      </w:r>
      <w:r>
        <w:rPr>
          <w:rFonts w:ascii="Times New Roman" w:eastAsia="Times New Roman" w:hAnsi="Times New Roman" w:cs="Times New Roman"/>
          <w:b/>
          <w:sz w:val="28"/>
        </w:rPr>
        <w:t xml:space="preserve">: </w:t>
      </w:r>
      <w:r>
        <w:rPr>
          <w:rFonts w:ascii="Arial" w:hAnsi="Arial" w:cs="Arial"/>
          <w:b/>
          <w:szCs w:val="22"/>
        </w:rPr>
        <w:t>Financial performance and management</w:t>
      </w:r>
    </w:p>
    <w:p w14:paraId="60DB43E8" w14:textId="217D91C9" w:rsidR="004E4AF8" w:rsidRPr="00D51540" w:rsidRDefault="004E4AF8" w:rsidP="004E4AF8">
      <w:pPr>
        <w:spacing w:after="274"/>
        <w:ind w:left="2089" w:right="62" w:firstLine="720"/>
        <w:rPr>
          <w:sz w:val="28"/>
        </w:rPr>
      </w:pPr>
      <w:r w:rsidRPr="00D51540">
        <w:rPr>
          <w:rFonts w:ascii="Times New Roman" w:eastAsia="Times New Roman" w:hAnsi="Times New Roman" w:cs="Times New Roman"/>
          <w:b/>
          <w:sz w:val="28"/>
        </w:rPr>
        <w:t xml:space="preserve">Word count: </w:t>
      </w:r>
      <w:r>
        <w:rPr>
          <w:rFonts w:ascii="Times New Roman" w:eastAsia="Times New Roman" w:hAnsi="Times New Roman" w:cs="Times New Roman"/>
          <w:b/>
          <w:sz w:val="28"/>
        </w:rPr>
        <w:t>5412</w:t>
      </w:r>
    </w:p>
    <w:p w14:paraId="56C90454" w14:textId="77777777" w:rsidR="004E4AF8" w:rsidRPr="00D51540" w:rsidRDefault="004E4AF8" w:rsidP="004E4AF8">
      <w:pPr>
        <w:spacing w:after="165" w:line="352" w:lineRule="auto"/>
        <w:ind w:left="2835" w:right="2836"/>
        <w:rPr>
          <w:rFonts w:ascii="Arial" w:eastAsia="Arial" w:hAnsi="Arial" w:cs="Arial"/>
          <w:b/>
          <w:sz w:val="28"/>
        </w:rPr>
      </w:pPr>
      <w:r w:rsidRPr="00D51540">
        <w:rPr>
          <w:rFonts w:ascii="Arial" w:eastAsia="Arial" w:hAnsi="Arial" w:cs="Arial"/>
          <w:b/>
          <w:sz w:val="28"/>
        </w:rPr>
        <w:t xml:space="preserve">Lecturer : </w:t>
      </w:r>
      <w:r w:rsidRPr="008D45BE">
        <w:rPr>
          <w:rFonts w:ascii="Arial" w:hAnsi="Arial" w:cs="Arial"/>
          <w:b/>
          <w:szCs w:val="22"/>
        </w:rPr>
        <w:t xml:space="preserve">Patrick Yeboah </w:t>
      </w:r>
      <w:r>
        <w:rPr>
          <w:rFonts w:ascii="Arial" w:hAnsi="Arial" w:cs="Arial"/>
          <w:b/>
          <w:szCs w:val="22"/>
        </w:rPr>
        <w:t>(Birmingham)</w:t>
      </w:r>
    </w:p>
    <w:p w14:paraId="78B7FDAD" w14:textId="544C76A5" w:rsidR="004E4AF8" w:rsidRPr="00D51540" w:rsidRDefault="004E4AF8" w:rsidP="004E4AF8">
      <w:pPr>
        <w:spacing w:after="165" w:line="352" w:lineRule="auto"/>
        <w:ind w:left="2835" w:right="2836"/>
        <w:rPr>
          <w:sz w:val="28"/>
        </w:rPr>
      </w:pPr>
      <w:r w:rsidRPr="00D51540">
        <w:rPr>
          <w:rFonts w:ascii="Times New Roman" w:eastAsia="Times New Roman" w:hAnsi="Times New Roman" w:cs="Times New Roman"/>
          <w:b/>
          <w:sz w:val="28"/>
        </w:rPr>
        <w:t>Student Name :</w:t>
      </w:r>
      <w:r>
        <w:rPr>
          <w:rFonts w:ascii="Times New Roman" w:eastAsia="Times New Roman" w:hAnsi="Times New Roman" w:cs="Times New Roman"/>
          <w:b/>
          <w:sz w:val="28"/>
        </w:rPr>
        <w:t xml:space="preserve"> </w:t>
      </w:r>
      <w:r w:rsidR="006F5BDD" w:rsidRPr="006F5BDD">
        <w:rPr>
          <w:rFonts w:ascii="Times New Roman" w:eastAsia="Times New Roman" w:hAnsi="Times New Roman" w:cs="Times New Roman"/>
          <w:b/>
          <w:sz w:val="28"/>
        </w:rPr>
        <w:t>SIFAT AL GALIB</w:t>
      </w:r>
    </w:p>
    <w:p w14:paraId="458BDD05" w14:textId="3186CB4A" w:rsidR="004E4AF8" w:rsidRPr="00D51540" w:rsidRDefault="004E4AF8" w:rsidP="004E4AF8">
      <w:pPr>
        <w:spacing w:after="274"/>
        <w:ind w:left="2125" w:right="62" w:firstLine="710"/>
        <w:rPr>
          <w:sz w:val="28"/>
        </w:rPr>
      </w:pPr>
      <w:r w:rsidRPr="00D51540">
        <w:rPr>
          <w:rFonts w:ascii="Times New Roman" w:eastAsia="Times New Roman" w:hAnsi="Times New Roman" w:cs="Times New Roman"/>
          <w:b/>
          <w:sz w:val="28"/>
        </w:rPr>
        <w:t>Student ID:</w:t>
      </w:r>
      <w:r>
        <w:rPr>
          <w:rFonts w:ascii="Times New Roman" w:eastAsia="Times New Roman" w:hAnsi="Times New Roman" w:cs="Times New Roman"/>
          <w:b/>
          <w:sz w:val="28"/>
        </w:rPr>
        <w:t xml:space="preserve"> </w:t>
      </w:r>
      <w:r w:rsidR="006F5BDD" w:rsidRPr="006F5BDD">
        <w:rPr>
          <w:rFonts w:ascii="Times New Roman" w:eastAsia="Times New Roman" w:hAnsi="Times New Roman" w:cs="Times New Roman"/>
          <w:b/>
          <w:sz w:val="28"/>
        </w:rPr>
        <w:t>2438313</w:t>
      </w:r>
    </w:p>
    <w:p w14:paraId="21AAD65F" w14:textId="77777777" w:rsidR="004E4AF8" w:rsidRPr="00D51540" w:rsidRDefault="004E4AF8" w:rsidP="004E4AF8">
      <w:pPr>
        <w:spacing w:after="274"/>
        <w:ind w:left="2125" w:right="62" w:firstLine="710"/>
        <w:rPr>
          <w:sz w:val="28"/>
        </w:rPr>
      </w:pPr>
      <w:r w:rsidRPr="00D51540">
        <w:rPr>
          <w:rFonts w:ascii="Times New Roman" w:eastAsia="Times New Roman" w:hAnsi="Times New Roman" w:cs="Times New Roman"/>
          <w:b/>
          <w:sz w:val="28"/>
        </w:rPr>
        <w:t>Submission Date-</w:t>
      </w:r>
      <w:r>
        <w:rPr>
          <w:rFonts w:ascii="Times New Roman" w:eastAsia="Times New Roman" w:hAnsi="Times New Roman" w:cs="Times New Roman"/>
          <w:b/>
          <w:sz w:val="28"/>
        </w:rPr>
        <w:t>24/11/2025</w:t>
      </w:r>
    </w:p>
    <w:p w14:paraId="730018BF" w14:textId="77777777" w:rsidR="00E75A19" w:rsidRPr="00DF31F5" w:rsidRDefault="00E75A19" w:rsidP="00DF31F5">
      <w:pPr>
        <w:spacing w:line="360" w:lineRule="auto"/>
        <w:rPr>
          <w:rFonts w:ascii="Arial" w:hAnsi="Arial" w:cs="Arial"/>
          <w:sz w:val="24"/>
          <w:szCs w:val="24"/>
        </w:rPr>
      </w:pPr>
      <w:r w:rsidRPr="00DF31F5">
        <w:rPr>
          <w:rFonts w:ascii="Arial" w:hAnsi="Arial" w:cs="Arial"/>
          <w:sz w:val="24"/>
          <w:szCs w:val="24"/>
        </w:rPr>
        <w:br w:type="page"/>
      </w:r>
    </w:p>
    <w:p w14:paraId="27351BCD" w14:textId="77777777" w:rsidR="00DF31F5" w:rsidRPr="00DF31F5" w:rsidRDefault="00DF31F5" w:rsidP="00DF31F5">
      <w:pPr>
        <w:spacing w:line="360" w:lineRule="auto"/>
        <w:jc w:val="center"/>
        <w:rPr>
          <w:rFonts w:ascii="Arial" w:hAnsi="Arial" w:cs="Arial"/>
          <w:b/>
          <w:bCs/>
          <w:sz w:val="24"/>
          <w:szCs w:val="24"/>
        </w:rPr>
      </w:pPr>
      <w:r w:rsidRPr="00DF31F5">
        <w:rPr>
          <w:rFonts w:ascii="Arial" w:hAnsi="Arial" w:cs="Arial"/>
          <w:b/>
          <w:bCs/>
          <w:sz w:val="24"/>
          <w:szCs w:val="24"/>
        </w:rPr>
        <w:lastRenderedPageBreak/>
        <w:t>Table of Contents</w:t>
      </w:r>
    </w:p>
    <w:p w14:paraId="3B78491C" w14:textId="5A15E16F" w:rsidR="00DF31F5" w:rsidRPr="00DF31F5" w:rsidRDefault="00DF31F5" w:rsidP="00DF31F5">
      <w:pPr>
        <w:numPr>
          <w:ilvl w:val="0"/>
          <w:numId w:val="84"/>
        </w:numPr>
        <w:spacing w:line="360" w:lineRule="auto"/>
        <w:rPr>
          <w:rFonts w:ascii="Arial" w:hAnsi="Arial" w:cs="Arial"/>
          <w:sz w:val="24"/>
          <w:szCs w:val="24"/>
        </w:rPr>
      </w:pPr>
      <w:r w:rsidRPr="00DF31F5">
        <w:rPr>
          <w:rFonts w:ascii="Arial" w:hAnsi="Arial" w:cs="Arial"/>
          <w:b/>
          <w:bCs/>
          <w:sz w:val="24"/>
          <w:szCs w:val="24"/>
        </w:rPr>
        <w:t>Introduction</w:t>
      </w:r>
      <w:r>
        <w:rPr>
          <w:rFonts w:ascii="Arial" w:hAnsi="Arial" w:cs="Arial"/>
          <w:b/>
          <w:bCs/>
          <w:sz w:val="24"/>
          <w:szCs w:val="24"/>
        </w:rPr>
        <w:t>……………………………………………….. 3</w:t>
      </w:r>
    </w:p>
    <w:p w14:paraId="10999583" w14:textId="3F311518" w:rsidR="00DF31F5" w:rsidRPr="00DF31F5" w:rsidRDefault="00DF31F5" w:rsidP="00DF31F5">
      <w:pPr>
        <w:numPr>
          <w:ilvl w:val="0"/>
          <w:numId w:val="84"/>
        </w:numPr>
        <w:spacing w:line="360" w:lineRule="auto"/>
        <w:rPr>
          <w:rFonts w:ascii="Arial" w:hAnsi="Arial" w:cs="Arial"/>
          <w:sz w:val="24"/>
          <w:szCs w:val="24"/>
        </w:rPr>
      </w:pPr>
      <w:r w:rsidRPr="00DF31F5">
        <w:rPr>
          <w:rFonts w:ascii="Arial" w:hAnsi="Arial" w:cs="Arial"/>
          <w:b/>
          <w:bCs/>
          <w:sz w:val="24"/>
          <w:szCs w:val="24"/>
        </w:rPr>
        <w:t>Financial Health Check</w:t>
      </w:r>
      <w:r>
        <w:rPr>
          <w:rFonts w:ascii="Arial" w:hAnsi="Arial" w:cs="Arial"/>
          <w:b/>
          <w:bCs/>
          <w:sz w:val="24"/>
          <w:szCs w:val="24"/>
        </w:rPr>
        <w:t>…………………………………. 4-9</w:t>
      </w:r>
    </w:p>
    <w:p w14:paraId="6F096A00" w14:textId="0F9271F9" w:rsidR="00DF31F5" w:rsidRPr="00DF31F5" w:rsidRDefault="00DF31F5" w:rsidP="00DF31F5">
      <w:pPr>
        <w:numPr>
          <w:ilvl w:val="0"/>
          <w:numId w:val="84"/>
        </w:numPr>
        <w:spacing w:line="360" w:lineRule="auto"/>
        <w:rPr>
          <w:rFonts w:ascii="Arial" w:hAnsi="Arial" w:cs="Arial"/>
          <w:sz w:val="24"/>
          <w:szCs w:val="24"/>
        </w:rPr>
      </w:pPr>
      <w:r w:rsidRPr="00DF31F5">
        <w:rPr>
          <w:rFonts w:ascii="Arial" w:hAnsi="Arial" w:cs="Arial"/>
          <w:b/>
          <w:bCs/>
          <w:sz w:val="24"/>
          <w:szCs w:val="24"/>
        </w:rPr>
        <w:t>Working Capital Management Analysis</w:t>
      </w:r>
      <w:r>
        <w:rPr>
          <w:rFonts w:ascii="Arial" w:hAnsi="Arial" w:cs="Arial"/>
          <w:b/>
          <w:bCs/>
          <w:sz w:val="24"/>
          <w:szCs w:val="24"/>
        </w:rPr>
        <w:t>……………… 9-13</w:t>
      </w:r>
    </w:p>
    <w:p w14:paraId="573470AB" w14:textId="4458C6D2" w:rsidR="00DF31F5" w:rsidRPr="00DF31F5" w:rsidRDefault="00DF31F5" w:rsidP="00DF31F5">
      <w:pPr>
        <w:numPr>
          <w:ilvl w:val="0"/>
          <w:numId w:val="84"/>
        </w:numPr>
        <w:spacing w:line="360" w:lineRule="auto"/>
        <w:rPr>
          <w:rFonts w:ascii="Arial" w:hAnsi="Arial" w:cs="Arial"/>
          <w:sz w:val="24"/>
          <w:szCs w:val="24"/>
        </w:rPr>
      </w:pPr>
      <w:r w:rsidRPr="00DF31F5">
        <w:rPr>
          <w:rFonts w:ascii="Arial" w:hAnsi="Arial" w:cs="Arial"/>
          <w:b/>
          <w:bCs/>
          <w:sz w:val="24"/>
          <w:szCs w:val="24"/>
        </w:rPr>
        <w:t>Strategic Financial Restructuring Plan</w:t>
      </w:r>
      <w:r>
        <w:rPr>
          <w:rFonts w:ascii="Arial" w:hAnsi="Arial" w:cs="Arial"/>
          <w:b/>
          <w:bCs/>
          <w:sz w:val="24"/>
          <w:szCs w:val="24"/>
        </w:rPr>
        <w:t>……………….13-16</w:t>
      </w:r>
    </w:p>
    <w:p w14:paraId="11D334E7" w14:textId="69BCF4A5" w:rsidR="00DF31F5" w:rsidRPr="00DF31F5" w:rsidRDefault="00DF31F5" w:rsidP="00DF31F5">
      <w:pPr>
        <w:numPr>
          <w:ilvl w:val="0"/>
          <w:numId w:val="84"/>
        </w:numPr>
        <w:spacing w:line="360" w:lineRule="auto"/>
        <w:rPr>
          <w:rFonts w:ascii="Arial" w:hAnsi="Arial" w:cs="Arial"/>
          <w:sz w:val="24"/>
          <w:szCs w:val="24"/>
        </w:rPr>
      </w:pPr>
      <w:r w:rsidRPr="00DF31F5">
        <w:rPr>
          <w:rFonts w:ascii="Arial" w:hAnsi="Arial" w:cs="Arial"/>
          <w:b/>
          <w:bCs/>
          <w:sz w:val="24"/>
          <w:szCs w:val="24"/>
        </w:rPr>
        <w:t>Investment Appraisal and Capital Budgeting</w:t>
      </w:r>
      <w:r>
        <w:rPr>
          <w:rFonts w:ascii="Arial" w:hAnsi="Arial" w:cs="Arial"/>
          <w:b/>
          <w:bCs/>
          <w:sz w:val="24"/>
          <w:szCs w:val="24"/>
        </w:rPr>
        <w:t>………..16-30</w:t>
      </w:r>
    </w:p>
    <w:p w14:paraId="6EA14128" w14:textId="1B5F645E" w:rsidR="00DF31F5" w:rsidRPr="00DF31F5" w:rsidRDefault="00DF31F5" w:rsidP="00DF31F5">
      <w:pPr>
        <w:numPr>
          <w:ilvl w:val="0"/>
          <w:numId w:val="84"/>
        </w:numPr>
        <w:spacing w:line="360" w:lineRule="auto"/>
        <w:rPr>
          <w:rFonts w:ascii="Arial" w:hAnsi="Arial" w:cs="Arial"/>
          <w:sz w:val="24"/>
          <w:szCs w:val="24"/>
        </w:rPr>
      </w:pPr>
      <w:r w:rsidRPr="00DF31F5">
        <w:rPr>
          <w:rFonts w:ascii="Arial" w:hAnsi="Arial" w:cs="Arial"/>
          <w:b/>
          <w:bCs/>
          <w:sz w:val="24"/>
          <w:szCs w:val="24"/>
        </w:rPr>
        <w:t>Conclusion</w:t>
      </w:r>
      <w:r>
        <w:rPr>
          <w:rFonts w:ascii="Arial" w:hAnsi="Arial" w:cs="Arial"/>
          <w:b/>
          <w:bCs/>
          <w:sz w:val="24"/>
          <w:szCs w:val="24"/>
        </w:rPr>
        <w:t>…………………………………………………30-31</w:t>
      </w:r>
    </w:p>
    <w:p w14:paraId="7435D761" w14:textId="09164672" w:rsidR="00DF31F5" w:rsidRPr="00DF31F5" w:rsidRDefault="00DF31F5" w:rsidP="00DF31F5">
      <w:pPr>
        <w:numPr>
          <w:ilvl w:val="0"/>
          <w:numId w:val="84"/>
        </w:numPr>
        <w:spacing w:line="360" w:lineRule="auto"/>
        <w:rPr>
          <w:rFonts w:ascii="Arial" w:hAnsi="Arial" w:cs="Arial"/>
          <w:sz w:val="24"/>
          <w:szCs w:val="24"/>
        </w:rPr>
      </w:pPr>
      <w:r>
        <w:rPr>
          <w:rFonts w:ascii="Arial" w:hAnsi="Arial" w:cs="Arial"/>
          <w:b/>
          <w:bCs/>
          <w:sz w:val="24"/>
          <w:szCs w:val="24"/>
        </w:rPr>
        <w:t>References………………………………………………….31-33</w:t>
      </w:r>
    </w:p>
    <w:p w14:paraId="6C70448C" w14:textId="77777777" w:rsidR="00E75A19" w:rsidRPr="00DF31F5" w:rsidRDefault="00E75A19" w:rsidP="00DF31F5">
      <w:pPr>
        <w:spacing w:line="360" w:lineRule="auto"/>
        <w:rPr>
          <w:rFonts w:ascii="Arial" w:hAnsi="Arial" w:cs="Arial"/>
          <w:sz w:val="24"/>
          <w:szCs w:val="24"/>
        </w:rPr>
      </w:pPr>
      <w:r w:rsidRPr="00DF31F5">
        <w:rPr>
          <w:rFonts w:ascii="Arial" w:hAnsi="Arial" w:cs="Arial"/>
          <w:sz w:val="24"/>
          <w:szCs w:val="24"/>
        </w:rPr>
        <w:br w:type="page"/>
      </w:r>
    </w:p>
    <w:p w14:paraId="0710C76F" w14:textId="65C25CD5" w:rsidR="004D2834" w:rsidRPr="00DF31F5" w:rsidRDefault="004D2834" w:rsidP="00DF31F5">
      <w:pPr>
        <w:numPr>
          <w:ilvl w:val="0"/>
          <w:numId w:val="1"/>
        </w:numPr>
        <w:spacing w:line="360" w:lineRule="auto"/>
        <w:rPr>
          <w:rFonts w:ascii="Arial" w:hAnsi="Arial" w:cs="Arial"/>
          <w:sz w:val="24"/>
          <w:szCs w:val="24"/>
        </w:rPr>
      </w:pPr>
      <w:r w:rsidRPr="00DF31F5">
        <w:rPr>
          <w:rFonts w:ascii="Arial" w:hAnsi="Arial" w:cs="Arial"/>
          <w:sz w:val="24"/>
          <w:szCs w:val="24"/>
        </w:rPr>
        <w:lastRenderedPageBreak/>
        <w:t>Introduction</w:t>
      </w:r>
    </w:p>
    <w:p w14:paraId="1E7C0B59" w14:textId="77777777" w:rsidR="00480688" w:rsidRPr="00DF31F5" w:rsidRDefault="00480688" w:rsidP="00DF31F5">
      <w:pPr>
        <w:spacing w:line="360" w:lineRule="auto"/>
        <w:ind w:left="360"/>
        <w:rPr>
          <w:rFonts w:ascii="Arial" w:hAnsi="Arial" w:cs="Arial"/>
          <w:sz w:val="24"/>
          <w:szCs w:val="24"/>
        </w:rPr>
      </w:pPr>
      <w:r w:rsidRPr="00DF31F5">
        <w:rPr>
          <w:rFonts w:ascii="Arial" w:hAnsi="Arial" w:cs="Arial"/>
          <w:sz w:val="24"/>
          <w:szCs w:val="24"/>
        </w:rPr>
        <w:t>The consumer electronics sector is still in a rocky structural shift, as it is experiencing shortening innovation cycles, unstable demand trends, an inflationary cost environment, and downward margin squeeze at all levels (PwC, 2024). General Electronics (GE) has not escaped as a high profile player in the past. The company has experienced a relapse in the preceding five years with slight profitability to huge losses, declining liquidity headroom, and increase in leverage. Being the new Chief Financial Officer (CFO) my initial set of responsibilities is trifold: to identify the very causes of the financial crisis, to develop a workable and ethical turnaround programme and to choose which capital investments can re-establish competitiveness without violating stringent resource limits.</w:t>
      </w:r>
    </w:p>
    <w:p w14:paraId="17CC2057" w14:textId="77777777" w:rsidR="00480688" w:rsidRPr="00DF31F5" w:rsidRDefault="00480688" w:rsidP="00DF31F5">
      <w:pPr>
        <w:spacing w:line="360" w:lineRule="auto"/>
        <w:ind w:left="360"/>
        <w:rPr>
          <w:rFonts w:ascii="Arial" w:hAnsi="Arial" w:cs="Arial"/>
          <w:sz w:val="24"/>
          <w:szCs w:val="24"/>
        </w:rPr>
      </w:pPr>
      <w:r w:rsidRPr="00DF31F5">
        <w:rPr>
          <w:rFonts w:ascii="Arial" w:hAnsi="Arial" w:cs="Arial"/>
          <w:sz w:val="24"/>
          <w:szCs w:val="24"/>
        </w:rPr>
        <w:t>The report is a mixture of financial statement analysis, ratio benchmarking and corporate restructuring models to project a comprehensive recovery process. The quantitative would be the Altman Z-Score, which is a measure of bankruptcy risk of a manufacturing-type company (Altman and Hotchkiss, 2020), as well as the discounted cash flow tools: Net Present Value (NPV), Internal Rate of Return (IRR), and Profitability Index (PI) used to evaluate a project under capital rationing. In line with the analytics is an operational emphasis on working capital which acknowledges that the most cost effective source of liquidity during the period of stress is cash extraction through receivables and inventory.</w:t>
      </w:r>
    </w:p>
    <w:p w14:paraId="0D015644" w14:textId="77777777" w:rsidR="00480688" w:rsidRPr="00DF31F5" w:rsidRDefault="00480688" w:rsidP="00DF31F5">
      <w:pPr>
        <w:spacing w:line="360" w:lineRule="auto"/>
        <w:ind w:left="360"/>
        <w:rPr>
          <w:rFonts w:ascii="Arial" w:hAnsi="Arial" w:cs="Arial"/>
          <w:sz w:val="24"/>
          <w:szCs w:val="24"/>
        </w:rPr>
      </w:pPr>
      <w:r w:rsidRPr="00DF31F5">
        <w:rPr>
          <w:rFonts w:ascii="Arial" w:hAnsi="Arial" w:cs="Arial"/>
          <w:sz w:val="24"/>
          <w:szCs w:val="24"/>
        </w:rPr>
        <w:t>Unless otherwise indicated, all figures are given in PSm. The document is structured as follows: Section 2 evaluates financial health; Section 3 puts forward a working-capital programme that will compress the cash conversion cycle; Section 4 gives an overview of a financial restructuring plan that will rebalance the risk; Section 5 evaluates investment opportunities under a PS60m limit; Section 6 finally provides an integrated perspective of the feasibility, risks and value creation opportunities.</w:t>
      </w:r>
    </w:p>
    <w:p w14:paraId="36D4D855" w14:textId="77777777" w:rsidR="00480688" w:rsidRPr="00DF31F5" w:rsidRDefault="00480688" w:rsidP="00DF31F5">
      <w:pPr>
        <w:spacing w:line="360" w:lineRule="auto"/>
        <w:rPr>
          <w:rFonts w:ascii="Arial" w:hAnsi="Arial" w:cs="Arial"/>
          <w:sz w:val="24"/>
          <w:szCs w:val="24"/>
        </w:rPr>
      </w:pPr>
    </w:p>
    <w:p w14:paraId="19AF0D13" w14:textId="77777777" w:rsidR="00DF31F5" w:rsidRDefault="00DF31F5">
      <w:pPr>
        <w:rPr>
          <w:rFonts w:ascii="Arial" w:hAnsi="Arial" w:cs="Arial"/>
          <w:sz w:val="24"/>
          <w:szCs w:val="24"/>
        </w:rPr>
      </w:pPr>
      <w:r>
        <w:rPr>
          <w:rFonts w:ascii="Arial" w:hAnsi="Arial" w:cs="Arial"/>
          <w:sz w:val="24"/>
          <w:szCs w:val="24"/>
        </w:rPr>
        <w:br w:type="page"/>
      </w:r>
    </w:p>
    <w:p w14:paraId="58AE555B" w14:textId="14764E85" w:rsidR="004D2834" w:rsidRPr="00DF31F5" w:rsidRDefault="004D2834" w:rsidP="00DF31F5">
      <w:pPr>
        <w:numPr>
          <w:ilvl w:val="0"/>
          <w:numId w:val="2"/>
        </w:numPr>
        <w:spacing w:line="360" w:lineRule="auto"/>
        <w:rPr>
          <w:rFonts w:ascii="Arial" w:hAnsi="Arial" w:cs="Arial"/>
          <w:sz w:val="24"/>
          <w:szCs w:val="24"/>
        </w:rPr>
      </w:pPr>
      <w:r w:rsidRPr="00DF31F5">
        <w:rPr>
          <w:rFonts w:ascii="Arial" w:hAnsi="Arial" w:cs="Arial"/>
          <w:sz w:val="24"/>
          <w:szCs w:val="24"/>
        </w:rPr>
        <w:lastRenderedPageBreak/>
        <w:t>Financial Health Check</w:t>
      </w:r>
    </w:p>
    <w:p w14:paraId="330D59DA"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2.1 Profitability Analysis</w:t>
      </w:r>
    </w:p>
    <w:p w14:paraId="029F32E1"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The trend of earnings of GE in 2020-2024 is characterized by a steep decrease of positive profits to significant amounts of losses in 2023 and a smaller but still significant loss in 2024. The trend indicates the cost inflation, the operation slippage, impairments, and the restructuring outlays (KPMG, 2023). The summary view is:</w:t>
      </w:r>
    </w:p>
    <w:tbl>
      <w:tblPr>
        <w:tblStyle w:val="TableGrid"/>
        <w:tblW w:w="9360" w:type="dxa"/>
        <w:tblLook w:val="04A0" w:firstRow="1" w:lastRow="0" w:firstColumn="1" w:lastColumn="0" w:noHBand="0" w:noVBand="1"/>
      </w:tblPr>
      <w:tblGrid>
        <w:gridCol w:w="750"/>
        <w:gridCol w:w="1870"/>
        <w:gridCol w:w="2084"/>
        <w:gridCol w:w="1176"/>
        <w:gridCol w:w="2203"/>
        <w:gridCol w:w="1896"/>
      </w:tblGrid>
      <w:tr w:rsidR="004D2834" w:rsidRPr="00DF31F5" w14:paraId="2C0A68FE" w14:textId="77777777" w:rsidTr="00106D5F">
        <w:tc>
          <w:tcPr>
            <w:tcW w:w="0" w:type="auto"/>
            <w:noWrap/>
            <w:hideMark/>
          </w:tcPr>
          <w:p w14:paraId="1365BE5E"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Year</w:t>
            </w:r>
          </w:p>
        </w:tc>
        <w:tc>
          <w:tcPr>
            <w:tcW w:w="0" w:type="auto"/>
            <w:noWrap/>
            <w:hideMark/>
          </w:tcPr>
          <w:p w14:paraId="4144D625"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Net Sales (£m)</w:t>
            </w:r>
          </w:p>
        </w:tc>
        <w:tc>
          <w:tcPr>
            <w:tcW w:w="0" w:type="auto"/>
            <w:noWrap/>
            <w:hideMark/>
          </w:tcPr>
          <w:p w14:paraId="08D8138D"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Net Income (£m)</w:t>
            </w:r>
          </w:p>
        </w:tc>
        <w:tc>
          <w:tcPr>
            <w:tcW w:w="0" w:type="auto"/>
            <w:noWrap/>
            <w:hideMark/>
          </w:tcPr>
          <w:p w14:paraId="6472ADFC"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ROE (%)</w:t>
            </w:r>
          </w:p>
        </w:tc>
        <w:tc>
          <w:tcPr>
            <w:tcW w:w="0" w:type="auto"/>
            <w:noWrap/>
            <w:hideMark/>
          </w:tcPr>
          <w:p w14:paraId="1E898B5E"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Gross Margin (%)</w:t>
            </w:r>
          </w:p>
        </w:tc>
        <w:tc>
          <w:tcPr>
            <w:tcW w:w="0" w:type="auto"/>
            <w:noWrap/>
            <w:hideMark/>
          </w:tcPr>
          <w:p w14:paraId="1DB4616E"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Net Margin (%)</w:t>
            </w:r>
          </w:p>
        </w:tc>
      </w:tr>
      <w:tr w:rsidR="004D2834" w:rsidRPr="00DF31F5" w14:paraId="59709034" w14:textId="77777777" w:rsidTr="00106D5F">
        <w:tc>
          <w:tcPr>
            <w:tcW w:w="0" w:type="auto"/>
            <w:hideMark/>
          </w:tcPr>
          <w:p w14:paraId="266A9C4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2020</w:t>
            </w:r>
          </w:p>
        </w:tc>
        <w:tc>
          <w:tcPr>
            <w:tcW w:w="0" w:type="auto"/>
            <w:hideMark/>
          </w:tcPr>
          <w:p w14:paraId="62FB59D7"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614,680</w:t>
            </w:r>
          </w:p>
        </w:tc>
        <w:tc>
          <w:tcPr>
            <w:tcW w:w="0" w:type="auto"/>
            <w:hideMark/>
          </w:tcPr>
          <w:p w14:paraId="5FB2707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38,572</w:t>
            </w:r>
          </w:p>
        </w:tc>
        <w:tc>
          <w:tcPr>
            <w:tcW w:w="0" w:type="auto"/>
            <w:hideMark/>
          </w:tcPr>
          <w:p w14:paraId="5B913329"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12.3</w:t>
            </w:r>
          </w:p>
        </w:tc>
        <w:tc>
          <w:tcPr>
            <w:tcW w:w="0" w:type="auto"/>
            <w:hideMark/>
          </w:tcPr>
          <w:p w14:paraId="6C6492FE"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28.7</w:t>
            </w:r>
          </w:p>
        </w:tc>
        <w:tc>
          <w:tcPr>
            <w:tcW w:w="0" w:type="auto"/>
            <w:hideMark/>
          </w:tcPr>
          <w:p w14:paraId="69681813"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6.3</w:t>
            </w:r>
          </w:p>
        </w:tc>
      </w:tr>
      <w:tr w:rsidR="004D2834" w:rsidRPr="00DF31F5" w14:paraId="48B74E9E" w14:textId="77777777" w:rsidTr="00106D5F">
        <w:tc>
          <w:tcPr>
            <w:tcW w:w="0" w:type="auto"/>
            <w:hideMark/>
          </w:tcPr>
          <w:p w14:paraId="4E590C08"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2021</w:t>
            </w:r>
          </w:p>
        </w:tc>
        <w:tc>
          <w:tcPr>
            <w:tcW w:w="0" w:type="auto"/>
            <w:hideMark/>
          </w:tcPr>
          <w:p w14:paraId="492F7363"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601,602</w:t>
            </w:r>
          </w:p>
        </w:tc>
        <w:tc>
          <w:tcPr>
            <w:tcW w:w="0" w:type="auto"/>
            <w:hideMark/>
          </w:tcPr>
          <w:p w14:paraId="3C6A66B2"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5,301</w:t>
            </w:r>
          </w:p>
        </w:tc>
        <w:tc>
          <w:tcPr>
            <w:tcW w:w="0" w:type="auto"/>
            <w:hideMark/>
          </w:tcPr>
          <w:p w14:paraId="58F28A50"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1.6</w:t>
            </w:r>
          </w:p>
        </w:tc>
        <w:tc>
          <w:tcPr>
            <w:tcW w:w="0" w:type="auto"/>
            <w:hideMark/>
          </w:tcPr>
          <w:p w14:paraId="6BB0FC1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28.8</w:t>
            </w:r>
          </w:p>
        </w:tc>
        <w:tc>
          <w:tcPr>
            <w:tcW w:w="0" w:type="auto"/>
            <w:hideMark/>
          </w:tcPr>
          <w:p w14:paraId="7FC52206"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0.9</w:t>
            </w:r>
          </w:p>
        </w:tc>
      </w:tr>
      <w:tr w:rsidR="004D2834" w:rsidRPr="00DF31F5" w14:paraId="4E1A9EC5" w14:textId="77777777" w:rsidTr="00106D5F">
        <w:tc>
          <w:tcPr>
            <w:tcW w:w="0" w:type="auto"/>
            <w:hideMark/>
          </w:tcPr>
          <w:p w14:paraId="3B4FE8C7"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2022</w:t>
            </w:r>
          </w:p>
        </w:tc>
        <w:tc>
          <w:tcPr>
            <w:tcW w:w="0" w:type="auto"/>
            <w:hideMark/>
          </w:tcPr>
          <w:p w14:paraId="03A1EAEB"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542,751</w:t>
            </w:r>
          </w:p>
        </w:tc>
        <w:tc>
          <w:tcPr>
            <w:tcW w:w="0" w:type="auto"/>
            <w:hideMark/>
          </w:tcPr>
          <w:p w14:paraId="75BDFDED"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407</w:t>
            </w:r>
          </w:p>
        </w:tc>
        <w:tc>
          <w:tcPr>
            <w:tcW w:w="0" w:type="auto"/>
            <w:hideMark/>
          </w:tcPr>
          <w:p w14:paraId="14C3750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0.1</w:t>
            </w:r>
          </w:p>
        </w:tc>
        <w:tc>
          <w:tcPr>
            <w:tcW w:w="0" w:type="auto"/>
            <w:hideMark/>
          </w:tcPr>
          <w:p w14:paraId="296D077A"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28.1</w:t>
            </w:r>
          </w:p>
        </w:tc>
        <w:tc>
          <w:tcPr>
            <w:tcW w:w="0" w:type="auto"/>
            <w:hideMark/>
          </w:tcPr>
          <w:p w14:paraId="56C491C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0.07</w:t>
            </w:r>
          </w:p>
        </w:tc>
      </w:tr>
      <w:tr w:rsidR="004D2834" w:rsidRPr="00DF31F5" w14:paraId="66448D5D" w14:textId="77777777" w:rsidTr="00106D5F">
        <w:tc>
          <w:tcPr>
            <w:tcW w:w="0" w:type="auto"/>
            <w:hideMark/>
          </w:tcPr>
          <w:p w14:paraId="6E49CCF8"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2023</w:t>
            </w:r>
          </w:p>
        </w:tc>
        <w:tc>
          <w:tcPr>
            <w:tcW w:w="0" w:type="auto"/>
            <w:hideMark/>
          </w:tcPr>
          <w:p w14:paraId="20494B6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420,457</w:t>
            </w:r>
          </w:p>
        </w:tc>
        <w:tc>
          <w:tcPr>
            <w:tcW w:w="0" w:type="auto"/>
            <w:hideMark/>
          </w:tcPr>
          <w:p w14:paraId="36DE1A90"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–98,238</w:t>
            </w:r>
          </w:p>
        </w:tc>
        <w:tc>
          <w:tcPr>
            <w:tcW w:w="0" w:type="auto"/>
            <w:hideMark/>
          </w:tcPr>
          <w:p w14:paraId="01ADDAFC"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–54.9</w:t>
            </w:r>
          </w:p>
        </w:tc>
        <w:tc>
          <w:tcPr>
            <w:tcW w:w="0" w:type="auto"/>
            <w:hideMark/>
          </w:tcPr>
          <w:p w14:paraId="05B6B2C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23.2</w:t>
            </w:r>
          </w:p>
        </w:tc>
        <w:tc>
          <w:tcPr>
            <w:tcW w:w="0" w:type="auto"/>
            <w:hideMark/>
          </w:tcPr>
          <w:p w14:paraId="4CF4CC0B"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–23.4</w:t>
            </w:r>
          </w:p>
        </w:tc>
      </w:tr>
      <w:tr w:rsidR="004D2834" w:rsidRPr="00DF31F5" w14:paraId="78D9B7E8" w14:textId="77777777" w:rsidTr="00106D5F">
        <w:tc>
          <w:tcPr>
            <w:tcW w:w="0" w:type="auto"/>
            <w:hideMark/>
          </w:tcPr>
          <w:p w14:paraId="6EF00F5C"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2024</w:t>
            </w:r>
          </w:p>
        </w:tc>
        <w:tc>
          <w:tcPr>
            <w:tcW w:w="0" w:type="auto"/>
            <w:hideMark/>
          </w:tcPr>
          <w:p w14:paraId="0A8A2FD1"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394,879</w:t>
            </w:r>
          </w:p>
        </w:tc>
        <w:tc>
          <w:tcPr>
            <w:tcW w:w="0" w:type="auto"/>
            <w:hideMark/>
          </w:tcPr>
          <w:p w14:paraId="72590DE9"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–24,029</w:t>
            </w:r>
          </w:p>
        </w:tc>
        <w:tc>
          <w:tcPr>
            <w:tcW w:w="0" w:type="auto"/>
            <w:hideMark/>
          </w:tcPr>
          <w:p w14:paraId="5D778B32"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–15.7</w:t>
            </w:r>
          </w:p>
        </w:tc>
        <w:tc>
          <w:tcPr>
            <w:tcW w:w="0" w:type="auto"/>
            <w:hideMark/>
          </w:tcPr>
          <w:p w14:paraId="4E23D83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28.9</w:t>
            </w:r>
          </w:p>
        </w:tc>
        <w:tc>
          <w:tcPr>
            <w:tcW w:w="0" w:type="auto"/>
            <w:hideMark/>
          </w:tcPr>
          <w:p w14:paraId="502A10F7"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–6.1</w:t>
            </w:r>
          </w:p>
        </w:tc>
      </w:tr>
    </w:tbl>
    <w:p w14:paraId="537139DD"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Interpretation:</w:t>
      </w:r>
    </w:p>
    <w:p w14:paraId="46D31964" w14:textId="3E83A2C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Gross margin has maintained its strength of 28-29 in four out of five years indicating that procurement discipline and scale economies remained active with revenue contraction. The 2023 downturn to 23.2% is an indication of acute supply chain and pricing stress.</w:t>
      </w:r>
      <w:r w:rsidRPr="00DF31F5">
        <w:rPr>
          <w:rFonts w:ascii="Arial" w:hAnsi="Arial" w:cs="Arial"/>
          <w:sz w:val="24"/>
          <w:szCs w:val="24"/>
        </w:rPr>
        <w:t xml:space="preserve"> </w:t>
      </w:r>
      <w:r w:rsidRPr="00DF31F5">
        <w:rPr>
          <w:rFonts w:ascii="Arial" w:hAnsi="Arial" w:cs="Arial"/>
          <w:sz w:val="24"/>
          <w:szCs w:val="24"/>
        </w:rPr>
        <w:t>Instead, its operating profitability has fallen to pieces - namely, 6.2% is only expected in 2020, but it has since declined to around -3.9% in 2024, thanks to rigidity in overheads and restructuring, as well as the write-downs of assets.</w:t>
      </w:r>
      <w:r w:rsidRPr="00DF31F5">
        <w:rPr>
          <w:rFonts w:ascii="Arial" w:hAnsi="Arial" w:cs="Arial"/>
          <w:sz w:val="24"/>
          <w:szCs w:val="24"/>
        </w:rPr>
        <w:t xml:space="preserve"> </w:t>
      </w:r>
      <w:r w:rsidRPr="00DF31F5">
        <w:rPr>
          <w:rFonts w:ascii="Arial" w:hAnsi="Arial" w:cs="Arial"/>
          <w:sz w:val="24"/>
          <w:szCs w:val="24"/>
        </w:rPr>
        <w:t>Return on equity (ROE) has also dropped to -15.7 as</w:t>
      </w:r>
      <w:r w:rsidRPr="00DF31F5">
        <w:rPr>
          <w:rFonts w:ascii="Arial" w:hAnsi="Arial" w:cs="Arial"/>
          <w:sz w:val="24"/>
          <w:szCs w:val="24"/>
        </w:rPr>
        <w:t xml:space="preserve"> </w:t>
      </w:r>
      <w:r w:rsidRPr="00DF31F5">
        <w:rPr>
          <w:rFonts w:ascii="Arial" w:hAnsi="Arial" w:cs="Arial"/>
          <w:sz w:val="24"/>
          <w:szCs w:val="24"/>
        </w:rPr>
        <w:t>compared to 12.3%. The 2023 loss that is extraordinary throws light on structural deficiencies on cost control and product-mix profitability and capital allocation.</w:t>
      </w:r>
    </w:p>
    <w:p w14:paraId="50B0B190"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In general, the profit model of GE demonstrates that direct cost management on the gross level is not perfect in terms of sustaining the returns in the majority of the years because the fixed-cost absorption and below-the-line charges are affecting the differences. This involves cost base reform as well as improved asset productivity.</w:t>
      </w:r>
    </w:p>
    <w:p w14:paraId="3AE7262F" w14:textId="77777777" w:rsidR="00480688" w:rsidRPr="00DF31F5" w:rsidRDefault="00480688" w:rsidP="00DF31F5">
      <w:pPr>
        <w:spacing w:line="360" w:lineRule="auto"/>
        <w:rPr>
          <w:rFonts w:ascii="Arial" w:hAnsi="Arial" w:cs="Arial"/>
          <w:sz w:val="24"/>
          <w:szCs w:val="24"/>
        </w:rPr>
      </w:pPr>
    </w:p>
    <w:p w14:paraId="342810B1"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2.2 Liquidity Analysis</w:t>
      </w:r>
    </w:p>
    <w:p w14:paraId="095ED7A8"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lastRenderedPageBreak/>
        <w:t>The short-term solvency profile of GE means that there are fewer buffers and that a greater proportion of near-term liabilities have been funded using asset conversion particularly inventories. Key liquidity ratios are:</w:t>
      </w:r>
    </w:p>
    <w:tbl>
      <w:tblPr>
        <w:tblStyle w:val="TableGrid"/>
        <w:tblW w:w="9360" w:type="dxa"/>
        <w:tblLook w:val="04A0" w:firstRow="1" w:lastRow="0" w:firstColumn="1" w:lastColumn="0" w:noHBand="0" w:noVBand="1"/>
      </w:tblPr>
      <w:tblGrid>
        <w:gridCol w:w="1272"/>
        <w:gridCol w:w="2967"/>
        <w:gridCol w:w="2628"/>
        <w:gridCol w:w="2493"/>
      </w:tblGrid>
      <w:tr w:rsidR="004D2834" w:rsidRPr="00DF31F5" w14:paraId="6B0A963E" w14:textId="77777777" w:rsidTr="00106D5F">
        <w:tc>
          <w:tcPr>
            <w:tcW w:w="0" w:type="auto"/>
            <w:noWrap/>
            <w:hideMark/>
          </w:tcPr>
          <w:p w14:paraId="44864D8C"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Year</w:t>
            </w:r>
          </w:p>
        </w:tc>
        <w:tc>
          <w:tcPr>
            <w:tcW w:w="0" w:type="auto"/>
            <w:noWrap/>
            <w:hideMark/>
          </w:tcPr>
          <w:p w14:paraId="6F59D5F0"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Current Ratio</w:t>
            </w:r>
          </w:p>
        </w:tc>
        <w:tc>
          <w:tcPr>
            <w:tcW w:w="0" w:type="auto"/>
            <w:noWrap/>
            <w:hideMark/>
          </w:tcPr>
          <w:p w14:paraId="64715D1C"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Quick Ratio</w:t>
            </w:r>
          </w:p>
        </w:tc>
        <w:tc>
          <w:tcPr>
            <w:tcW w:w="0" w:type="auto"/>
            <w:noWrap/>
            <w:hideMark/>
          </w:tcPr>
          <w:p w14:paraId="6C0DDE00"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Cash Ratio</w:t>
            </w:r>
          </w:p>
        </w:tc>
      </w:tr>
      <w:tr w:rsidR="004D2834" w:rsidRPr="00DF31F5" w14:paraId="47166E04" w14:textId="77777777" w:rsidTr="00106D5F">
        <w:tc>
          <w:tcPr>
            <w:tcW w:w="0" w:type="auto"/>
            <w:hideMark/>
          </w:tcPr>
          <w:p w14:paraId="1032A643"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2020</w:t>
            </w:r>
          </w:p>
        </w:tc>
        <w:tc>
          <w:tcPr>
            <w:tcW w:w="0" w:type="auto"/>
            <w:hideMark/>
          </w:tcPr>
          <w:p w14:paraId="022114D0"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1.82</w:t>
            </w:r>
          </w:p>
        </w:tc>
        <w:tc>
          <w:tcPr>
            <w:tcW w:w="0" w:type="auto"/>
            <w:hideMark/>
          </w:tcPr>
          <w:p w14:paraId="4A28131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1.15</w:t>
            </w:r>
          </w:p>
        </w:tc>
        <w:tc>
          <w:tcPr>
            <w:tcW w:w="0" w:type="auto"/>
            <w:hideMark/>
          </w:tcPr>
          <w:p w14:paraId="7E70C3DA"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0.32</w:t>
            </w:r>
          </w:p>
        </w:tc>
      </w:tr>
      <w:tr w:rsidR="004D2834" w:rsidRPr="00DF31F5" w14:paraId="56435640" w14:textId="77777777" w:rsidTr="00106D5F">
        <w:tc>
          <w:tcPr>
            <w:tcW w:w="0" w:type="auto"/>
            <w:hideMark/>
          </w:tcPr>
          <w:p w14:paraId="428777FA"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2021</w:t>
            </w:r>
          </w:p>
        </w:tc>
        <w:tc>
          <w:tcPr>
            <w:tcW w:w="0" w:type="auto"/>
            <w:hideMark/>
          </w:tcPr>
          <w:p w14:paraId="62129A91"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1.56</w:t>
            </w:r>
          </w:p>
        </w:tc>
        <w:tc>
          <w:tcPr>
            <w:tcW w:w="0" w:type="auto"/>
            <w:hideMark/>
          </w:tcPr>
          <w:p w14:paraId="7EC0AA5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0.94</w:t>
            </w:r>
          </w:p>
        </w:tc>
        <w:tc>
          <w:tcPr>
            <w:tcW w:w="0" w:type="auto"/>
            <w:hideMark/>
          </w:tcPr>
          <w:p w14:paraId="405349C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0.18</w:t>
            </w:r>
          </w:p>
        </w:tc>
      </w:tr>
      <w:tr w:rsidR="004D2834" w:rsidRPr="00DF31F5" w14:paraId="24C93D5F" w14:textId="77777777" w:rsidTr="00106D5F">
        <w:tc>
          <w:tcPr>
            <w:tcW w:w="0" w:type="auto"/>
            <w:hideMark/>
          </w:tcPr>
          <w:p w14:paraId="7050BD19"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2022</w:t>
            </w:r>
          </w:p>
        </w:tc>
        <w:tc>
          <w:tcPr>
            <w:tcW w:w="0" w:type="auto"/>
            <w:hideMark/>
          </w:tcPr>
          <w:p w14:paraId="64735ED7"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1.56</w:t>
            </w:r>
          </w:p>
        </w:tc>
        <w:tc>
          <w:tcPr>
            <w:tcW w:w="0" w:type="auto"/>
            <w:hideMark/>
          </w:tcPr>
          <w:p w14:paraId="390A5A90"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0.91</w:t>
            </w:r>
          </w:p>
        </w:tc>
        <w:tc>
          <w:tcPr>
            <w:tcW w:w="0" w:type="auto"/>
            <w:hideMark/>
          </w:tcPr>
          <w:p w14:paraId="5D4114D6"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0.20</w:t>
            </w:r>
          </w:p>
        </w:tc>
      </w:tr>
      <w:tr w:rsidR="004D2834" w:rsidRPr="00DF31F5" w14:paraId="605484BB" w14:textId="77777777" w:rsidTr="00106D5F">
        <w:tc>
          <w:tcPr>
            <w:tcW w:w="0" w:type="auto"/>
            <w:hideMark/>
          </w:tcPr>
          <w:p w14:paraId="57442101"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2023</w:t>
            </w:r>
          </w:p>
        </w:tc>
        <w:tc>
          <w:tcPr>
            <w:tcW w:w="0" w:type="auto"/>
            <w:hideMark/>
          </w:tcPr>
          <w:p w14:paraId="6BB305BE"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1.61</w:t>
            </w:r>
          </w:p>
        </w:tc>
        <w:tc>
          <w:tcPr>
            <w:tcW w:w="0" w:type="auto"/>
            <w:hideMark/>
          </w:tcPr>
          <w:p w14:paraId="4DF036D2"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0.91</w:t>
            </w:r>
          </w:p>
        </w:tc>
        <w:tc>
          <w:tcPr>
            <w:tcW w:w="0" w:type="auto"/>
            <w:hideMark/>
          </w:tcPr>
          <w:p w14:paraId="1373E63E"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0.26</w:t>
            </w:r>
          </w:p>
        </w:tc>
      </w:tr>
      <w:tr w:rsidR="004D2834" w:rsidRPr="00DF31F5" w14:paraId="5BB23714" w14:textId="77777777" w:rsidTr="00106D5F">
        <w:tc>
          <w:tcPr>
            <w:tcW w:w="0" w:type="auto"/>
            <w:hideMark/>
          </w:tcPr>
          <w:p w14:paraId="2574DA38"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2024</w:t>
            </w:r>
          </w:p>
        </w:tc>
        <w:tc>
          <w:tcPr>
            <w:tcW w:w="0" w:type="auto"/>
            <w:hideMark/>
          </w:tcPr>
          <w:p w14:paraId="0EE4597C"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1.53</w:t>
            </w:r>
          </w:p>
        </w:tc>
        <w:tc>
          <w:tcPr>
            <w:tcW w:w="0" w:type="auto"/>
            <w:hideMark/>
          </w:tcPr>
          <w:p w14:paraId="694993EE"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0.84</w:t>
            </w:r>
          </w:p>
        </w:tc>
        <w:tc>
          <w:tcPr>
            <w:tcW w:w="0" w:type="auto"/>
            <w:hideMark/>
          </w:tcPr>
          <w:p w14:paraId="46BCFFE8"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0.17</w:t>
            </w:r>
          </w:p>
        </w:tc>
      </w:tr>
    </w:tbl>
    <w:p w14:paraId="43344DF9"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Observations:</w:t>
      </w:r>
    </w:p>
    <w:p w14:paraId="48A019A1"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ab/>
        <w:t>Its current ratio has also reduced as 1.82 to 1.53, and it signals the existence of a weaker cushion against short-term shocks (Investopedia, 2024).</w:t>
      </w:r>
    </w:p>
    <w:p w14:paraId="41041CF7"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ab/>
        <w:t>The fact that the quick ratio dropped below 0.84 means that the company relied more on conversion of its inventory to be able to cover its outflows; this is not a good idea when demand is elastic and SKUs are at risk of obsolescing.</w:t>
      </w:r>
    </w:p>
    <w:p w14:paraId="55D803A6"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ab/>
        <w:t>Although the operating cash flow is positive in 2024, cash holdings have collapsed between approximately PS57bn and PS27bn during the period, which is in line with working-capital consumption and capex (Bloomberg, 2024).</w:t>
      </w:r>
    </w:p>
    <w:p w14:paraId="5B10E1ED"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Findings: liquidity is not urgent however, but high; the minimum of error is low and cash discipline in operations is vital.</w:t>
      </w:r>
    </w:p>
    <w:p w14:paraId="1162FF94"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2.3 Efficiency Analysis</w:t>
      </w:r>
    </w:p>
    <w:p w14:paraId="39277E0D"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The liquidity of GE through transformation of assets into sales and cash is at stake. Core efficiency metrics are:</w:t>
      </w:r>
    </w:p>
    <w:tbl>
      <w:tblPr>
        <w:tblStyle w:val="TableGrid"/>
        <w:tblW w:w="9726" w:type="dxa"/>
        <w:tblLook w:val="04A0" w:firstRow="1" w:lastRow="0" w:firstColumn="1" w:lastColumn="0" w:noHBand="0" w:noVBand="1"/>
      </w:tblPr>
      <w:tblGrid>
        <w:gridCol w:w="750"/>
        <w:gridCol w:w="2404"/>
        <w:gridCol w:w="2111"/>
        <w:gridCol w:w="1764"/>
        <w:gridCol w:w="2697"/>
      </w:tblGrid>
      <w:tr w:rsidR="004D2834" w:rsidRPr="00DF31F5" w14:paraId="78716EEC" w14:textId="77777777" w:rsidTr="00480688">
        <w:tc>
          <w:tcPr>
            <w:tcW w:w="0" w:type="auto"/>
            <w:noWrap/>
            <w:hideMark/>
          </w:tcPr>
          <w:p w14:paraId="243E9803"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Year</w:t>
            </w:r>
          </w:p>
        </w:tc>
        <w:tc>
          <w:tcPr>
            <w:tcW w:w="0" w:type="auto"/>
            <w:noWrap/>
            <w:hideMark/>
          </w:tcPr>
          <w:p w14:paraId="105A811C"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Inventory Turnover</w:t>
            </w:r>
          </w:p>
        </w:tc>
        <w:tc>
          <w:tcPr>
            <w:tcW w:w="0" w:type="auto"/>
            <w:noWrap/>
            <w:hideMark/>
          </w:tcPr>
          <w:p w14:paraId="7B17D6BA"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Receivable Days</w:t>
            </w:r>
          </w:p>
        </w:tc>
        <w:tc>
          <w:tcPr>
            <w:tcW w:w="0" w:type="auto"/>
            <w:noWrap/>
            <w:hideMark/>
          </w:tcPr>
          <w:p w14:paraId="5C958951"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Payable Days</w:t>
            </w:r>
          </w:p>
        </w:tc>
        <w:tc>
          <w:tcPr>
            <w:tcW w:w="0" w:type="auto"/>
            <w:noWrap/>
            <w:hideMark/>
          </w:tcPr>
          <w:p w14:paraId="6FC1CA0E"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Working-Capital Days</w:t>
            </w:r>
          </w:p>
        </w:tc>
      </w:tr>
      <w:tr w:rsidR="004D2834" w:rsidRPr="00DF31F5" w14:paraId="6B93B62B" w14:textId="77777777" w:rsidTr="00480688">
        <w:tc>
          <w:tcPr>
            <w:tcW w:w="0" w:type="auto"/>
            <w:hideMark/>
          </w:tcPr>
          <w:p w14:paraId="32B94D0B"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2020</w:t>
            </w:r>
          </w:p>
        </w:tc>
        <w:tc>
          <w:tcPr>
            <w:tcW w:w="0" w:type="auto"/>
            <w:hideMark/>
          </w:tcPr>
          <w:p w14:paraId="09CD7BD6"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3.64</w:t>
            </w:r>
          </w:p>
        </w:tc>
        <w:tc>
          <w:tcPr>
            <w:tcW w:w="0" w:type="auto"/>
            <w:hideMark/>
          </w:tcPr>
          <w:p w14:paraId="2B14763E"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77</w:t>
            </w:r>
          </w:p>
        </w:tc>
        <w:tc>
          <w:tcPr>
            <w:tcW w:w="0" w:type="auto"/>
            <w:hideMark/>
          </w:tcPr>
          <w:p w14:paraId="4B08F686"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48</w:t>
            </w:r>
          </w:p>
        </w:tc>
        <w:tc>
          <w:tcPr>
            <w:tcW w:w="0" w:type="auto"/>
            <w:hideMark/>
          </w:tcPr>
          <w:p w14:paraId="31E64FE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+29</w:t>
            </w:r>
          </w:p>
        </w:tc>
      </w:tr>
      <w:tr w:rsidR="004D2834" w:rsidRPr="00DF31F5" w14:paraId="51F77377" w14:textId="77777777" w:rsidTr="00480688">
        <w:tc>
          <w:tcPr>
            <w:tcW w:w="0" w:type="auto"/>
            <w:hideMark/>
          </w:tcPr>
          <w:p w14:paraId="1CC06F62"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2021</w:t>
            </w:r>
          </w:p>
        </w:tc>
        <w:tc>
          <w:tcPr>
            <w:tcW w:w="0" w:type="auto"/>
            <w:hideMark/>
          </w:tcPr>
          <w:p w14:paraId="1D7DBB79"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3.19</w:t>
            </w:r>
          </w:p>
        </w:tc>
        <w:tc>
          <w:tcPr>
            <w:tcW w:w="0" w:type="auto"/>
            <w:hideMark/>
          </w:tcPr>
          <w:p w14:paraId="7B8DE59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78</w:t>
            </w:r>
          </w:p>
        </w:tc>
        <w:tc>
          <w:tcPr>
            <w:tcW w:w="0" w:type="auto"/>
            <w:hideMark/>
          </w:tcPr>
          <w:p w14:paraId="0DAF0EB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56</w:t>
            </w:r>
          </w:p>
        </w:tc>
        <w:tc>
          <w:tcPr>
            <w:tcW w:w="0" w:type="auto"/>
            <w:hideMark/>
          </w:tcPr>
          <w:p w14:paraId="0FD3F8AB"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+22</w:t>
            </w:r>
          </w:p>
        </w:tc>
      </w:tr>
      <w:tr w:rsidR="004D2834" w:rsidRPr="00DF31F5" w14:paraId="0268AA69" w14:textId="77777777" w:rsidTr="00480688">
        <w:tc>
          <w:tcPr>
            <w:tcW w:w="0" w:type="auto"/>
            <w:hideMark/>
          </w:tcPr>
          <w:p w14:paraId="1D1570AD"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lastRenderedPageBreak/>
              <w:t>2022</w:t>
            </w:r>
          </w:p>
        </w:tc>
        <w:tc>
          <w:tcPr>
            <w:tcW w:w="0" w:type="auto"/>
            <w:hideMark/>
          </w:tcPr>
          <w:p w14:paraId="5A906B8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2.79</w:t>
            </w:r>
          </w:p>
        </w:tc>
        <w:tc>
          <w:tcPr>
            <w:tcW w:w="0" w:type="auto"/>
            <w:hideMark/>
          </w:tcPr>
          <w:p w14:paraId="7179C2E0"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75</w:t>
            </w:r>
          </w:p>
        </w:tc>
        <w:tc>
          <w:tcPr>
            <w:tcW w:w="0" w:type="auto"/>
            <w:hideMark/>
          </w:tcPr>
          <w:p w14:paraId="67360B5A"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65</w:t>
            </w:r>
          </w:p>
        </w:tc>
        <w:tc>
          <w:tcPr>
            <w:tcW w:w="0" w:type="auto"/>
            <w:hideMark/>
          </w:tcPr>
          <w:p w14:paraId="1F5E5ED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+10</w:t>
            </w:r>
          </w:p>
        </w:tc>
      </w:tr>
      <w:tr w:rsidR="004D2834" w:rsidRPr="00DF31F5" w14:paraId="4C0DAC92" w14:textId="77777777" w:rsidTr="00480688">
        <w:tc>
          <w:tcPr>
            <w:tcW w:w="0" w:type="auto"/>
            <w:hideMark/>
          </w:tcPr>
          <w:p w14:paraId="045E24E3"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2023</w:t>
            </w:r>
          </w:p>
        </w:tc>
        <w:tc>
          <w:tcPr>
            <w:tcW w:w="0" w:type="auto"/>
            <w:hideMark/>
          </w:tcPr>
          <w:p w14:paraId="2AB9C86C"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3.65</w:t>
            </w:r>
          </w:p>
        </w:tc>
        <w:tc>
          <w:tcPr>
            <w:tcW w:w="0" w:type="auto"/>
            <w:hideMark/>
          </w:tcPr>
          <w:p w14:paraId="344AAB4C"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98</w:t>
            </w:r>
          </w:p>
        </w:tc>
        <w:tc>
          <w:tcPr>
            <w:tcW w:w="0" w:type="auto"/>
            <w:hideMark/>
          </w:tcPr>
          <w:p w14:paraId="2F9A458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61</w:t>
            </w:r>
          </w:p>
        </w:tc>
        <w:tc>
          <w:tcPr>
            <w:tcW w:w="0" w:type="auto"/>
            <w:hideMark/>
          </w:tcPr>
          <w:p w14:paraId="4C6B50F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+37</w:t>
            </w:r>
          </w:p>
        </w:tc>
      </w:tr>
      <w:tr w:rsidR="004D2834" w:rsidRPr="00DF31F5" w14:paraId="760B940E" w14:textId="77777777" w:rsidTr="00480688">
        <w:tc>
          <w:tcPr>
            <w:tcW w:w="0" w:type="auto"/>
            <w:hideMark/>
          </w:tcPr>
          <w:p w14:paraId="43A22BDD"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2024</w:t>
            </w:r>
          </w:p>
        </w:tc>
        <w:tc>
          <w:tcPr>
            <w:tcW w:w="0" w:type="auto"/>
            <w:hideMark/>
          </w:tcPr>
          <w:p w14:paraId="3F799A6C"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3.54</w:t>
            </w:r>
          </w:p>
        </w:tc>
        <w:tc>
          <w:tcPr>
            <w:tcW w:w="0" w:type="auto"/>
            <w:hideMark/>
          </w:tcPr>
          <w:p w14:paraId="3725F29B"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105</w:t>
            </w:r>
          </w:p>
        </w:tc>
        <w:tc>
          <w:tcPr>
            <w:tcW w:w="0" w:type="auto"/>
            <w:hideMark/>
          </w:tcPr>
          <w:p w14:paraId="45D90830"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67</w:t>
            </w:r>
          </w:p>
        </w:tc>
        <w:tc>
          <w:tcPr>
            <w:tcW w:w="0" w:type="auto"/>
            <w:hideMark/>
          </w:tcPr>
          <w:p w14:paraId="321BF826"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+38</w:t>
            </w:r>
          </w:p>
        </w:tc>
      </w:tr>
    </w:tbl>
    <w:p w14:paraId="604DB02D"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Insights:</w:t>
      </w:r>
    </w:p>
    <w:p w14:paraId="1F6C8830" w14:textId="5B0F27C5"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ab/>
        <w:t xml:space="preserve">Collection of </w:t>
      </w:r>
      <w:r w:rsidRPr="00DF31F5">
        <w:rPr>
          <w:rFonts w:ascii="Arial" w:hAnsi="Arial" w:cs="Arial"/>
          <w:sz w:val="24"/>
          <w:szCs w:val="24"/>
        </w:rPr>
        <w:t>receivables</w:t>
      </w:r>
      <w:r w:rsidRPr="00DF31F5">
        <w:rPr>
          <w:rFonts w:ascii="Arial" w:hAnsi="Arial" w:cs="Arial"/>
          <w:sz w:val="24"/>
          <w:szCs w:val="24"/>
        </w:rPr>
        <w:t xml:space="preserve"> has worsened significantly- the DSO of 105 days in 2024 is a huge cash liability.</w:t>
      </w:r>
    </w:p>
    <w:p w14:paraId="21B16B1D"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ab/>
        <w:t>Its inventory turnover of 3.54x lags industry standards (typically 5-6x in consumer electronics) suggesting slow moving inventory, forecast bias, and inefficient replenishment.</w:t>
      </w:r>
    </w:p>
    <w:p w14:paraId="2E66EA90"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ab/>
        <w:t>Working-Capital Days have grown, which is an indication of a longer cash conversion cycle (Section 3.1) that ties up liquidity and exacerbates the need to finance.</w:t>
      </w:r>
    </w:p>
    <w:p w14:paraId="52F54FE2" w14:textId="77777777" w:rsidR="00480688" w:rsidRPr="00DF31F5" w:rsidRDefault="00480688" w:rsidP="00DF31F5">
      <w:pPr>
        <w:spacing w:line="360" w:lineRule="auto"/>
        <w:rPr>
          <w:rFonts w:ascii="Arial" w:hAnsi="Arial" w:cs="Arial"/>
          <w:sz w:val="24"/>
          <w:szCs w:val="24"/>
        </w:rPr>
      </w:pPr>
    </w:p>
    <w:p w14:paraId="04F7E4A1" w14:textId="2CE11BD4"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2.4 Gearing and Capital Structure</w:t>
      </w:r>
    </w:p>
    <w:p w14:paraId="4806E298"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The leverage profile of GE has become more intense, and negative operating performance has made interest coverage ineffective:</w:t>
      </w:r>
    </w:p>
    <w:tbl>
      <w:tblPr>
        <w:tblStyle w:val="TableGrid"/>
        <w:tblW w:w="8545" w:type="dxa"/>
        <w:tblLook w:val="04A0" w:firstRow="1" w:lastRow="0" w:firstColumn="1" w:lastColumn="0" w:noHBand="0" w:noVBand="1"/>
      </w:tblPr>
      <w:tblGrid>
        <w:gridCol w:w="1118"/>
        <w:gridCol w:w="2787"/>
        <w:gridCol w:w="2110"/>
        <w:gridCol w:w="2530"/>
      </w:tblGrid>
      <w:tr w:rsidR="004D2834" w:rsidRPr="00DF31F5" w14:paraId="7AC65A0B" w14:textId="77777777" w:rsidTr="00106D5F">
        <w:tc>
          <w:tcPr>
            <w:tcW w:w="0" w:type="auto"/>
            <w:noWrap/>
            <w:hideMark/>
          </w:tcPr>
          <w:p w14:paraId="73F48ABF"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Year</w:t>
            </w:r>
          </w:p>
        </w:tc>
        <w:tc>
          <w:tcPr>
            <w:tcW w:w="0" w:type="auto"/>
            <w:noWrap/>
            <w:hideMark/>
          </w:tcPr>
          <w:p w14:paraId="077BB18F"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Debt-to-Equity</w:t>
            </w:r>
          </w:p>
        </w:tc>
        <w:tc>
          <w:tcPr>
            <w:tcW w:w="0" w:type="auto"/>
            <w:noWrap/>
            <w:hideMark/>
          </w:tcPr>
          <w:p w14:paraId="2F576B48"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Debt Ratio</w:t>
            </w:r>
          </w:p>
        </w:tc>
        <w:tc>
          <w:tcPr>
            <w:tcW w:w="2530" w:type="dxa"/>
            <w:noWrap/>
            <w:hideMark/>
          </w:tcPr>
          <w:p w14:paraId="47BB62B3"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Interest Coverage</w:t>
            </w:r>
          </w:p>
        </w:tc>
      </w:tr>
      <w:tr w:rsidR="004D2834" w:rsidRPr="00DF31F5" w14:paraId="18B620FC" w14:textId="77777777" w:rsidTr="00106D5F">
        <w:tc>
          <w:tcPr>
            <w:tcW w:w="0" w:type="auto"/>
            <w:hideMark/>
          </w:tcPr>
          <w:p w14:paraId="26796337"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2020</w:t>
            </w:r>
          </w:p>
        </w:tc>
        <w:tc>
          <w:tcPr>
            <w:tcW w:w="0" w:type="auto"/>
            <w:hideMark/>
          </w:tcPr>
          <w:p w14:paraId="19DFFB57"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0.63</w:t>
            </w:r>
          </w:p>
        </w:tc>
        <w:tc>
          <w:tcPr>
            <w:tcW w:w="0" w:type="auto"/>
            <w:hideMark/>
          </w:tcPr>
          <w:p w14:paraId="40BA0196"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0.39</w:t>
            </w:r>
          </w:p>
        </w:tc>
        <w:tc>
          <w:tcPr>
            <w:tcW w:w="2530" w:type="dxa"/>
            <w:hideMark/>
          </w:tcPr>
          <w:p w14:paraId="3ADBAE2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26.2</w:t>
            </w:r>
          </w:p>
        </w:tc>
      </w:tr>
      <w:tr w:rsidR="004D2834" w:rsidRPr="00DF31F5" w14:paraId="171DE310" w14:textId="77777777" w:rsidTr="00106D5F">
        <w:tc>
          <w:tcPr>
            <w:tcW w:w="0" w:type="auto"/>
            <w:hideMark/>
          </w:tcPr>
          <w:p w14:paraId="1E1C2A3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2021</w:t>
            </w:r>
          </w:p>
        </w:tc>
        <w:tc>
          <w:tcPr>
            <w:tcW w:w="0" w:type="auto"/>
            <w:hideMark/>
          </w:tcPr>
          <w:p w14:paraId="398BF1B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0.71</w:t>
            </w:r>
          </w:p>
        </w:tc>
        <w:tc>
          <w:tcPr>
            <w:tcW w:w="0" w:type="auto"/>
            <w:hideMark/>
          </w:tcPr>
          <w:p w14:paraId="48C5F298"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0.46</w:t>
            </w:r>
          </w:p>
        </w:tc>
        <w:tc>
          <w:tcPr>
            <w:tcW w:w="2530" w:type="dxa"/>
            <w:hideMark/>
          </w:tcPr>
          <w:p w14:paraId="6CF892A0"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12.1</w:t>
            </w:r>
          </w:p>
        </w:tc>
      </w:tr>
      <w:tr w:rsidR="004D2834" w:rsidRPr="00DF31F5" w14:paraId="663D479C" w14:textId="77777777" w:rsidTr="00106D5F">
        <w:tc>
          <w:tcPr>
            <w:tcW w:w="0" w:type="auto"/>
            <w:hideMark/>
          </w:tcPr>
          <w:p w14:paraId="709C95AE"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2022</w:t>
            </w:r>
          </w:p>
        </w:tc>
        <w:tc>
          <w:tcPr>
            <w:tcW w:w="0" w:type="auto"/>
            <w:hideMark/>
          </w:tcPr>
          <w:p w14:paraId="42272F3E"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0.88</w:t>
            </w:r>
          </w:p>
        </w:tc>
        <w:tc>
          <w:tcPr>
            <w:tcW w:w="0" w:type="auto"/>
            <w:hideMark/>
          </w:tcPr>
          <w:p w14:paraId="744C4140"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0.47</w:t>
            </w:r>
          </w:p>
        </w:tc>
        <w:tc>
          <w:tcPr>
            <w:tcW w:w="2530" w:type="dxa"/>
            <w:hideMark/>
          </w:tcPr>
          <w:p w14:paraId="2C702B63"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6.6</w:t>
            </w:r>
          </w:p>
        </w:tc>
      </w:tr>
      <w:tr w:rsidR="004D2834" w:rsidRPr="00DF31F5" w14:paraId="41A81AB3" w14:textId="77777777" w:rsidTr="00106D5F">
        <w:tc>
          <w:tcPr>
            <w:tcW w:w="0" w:type="auto"/>
            <w:hideMark/>
          </w:tcPr>
          <w:p w14:paraId="57F112EC"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2023</w:t>
            </w:r>
          </w:p>
        </w:tc>
        <w:tc>
          <w:tcPr>
            <w:tcW w:w="0" w:type="auto"/>
            <w:hideMark/>
          </w:tcPr>
          <w:p w14:paraId="566FCD1C"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0.99</w:t>
            </w:r>
          </w:p>
        </w:tc>
        <w:tc>
          <w:tcPr>
            <w:tcW w:w="0" w:type="auto"/>
            <w:hideMark/>
          </w:tcPr>
          <w:p w14:paraId="1A1CA229"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0.50</w:t>
            </w:r>
          </w:p>
        </w:tc>
        <w:tc>
          <w:tcPr>
            <w:tcW w:w="2530" w:type="dxa"/>
            <w:hideMark/>
          </w:tcPr>
          <w:p w14:paraId="5785C37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–0.16</w:t>
            </w:r>
          </w:p>
        </w:tc>
      </w:tr>
      <w:tr w:rsidR="004D2834" w:rsidRPr="00DF31F5" w14:paraId="56A4C6BD" w14:textId="77777777" w:rsidTr="00106D5F">
        <w:tc>
          <w:tcPr>
            <w:tcW w:w="0" w:type="auto"/>
            <w:hideMark/>
          </w:tcPr>
          <w:p w14:paraId="69150B88"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2024</w:t>
            </w:r>
          </w:p>
        </w:tc>
        <w:tc>
          <w:tcPr>
            <w:tcW w:w="0" w:type="auto"/>
            <w:hideMark/>
          </w:tcPr>
          <w:p w14:paraId="67685DA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1.11</w:t>
            </w:r>
          </w:p>
        </w:tc>
        <w:tc>
          <w:tcPr>
            <w:tcW w:w="0" w:type="auto"/>
            <w:hideMark/>
          </w:tcPr>
          <w:p w14:paraId="29DEF76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0.53</w:t>
            </w:r>
          </w:p>
        </w:tc>
        <w:tc>
          <w:tcPr>
            <w:tcW w:w="2530" w:type="dxa"/>
            <w:hideMark/>
          </w:tcPr>
          <w:p w14:paraId="69C5719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–4.6</w:t>
            </w:r>
          </w:p>
        </w:tc>
      </w:tr>
    </w:tbl>
    <w:p w14:paraId="016522C6" w14:textId="77777777" w:rsidR="00480688" w:rsidRPr="00DF31F5" w:rsidRDefault="00480688" w:rsidP="00DF31F5">
      <w:pPr>
        <w:spacing w:line="360" w:lineRule="auto"/>
        <w:rPr>
          <w:rFonts w:ascii="Arial" w:hAnsi="Arial" w:cs="Arial"/>
          <w:sz w:val="24"/>
          <w:szCs w:val="24"/>
        </w:rPr>
      </w:pPr>
      <w:r w:rsidRPr="00DF31F5">
        <w:rPr>
          <w:rFonts w:ascii="Arial" w:hAnsi="Arial" w:cs="Arial"/>
          <w:sz w:val="24"/>
          <w:szCs w:val="24"/>
        </w:rPr>
        <w:t>Key takeaways:</w:t>
      </w:r>
    </w:p>
    <w:p w14:paraId="1FF3C6E5" w14:textId="47763A42" w:rsidR="00480688" w:rsidRPr="00DF31F5" w:rsidRDefault="00480688" w:rsidP="00DF31F5">
      <w:pPr>
        <w:pStyle w:val="ListParagraph"/>
        <w:numPr>
          <w:ilvl w:val="0"/>
          <w:numId w:val="64"/>
        </w:numPr>
        <w:spacing w:line="360" w:lineRule="auto"/>
        <w:rPr>
          <w:rFonts w:ascii="Arial" w:hAnsi="Arial" w:cs="Arial"/>
          <w:sz w:val="24"/>
          <w:szCs w:val="24"/>
        </w:rPr>
      </w:pPr>
      <w:r w:rsidRPr="00DF31F5">
        <w:rPr>
          <w:rFonts w:ascii="Arial" w:hAnsi="Arial" w:cs="Arial"/>
          <w:sz w:val="24"/>
          <w:szCs w:val="24"/>
        </w:rPr>
        <w:t>The debt-to-equity increased to 1.11, which represents an increased financial risk regime (EY, 2024).</w:t>
      </w:r>
    </w:p>
    <w:p w14:paraId="6622052C" w14:textId="459F0E50" w:rsidR="00480688" w:rsidRPr="00DF31F5" w:rsidRDefault="00480688" w:rsidP="00DF31F5">
      <w:pPr>
        <w:pStyle w:val="ListParagraph"/>
        <w:numPr>
          <w:ilvl w:val="0"/>
          <w:numId w:val="64"/>
        </w:numPr>
        <w:spacing w:line="360" w:lineRule="auto"/>
        <w:rPr>
          <w:rFonts w:ascii="Arial" w:hAnsi="Arial" w:cs="Arial"/>
          <w:sz w:val="24"/>
          <w:szCs w:val="24"/>
        </w:rPr>
      </w:pPr>
      <w:r w:rsidRPr="00DF31F5">
        <w:rPr>
          <w:rFonts w:ascii="Arial" w:hAnsi="Arial" w:cs="Arial"/>
          <w:sz w:val="24"/>
          <w:szCs w:val="24"/>
        </w:rPr>
        <w:lastRenderedPageBreak/>
        <w:t>The negative interest coverage in 2023-2024 implies that the earnings will be insufficient to finance the interest payment, which increases the likelihood of violating covenants and negative refinancing.</w:t>
      </w:r>
    </w:p>
    <w:p w14:paraId="422D675A" w14:textId="3716B8F0" w:rsidR="00480688" w:rsidRPr="00DF31F5" w:rsidRDefault="00480688" w:rsidP="00DF31F5">
      <w:pPr>
        <w:pStyle w:val="ListParagraph"/>
        <w:numPr>
          <w:ilvl w:val="0"/>
          <w:numId w:val="64"/>
        </w:numPr>
        <w:spacing w:line="360" w:lineRule="auto"/>
        <w:rPr>
          <w:rFonts w:ascii="Arial" w:hAnsi="Arial" w:cs="Arial"/>
          <w:sz w:val="24"/>
          <w:szCs w:val="24"/>
        </w:rPr>
      </w:pPr>
      <w:r w:rsidRPr="00DF31F5">
        <w:rPr>
          <w:rFonts w:ascii="Arial" w:hAnsi="Arial" w:cs="Arial"/>
          <w:sz w:val="24"/>
          <w:szCs w:val="24"/>
        </w:rPr>
        <w:t>Increased risk premia will result in increased WACC, which makes it difficult to deploy capital and value it.</w:t>
      </w:r>
    </w:p>
    <w:p w14:paraId="4C4DE429"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2.5 Investment and Cash-Flow Performance</w:t>
      </w:r>
    </w:p>
    <w:p w14:paraId="584E4527"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GE has generated PS14.8bn operating cash flow despite losing money in accounting. That is a critical strength. The counter-balancing forces are:</w:t>
      </w:r>
    </w:p>
    <w:p w14:paraId="4DBFC032"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ab/>
        <w:t>Capital spending of PS4.6bn to maintain competence and competitiveness of products (Bloomberg, 2024).</w:t>
      </w:r>
    </w:p>
    <w:p w14:paraId="503D2A36"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ab/>
        <w:t>Reduced net cash owing to reduced external funding and drag working capital.</w:t>
      </w:r>
    </w:p>
    <w:p w14:paraId="5589309C"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ab/>
        <w:t>Dividend suspension in favour of liquidity which is best practice in restructuring (Deloitte, 2023).</w:t>
      </w:r>
    </w:p>
    <w:p w14:paraId="0B1AA618"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Interpretation: the underlying business is cash flow generating and the working-capital inefficiency and leverage diminishes the flexibility. To prevent value-destructive financing, and to finance selective growth, unlocking working capital is required.</w:t>
      </w:r>
    </w:p>
    <w:p w14:paraId="68E2E8DA"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2.6 Trends, Strengths, and Threats</w:t>
      </w:r>
    </w:p>
    <w:p w14:paraId="1D1203F7"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Strengths:</w:t>
      </w:r>
    </w:p>
    <w:p w14:paraId="572EE06A" w14:textId="7C124CA0" w:rsidR="00C00EFF" w:rsidRPr="00DF31F5" w:rsidRDefault="00C00EFF" w:rsidP="00DF31F5">
      <w:pPr>
        <w:pStyle w:val="ListParagraph"/>
        <w:numPr>
          <w:ilvl w:val="0"/>
          <w:numId w:val="66"/>
        </w:numPr>
        <w:spacing w:line="360" w:lineRule="auto"/>
        <w:rPr>
          <w:rFonts w:ascii="Arial" w:hAnsi="Arial" w:cs="Arial"/>
          <w:sz w:val="24"/>
          <w:szCs w:val="24"/>
        </w:rPr>
      </w:pPr>
      <w:r w:rsidRPr="00DF31F5">
        <w:rPr>
          <w:rFonts w:ascii="Arial" w:hAnsi="Arial" w:cs="Arial"/>
          <w:sz w:val="24"/>
          <w:szCs w:val="24"/>
        </w:rPr>
        <w:t>Gross margin stability (28-29% over four of five years), which shows good cost-of-sales control.</w:t>
      </w:r>
    </w:p>
    <w:p w14:paraId="3C641980" w14:textId="65129414" w:rsidR="00C00EFF" w:rsidRPr="00DF31F5" w:rsidRDefault="00C00EFF" w:rsidP="00DF31F5">
      <w:pPr>
        <w:pStyle w:val="ListParagraph"/>
        <w:numPr>
          <w:ilvl w:val="0"/>
          <w:numId w:val="66"/>
        </w:numPr>
        <w:spacing w:line="360" w:lineRule="auto"/>
        <w:rPr>
          <w:rFonts w:ascii="Arial" w:hAnsi="Arial" w:cs="Arial"/>
          <w:sz w:val="24"/>
          <w:szCs w:val="24"/>
        </w:rPr>
      </w:pPr>
      <w:r w:rsidRPr="00DF31F5">
        <w:rPr>
          <w:rFonts w:ascii="Arial" w:hAnsi="Arial" w:cs="Arial"/>
          <w:sz w:val="24"/>
          <w:szCs w:val="24"/>
        </w:rPr>
        <w:t>Good operating cash flow in 2024, indicating that there is a hidden ability to raise internal funds.</w:t>
      </w:r>
    </w:p>
    <w:p w14:paraId="673318EB" w14:textId="14C7AA25" w:rsidR="00C00EFF" w:rsidRPr="00DF31F5" w:rsidRDefault="00C00EFF" w:rsidP="00DF31F5">
      <w:pPr>
        <w:pStyle w:val="ListParagraph"/>
        <w:numPr>
          <w:ilvl w:val="0"/>
          <w:numId w:val="66"/>
        </w:numPr>
        <w:spacing w:line="360" w:lineRule="auto"/>
        <w:rPr>
          <w:rFonts w:ascii="Arial" w:hAnsi="Arial" w:cs="Arial"/>
          <w:sz w:val="24"/>
          <w:szCs w:val="24"/>
        </w:rPr>
      </w:pPr>
      <w:r w:rsidRPr="00DF31F5">
        <w:rPr>
          <w:rFonts w:ascii="Arial" w:hAnsi="Arial" w:cs="Arial"/>
          <w:sz w:val="24"/>
          <w:szCs w:val="24"/>
        </w:rPr>
        <w:t>Debt renegotiation and targeted asset rotations - large and collateralisable asset base.</w:t>
      </w:r>
    </w:p>
    <w:p w14:paraId="2E4FCBE9"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Threats:</w:t>
      </w:r>
    </w:p>
    <w:p w14:paraId="464E69A2" w14:textId="4AD70FFA" w:rsidR="00C00EFF" w:rsidRPr="00DF31F5" w:rsidRDefault="00C00EFF" w:rsidP="00DF31F5">
      <w:pPr>
        <w:pStyle w:val="ListParagraph"/>
        <w:numPr>
          <w:ilvl w:val="0"/>
          <w:numId w:val="65"/>
        </w:numPr>
        <w:spacing w:line="360" w:lineRule="auto"/>
        <w:rPr>
          <w:rFonts w:ascii="Arial" w:hAnsi="Arial" w:cs="Arial"/>
          <w:sz w:val="24"/>
          <w:szCs w:val="24"/>
        </w:rPr>
      </w:pPr>
      <w:r w:rsidRPr="00DF31F5">
        <w:rPr>
          <w:rFonts w:ascii="Arial" w:hAnsi="Arial" w:cs="Arial"/>
          <w:sz w:val="24"/>
          <w:szCs w:val="24"/>
        </w:rPr>
        <w:t>Operating leverage and scale economies are deteriorated by sales contraction (~36% since 2020).</w:t>
      </w:r>
    </w:p>
    <w:p w14:paraId="49374A56" w14:textId="378CCF0D" w:rsidR="00C00EFF" w:rsidRPr="00DF31F5" w:rsidRDefault="00C00EFF" w:rsidP="00DF31F5">
      <w:pPr>
        <w:pStyle w:val="ListParagraph"/>
        <w:numPr>
          <w:ilvl w:val="0"/>
          <w:numId w:val="65"/>
        </w:numPr>
        <w:spacing w:line="360" w:lineRule="auto"/>
        <w:rPr>
          <w:rFonts w:ascii="Arial" w:hAnsi="Arial" w:cs="Arial"/>
          <w:sz w:val="24"/>
          <w:szCs w:val="24"/>
        </w:rPr>
      </w:pPr>
      <w:r w:rsidRPr="00DF31F5">
        <w:rPr>
          <w:rFonts w:ascii="Arial" w:hAnsi="Arial" w:cs="Arial"/>
          <w:sz w:val="24"/>
          <w:szCs w:val="24"/>
        </w:rPr>
        <w:lastRenderedPageBreak/>
        <w:t>Retained earnings have been wiped out by accumulated losses, which have limited the equity cushion.</w:t>
      </w:r>
    </w:p>
    <w:p w14:paraId="692BA0F4" w14:textId="2FEFE869" w:rsidR="00C00EFF" w:rsidRPr="00DF31F5" w:rsidRDefault="00C00EFF" w:rsidP="00DF31F5">
      <w:pPr>
        <w:pStyle w:val="ListParagraph"/>
        <w:numPr>
          <w:ilvl w:val="0"/>
          <w:numId w:val="65"/>
        </w:numPr>
        <w:spacing w:line="360" w:lineRule="auto"/>
        <w:rPr>
          <w:rFonts w:ascii="Arial" w:hAnsi="Arial" w:cs="Arial"/>
          <w:sz w:val="24"/>
          <w:szCs w:val="24"/>
        </w:rPr>
      </w:pPr>
      <w:r w:rsidRPr="00DF31F5">
        <w:rPr>
          <w:rFonts w:ascii="Arial" w:hAnsi="Arial" w:cs="Arial"/>
          <w:sz w:val="24"/>
          <w:szCs w:val="24"/>
        </w:rPr>
        <w:t>Compression of solvency headroom is due to higher leverage and negative interest cover.</w:t>
      </w:r>
    </w:p>
    <w:p w14:paraId="4DF12EDB" w14:textId="21B3D0F3" w:rsidR="004D2834" w:rsidRPr="00DF31F5" w:rsidRDefault="00C00EFF" w:rsidP="00DF31F5">
      <w:pPr>
        <w:pStyle w:val="ListParagraph"/>
        <w:numPr>
          <w:ilvl w:val="0"/>
          <w:numId w:val="65"/>
        </w:numPr>
        <w:spacing w:line="360" w:lineRule="auto"/>
        <w:rPr>
          <w:rFonts w:ascii="Arial" w:hAnsi="Arial" w:cs="Arial"/>
          <w:sz w:val="24"/>
          <w:szCs w:val="24"/>
        </w:rPr>
      </w:pPr>
      <w:r w:rsidRPr="00DF31F5">
        <w:rPr>
          <w:rFonts w:ascii="Arial" w:hAnsi="Arial" w:cs="Arial"/>
          <w:sz w:val="24"/>
          <w:szCs w:val="24"/>
        </w:rPr>
        <w:t>Poor receivables and inventory ratios use up funds and risk operation.</w:t>
      </w:r>
    </w:p>
    <w:p w14:paraId="389F5B41"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2.7 Corporate Failure Prediction: Altman Z-Score</w:t>
      </w:r>
    </w:p>
    <w:p w14:paraId="5C29BE48"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Manufacturing companies have a risk of bankruptcy measured by the Altman Z-Score (Altman, 1968; Altman and Hotchkiss, 2020):</w:t>
      </w:r>
    </w:p>
    <w:p w14:paraId="4C6C68ED"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Z = 1.2X1 + 1.4X2 + 3.3X3 + 0.6X4 + 1.0X5</w:t>
      </w:r>
    </w:p>
    <w:p w14:paraId="760221F6"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Where:</w:t>
      </w:r>
    </w:p>
    <w:p w14:paraId="4ADDE0B7" w14:textId="77777777" w:rsidR="004D2834" w:rsidRPr="00DF31F5" w:rsidRDefault="004D2834" w:rsidP="00DF31F5">
      <w:pPr>
        <w:numPr>
          <w:ilvl w:val="0"/>
          <w:numId w:val="10"/>
        </w:numPr>
        <w:spacing w:line="360" w:lineRule="auto"/>
        <w:rPr>
          <w:rFonts w:ascii="Arial" w:hAnsi="Arial" w:cs="Arial"/>
          <w:sz w:val="24"/>
          <w:szCs w:val="24"/>
        </w:rPr>
      </w:pPr>
      <w:r w:rsidRPr="00DF31F5">
        <w:rPr>
          <w:rFonts w:ascii="Arial" w:hAnsi="Arial" w:cs="Arial"/>
          <w:sz w:val="24"/>
          <w:szCs w:val="24"/>
        </w:rPr>
        <w:t>X1 = Working Capital / Total Assets</w:t>
      </w:r>
    </w:p>
    <w:p w14:paraId="3D029A2E" w14:textId="77777777" w:rsidR="004D2834" w:rsidRPr="00DF31F5" w:rsidRDefault="004D2834" w:rsidP="00DF31F5">
      <w:pPr>
        <w:numPr>
          <w:ilvl w:val="0"/>
          <w:numId w:val="10"/>
        </w:numPr>
        <w:spacing w:line="360" w:lineRule="auto"/>
        <w:rPr>
          <w:rFonts w:ascii="Arial" w:hAnsi="Arial" w:cs="Arial"/>
          <w:sz w:val="24"/>
          <w:szCs w:val="24"/>
        </w:rPr>
      </w:pPr>
      <w:r w:rsidRPr="00DF31F5">
        <w:rPr>
          <w:rFonts w:ascii="Arial" w:hAnsi="Arial" w:cs="Arial"/>
          <w:sz w:val="24"/>
          <w:szCs w:val="24"/>
        </w:rPr>
        <w:t>X2 = Retained Earnings / Total Assets</w:t>
      </w:r>
    </w:p>
    <w:p w14:paraId="27E1BE6A" w14:textId="77777777" w:rsidR="004D2834" w:rsidRPr="00DF31F5" w:rsidRDefault="004D2834" w:rsidP="00DF31F5">
      <w:pPr>
        <w:numPr>
          <w:ilvl w:val="0"/>
          <w:numId w:val="10"/>
        </w:numPr>
        <w:spacing w:line="360" w:lineRule="auto"/>
        <w:rPr>
          <w:rFonts w:ascii="Arial" w:hAnsi="Arial" w:cs="Arial"/>
          <w:sz w:val="24"/>
          <w:szCs w:val="24"/>
        </w:rPr>
      </w:pPr>
      <w:r w:rsidRPr="00DF31F5">
        <w:rPr>
          <w:rFonts w:ascii="Arial" w:hAnsi="Arial" w:cs="Arial"/>
          <w:sz w:val="24"/>
          <w:szCs w:val="24"/>
        </w:rPr>
        <w:t>X3 = EBIT / Total Assets</w:t>
      </w:r>
    </w:p>
    <w:p w14:paraId="1A52AAF9" w14:textId="77777777" w:rsidR="004D2834" w:rsidRPr="00DF31F5" w:rsidRDefault="004D2834" w:rsidP="00DF31F5">
      <w:pPr>
        <w:numPr>
          <w:ilvl w:val="0"/>
          <w:numId w:val="10"/>
        </w:numPr>
        <w:spacing w:line="360" w:lineRule="auto"/>
        <w:rPr>
          <w:rFonts w:ascii="Arial" w:hAnsi="Arial" w:cs="Arial"/>
          <w:sz w:val="24"/>
          <w:szCs w:val="24"/>
        </w:rPr>
      </w:pPr>
      <w:r w:rsidRPr="00DF31F5">
        <w:rPr>
          <w:rFonts w:ascii="Arial" w:hAnsi="Arial" w:cs="Arial"/>
          <w:sz w:val="24"/>
          <w:szCs w:val="24"/>
        </w:rPr>
        <w:t>X4 = Market Value of Equity / Total Liabilities</w:t>
      </w:r>
    </w:p>
    <w:p w14:paraId="7075CA5A" w14:textId="77777777" w:rsidR="004D2834" w:rsidRPr="00DF31F5" w:rsidRDefault="004D2834" w:rsidP="00DF31F5">
      <w:pPr>
        <w:numPr>
          <w:ilvl w:val="0"/>
          <w:numId w:val="10"/>
        </w:numPr>
        <w:spacing w:line="360" w:lineRule="auto"/>
        <w:rPr>
          <w:rFonts w:ascii="Arial" w:hAnsi="Arial" w:cs="Arial"/>
          <w:sz w:val="24"/>
          <w:szCs w:val="24"/>
        </w:rPr>
      </w:pPr>
      <w:r w:rsidRPr="00DF31F5">
        <w:rPr>
          <w:rFonts w:ascii="Arial" w:hAnsi="Arial" w:cs="Arial"/>
          <w:sz w:val="24"/>
          <w:szCs w:val="24"/>
        </w:rPr>
        <w:t>X5 = Sales / Total Assets</w:t>
      </w:r>
    </w:p>
    <w:p w14:paraId="71E0CBDD"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2024 inputs:</w:t>
      </w:r>
    </w:p>
    <w:p w14:paraId="57F9D026" w14:textId="77777777" w:rsidR="004D2834" w:rsidRPr="00DF31F5" w:rsidRDefault="004D2834" w:rsidP="00DF31F5">
      <w:pPr>
        <w:numPr>
          <w:ilvl w:val="0"/>
          <w:numId w:val="11"/>
        </w:numPr>
        <w:spacing w:line="360" w:lineRule="auto"/>
        <w:rPr>
          <w:rFonts w:ascii="Arial" w:hAnsi="Arial" w:cs="Arial"/>
          <w:sz w:val="24"/>
          <w:szCs w:val="24"/>
        </w:rPr>
      </w:pPr>
      <w:r w:rsidRPr="00DF31F5">
        <w:rPr>
          <w:rFonts w:ascii="Arial" w:hAnsi="Arial" w:cs="Arial"/>
          <w:sz w:val="24"/>
          <w:szCs w:val="24"/>
        </w:rPr>
        <w:t>Working capital = £242,494 – £158,291 = £84,203</w:t>
      </w:r>
    </w:p>
    <w:p w14:paraId="25B32D2E" w14:textId="77777777" w:rsidR="004D2834" w:rsidRPr="00DF31F5" w:rsidRDefault="004D2834" w:rsidP="00DF31F5">
      <w:pPr>
        <w:numPr>
          <w:ilvl w:val="0"/>
          <w:numId w:val="11"/>
        </w:numPr>
        <w:spacing w:line="360" w:lineRule="auto"/>
        <w:rPr>
          <w:rFonts w:ascii="Arial" w:hAnsi="Arial" w:cs="Arial"/>
          <w:sz w:val="24"/>
          <w:szCs w:val="24"/>
        </w:rPr>
      </w:pPr>
      <w:r w:rsidRPr="00DF31F5">
        <w:rPr>
          <w:rFonts w:ascii="Arial" w:hAnsi="Arial" w:cs="Arial"/>
          <w:sz w:val="24"/>
          <w:szCs w:val="24"/>
        </w:rPr>
        <w:t>Total assets = £323,354</w:t>
      </w:r>
    </w:p>
    <w:p w14:paraId="65D8FC59" w14:textId="77777777" w:rsidR="004D2834" w:rsidRPr="00DF31F5" w:rsidRDefault="004D2834" w:rsidP="00DF31F5">
      <w:pPr>
        <w:numPr>
          <w:ilvl w:val="0"/>
          <w:numId w:val="11"/>
        </w:numPr>
        <w:spacing w:line="360" w:lineRule="auto"/>
        <w:rPr>
          <w:rFonts w:ascii="Arial" w:hAnsi="Arial" w:cs="Arial"/>
          <w:sz w:val="24"/>
          <w:szCs w:val="24"/>
        </w:rPr>
      </w:pPr>
      <w:r w:rsidRPr="00DF31F5">
        <w:rPr>
          <w:rFonts w:ascii="Arial" w:hAnsi="Arial" w:cs="Arial"/>
          <w:sz w:val="24"/>
          <w:szCs w:val="24"/>
        </w:rPr>
        <w:t>Retained earnings = £208,431</w:t>
      </w:r>
    </w:p>
    <w:p w14:paraId="5055DCD7" w14:textId="77777777" w:rsidR="004D2834" w:rsidRPr="00DF31F5" w:rsidRDefault="004D2834" w:rsidP="00DF31F5">
      <w:pPr>
        <w:numPr>
          <w:ilvl w:val="0"/>
          <w:numId w:val="11"/>
        </w:numPr>
        <w:spacing w:line="360" w:lineRule="auto"/>
        <w:rPr>
          <w:rFonts w:ascii="Arial" w:hAnsi="Arial" w:cs="Arial"/>
          <w:sz w:val="24"/>
          <w:szCs w:val="24"/>
        </w:rPr>
      </w:pPr>
      <w:r w:rsidRPr="00DF31F5">
        <w:rPr>
          <w:rFonts w:ascii="Arial" w:hAnsi="Arial" w:cs="Arial"/>
          <w:sz w:val="24"/>
          <w:szCs w:val="24"/>
        </w:rPr>
        <w:t>EBIT ≈ –£15,297</w:t>
      </w:r>
    </w:p>
    <w:p w14:paraId="0905FD46" w14:textId="77777777" w:rsidR="004D2834" w:rsidRPr="00DF31F5" w:rsidRDefault="004D2834" w:rsidP="00DF31F5">
      <w:pPr>
        <w:numPr>
          <w:ilvl w:val="0"/>
          <w:numId w:val="11"/>
        </w:numPr>
        <w:spacing w:line="360" w:lineRule="auto"/>
        <w:rPr>
          <w:rFonts w:ascii="Arial" w:hAnsi="Arial" w:cs="Arial"/>
          <w:sz w:val="24"/>
          <w:szCs w:val="24"/>
        </w:rPr>
      </w:pPr>
      <w:r w:rsidRPr="00DF31F5">
        <w:rPr>
          <w:rFonts w:ascii="Arial" w:hAnsi="Arial" w:cs="Arial"/>
          <w:sz w:val="24"/>
          <w:szCs w:val="24"/>
        </w:rPr>
        <w:t>Market value of equity ≈ £153,105</w:t>
      </w:r>
    </w:p>
    <w:p w14:paraId="45D21FC0" w14:textId="77777777" w:rsidR="004D2834" w:rsidRPr="00DF31F5" w:rsidRDefault="004D2834" w:rsidP="00DF31F5">
      <w:pPr>
        <w:numPr>
          <w:ilvl w:val="0"/>
          <w:numId w:val="11"/>
        </w:numPr>
        <w:spacing w:line="360" w:lineRule="auto"/>
        <w:rPr>
          <w:rFonts w:ascii="Arial" w:hAnsi="Arial" w:cs="Arial"/>
          <w:sz w:val="24"/>
          <w:szCs w:val="24"/>
        </w:rPr>
      </w:pPr>
      <w:r w:rsidRPr="00DF31F5">
        <w:rPr>
          <w:rFonts w:ascii="Arial" w:hAnsi="Arial" w:cs="Arial"/>
          <w:sz w:val="24"/>
          <w:szCs w:val="24"/>
        </w:rPr>
        <w:t>Total liabilities = £170,249</w:t>
      </w:r>
    </w:p>
    <w:p w14:paraId="2918E0DE" w14:textId="77777777" w:rsidR="004D2834" w:rsidRPr="00DF31F5" w:rsidRDefault="004D2834" w:rsidP="00DF31F5">
      <w:pPr>
        <w:numPr>
          <w:ilvl w:val="0"/>
          <w:numId w:val="11"/>
        </w:numPr>
        <w:spacing w:line="360" w:lineRule="auto"/>
        <w:rPr>
          <w:rFonts w:ascii="Arial" w:hAnsi="Arial" w:cs="Arial"/>
          <w:sz w:val="24"/>
          <w:szCs w:val="24"/>
        </w:rPr>
      </w:pPr>
      <w:r w:rsidRPr="00DF31F5">
        <w:rPr>
          <w:rFonts w:ascii="Arial" w:hAnsi="Arial" w:cs="Arial"/>
          <w:sz w:val="24"/>
          <w:szCs w:val="24"/>
        </w:rPr>
        <w:t>Sales = £394,879</w:t>
      </w:r>
    </w:p>
    <w:p w14:paraId="3A776F81"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Z ≈ 1.2(0.26) + 1.4(0.64) + 3.3(–0.047) + 0.6(0.90) + 1.0(1.22) ≈ 2.19</w:t>
      </w:r>
    </w:p>
    <w:p w14:paraId="57F6CE51" w14:textId="66E3173A" w:rsidR="00C00EFF" w:rsidRPr="00DF31F5" w:rsidRDefault="004D2834" w:rsidP="00DF31F5">
      <w:pPr>
        <w:spacing w:line="360" w:lineRule="auto"/>
        <w:rPr>
          <w:rFonts w:ascii="Arial" w:hAnsi="Arial" w:cs="Arial"/>
          <w:sz w:val="24"/>
          <w:szCs w:val="24"/>
        </w:rPr>
      </w:pPr>
      <w:r w:rsidRPr="00DF31F5">
        <w:rPr>
          <w:rFonts w:ascii="Arial" w:hAnsi="Arial" w:cs="Arial"/>
          <w:sz w:val="24"/>
          <w:szCs w:val="24"/>
        </w:rPr>
        <w:t>Conclusion:</w:t>
      </w:r>
      <w:r w:rsidR="00C00EFF" w:rsidRPr="00DF31F5">
        <w:rPr>
          <w:rFonts w:ascii="Arial" w:hAnsi="Arial" w:cs="Arial"/>
          <w:sz w:val="24"/>
          <w:szCs w:val="24"/>
        </w:rPr>
        <w:t xml:space="preserve"> </w:t>
      </w:r>
      <w:r w:rsidR="00C00EFF" w:rsidRPr="00DF31F5">
        <w:rPr>
          <w:rFonts w:ascii="Arial" w:hAnsi="Arial" w:cs="Arial"/>
          <w:sz w:val="24"/>
          <w:szCs w:val="24"/>
        </w:rPr>
        <w:t xml:space="preserve">a Z-Score of 2.2 puts GE in the so-called grey zone though not yet showing signs of bankruptcy, but reflecting high levels of distress risk as compared </w:t>
      </w:r>
      <w:r w:rsidR="00C00EFF" w:rsidRPr="00DF31F5">
        <w:rPr>
          <w:rFonts w:ascii="Arial" w:hAnsi="Arial" w:cs="Arial"/>
          <w:sz w:val="24"/>
          <w:szCs w:val="24"/>
        </w:rPr>
        <w:lastRenderedPageBreak/>
        <w:t>to previous years (where the score was higher than 3). It stresses the importance of visible turnaround measures in a timely manner.</w:t>
      </w:r>
    </w:p>
    <w:p w14:paraId="12FD6CF3" w14:textId="3255D284" w:rsidR="004D2834" w:rsidRPr="00DF31F5" w:rsidRDefault="004D2834" w:rsidP="00DF31F5">
      <w:pPr>
        <w:spacing w:line="360" w:lineRule="auto"/>
        <w:rPr>
          <w:rFonts w:ascii="Arial" w:hAnsi="Arial" w:cs="Arial"/>
          <w:sz w:val="24"/>
          <w:szCs w:val="24"/>
        </w:rPr>
      </w:pPr>
    </w:p>
    <w:p w14:paraId="1F496BE3"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2.8 Summary of Financial Health</w:t>
      </w:r>
    </w:p>
    <w:p w14:paraId="09093AB4" w14:textId="77777777" w:rsidR="00C00EFF" w:rsidRPr="00DF31F5" w:rsidRDefault="00C00EFF" w:rsidP="00DF31F5">
      <w:pPr>
        <w:spacing w:line="360" w:lineRule="auto"/>
        <w:ind w:left="360"/>
        <w:rPr>
          <w:rFonts w:ascii="Arial" w:hAnsi="Arial" w:cs="Arial"/>
          <w:sz w:val="24"/>
          <w:szCs w:val="24"/>
        </w:rPr>
      </w:pPr>
      <w:r w:rsidRPr="00DF31F5">
        <w:rPr>
          <w:rFonts w:ascii="Arial" w:hAnsi="Arial" w:cs="Arial"/>
          <w:sz w:val="24"/>
          <w:szCs w:val="24"/>
        </w:rPr>
        <w:t>GE is not bankrupt but in poor financial state. There is worsening profitability, tightening liquidity and increased leverage. Nevertheless, the capacity of the company to produce operating cash, especially in 2024 gives it an avenue to recover should it be coupled with an intense working-capital reform and capital structure rebalancing. Immediate priorities are:</w:t>
      </w:r>
    </w:p>
    <w:p w14:paraId="421DCB61" w14:textId="77777777" w:rsidR="00C00EFF" w:rsidRPr="00DF31F5" w:rsidRDefault="00C00EFF" w:rsidP="00DF31F5">
      <w:pPr>
        <w:pStyle w:val="ListParagraph"/>
        <w:numPr>
          <w:ilvl w:val="0"/>
          <w:numId w:val="67"/>
        </w:numPr>
        <w:spacing w:line="360" w:lineRule="auto"/>
        <w:rPr>
          <w:rFonts w:ascii="Arial" w:hAnsi="Arial" w:cs="Arial"/>
          <w:sz w:val="24"/>
          <w:szCs w:val="24"/>
        </w:rPr>
      </w:pPr>
      <w:r w:rsidRPr="00DF31F5">
        <w:rPr>
          <w:rFonts w:ascii="Arial" w:hAnsi="Arial" w:cs="Arial"/>
          <w:sz w:val="24"/>
          <w:szCs w:val="24"/>
        </w:rPr>
        <w:t>Rationalisation of costs and efficiency of operation.</w:t>
      </w:r>
    </w:p>
    <w:p w14:paraId="0C10323A" w14:textId="77777777" w:rsidR="00C00EFF" w:rsidRPr="00DF31F5" w:rsidRDefault="00C00EFF" w:rsidP="00DF31F5">
      <w:pPr>
        <w:pStyle w:val="ListParagraph"/>
        <w:numPr>
          <w:ilvl w:val="0"/>
          <w:numId w:val="67"/>
        </w:numPr>
        <w:spacing w:line="360" w:lineRule="auto"/>
        <w:rPr>
          <w:rFonts w:ascii="Arial" w:hAnsi="Arial" w:cs="Arial"/>
          <w:sz w:val="24"/>
          <w:szCs w:val="24"/>
        </w:rPr>
      </w:pPr>
      <w:r w:rsidRPr="00DF31F5">
        <w:rPr>
          <w:rFonts w:ascii="Arial" w:hAnsi="Arial" w:cs="Arial"/>
          <w:sz w:val="24"/>
          <w:szCs w:val="24"/>
        </w:rPr>
        <w:t>Restructuring of the debt to ease debt-service pressure and increase maturities.</w:t>
      </w:r>
    </w:p>
    <w:p w14:paraId="64639F1A" w14:textId="77777777" w:rsidR="00C00EFF" w:rsidRPr="00DF31F5" w:rsidRDefault="00C00EFF" w:rsidP="00DF31F5">
      <w:pPr>
        <w:pStyle w:val="ListParagraph"/>
        <w:numPr>
          <w:ilvl w:val="0"/>
          <w:numId w:val="67"/>
        </w:numPr>
        <w:spacing w:line="360" w:lineRule="auto"/>
        <w:rPr>
          <w:rFonts w:ascii="Arial" w:hAnsi="Arial" w:cs="Arial"/>
          <w:sz w:val="24"/>
          <w:szCs w:val="24"/>
        </w:rPr>
      </w:pPr>
      <w:r w:rsidRPr="00DF31F5">
        <w:rPr>
          <w:rFonts w:ascii="Arial" w:hAnsi="Arial" w:cs="Arial"/>
          <w:sz w:val="24"/>
          <w:szCs w:val="24"/>
        </w:rPr>
        <w:t>Inventory and receivables optimisation to reduce cash cycle.</w:t>
      </w:r>
    </w:p>
    <w:p w14:paraId="5CDBA5F3" w14:textId="77777777" w:rsidR="00C00EFF" w:rsidRPr="00DF31F5" w:rsidRDefault="00C00EFF" w:rsidP="00DF31F5">
      <w:pPr>
        <w:pStyle w:val="ListParagraph"/>
        <w:numPr>
          <w:ilvl w:val="0"/>
          <w:numId w:val="67"/>
        </w:numPr>
        <w:spacing w:line="360" w:lineRule="auto"/>
        <w:rPr>
          <w:rFonts w:ascii="Arial" w:hAnsi="Arial" w:cs="Arial"/>
          <w:sz w:val="24"/>
          <w:szCs w:val="24"/>
        </w:rPr>
      </w:pPr>
      <w:r w:rsidRPr="00DF31F5">
        <w:rPr>
          <w:rFonts w:ascii="Arial" w:hAnsi="Arial" w:cs="Arial"/>
          <w:sz w:val="24"/>
          <w:szCs w:val="24"/>
        </w:rPr>
        <w:t>Early payback profile investments (selective) to assist in stabilising revenue.</w:t>
      </w:r>
    </w:p>
    <w:p w14:paraId="5A5CDD01" w14:textId="77777777" w:rsidR="00C00EFF" w:rsidRPr="00DF31F5" w:rsidRDefault="00C00EFF" w:rsidP="00DF31F5">
      <w:pPr>
        <w:spacing w:line="360" w:lineRule="auto"/>
        <w:ind w:left="360"/>
        <w:rPr>
          <w:rFonts w:ascii="Arial" w:hAnsi="Arial" w:cs="Arial"/>
          <w:sz w:val="24"/>
          <w:szCs w:val="24"/>
        </w:rPr>
      </w:pPr>
    </w:p>
    <w:p w14:paraId="19CC4179" w14:textId="771ED830" w:rsidR="004D2834" w:rsidRPr="00DF31F5" w:rsidRDefault="00C00EFF" w:rsidP="00DF31F5">
      <w:pPr>
        <w:spacing w:line="360" w:lineRule="auto"/>
        <w:rPr>
          <w:rFonts w:ascii="Arial" w:hAnsi="Arial" w:cs="Arial"/>
          <w:sz w:val="24"/>
          <w:szCs w:val="24"/>
        </w:rPr>
      </w:pPr>
      <w:r w:rsidRPr="00DF31F5">
        <w:rPr>
          <w:rFonts w:ascii="Arial" w:hAnsi="Arial" w:cs="Arial"/>
          <w:sz w:val="24"/>
          <w:szCs w:val="24"/>
        </w:rPr>
        <w:t xml:space="preserve">3. </w:t>
      </w:r>
      <w:r w:rsidR="004D2834" w:rsidRPr="00DF31F5">
        <w:rPr>
          <w:rFonts w:ascii="Arial" w:hAnsi="Arial" w:cs="Arial"/>
          <w:sz w:val="24"/>
          <w:szCs w:val="24"/>
        </w:rPr>
        <w:t>Working Capital Management Analysis</w:t>
      </w:r>
    </w:p>
    <w:p w14:paraId="62297016"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The current assets and current liabilities are calculated as working capital and will form the basis of near solvency and continued operation (Brigham and Ehrhardt, 2022). A current ratio of 1.53 and quick ratio of 0.84 of GE in 2024 indicate that it can only absorb limited shocks. Despite the good current operation of cash flow, the lengthy receivables and inventory days have constrained discretionary liquidity. The main goal is to access the cash trapped without compromising on the service levels and important relationship.</w:t>
      </w:r>
    </w:p>
    <w:p w14:paraId="19D149E1"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3.1 Cash Operating Cycle</w:t>
      </w:r>
    </w:p>
    <w:p w14:paraId="49C2226F"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Cash conversion cycle (CCC) is used to estimate the duration of time between the arrival of cash used to purchase inputs and cash received as a result of sales to customers (Gitman and Zutter, 2019):</w:t>
      </w:r>
    </w:p>
    <w:p w14:paraId="220D717C"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CCC = DIO + DSO – DPO</w:t>
      </w:r>
    </w:p>
    <w:tbl>
      <w:tblPr>
        <w:tblStyle w:val="TableGrid"/>
        <w:tblW w:w="8005" w:type="dxa"/>
        <w:tblLook w:val="04A0" w:firstRow="1" w:lastRow="0" w:firstColumn="1" w:lastColumn="0" w:noHBand="0" w:noVBand="1"/>
      </w:tblPr>
      <w:tblGrid>
        <w:gridCol w:w="1074"/>
        <w:gridCol w:w="920"/>
        <w:gridCol w:w="1055"/>
        <w:gridCol w:w="1055"/>
        <w:gridCol w:w="3901"/>
      </w:tblGrid>
      <w:tr w:rsidR="004D2834" w:rsidRPr="00DF31F5" w14:paraId="35B450AB" w14:textId="77777777" w:rsidTr="00106D5F">
        <w:tc>
          <w:tcPr>
            <w:tcW w:w="0" w:type="auto"/>
            <w:noWrap/>
            <w:hideMark/>
          </w:tcPr>
          <w:p w14:paraId="78C76E05"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lastRenderedPageBreak/>
              <w:t>Year</w:t>
            </w:r>
          </w:p>
        </w:tc>
        <w:tc>
          <w:tcPr>
            <w:tcW w:w="0" w:type="auto"/>
            <w:noWrap/>
            <w:hideMark/>
          </w:tcPr>
          <w:p w14:paraId="15D4BD11"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DIO</w:t>
            </w:r>
          </w:p>
        </w:tc>
        <w:tc>
          <w:tcPr>
            <w:tcW w:w="0" w:type="auto"/>
            <w:noWrap/>
            <w:hideMark/>
          </w:tcPr>
          <w:p w14:paraId="1D65E369"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DSO</w:t>
            </w:r>
          </w:p>
        </w:tc>
        <w:tc>
          <w:tcPr>
            <w:tcW w:w="0" w:type="auto"/>
            <w:noWrap/>
            <w:hideMark/>
          </w:tcPr>
          <w:p w14:paraId="68D1E964"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DPO</w:t>
            </w:r>
          </w:p>
        </w:tc>
        <w:tc>
          <w:tcPr>
            <w:tcW w:w="3901" w:type="dxa"/>
            <w:noWrap/>
            <w:hideMark/>
          </w:tcPr>
          <w:p w14:paraId="57F38EA6" w14:textId="77777777" w:rsidR="004D2834" w:rsidRPr="00DF31F5" w:rsidRDefault="004D2834" w:rsidP="00DF31F5">
            <w:pPr>
              <w:spacing w:after="160" w:line="360" w:lineRule="auto"/>
              <w:rPr>
                <w:rFonts w:ascii="Arial" w:hAnsi="Arial" w:cs="Arial"/>
                <w:b/>
                <w:bCs/>
                <w:sz w:val="24"/>
                <w:szCs w:val="24"/>
              </w:rPr>
            </w:pPr>
            <w:r w:rsidRPr="00DF31F5">
              <w:rPr>
                <w:rFonts w:ascii="Arial" w:hAnsi="Arial" w:cs="Arial"/>
                <w:b/>
                <w:bCs/>
                <w:sz w:val="24"/>
                <w:szCs w:val="24"/>
              </w:rPr>
              <w:t>Cash Conversion Cycle (days)</w:t>
            </w:r>
          </w:p>
        </w:tc>
      </w:tr>
      <w:tr w:rsidR="004D2834" w:rsidRPr="00DF31F5" w14:paraId="68572CF0" w14:textId="77777777" w:rsidTr="00106D5F">
        <w:tc>
          <w:tcPr>
            <w:tcW w:w="0" w:type="auto"/>
            <w:hideMark/>
          </w:tcPr>
          <w:p w14:paraId="61878C3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2020</w:t>
            </w:r>
          </w:p>
        </w:tc>
        <w:tc>
          <w:tcPr>
            <w:tcW w:w="0" w:type="auto"/>
            <w:hideMark/>
          </w:tcPr>
          <w:p w14:paraId="281AB029"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100</w:t>
            </w:r>
          </w:p>
        </w:tc>
        <w:tc>
          <w:tcPr>
            <w:tcW w:w="0" w:type="auto"/>
            <w:hideMark/>
          </w:tcPr>
          <w:p w14:paraId="22E4E5B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77</w:t>
            </w:r>
          </w:p>
        </w:tc>
        <w:tc>
          <w:tcPr>
            <w:tcW w:w="0" w:type="auto"/>
            <w:hideMark/>
          </w:tcPr>
          <w:p w14:paraId="424E837D"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48</w:t>
            </w:r>
          </w:p>
        </w:tc>
        <w:tc>
          <w:tcPr>
            <w:tcW w:w="3901" w:type="dxa"/>
            <w:hideMark/>
          </w:tcPr>
          <w:p w14:paraId="5917279A"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129</w:t>
            </w:r>
          </w:p>
        </w:tc>
      </w:tr>
      <w:tr w:rsidR="004D2834" w:rsidRPr="00DF31F5" w14:paraId="084B4DD5" w14:textId="77777777" w:rsidTr="00106D5F">
        <w:tc>
          <w:tcPr>
            <w:tcW w:w="0" w:type="auto"/>
            <w:hideMark/>
          </w:tcPr>
          <w:p w14:paraId="7363E5E6"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2021</w:t>
            </w:r>
          </w:p>
        </w:tc>
        <w:tc>
          <w:tcPr>
            <w:tcW w:w="0" w:type="auto"/>
            <w:hideMark/>
          </w:tcPr>
          <w:p w14:paraId="5A77AC47"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114</w:t>
            </w:r>
          </w:p>
        </w:tc>
        <w:tc>
          <w:tcPr>
            <w:tcW w:w="0" w:type="auto"/>
            <w:hideMark/>
          </w:tcPr>
          <w:p w14:paraId="3C190638"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78</w:t>
            </w:r>
          </w:p>
        </w:tc>
        <w:tc>
          <w:tcPr>
            <w:tcW w:w="0" w:type="auto"/>
            <w:hideMark/>
          </w:tcPr>
          <w:p w14:paraId="271077CC"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56</w:t>
            </w:r>
          </w:p>
        </w:tc>
        <w:tc>
          <w:tcPr>
            <w:tcW w:w="3901" w:type="dxa"/>
            <w:hideMark/>
          </w:tcPr>
          <w:p w14:paraId="3DD0A4B3"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136</w:t>
            </w:r>
          </w:p>
        </w:tc>
      </w:tr>
      <w:tr w:rsidR="004D2834" w:rsidRPr="00DF31F5" w14:paraId="683C98A6" w14:textId="77777777" w:rsidTr="00106D5F">
        <w:tc>
          <w:tcPr>
            <w:tcW w:w="0" w:type="auto"/>
            <w:hideMark/>
          </w:tcPr>
          <w:p w14:paraId="4BF59FF2"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2022</w:t>
            </w:r>
          </w:p>
        </w:tc>
        <w:tc>
          <w:tcPr>
            <w:tcW w:w="0" w:type="auto"/>
            <w:hideMark/>
          </w:tcPr>
          <w:p w14:paraId="2905F04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131</w:t>
            </w:r>
          </w:p>
        </w:tc>
        <w:tc>
          <w:tcPr>
            <w:tcW w:w="0" w:type="auto"/>
            <w:hideMark/>
          </w:tcPr>
          <w:p w14:paraId="63DF2303"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75</w:t>
            </w:r>
          </w:p>
        </w:tc>
        <w:tc>
          <w:tcPr>
            <w:tcW w:w="0" w:type="auto"/>
            <w:hideMark/>
          </w:tcPr>
          <w:p w14:paraId="024F20C8"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65</w:t>
            </w:r>
          </w:p>
        </w:tc>
        <w:tc>
          <w:tcPr>
            <w:tcW w:w="3901" w:type="dxa"/>
            <w:hideMark/>
          </w:tcPr>
          <w:p w14:paraId="30A94158"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141</w:t>
            </w:r>
          </w:p>
        </w:tc>
      </w:tr>
      <w:tr w:rsidR="004D2834" w:rsidRPr="00DF31F5" w14:paraId="366F31C0" w14:textId="77777777" w:rsidTr="00106D5F">
        <w:tc>
          <w:tcPr>
            <w:tcW w:w="0" w:type="auto"/>
            <w:hideMark/>
          </w:tcPr>
          <w:p w14:paraId="77B8F450"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2023</w:t>
            </w:r>
          </w:p>
        </w:tc>
        <w:tc>
          <w:tcPr>
            <w:tcW w:w="0" w:type="auto"/>
            <w:hideMark/>
          </w:tcPr>
          <w:p w14:paraId="0D81A35E"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100</w:t>
            </w:r>
          </w:p>
        </w:tc>
        <w:tc>
          <w:tcPr>
            <w:tcW w:w="0" w:type="auto"/>
            <w:hideMark/>
          </w:tcPr>
          <w:p w14:paraId="4164FBD4"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98</w:t>
            </w:r>
          </w:p>
        </w:tc>
        <w:tc>
          <w:tcPr>
            <w:tcW w:w="0" w:type="auto"/>
            <w:hideMark/>
          </w:tcPr>
          <w:p w14:paraId="5A1DD413"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61</w:t>
            </w:r>
          </w:p>
        </w:tc>
        <w:tc>
          <w:tcPr>
            <w:tcW w:w="3901" w:type="dxa"/>
            <w:hideMark/>
          </w:tcPr>
          <w:p w14:paraId="455DB17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137</w:t>
            </w:r>
          </w:p>
        </w:tc>
      </w:tr>
      <w:tr w:rsidR="004D2834" w:rsidRPr="00DF31F5" w14:paraId="3CBB8460" w14:textId="77777777" w:rsidTr="00106D5F">
        <w:tc>
          <w:tcPr>
            <w:tcW w:w="0" w:type="auto"/>
            <w:hideMark/>
          </w:tcPr>
          <w:p w14:paraId="62D459B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2024</w:t>
            </w:r>
          </w:p>
        </w:tc>
        <w:tc>
          <w:tcPr>
            <w:tcW w:w="0" w:type="auto"/>
            <w:hideMark/>
          </w:tcPr>
          <w:p w14:paraId="07824F1F"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103</w:t>
            </w:r>
          </w:p>
        </w:tc>
        <w:tc>
          <w:tcPr>
            <w:tcW w:w="0" w:type="auto"/>
            <w:hideMark/>
          </w:tcPr>
          <w:p w14:paraId="2D220DFD"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105</w:t>
            </w:r>
          </w:p>
        </w:tc>
        <w:tc>
          <w:tcPr>
            <w:tcW w:w="0" w:type="auto"/>
            <w:hideMark/>
          </w:tcPr>
          <w:p w14:paraId="0E7F5F75"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67</w:t>
            </w:r>
          </w:p>
        </w:tc>
        <w:tc>
          <w:tcPr>
            <w:tcW w:w="3901" w:type="dxa"/>
            <w:hideMark/>
          </w:tcPr>
          <w:p w14:paraId="477DB5FD" w14:textId="77777777" w:rsidR="004D2834" w:rsidRPr="00DF31F5" w:rsidRDefault="004D2834" w:rsidP="00DF31F5">
            <w:pPr>
              <w:spacing w:after="160" w:line="360" w:lineRule="auto"/>
              <w:rPr>
                <w:rFonts w:ascii="Arial" w:hAnsi="Arial" w:cs="Arial"/>
                <w:sz w:val="24"/>
                <w:szCs w:val="24"/>
              </w:rPr>
            </w:pPr>
            <w:r w:rsidRPr="00DF31F5">
              <w:rPr>
                <w:rFonts w:ascii="Arial" w:hAnsi="Arial" w:cs="Arial"/>
                <w:sz w:val="24"/>
                <w:szCs w:val="24"/>
              </w:rPr>
              <w:t>141</w:t>
            </w:r>
          </w:p>
        </w:tc>
      </w:tr>
    </w:tbl>
    <w:p w14:paraId="46171A57" w14:textId="77777777" w:rsidR="00106D5F" w:rsidRPr="00DF31F5" w:rsidRDefault="00106D5F" w:rsidP="00DF31F5">
      <w:pPr>
        <w:spacing w:line="360" w:lineRule="auto"/>
        <w:rPr>
          <w:rFonts w:ascii="Arial" w:hAnsi="Arial" w:cs="Arial"/>
          <w:sz w:val="24"/>
          <w:szCs w:val="24"/>
        </w:rPr>
      </w:pPr>
    </w:p>
    <w:p w14:paraId="4CCD7D82"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Since 2021, the CCC has been below 137-141 days, with most of 2024 of 141 days being influenced by the sudden increase in DSO to 105 years. In real life: the sales of 2024 (PS394,879) amount to approximately PS1,082 per day; a -25 day CCC would free up c. PS27bn- essential to service commitments and selective investment planting.</w:t>
      </w:r>
    </w:p>
    <w:p w14:paraId="19F1762C"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3.2 Receivables Management</w:t>
      </w:r>
    </w:p>
    <w:p w14:paraId="55621CB9"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GE receivables grew to PS114.2bn as compared to PS112.3bn, meaning that the percentage of receivables in sales rose to 28.9 as compared to 20.7%. The implication is soft credit, delay of enforcement and/or increase in incidence of dispute of invoices.</w:t>
      </w:r>
    </w:p>
    <w:p w14:paraId="2FF4BA7A"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Recommended actions (impact to be expected):</w:t>
      </w:r>
    </w:p>
    <w:p w14:paraId="5AA2A8EB" w14:textId="4FCF798B"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Credit scoring is automated and exposure to retier customers and adjustment of limits is real-time (Deloitte, 2023).</w:t>
      </w:r>
    </w:p>
    <w:p w14:paraId="0AC2E113"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Grade risk positions- tighten up credit to high risk accounts, keep competitive terms with prime customers, and resort to dynamic discounting to encourage early payment (McKinsey, 2024).</w:t>
      </w:r>
    </w:p>
    <w:p w14:paraId="38EB3A77" w14:textId="0C328FCA"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E-invoicing to ensure PO/GR matching to minimize the dispute rates; a special dispute-resolution center with strict cycle-time objectives.</w:t>
      </w:r>
    </w:p>
    <w:p w14:paraId="332EC9FD" w14:textId="2EC239F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t>Monday weekly "Top 100" accounts collection meeting inclusive of ageing targets and personal owner responsibility.</w:t>
      </w:r>
    </w:p>
    <w:p w14:paraId="2507B1D3" w14:textId="77777777" w:rsidR="00C00EFF" w:rsidRPr="00DF31F5" w:rsidRDefault="00C00EFF" w:rsidP="00DF31F5">
      <w:pPr>
        <w:spacing w:line="360" w:lineRule="auto"/>
        <w:rPr>
          <w:rFonts w:ascii="Arial" w:hAnsi="Arial" w:cs="Arial"/>
          <w:sz w:val="24"/>
          <w:szCs w:val="24"/>
        </w:rPr>
      </w:pPr>
      <w:r w:rsidRPr="00DF31F5">
        <w:rPr>
          <w:rFonts w:ascii="Arial" w:hAnsi="Arial" w:cs="Arial"/>
          <w:sz w:val="24"/>
          <w:szCs w:val="24"/>
        </w:rPr>
        <w:lastRenderedPageBreak/>
        <w:t>Aim: reduced DSO of 20-25 days within 9-12 months, which leaves around PS21-27bn of cash out.</w:t>
      </w:r>
    </w:p>
    <w:p w14:paraId="3B4C56D0"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3.3 Inventory Management</w:t>
      </w:r>
    </w:p>
    <w:p w14:paraId="56882D35"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The balance in inventory dropped to c. PS79bn in 2024 as compared to c. PS140bn in 2022, but much of the headache is accounted by write-downs and lower output, rather than lasting efficiency. The turnover is 3.5x, which is lower than the norms within the sector (PwC, 2024).</w:t>
      </w:r>
    </w:p>
    <w:p w14:paraId="413B1E53"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Proposed levers:</w:t>
      </w:r>
    </w:p>
    <w:p w14:paraId="1407285A" w14:textId="329534CE" w:rsidR="005708DA" w:rsidRPr="00DF31F5" w:rsidRDefault="005708DA" w:rsidP="00DF31F5">
      <w:pPr>
        <w:spacing w:line="360" w:lineRule="auto"/>
        <w:ind w:left="720"/>
        <w:rPr>
          <w:rFonts w:ascii="Arial" w:hAnsi="Arial" w:cs="Arial"/>
          <w:sz w:val="24"/>
          <w:szCs w:val="24"/>
        </w:rPr>
      </w:pPr>
      <w:r w:rsidRPr="00DF31F5">
        <w:rPr>
          <w:rFonts w:ascii="Arial" w:hAnsi="Arial" w:cs="Arial"/>
          <w:sz w:val="24"/>
          <w:szCs w:val="24"/>
        </w:rPr>
        <w:t>Lean implementation (e.g., SMED to minimise setup times, smaller batch runs, pull signals to fast movers) were brought into line with the variability of the demand (Christopher, 2016).</w:t>
      </w:r>
    </w:p>
    <w:p w14:paraId="71A3C222" w14:textId="211796C2" w:rsidR="005708DA" w:rsidRPr="00DF31F5" w:rsidRDefault="005708DA" w:rsidP="00DF31F5">
      <w:pPr>
        <w:spacing w:line="360" w:lineRule="auto"/>
        <w:ind w:left="720"/>
        <w:rPr>
          <w:rFonts w:ascii="Arial" w:hAnsi="Arial" w:cs="Arial"/>
          <w:sz w:val="24"/>
          <w:szCs w:val="24"/>
        </w:rPr>
      </w:pPr>
      <w:r w:rsidRPr="00DF31F5">
        <w:rPr>
          <w:rFonts w:ascii="Arial" w:hAnsi="Arial" w:cs="Arial"/>
          <w:sz w:val="24"/>
          <w:szCs w:val="24"/>
        </w:rPr>
        <w:t>Enhance Sales and Operations Planning (S&amp;OP) by including clear cash objectives and trade off matrices balancing the stock positioning with the service level.</w:t>
      </w:r>
    </w:p>
    <w:p w14:paraId="325B9075" w14:textId="20FF54BD" w:rsidR="005708DA" w:rsidRPr="00DF31F5" w:rsidRDefault="005708DA" w:rsidP="00DF31F5">
      <w:pPr>
        <w:spacing w:line="360" w:lineRule="auto"/>
        <w:ind w:left="720"/>
        <w:rPr>
          <w:rFonts w:ascii="Arial" w:hAnsi="Arial" w:cs="Arial"/>
          <w:sz w:val="24"/>
          <w:szCs w:val="24"/>
        </w:rPr>
      </w:pPr>
      <w:r w:rsidRPr="00DF31F5">
        <w:rPr>
          <w:rFonts w:ascii="Arial" w:hAnsi="Arial" w:cs="Arial"/>
          <w:sz w:val="24"/>
          <w:szCs w:val="24"/>
        </w:rPr>
        <w:t>Forecasting use AI to add seasonality effects, promotion lift and cannibalisation effect; add external demand signals to eliminate bias (Accenture, 2024).</w:t>
      </w:r>
    </w:p>
    <w:p w14:paraId="7DC1A6F3" w14:textId="7E629C57" w:rsidR="005708DA" w:rsidRPr="00DF31F5" w:rsidRDefault="005708DA" w:rsidP="00DF31F5">
      <w:pPr>
        <w:spacing w:line="360" w:lineRule="auto"/>
        <w:ind w:left="720"/>
        <w:rPr>
          <w:rFonts w:ascii="Arial" w:hAnsi="Arial" w:cs="Arial"/>
          <w:sz w:val="24"/>
          <w:szCs w:val="24"/>
        </w:rPr>
      </w:pPr>
      <w:r w:rsidRPr="00DF31F5">
        <w:rPr>
          <w:rFonts w:ascii="Arial" w:hAnsi="Arial" w:cs="Arial"/>
          <w:sz w:val="24"/>
          <w:szCs w:val="24"/>
        </w:rPr>
        <w:t>SKU rationalisation SKUs Prune tail SKUs, standardise modules and components to simplify BOMs and decrease WIP and E&amp;O.</w:t>
      </w:r>
    </w:p>
    <w:p w14:paraId="092EBF4D" w14:textId="77777777" w:rsidR="005708DA" w:rsidRPr="00DF31F5" w:rsidRDefault="005708DA" w:rsidP="00DF31F5">
      <w:pPr>
        <w:spacing w:line="360" w:lineRule="auto"/>
        <w:ind w:left="720"/>
        <w:rPr>
          <w:rFonts w:ascii="Arial" w:hAnsi="Arial" w:cs="Arial"/>
          <w:sz w:val="24"/>
          <w:szCs w:val="24"/>
        </w:rPr>
      </w:pPr>
      <w:r w:rsidRPr="00DF31F5">
        <w:rPr>
          <w:rFonts w:ascii="Arial" w:hAnsi="Arial" w:cs="Arial"/>
          <w:sz w:val="24"/>
          <w:szCs w:val="24"/>
        </w:rPr>
        <w:t>Results: shift turnover to 4.5-5.0x within 12-18 months and reduce DIO by 20-30 days, reduce the waste and write-down.</w:t>
      </w:r>
    </w:p>
    <w:p w14:paraId="4DBF3B38"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3.4 Payables and Supplier Relations</w:t>
      </w:r>
    </w:p>
    <w:p w14:paraId="5D3BFD29" w14:textId="77777777" w:rsidR="005708DA" w:rsidRPr="005708DA" w:rsidRDefault="005708DA" w:rsidP="00DF31F5">
      <w:pPr>
        <w:spacing w:line="360" w:lineRule="auto"/>
        <w:rPr>
          <w:rFonts w:ascii="Arial" w:hAnsi="Arial" w:cs="Arial"/>
          <w:sz w:val="24"/>
          <w:szCs w:val="24"/>
        </w:rPr>
      </w:pPr>
      <w:r w:rsidRPr="005708DA">
        <w:rPr>
          <w:rFonts w:ascii="Arial" w:hAnsi="Arial" w:cs="Arial"/>
          <w:sz w:val="24"/>
          <w:szCs w:val="24"/>
        </w:rPr>
        <w:t>DPO increased to 67 days as less accounts payable increased to PS57bn (2023) to PS72bn (2024). Although this helps in temporary liquidity, it is to stretch as a goodwill of suppliers, which is delicate in an industry dependent on specialised components.</w:t>
      </w:r>
    </w:p>
    <w:p w14:paraId="616BF96A" w14:textId="77777777" w:rsidR="005708DA" w:rsidRPr="005708DA" w:rsidRDefault="005708DA" w:rsidP="00DF31F5">
      <w:pPr>
        <w:spacing w:line="360" w:lineRule="auto"/>
        <w:rPr>
          <w:rFonts w:ascii="Arial" w:hAnsi="Arial" w:cs="Arial"/>
          <w:sz w:val="24"/>
          <w:szCs w:val="24"/>
        </w:rPr>
      </w:pPr>
      <w:r w:rsidRPr="005708DA">
        <w:rPr>
          <w:rFonts w:ascii="Arial" w:hAnsi="Arial" w:cs="Arial"/>
          <w:sz w:val="24"/>
          <w:szCs w:val="24"/>
        </w:rPr>
        <w:t>Recommendations:</w:t>
      </w:r>
    </w:p>
    <w:p w14:paraId="064C4A74" w14:textId="5DEC884D"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lastRenderedPageBreak/>
        <w:t>Implement supply chain finance (reverse factoring) to enable strategic suppliers to be paid upfront at reasonable discount rates without GE having to use DPO (EY, 2024).</w:t>
      </w:r>
    </w:p>
    <w:p w14:paraId="37D0E9AE" w14:textId="3BBE116B"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Segment suppliers Negotiate extension of terms with commoditised groups, co-plan with key suppliers (VMI, visibility on 26-week demand) in order to have continuous supply.</w:t>
      </w:r>
    </w:p>
    <w:p w14:paraId="64A1921F" w14:textId="44B3842B"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Present supplier performance scorecards (OTD, NCRs, variability of lead-time, cost-to-serve) and work together on cost-out.</w:t>
      </w:r>
    </w:p>
    <w:p w14:paraId="4B891C9D"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3.5 Working Capital Financing Alternatives.</w:t>
      </w:r>
    </w:p>
    <w:p w14:paraId="661B85FB"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Simultaneously with operational enhancement, flexibility of financing may enhance liquidity:</w:t>
      </w:r>
    </w:p>
    <w:p w14:paraId="48EFCAF2" w14:textId="70B2470E" w:rsidR="005708DA" w:rsidRPr="00DF31F5" w:rsidRDefault="005708DA" w:rsidP="00DF31F5">
      <w:pPr>
        <w:pStyle w:val="ListParagraph"/>
        <w:numPr>
          <w:ilvl w:val="0"/>
          <w:numId w:val="71"/>
        </w:numPr>
        <w:spacing w:line="360" w:lineRule="auto"/>
        <w:rPr>
          <w:rFonts w:ascii="Arial" w:hAnsi="Arial" w:cs="Arial"/>
          <w:sz w:val="24"/>
          <w:szCs w:val="24"/>
        </w:rPr>
      </w:pPr>
      <w:r w:rsidRPr="00DF31F5">
        <w:rPr>
          <w:rFonts w:ascii="Arial" w:hAnsi="Arial" w:cs="Arial"/>
          <w:sz w:val="24"/>
          <w:szCs w:val="24"/>
        </w:rPr>
        <w:t>Short-term solutions: committed revolving credit facilities (RCF), invoice discounting / factoring to get money quick on the receivables, and short-term overdraft lines (KPMG, 2023).</w:t>
      </w:r>
    </w:p>
    <w:p w14:paraId="32497ACF" w14:textId="0FFCCF88" w:rsidR="005708DA" w:rsidRPr="00DF31F5" w:rsidRDefault="005708DA" w:rsidP="00DF31F5">
      <w:pPr>
        <w:pStyle w:val="ListParagraph"/>
        <w:numPr>
          <w:ilvl w:val="0"/>
          <w:numId w:val="71"/>
        </w:numPr>
        <w:spacing w:line="360" w:lineRule="auto"/>
        <w:rPr>
          <w:rFonts w:ascii="Arial" w:hAnsi="Arial" w:cs="Arial"/>
          <w:sz w:val="24"/>
          <w:szCs w:val="24"/>
        </w:rPr>
      </w:pPr>
      <w:r w:rsidRPr="00DF31F5">
        <w:rPr>
          <w:rFonts w:ascii="Arial" w:hAnsi="Arial" w:cs="Arial"/>
          <w:sz w:val="24"/>
          <w:szCs w:val="24"/>
        </w:rPr>
        <w:t>Medium-term: transformation milestones-term loans; convertible debt to minimize interest on cash; and such things as equity issuance as warranted to repair the balance sheet.</w:t>
      </w:r>
    </w:p>
    <w:p w14:paraId="47F92952" w14:textId="067D4CED" w:rsidR="005708DA" w:rsidRPr="00DF31F5" w:rsidRDefault="005708DA" w:rsidP="00DF31F5">
      <w:pPr>
        <w:pStyle w:val="ListParagraph"/>
        <w:numPr>
          <w:ilvl w:val="0"/>
          <w:numId w:val="71"/>
        </w:numPr>
        <w:spacing w:line="360" w:lineRule="auto"/>
        <w:rPr>
          <w:rFonts w:ascii="Arial" w:hAnsi="Arial" w:cs="Arial"/>
          <w:sz w:val="24"/>
          <w:szCs w:val="24"/>
        </w:rPr>
      </w:pPr>
      <w:r w:rsidRPr="00DF31F5">
        <w:rPr>
          <w:rFonts w:ascii="Arial" w:hAnsi="Arial" w:cs="Arial"/>
          <w:sz w:val="24"/>
          <w:szCs w:val="24"/>
        </w:rPr>
        <w:t>Centralised treasury and cash pooling of the treasury and standardisation of intercompany settlements in order to minimise idle or trapped cash.</w:t>
      </w:r>
    </w:p>
    <w:p w14:paraId="3CB30BA0"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3.6 Reforms in Recommended Working Capital.</w:t>
      </w:r>
    </w:p>
    <w:p w14:paraId="3BD1D4FD"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Priority actions:</w:t>
      </w:r>
    </w:p>
    <w:p w14:paraId="7BE4BBE8"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Receivables: behavioural credit analytics; differentiated terms; early-payment incentives; weekly large-account governance.</w:t>
      </w:r>
    </w:p>
    <w:p w14:paraId="1109B6DC" w14:textId="77777777" w:rsidR="005708DA" w:rsidRPr="00DF31F5" w:rsidRDefault="005708DA" w:rsidP="00DF31F5">
      <w:pPr>
        <w:pStyle w:val="ListParagraph"/>
        <w:numPr>
          <w:ilvl w:val="0"/>
          <w:numId w:val="73"/>
        </w:numPr>
        <w:spacing w:line="360" w:lineRule="auto"/>
        <w:rPr>
          <w:rFonts w:ascii="Arial" w:hAnsi="Arial" w:cs="Arial"/>
          <w:sz w:val="24"/>
          <w:szCs w:val="24"/>
        </w:rPr>
      </w:pPr>
      <w:r w:rsidRPr="00DF31F5">
        <w:rPr>
          <w:rFonts w:ascii="Arial" w:hAnsi="Arial" w:cs="Arial"/>
          <w:sz w:val="24"/>
          <w:szCs w:val="24"/>
        </w:rPr>
        <w:t>Inventory: Artificial intelligence demand prediction; lean replenishment; simplified SKU; cash sensitive S&amp;OP.</w:t>
      </w:r>
    </w:p>
    <w:p w14:paraId="3CB8C7E6" w14:textId="77777777" w:rsidR="005708DA" w:rsidRPr="00DF31F5" w:rsidRDefault="005708DA" w:rsidP="00DF31F5">
      <w:pPr>
        <w:pStyle w:val="ListParagraph"/>
        <w:numPr>
          <w:ilvl w:val="0"/>
          <w:numId w:val="73"/>
        </w:numPr>
        <w:spacing w:line="360" w:lineRule="auto"/>
        <w:rPr>
          <w:rFonts w:ascii="Arial" w:hAnsi="Arial" w:cs="Arial"/>
          <w:sz w:val="24"/>
          <w:szCs w:val="24"/>
        </w:rPr>
      </w:pPr>
      <w:r w:rsidRPr="00DF31F5">
        <w:rPr>
          <w:rFonts w:ascii="Arial" w:hAnsi="Arial" w:cs="Arial"/>
          <w:sz w:val="24"/>
          <w:szCs w:val="24"/>
        </w:rPr>
        <w:t>Payables: tier-1 supplier finance; non-critical input structured term extensions; supplier risk management and performance management.</w:t>
      </w:r>
    </w:p>
    <w:p w14:paraId="17D9A251" w14:textId="77777777" w:rsidR="005708DA" w:rsidRPr="00DF31F5" w:rsidRDefault="005708DA" w:rsidP="00DF31F5">
      <w:pPr>
        <w:pStyle w:val="ListParagraph"/>
        <w:numPr>
          <w:ilvl w:val="0"/>
          <w:numId w:val="73"/>
        </w:numPr>
        <w:spacing w:line="360" w:lineRule="auto"/>
        <w:rPr>
          <w:rFonts w:ascii="Arial" w:hAnsi="Arial" w:cs="Arial"/>
          <w:sz w:val="24"/>
          <w:szCs w:val="24"/>
        </w:rPr>
      </w:pPr>
      <w:r w:rsidRPr="00DF31F5">
        <w:rPr>
          <w:rFonts w:ascii="Arial" w:hAnsi="Arial" w:cs="Arial"/>
          <w:sz w:val="24"/>
          <w:szCs w:val="24"/>
        </w:rPr>
        <w:t>Cash forecasting: establish a 13-week rolling cash model including scenarios and weekly reconciliation (Grant Thornton, 2023).</w:t>
      </w:r>
    </w:p>
    <w:p w14:paraId="1334B626" w14:textId="77777777" w:rsidR="005708DA" w:rsidRPr="00DF31F5" w:rsidRDefault="005708DA" w:rsidP="00DF31F5">
      <w:pPr>
        <w:pStyle w:val="ListParagraph"/>
        <w:numPr>
          <w:ilvl w:val="0"/>
          <w:numId w:val="73"/>
        </w:numPr>
        <w:spacing w:line="360" w:lineRule="auto"/>
        <w:rPr>
          <w:rFonts w:ascii="Arial" w:hAnsi="Arial" w:cs="Arial"/>
          <w:sz w:val="24"/>
          <w:szCs w:val="24"/>
        </w:rPr>
      </w:pPr>
      <w:r w:rsidRPr="00DF31F5">
        <w:rPr>
          <w:rFonts w:ascii="Arial" w:hAnsi="Arial" w:cs="Arial"/>
          <w:sz w:val="24"/>
          <w:szCs w:val="24"/>
        </w:rPr>
        <w:lastRenderedPageBreak/>
        <w:t>Combined effect: compress CCC by 25-30 days, which will release approximately PS25-30bn of liquidity to debt payments and capex accretive to values.</w:t>
      </w:r>
    </w:p>
    <w:p w14:paraId="683C9689"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3.7 Strategic Implications</w:t>
      </w:r>
    </w:p>
    <w:p w14:paraId="645FD55C" w14:textId="7767F19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A shorter cash cycle helps with the payments on time to suppliers, lower costs of borrowed funds and develops a cushion on demand fluctuations. In addition, apparent cash discipline, notably a regular 13 week forecasting procedure, reinforces investor and lender trust. Neutralisation of currency risks and inflation risks that otherwise undermine earnings will be feasible by use of global cash management and hedging (World Bank, 2024).</w:t>
      </w:r>
    </w:p>
    <w:p w14:paraId="4BBCF9B3" w14:textId="77777777" w:rsidR="004D2834" w:rsidRPr="00DF31F5" w:rsidRDefault="004D2834" w:rsidP="00DF31F5">
      <w:pPr>
        <w:numPr>
          <w:ilvl w:val="0"/>
          <w:numId w:val="19"/>
        </w:numPr>
        <w:spacing w:line="360" w:lineRule="auto"/>
        <w:rPr>
          <w:rFonts w:ascii="Arial" w:hAnsi="Arial" w:cs="Arial"/>
          <w:sz w:val="24"/>
          <w:szCs w:val="24"/>
        </w:rPr>
      </w:pPr>
      <w:r w:rsidRPr="00DF31F5">
        <w:rPr>
          <w:rFonts w:ascii="Arial" w:hAnsi="Arial" w:cs="Arial"/>
          <w:sz w:val="24"/>
          <w:szCs w:val="24"/>
        </w:rPr>
        <w:t>Strategic Financial Restructuring Plan</w:t>
      </w:r>
    </w:p>
    <w:p w14:paraId="2BC41C2D"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4.1 Overview</w:t>
      </w:r>
    </w:p>
    <w:p w14:paraId="5FAA3AFF"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The restructuring will have the effect of regaining solvency headroom, lowering the cost of capital of GE, and providing it with the ability to selective growth (Altman and Hotchkiss, 2020). GE is currently over-levered (D/E 1.11), negative interest coverage and has lost retained earnings-a combination that is not sustainable. The strategy entails the assets portfolio, the liabilities management, the equity recapitalisation, and the target alliances, which are governed by a strict sense of governance and ethics.</w:t>
      </w:r>
    </w:p>
    <w:p w14:paraId="7691F39D"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a) Debt Restructuring</w:t>
      </w:r>
    </w:p>
    <w:p w14:paraId="583BBF7A"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Give out maturities back to match the cash outflows with the anticipated operating cash flow; sign grace periods based on operational milestones (IMF, 2024).</w:t>
      </w:r>
    </w:p>
    <w:p w14:paraId="072D8576"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Request a decrease in margin and maximise fixed/floating rate mix in order to stabilize cash interest.</w:t>
      </w:r>
    </w:p>
    <w:p w14:paraId="7865C70C"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Carry out a balance sheet debt-to-equity swap of about PS20bn to cut D/E to around 0.9 enhancing solvency and headroom on covenants.</w:t>
      </w:r>
    </w:p>
    <w:p w14:paraId="739206A0"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Issue the convertible bonds at a reduced cash interest now with a possible upside to the investor (Damodaran, 2023).</w:t>
      </w:r>
    </w:p>
    <w:p w14:paraId="44151E49"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lastRenderedPageBreak/>
        <w:t>Success factors: open communication with the lenders, KPI dashboards every month (CCC, EBITDA, capex), and concessions made on the milestones reached.</w:t>
      </w:r>
    </w:p>
    <w:p w14:paraId="7937C197"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b) Equity Recapitalisation</w:t>
      </w:r>
    </w:p>
    <w:p w14:paraId="6B0AAD59"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Issue rights when there are signs of early turnover victory (e.g. signed maturity extension, initial cost saving). A 1bn-share issue at PS10 would amount to a raise of about PS10bn.</w:t>
      </w:r>
    </w:p>
    <w:p w14:paraId="13A913F7"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Use will continue to retire high cost debt, normalise the working capital and co-fund early payback investments.</w:t>
      </w:r>
    </w:p>
    <w:p w14:paraId="586F9C1B"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The rights structure maintains proportionate ownership as well as indicating long-term commitment (EY, 2024).</w:t>
      </w:r>
    </w:p>
    <w:p w14:paraId="4CC4AC8C"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Reason: the decrease of leverage and cash flow stabilisation decreases WACC in favour of enterprise value (Modigliani and Miller, 1963; Brigham and Ehrhardt, 2022).</w:t>
      </w:r>
    </w:p>
    <w:p w14:paraId="301C508D"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c) Asset Divestiture</w:t>
      </w:r>
    </w:p>
    <w:p w14:paraId="494AF4F5"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Divest non-core or structurally low-margin businesses- especially old appliances- to ease operations and increase PS15-20bn (McKinsey &amp; Company, 2024).</w:t>
      </w:r>
    </w:p>
    <w:p w14:paraId="5BA43CA2"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Favour structured deals (carve-outs, JVs, earn-outs) as much as possible to gain maximum proceeds and minimise execution risk.</w:t>
      </w:r>
    </w:p>
    <w:p w14:paraId="46B706B1"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Move capital to areas with more growth and higher margins such as smart devices, components associated with renewable, and digital services.</w:t>
      </w:r>
    </w:p>
    <w:p w14:paraId="76888718"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Moral issues: reskilling and redeployment, equal parting and environmental management to preserve reputation and social licence.</w:t>
      </w:r>
    </w:p>
    <w:p w14:paraId="6EB398E7"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d) Mergers and Strategic Alliances.</w:t>
      </w:r>
    </w:p>
    <w:p w14:paraId="45342B22" w14:textId="77777777" w:rsidR="00DF31F5" w:rsidRPr="00DF31F5" w:rsidRDefault="00DF31F5" w:rsidP="00DF31F5">
      <w:pPr>
        <w:spacing w:line="360" w:lineRule="auto"/>
        <w:rPr>
          <w:rFonts w:ascii="Arial" w:hAnsi="Arial" w:cs="Arial"/>
          <w:sz w:val="24"/>
          <w:szCs w:val="24"/>
        </w:rPr>
      </w:pPr>
      <w:r w:rsidRPr="00DF31F5">
        <w:rPr>
          <w:rFonts w:ascii="Arial" w:hAnsi="Arial" w:cs="Arial"/>
          <w:sz w:val="24"/>
          <w:szCs w:val="24"/>
        </w:rPr>
        <w:t>Uses semiconductor and software partners to enter into a form of partnership to access IP and speed up the innovation and risk sharing (KPMG, 2023).</w:t>
      </w:r>
    </w:p>
    <w:p w14:paraId="778AAF51" w14:textId="54225C1A"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Take into account such minor interests or JVs where control is unnecessary, taking advantage of external ecosystems and paths.</w:t>
      </w:r>
    </w:p>
    <w:p w14:paraId="1E74A15A"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Selectively do bolt-on takeovers, with definite integration strategies and culture compatibility in order to gain synergies.</w:t>
      </w:r>
    </w:p>
    <w:p w14:paraId="7B5EB4F6"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lastRenderedPageBreak/>
        <w:t>Presenter: Olicia Goldsmith, Goldsmith &amp; Kline, consultant and researcher, The Economics of Service and Delivery, 2020.</w:t>
      </w:r>
    </w:p>
    <w:p w14:paraId="7B513534"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4.3 Ethical and Global Concerns.</w:t>
      </w:r>
    </w:p>
    <w:p w14:paraId="75730532"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The restructuring should strike a balance between the financial and the social responsibilities (Carroll, 2016; UN Global Compact, 2023):</w:t>
      </w:r>
    </w:p>
    <w:p w14:paraId="589B525D"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People: in cases where possible, reskilling and reassignment is preferable to layoffs; fair treatment and community support.</w:t>
      </w:r>
    </w:p>
    <w:p w14:paraId="04957BB3" w14:textId="77777777" w:rsidR="00DF31F5" w:rsidRPr="00DF31F5" w:rsidRDefault="00DF31F5" w:rsidP="00DF31F5">
      <w:pPr>
        <w:spacing w:line="360" w:lineRule="auto"/>
        <w:rPr>
          <w:rFonts w:ascii="Arial" w:hAnsi="Arial" w:cs="Arial"/>
          <w:sz w:val="24"/>
          <w:szCs w:val="24"/>
        </w:rPr>
      </w:pPr>
      <w:r w:rsidRPr="00DF31F5">
        <w:rPr>
          <w:rFonts w:ascii="Arial" w:hAnsi="Arial" w:cs="Arial"/>
          <w:sz w:val="24"/>
          <w:szCs w:val="24"/>
        </w:rPr>
        <w:t>Tax and transparency: act responsibly in taxes. Disclose more to keep regulatory trust (OECD, 2023).</w:t>
      </w:r>
    </w:p>
    <w:p w14:paraId="5983AF2D"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Risk hygiene Formal FX and interest-rate hedging structures to insure cash flows; diversify supply base to counter geopolitical shocks (World Bank, 2024).</w:t>
      </w:r>
    </w:p>
    <w:p w14:paraId="2BE42A70"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ESG investment: energy efficiency, ethical sourcing, and circularity to align the expectation of the investors as well as mitigate long-run risk (PwC, 2024).</w:t>
      </w:r>
    </w:p>
    <w:p w14:paraId="6B3CE366"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4.4 Shareholder Value Impact</w:t>
      </w:r>
    </w:p>
    <w:p w14:paraId="19ECC2A8"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Equity should be increased which is likely to cause short term dilution, but lower default risk, and better visibility of cash is expected to lower the WACC- which can be about 11.2 per cent to about 9.6 per cent over the plan horizon- increasing the present value of the free cash flows. The fact that credible restructuring announcements that have clear milestones should have positive abnormal returns has been observed in history (FT, 2024). Measures of implementation in three years:</w:t>
      </w:r>
    </w:p>
    <w:p w14:paraId="2AF47196"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ROE of over 8% held by margin recovery, compression of working capitals and portfolio focus.</w:t>
      </w:r>
    </w:p>
    <w:p w14:paraId="7EB65710"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Debt ratio less than 0.9, good and sustainable interest cover.</w:t>
      </w:r>
    </w:p>
    <w:p w14:paraId="3436FD45"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Better access in the market and reduced spreads.</w:t>
      </w:r>
    </w:p>
    <w:p w14:paraId="3C9F0EAB"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4.5 Implementation Roadmap</w:t>
      </w:r>
    </w:p>
    <w:p w14:paraId="3D027E5A"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Phase 1 - Stabilisation (0-6 months)</w:t>
      </w:r>
    </w:p>
    <w:p w14:paraId="23B6206F"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Negotiate maturity and coupons relief; establish a firm RCF.</w:t>
      </w:r>
    </w:p>
    <w:p w14:paraId="1D06FEB8"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lastRenderedPageBreak/>
        <w:t>Erect 13 week cash control tower; initiate factoring/discounting of certain receivables.</w:t>
      </w:r>
    </w:p>
    <w:p w14:paraId="2C36F928" w14:textId="77777777" w:rsidR="00DF31F5" w:rsidRPr="00DF31F5" w:rsidRDefault="00DF31F5" w:rsidP="00DF31F5">
      <w:pPr>
        <w:spacing w:line="360" w:lineRule="auto"/>
        <w:rPr>
          <w:rFonts w:ascii="Arial" w:hAnsi="Arial" w:cs="Arial"/>
          <w:sz w:val="24"/>
          <w:szCs w:val="24"/>
        </w:rPr>
      </w:pPr>
      <w:r w:rsidRPr="00DF31F5">
        <w:rPr>
          <w:rFonts w:ascii="Arial" w:hAnsi="Arial" w:cs="Arial"/>
          <w:sz w:val="24"/>
          <w:szCs w:val="24"/>
        </w:rPr>
        <w:t>Hold non essential capex, Implement cost out sprints (SG&amp;A, indirect procurement).</w:t>
      </w:r>
    </w:p>
    <w:p w14:paraId="6B721CD1" w14:textId="2077BA68"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Installation of DSO "war room" and SKU rationalisation.</w:t>
      </w:r>
    </w:p>
    <w:p w14:paraId="13C878BC"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Phase 2- recapitalisation (6-18 months)</w:t>
      </w:r>
    </w:p>
    <w:p w14:paraId="0CCC930D"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Whole debt-to-equity swap; issue convertibles.</w:t>
      </w:r>
    </w:p>
    <w:p w14:paraId="1F320987"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Carry out rights issue after first victories; ringfence carries out deleverage and stabilise working capital.</w:t>
      </w:r>
    </w:p>
    <w:p w14:paraId="5DA45589"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Bring on divestitures through value-accrete frameworks.</w:t>
      </w:r>
    </w:p>
    <w:p w14:paraId="04724C47"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Phase 3- Strategic Renewal (18-36 months)</w:t>
      </w:r>
    </w:p>
    <w:p w14:paraId="2FE4FBA9"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Form tech alliances, select JVs; shift R&amp;D to more related, services enabled products.</w:t>
      </w:r>
    </w:p>
    <w:p w14:paraId="7E976140"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Make performance scorecards based on CCC, margin, ROIC, and ESG outcomes dependent on incentives.</w:t>
      </w:r>
    </w:p>
    <w:p w14:paraId="107AD2CF"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Look at dividends paid back to investors when leverage and coverage ratios reach a point.</w:t>
      </w:r>
    </w:p>
    <w:p w14:paraId="52F5FABB"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5.0 Investment Appraisal and Capital Budgeting.</w:t>
      </w:r>
    </w:p>
    <w:p w14:paraId="41A0C63A"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General Electronics (GE) is now in a dire financial situation after years of too much leveraging and lost margins. Capital discipline is of paramount importance in this climate. GE has a tight investment ceiling of PS60 million so the company has to focus on the projects, which would provide not only strong financial outcomes, but also support the overall restructuring plan of the firm, which includes liquidity recovery, digital transformation, and sustainable competitiveness. The investment estimated uses the conventional capital budgeting methods such as Payback Period (PBP), Accounting rate of Return (ARR), Net Present Value (NPV), Internal rate of Return (IRR), and Profitability Index (PI) at a discount rate of 10% that is the current weighted average cost of capital of the firm (Damodaran, 2023; Brigham and Ehrhardt, 2022).</w:t>
      </w:r>
    </w:p>
    <w:p w14:paraId="4FE1874B" w14:textId="77777777" w:rsidR="005708DA" w:rsidRPr="00DF31F5" w:rsidRDefault="005708DA" w:rsidP="00DF31F5">
      <w:pPr>
        <w:spacing w:line="360" w:lineRule="auto"/>
        <w:rPr>
          <w:rFonts w:ascii="Arial" w:hAnsi="Arial" w:cs="Arial"/>
          <w:sz w:val="24"/>
          <w:szCs w:val="24"/>
        </w:rPr>
      </w:pPr>
      <w:r w:rsidRPr="00DF31F5">
        <w:rPr>
          <w:rFonts w:ascii="Arial" w:hAnsi="Arial" w:cs="Arial"/>
          <w:sz w:val="24"/>
          <w:szCs w:val="24"/>
        </w:rPr>
        <w:t>There are three investment proposals shortlisted:</w:t>
      </w:r>
    </w:p>
    <w:p w14:paraId="4ECB208A" w14:textId="141EA44E" w:rsidR="00106D5F" w:rsidRPr="00DF31F5" w:rsidRDefault="00106D5F" w:rsidP="00DF31F5">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030"/>
        <w:gridCol w:w="2750"/>
        <w:gridCol w:w="937"/>
        <w:gridCol w:w="937"/>
        <w:gridCol w:w="937"/>
        <w:gridCol w:w="937"/>
        <w:gridCol w:w="937"/>
      </w:tblGrid>
      <w:tr w:rsidR="00106D5F" w:rsidRPr="00DF31F5" w14:paraId="692E2F98" w14:textId="77777777" w:rsidTr="00106D5F">
        <w:tc>
          <w:tcPr>
            <w:tcW w:w="0" w:type="auto"/>
            <w:hideMark/>
          </w:tcPr>
          <w:p w14:paraId="61AC1E87" w14:textId="77777777" w:rsidR="00106D5F" w:rsidRPr="00DF31F5" w:rsidRDefault="00106D5F" w:rsidP="00DF31F5">
            <w:pPr>
              <w:spacing w:after="160" w:line="360" w:lineRule="auto"/>
              <w:rPr>
                <w:rFonts w:ascii="Arial" w:hAnsi="Arial" w:cs="Arial"/>
                <w:b/>
                <w:bCs/>
                <w:sz w:val="24"/>
                <w:szCs w:val="24"/>
              </w:rPr>
            </w:pPr>
            <w:r w:rsidRPr="00DF31F5">
              <w:rPr>
                <w:rFonts w:ascii="Arial" w:hAnsi="Arial" w:cs="Arial"/>
                <w:b/>
                <w:bCs/>
                <w:sz w:val="24"/>
                <w:szCs w:val="24"/>
              </w:rPr>
              <w:t>Project</w:t>
            </w:r>
          </w:p>
        </w:tc>
        <w:tc>
          <w:tcPr>
            <w:tcW w:w="0" w:type="auto"/>
            <w:hideMark/>
          </w:tcPr>
          <w:p w14:paraId="231C1D6D" w14:textId="77777777" w:rsidR="00106D5F" w:rsidRPr="00DF31F5" w:rsidRDefault="00106D5F" w:rsidP="00DF31F5">
            <w:pPr>
              <w:spacing w:after="160" w:line="360" w:lineRule="auto"/>
              <w:rPr>
                <w:rFonts w:ascii="Arial" w:hAnsi="Arial" w:cs="Arial"/>
                <w:b/>
                <w:bCs/>
                <w:sz w:val="24"/>
                <w:szCs w:val="24"/>
              </w:rPr>
            </w:pPr>
            <w:r w:rsidRPr="00DF31F5">
              <w:rPr>
                <w:rFonts w:ascii="Arial" w:hAnsi="Arial" w:cs="Arial"/>
                <w:b/>
                <w:bCs/>
                <w:sz w:val="24"/>
                <w:szCs w:val="24"/>
              </w:rPr>
              <w:t>Initial Investment (£m)</w:t>
            </w:r>
          </w:p>
        </w:tc>
        <w:tc>
          <w:tcPr>
            <w:tcW w:w="0" w:type="auto"/>
            <w:hideMark/>
          </w:tcPr>
          <w:p w14:paraId="08A1A628" w14:textId="77777777" w:rsidR="00106D5F" w:rsidRPr="00DF31F5" w:rsidRDefault="00106D5F" w:rsidP="00DF31F5">
            <w:pPr>
              <w:spacing w:after="160" w:line="360" w:lineRule="auto"/>
              <w:rPr>
                <w:rFonts w:ascii="Arial" w:hAnsi="Arial" w:cs="Arial"/>
                <w:b/>
                <w:bCs/>
                <w:sz w:val="24"/>
                <w:szCs w:val="24"/>
              </w:rPr>
            </w:pPr>
            <w:r w:rsidRPr="00DF31F5">
              <w:rPr>
                <w:rFonts w:ascii="Arial" w:hAnsi="Arial" w:cs="Arial"/>
                <w:b/>
                <w:bCs/>
                <w:sz w:val="24"/>
                <w:szCs w:val="24"/>
              </w:rPr>
              <w:t>Year 1</w:t>
            </w:r>
          </w:p>
        </w:tc>
        <w:tc>
          <w:tcPr>
            <w:tcW w:w="0" w:type="auto"/>
            <w:hideMark/>
          </w:tcPr>
          <w:p w14:paraId="3C7011EA" w14:textId="77777777" w:rsidR="00106D5F" w:rsidRPr="00DF31F5" w:rsidRDefault="00106D5F" w:rsidP="00DF31F5">
            <w:pPr>
              <w:spacing w:after="160" w:line="360" w:lineRule="auto"/>
              <w:rPr>
                <w:rFonts w:ascii="Arial" w:hAnsi="Arial" w:cs="Arial"/>
                <w:b/>
                <w:bCs/>
                <w:sz w:val="24"/>
                <w:szCs w:val="24"/>
              </w:rPr>
            </w:pPr>
            <w:r w:rsidRPr="00DF31F5">
              <w:rPr>
                <w:rFonts w:ascii="Arial" w:hAnsi="Arial" w:cs="Arial"/>
                <w:b/>
                <w:bCs/>
                <w:sz w:val="24"/>
                <w:szCs w:val="24"/>
              </w:rPr>
              <w:t>Year 2</w:t>
            </w:r>
          </w:p>
        </w:tc>
        <w:tc>
          <w:tcPr>
            <w:tcW w:w="0" w:type="auto"/>
            <w:hideMark/>
          </w:tcPr>
          <w:p w14:paraId="326C1F7E" w14:textId="77777777" w:rsidR="00106D5F" w:rsidRPr="00DF31F5" w:rsidRDefault="00106D5F" w:rsidP="00DF31F5">
            <w:pPr>
              <w:spacing w:after="160" w:line="360" w:lineRule="auto"/>
              <w:rPr>
                <w:rFonts w:ascii="Arial" w:hAnsi="Arial" w:cs="Arial"/>
                <w:b/>
                <w:bCs/>
                <w:sz w:val="24"/>
                <w:szCs w:val="24"/>
              </w:rPr>
            </w:pPr>
            <w:r w:rsidRPr="00DF31F5">
              <w:rPr>
                <w:rFonts w:ascii="Arial" w:hAnsi="Arial" w:cs="Arial"/>
                <w:b/>
                <w:bCs/>
                <w:sz w:val="24"/>
                <w:szCs w:val="24"/>
              </w:rPr>
              <w:t>Year 3</w:t>
            </w:r>
          </w:p>
        </w:tc>
        <w:tc>
          <w:tcPr>
            <w:tcW w:w="0" w:type="auto"/>
            <w:hideMark/>
          </w:tcPr>
          <w:p w14:paraId="7900E44F" w14:textId="77777777" w:rsidR="00106D5F" w:rsidRPr="00DF31F5" w:rsidRDefault="00106D5F" w:rsidP="00DF31F5">
            <w:pPr>
              <w:spacing w:after="160" w:line="360" w:lineRule="auto"/>
              <w:rPr>
                <w:rFonts w:ascii="Arial" w:hAnsi="Arial" w:cs="Arial"/>
                <w:b/>
                <w:bCs/>
                <w:sz w:val="24"/>
                <w:szCs w:val="24"/>
              </w:rPr>
            </w:pPr>
            <w:r w:rsidRPr="00DF31F5">
              <w:rPr>
                <w:rFonts w:ascii="Arial" w:hAnsi="Arial" w:cs="Arial"/>
                <w:b/>
                <w:bCs/>
                <w:sz w:val="24"/>
                <w:szCs w:val="24"/>
              </w:rPr>
              <w:t>Year 4</w:t>
            </w:r>
          </w:p>
        </w:tc>
        <w:tc>
          <w:tcPr>
            <w:tcW w:w="0" w:type="auto"/>
            <w:hideMark/>
          </w:tcPr>
          <w:p w14:paraId="3243AC1A" w14:textId="77777777" w:rsidR="00106D5F" w:rsidRPr="00DF31F5" w:rsidRDefault="00106D5F" w:rsidP="00DF31F5">
            <w:pPr>
              <w:spacing w:after="160" w:line="360" w:lineRule="auto"/>
              <w:rPr>
                <w:rFonts w:ascii="Arial" w:hAnsi="Arial" w:cs="Arial"/>
                <w:b/>
                <w:bCs/>
                <w:sz w:val="24"/>
                <w:szCs w:val="24"/>
              </w:rPr>
            </w:pPr>
            <w:r w:rsidRPr="00DF31F5">
              <w:rPr>
                <w:rFonts w:ascii="Arial" w:hAnsi="Arial" w:cs="Arial"/>
                <w:b/>
                <w:bCs/>
                <w:sz w:val="24"/>
                <w:szCs w:val="24"/>
              </w:rPr>
              <w:t>Year 5</w:t>
            </w:r>
          </w:p>
        </w:tc>
      </w:tr>
      <w:tr w:rsidR="00106D5F" w:rsidRPr="00DF31F5" w14:paraId="13B33504" w14:textId="77777777" w:rsidTr="00106D5F">
        <w:tc>
          <w:tcPr>
            <w:tcW w:w="0" w:type="auto"/>
            <w:hideMark/>
          </w:tcPr>
          <w:p w14:paraId="2BE4C55E"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A</w:t>
            </w:r>
          </w:p>
        </w:tc>
        <w:tc>
          <w:tcPr>
            <w:tcW w:w="0" w:type="auto"/>
            <w:hideMark/>
          </w:tcPr>
          <w:p w14:paraId="02747740"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40</w:t>
            </w:r>
          </w:p>
        </w:tc>
        <w:tc>
          <w:tcPr>
            <w:tcW w:w="0" w:type="auto"/>
            <w:hideMark/>
          </w:tcPr>
          <w:p w14:paraId="490F8C65"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10</w:t>
            </w:r>
          </w:p>
        </w:tc>
        <w:tc>
          <w:tcPr>
            <w:tcW w:w="0" w:type="auto"/>
            <w:hideMark/>
          </w:tcPr>
          <w:p w14:paraId="7489D6BB"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12</w:t>
            </w:r>
          </w:p>
        </w:tc>
        <w:tc>
          <w:tcPr>
            <w:tcW w:w="0" w:type="auto"/>
            <w:hideMark/>
          </w:tcPr>
          <w:p w14:paraId="66FFC52F"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14</w:t>
            </w:r>
          </w:p>
        </w:tc>
        <w:tc>
          <w:tcPr>
            <w:tcW w:w="0" w:type="auto"/>
            <w:hideMark/>
          </w:tcPr>
          <w:p w14:paraId="7D3C82A6"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10</w:t>
            </w:r>
          </w:p>
        </w:tc>
        <w:tc>
          <w:tcPr>
            <w:tcW w:w="0" w:type="auto"/>
            <w:hideMark/>
          </w:tcPr>
          <w:p w14:paraId="156D0DB2"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8</w:t>
            </w:r>
          </w:p>
        </w:tc>
      </w:tr>
      <w:tr w:rsidR="00106D5F" w:rsidRPr="00DF31F5" w14:paraId="4BF2B4A3" w14:textId="77777777" w:rsidTr="00106D5F">
        <w:tc>
          <w:tcPr>
            <w:tcW w:w="0" w:type="auto"/>
            <w:hideMark/>
          </w:tcPr>
          <w:p w14:paraId="5D059BA4"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B</w:t>
            </w:r>
          </w:p>
        </w:tc>
        <w:tc>
          <w:tcPr>
            <w:tcW w:w="0" w:type="auto"/>
            <w:hideMark/>
          </w:tcPr>
          <w:p w14:paraId="3B30BD77"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30</w:t>
            </w:r>
          </w:p>
        </w:tc>
        <w:tc>
          <w:tcPr>
            <w:tcW w:w="0" w:type="auto"/>
            <w:hideMark/>
          </w:tcPr>
          <w:p w14:paraId="57E164BB"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6</w:t>
            </w:r>
          </w:p>
        </w:tc>
        <w:tc>
          <w:tcPr>
            <w:tcW w:w="0" w:type="auto"/>
            <w:hideMark/>
          </w:tcPr>
          <w:p w14:paraId="7CE2465A"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6</w:t>
            </w:r>
          </w:p>
        </w:tc>
        <w:tc>
          <w:tcPr>
            <w:tcW w:w="0" w:type="auto"/>
            <w:hideMark/>
          </w:tcPr>
          <w:p w14:paraId="0FB1E488"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6</w:t>
            </w:r>
          </w:p>
        </w:tc>
        <w:tc>
          <w:tcPr>
            <w:tcW w:w="0" w:type="auto"/>
            <w:hideMark/>
          </w:tcPr>
          <w:p w14:paraId="3698F65F"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6</w:t>
            </w:r>
          </w:p>
        </w:tc>
        <w:tc>
          <w:tcPr>
            <w:tcW w:w="0" w:type="auto"/>
            <w:hideMark/>
          </w:tcPr>
          <w:p w14:paraId="2530607F"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6</w:t>
            </w:r>
          </w:p>
        </w:tc>
      </w:tr>
      <w:tr w:rsidR="00106D5F" w:rsidRPr="00DF31F5" w14:paraId="4AB6CA82" w14:textId="77777777" w:rsidTr="00106D5F">
        <w:tc>
          <w:tcPr>
            <w:tcW w:w="0" w:type="auto"/>
            <w:hideMark/>
          </w:tcPr>
          <w:p w14:paraId="3908BC83"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C</w:t>
            </w:r>
          </w:p>
        </w:tc>
        <w:tc>
          <w:tcPr>
            <w:tcW w:w="0" w:type="auto"/>
            <w:hideMark/>
          </w:tcPr>
          <w:p w14:paraId="1F34CBA1"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50</w:t>
            </w:r>
          </w:p>
        </w:tc>
        <w:tc>
          <w:tcPr>
            <w:tcW w:w="0" w:type="auto"/>
            <w:hideMark/>
          </w:tcPr>
          <w:p w14:paraId="47749164"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5</w:t>
            </w:r>
          </w:p>
        </w:tc>
        <w:tc>
          <w:tcPr>
            <w:tcW w:w="0" w:type="auto"/>
            <w:hideMark/>
          </w:tcPr>
          <w:p w14:paraId="5DFA821E"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10</w:t>
            </w:r>
          </w:p>
        </w:tc>
        <w:tc>
          <w:tcPr>
            <w:tcW w:w="0" w:type="auto"/>
            <w:hideMark/>
          </w:tcPr>
          <w:p w14:paraId="6E5E9C1A"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20</w:t>
            </w:r>
          </w:p>
        </w:tc>
        <w:tc>
          <w:tcPr>
            <w:tcW w:w="0" w:type="auto"/>
            <w:hideMark/>
          </w:tcPr>
          <w:p w14:paraId="3E977E2B"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25</w:t>
            </w:r>
          </w:p>
        </w:tc>
        <w:tc>
          <w:tcPr>
            <w:tcW w:w="0" w:type="auto"/>
            <w:hideMark/>
          </w:tcPr>
          <w:p w14:paraId="54D000AD" w14:textId="77777777" w:rsidR="00106D5F" w:rsidRPr="00DF31F5" w:rsidRDefault="00106D5F" w:rsidP="00DF31F5">
            <w:pPr>
              <w:spacing w:after="160" w:line="360" w:lineRule="auto"/>
              <w:rPr>
                <w:rFonts w:ascii="Arial" w:hAnsi="Arial" w:cs="Arial"/>
                <w:sz w:val="24"/>
                <w:szCs w:val="24"/>
              </w:rPr>
            </w:pPr>
            <w:r w:rsidRPr="00DF31F5">
              <w:rPr>
                <w:rFonts w:ascii="Arial" w:hAnsi="Arial" w:cs="Arial"/>
                <w:sz w:val="24"/>
                <w:szCs w:val="24"/>
              </w:rPr>
              <w:t>15</w:t>
            </w:r>
          </w:p>
        </w:tc>
      </w:tr>
    </w:tbl>
    <w:p w14:paraId="0CA6C601" w14:textId="77777777" w:rsidR="005708DA" w:rsidRPr="00DF31F5" w:rsidRDefault="005708DA" w:rsidP="00DF31F5">
      <w:pPr>
        <w:spacing w:line="360" w:lineRule="auto"/>
        <w:rPr>
          <w:rFonts w:ascii="Arial" w:hAnsi="Arial" w:cs="Arial"/>
          <w:bCs/>
          <w:sz w:val="24"/>
          <w:szCs w:val="24"/>
        </w:rPr>
      </w:pPr>
      <w:r w:rsidRPr="00DF31F5">
        <w:rPr>
          <w:rFonts w:ascii="Arial" w:hAnsi="Arial" w:cs="Arial"/>
          <w:bCs/>
          <w:sz w:val="24"/>
          <w:szCs w:val="24"/>
        </w:rPr>
        <w:t>Project A is an intelligent manufacturing automation program that will enhance operational efficiency in the heart of electronics of GE. Project B suggests the growth of the mid-tier appliance manufacturing with moderate environmental impacts and low innovation. Project C will be digital IoT (Internet of Things) customer platform that will be used to improve data monetisation and predictive maintenance.</w:t>
      </w:r>
    </w:p>
    <w:p w14:paraId="7506D087" w14:textId="77777777" w:rsidR="005708DA" w:rsidRPr="00DF31F5" w:rsidRDefault="005708DA" w:rsidP="00DF31F5">
      <w:pPr>
        <w:spacing w:line="360" w:lineRule="auto"/>
        <w:rPr>
          <w:rFonts w:ascii="Arial" w:hAnsi="Arial" w:cs="Arial"/>
          <w:bCs/>
          <w:sz w:val="24"/>
          <w:szCs w:val="24"/>
        </w:rPr>
      </w:pPr>
      <w:r w:rsidRPr="00DF31F5">
        <w:rPr>
          <w:rFonts w:ascii="Arial" w:hAnsi="Arial" w:cs="Arial"/>
          <w:bCs/>
          <w:sz w:val="24"/>
          <w:szCs w:val="24"/>
        </w:rPr>
        <w:t>Projects are intended to represent unique strategic intents: Project A as a productivity, Project B as a stability, and Project C as an innovation and customer engagement.</w:t>
      </w:r>
    </w:p>
    <w:p w14:paraId="423C9761" w14:textId="4E6F8D4D" w:rsidR="00106D5F" w:rsidRPr="00DF31F5" w:rsidRDefault="00106D5F" w:rsidP="00DF31F5">
      <w:pPr>
        <w:spacing w:line="360" w:lineRule="auto"/>
        <w:rPr>
          <w:rFonts w:ascii="Arial" w:hAnsi="Arial" w:cs="Arial"/>
          <w:sz w:val="24"/>
          <w:szCs w:val="24"/>
        </w:rPr>
      </w:pPr>
    </w:p>
    <w:p w14:paraId="52725F25"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5.1 Payback Period (PBP)</w:t>
      </w:r>
    </w:p>
    <w:p w14:paraId="775974D1" w14:textId="0E7D7261" w:rsidR="005708DA"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Description:</w:t>
      </w:r>
    </w:p>
    <w:p w14:paraId="3DE35D41" w14:textId="77777777" w:rsidR="005708DA" w:rsidRPr="00DF31F5" w:rsidRDefault="005708DA" w:rsidP="00DF31F5">
      <w:pPr>
        <w:spacing w:line="360" w:lineRule="auto"/>
        <w:rPr>
          <w:rFonts w:ascii="Arial" w:hAnsi="Arial" w:cs="Arial"/>
          <w:bCs/>
          <w:sz w:val="24"/>
          <w:szCs w:val="24"/>
        </w:rPr>
      </w:pPr>
      <w:r w:rsidRPr="00DF31F5">
        <w:rPr>
          <w:rFonts w:ascii="Arial" w:hAnsi="Arial" w:cs="Arial"/>
          <w:bCs/>
          <w:sz w:val="24"/>
          <w:szCs w:val="24"/>
        </w:rPr>
        <w:t>The Payback Period is calculated as the period of time in which a project can be able to pay back its initial investment by using the net cash inflows. It is liquidity based rather than profit making based and hence it assists the management in knowing how fast the capital invested in a project is recouped. It however does not take into account the time value of money and ignores all the cash flows past payback.</w:t>
      </w:r>
    </w:p>
    <w:p w14:paraId="08B8E6A3" w14:textId="567D4CAC" w:rsidR="0050295C" w:rsidRPr="0050295C" w:rsidRDefault="0050295C" w:rsidP="00DF31F5">
      <w:pPr>
        <w:spacing w:line="360" w:lineRule="auto"/>
        <w:rPr>
          <w:rFonts w:ascii="Arial" w:hAnsi="Arial" w:cs="Arial"/>
          <w:b/>
          <w:bCs/>
          <w:sz w:val="24"/>
          <w:szCs w:val="24"/>
        </w:rPr>
      </w:pPr>
    </w:p>
    <w:p w14:paraId="3874A6AD"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Calculation Method:</w:t>
      </w:r>
    </w:p>
    <w:p w14:paraId="6E2AFBCF" w14:textId="3013A15C" w:rsidR="0050295C" w:rsidRPr="0050295C" w:rsidRDefault="0050295C" w:rsidP="00DF31F5">
      <w:pPr>
        <w:spacing w:line="360" w:lineRule="auto"/>
        <w:rPr>
          <w:rFonts w:ascii="Arial" w:hAnsi="Arial" w:cs="Arial"/>
          <w:b/>
          <w:bCs/>
          <w:sz w:val="24"/>
          <w:szCs w:val="24"/>
        </w:rPr>
      </w:pPr>
      <m:oMathPara>
        <m:oMath>
          <m:r>
            <m:rPr>
              <m:nor/>
            </m:rPr>
            <w:rPr>
              <w:rFonts w:ascii="Arial" w:hAnsi="Arial" w:cs="Arial"/>
              <w:b/>
              <w:bCs/>
              <w:sz w:val="24"/>
              <w:szCs w:val="24"/>
            </w:rPr>
            <m:t>PBP</m:t>
          </m:r>
          <m:r>
            <m:rPr>
              <m:sty m:val="bi"/>
            </m:rPr>
            <w:rPr>
              <w:rFonts w:ascii="Cambria Math" w:hAnsi="Cambria Math" w:cs="Arial"/>
              <w:sz w:val="24"/>
              <w:szCs w:val="24"/>
            </w:rPr>
            <m:t>=</m:t>
          </m:r>
          <m:r>
            <m:rPr>
              <m:nor/>
            </m:rPr>
            <w:rPr>
              <w:rFonts w:ascii="Arial" w:hAnsi="Arial" w:cs="Arial"/>
              <w:b/>
              <w:bCs/>
              <w:sz w:val="24"/>
              <w:szCs w:val="24"/>
            </w:rPr>
            <m:t>Years before recovery</m:t>
          </m:r>
          <m:r>
            <m:rPr>
              <m:sty m:val="bi"/>
            </m:rPr>
            <w:rPr>
              <w:rFonts w:ascii="Cambria Math" w:hAnsi="Cambria Math" w:cs="Arial"/>
              <w:sz w:val="24"/>
              <w:szCs w:val="24"/>
            </w:rPr>
            <m:t>+</m:t>
          </m:r>
          <m:f>
            <m:fPr>
              <m:ctrlPr>
                <w:rPr>
                  <w:rFonts w:ascii="Cambria Math" w:hAnsi="Cambria Math" w:cs="Arial"/>
                  <w:b/>
                  <w:bCs/>
                  <w:sz w:val="24"/>
                  <w:szCs w:val="24"/>
                </w:rPr>
              </m:ctrlPr>
            </m:fPr>
            <m:num>
              <m:r>
                <m:rPr>
                  <m:nor/>
                </m:rPr>
                <w:rPr>
                  <w:rFonts w:ascii="Arial" w:hAnsi="Arial" w:cs="Arial"/>
                  <w:b/>
                  <w:bCs/>
                  <w:sz w:val="24"/>
                  <w:szCs w:val="24"/>
                </w:rPr>
                <m:t>Unrecovered amount</m:t>
              </m:r>
            </m:num>
            <m:den>
              <m:r>
                <m:rPr>
                  <m:nor/>
                </m:rPr>
                <w:rPr>
                  <w:rFonts w:ascii="Arial" w:hAnsi="Arial" w:cs="Arial"/>
                  <w:b/>
                  <w:bCs/>
                  <w:sz w:val="24"/>
                  <w:szCs w:val="24"/>
                </w:rPr>
                <m:t>Cash flow in recovery year</m:t>
              </m:r>
            </m:den>
          </m:f>
          <m:r>
            <w:rPr>
              <w:rFonts w:ascii="Arial" w:hAnsi="Arial" w:cs="Arial"/>
              <w:b/>
              <w:bCs/>
              <w:sz w:val="24"/>
              <w:szCs w:val="24"/>
            </w:rPr>
            <w:br/>
          </m:r>
        </m:oMath>
      </m:oMathPara>
    </w:p>
    <w:p w14:paraId="020B208D" w14:textId="7DA71D7B" w:rsidR="0050295C" w:rsidRPr="0050295C" w:rsidRDefault="0050295C" w:rsidP="00DF31F5">
      <w:pPr>
        <w:spacing w:line="360" w:lineRule="auto"/>
        <w:rPr>
          <w:rFonts w:ascii="Arial" w:hAnsi="Arial" w:cs="Arial"/>
          <w:b/>
          <w:bCs/>
          <w:sz w:val="24"/>
          <w:szCs w:val="24"/>
        </w:rPr>
      </w:pPr>
    </w:p>
    <w:p w14:paraId="7FEC6782"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A</w:t>
      </w:r>
    </w:p>
    <w:p w14:paraId="2B4BDF77" w14:textId="77777777" w:rsidR="0050295C" w:rsidRPr="0050295C" w:rsidRDefault="0050295C" w:rsidP="00DF31F5">
      <w:pPr>
        <w:numPr>
          <w:ilvl w:val="0"/>
          <w:numId w:val="46"/>
        </w:numPr>
        <w:spacing w:line="360" w:lineRule="auto"/>
        <w:rPr>
          <w:rFonts w:ascii="Arial" w:hAnsi="Arial" w:cs="Arial"/>
          <w:b/>
          <w:bCs/>
          <w:sz w:val="24"/>
          <w:szCs w:val="24"/>
        </w:rPr>
      </w:pPr>
      <w:r w:rsidRPr="0050295C">
        <w:rPr>
          <w:rFonts w:ascii="Arial" w:hAnsi="Arial" w:cs="Arial"/>
          <w:b/>
          <w:bCs/>
          <w:sz w:val="24"/>
          <w:szCs w:val="24"/>
        </w:rPr>
        <w:lastRenderedPageBreak/>
        <w:t>Initial investment: £40m</w:t>
      </w:r>
    </w:p>
    <w:p w14:paraId="18C89EBE" w14:textId="77777777" w:rsidR="0050295C" w:rsidRPr="0050295C" w:rsidRDefault="0050295C" w:rsidP="00DF31F5">
      <w:pPr>
        <w:numPr>
          <w:ilvl w:val="0"/>
          <w:numId w:val="46"/>
        </w:numPr>
        <w:spacing w:line="360" w:lineRule="auto"/>
        <w:rPr>
          <w:rFonts w:ascii="Arial" w:hAnsi="Arial" w:cs="Arial"/>
          <w:b/>
          <w:bCs/>
          <w:sz w:val="24"/>
          <w:szCs w:val="24"/>
        </w:rPr>
      </w:pPr>
      <w:r w:rsidRPr="0050295C">
        <w:rPr>
          <w:rFonts w:ascii="Arial" w:hAnsi="Arial" w:cs="Arial"/>
          <w:b/>
          <w:bCs/>
          <w:sz w:val="24"/>
          <w:szCs w:val="24"/>
        </w:rPr>
        <w:t>Annual inflow: £12.2m</w:t>
      </w:r>
    </w:p>
    <w:p w14:paraId="637E8F93"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Step-by-step cumulative cash flows:</w:t>
      </w:r>
    </w:p>
    <w:p w14:paraId="0956EF38" w14:textId="77777777" w:rsidR="0050295C" w:rsidRPr="0050295C" w:rsidRDefault="0050295C" w:rsidP="00DF31F5">
      <w:pPr>
        <w:numPr>
          <w:ilvl w:val="0"/>
          <w:numId w:val="47"/>
        </w:numPr>
        <w:spacing w:line="360" w:lineRule="auto"/>
        <w:rPr>
          <w:rFonts w:ascii="Arial" w:hAnsi="Arial" w:cs="Arial"/>
          <w:b/>
          <w:bCs/>
          <w:sz w:val="24"/>
          <w:szCs w:val="24"/>
        </w:rPr>
      </w:pPr>
      <w:r w:rsidRPr="0050295C">
        <w:rPr>
          <w:rFonts w:ascii="Arial" w:hAnsi="Arial" w:cs="Arial"/>
          <w:b/>
          <w:bCs/>
          <w:sz w:val="24"/>
          <w:szCs w:val="24"/>
        </w:rPr>
        <w:t>Year 1: 12.2 (remaining 27.8)</w:t>
      </w:r>
    </w:p>
    <w:p w14:paraId="6723F1A3" w14:textId="77777777" w:rsidR="0050295C" w:rsidRPr="0050295C" w:rsidRDefault="0050295C" w:rsidP="00DF31F5">
      <w:pPr>
        <w:numPr>
          <w:ilvl w:val="0"/>
          <w:numId w:val="47"/>
        </w:numPr>
        <w:spacing w:line="360" w:lineRule="auto"/>
        <w:rPr>
          <w:rFonts w:ascii="Arial" w:hAnsi="Arial" w:cs="Arial"/>
          <w:b/>
          <w:bCs/>
          <w:sz w:val="24"/>
          <w:szCs w:val="24"/>
        </w:rPr>
      </w:pPr>
      <w:r w:rsidRPr="0050295C">
        <w:rPr>
          <w:rFonts w:ascii="Arial" w:hAnsi="Arial" w:cs="Arial"/>
          <w:b/>
          <w:bCs/>
          <w:sz w:val="24"/>
          <w:szCs w:val="24"/>
        </w:rPr>
        <w:t>Year 2: 24.4 (remaining 15.6)</w:t>
      </w:r>
    </w:p>
    <w:p w14:paraId="68F9E031" w14:textId="77777777" w:rsidR="0050295C" w:rsidRPr="0050295C" w:rsidRDefault="0050295C" w:rsidP="00DF31F5">
      <w:pPr>
        <w:numPr>
          <w:ilvl w:val="0"/>
          <w:numId w:val="47"/>
        </w:numPr>
        <w:spacing w:line="360" w:lineRule="auto"/>
        <w:rPr>
          <w:rFonts w:ascii="Arial" w:hAnsi="Arial" w:cs="Arial"/>
          <w:b/>
          <w:bCs/>
          <w:sz w:val="24"/>
          <w:szCs w:val="24"/>
        </w:rPr>
      </w:pPr>
      <w:r w:rsidRPr="0050295C">
        <w:rPr>
          <w:rFonts w:ascii="Arial" w:hAnsi="Arial" w:cs="Arial"/>
          <w:b/>
          <w:bCs/>
          <w:sz w:val="24"/>
          <w:szCs w:val="24"/>
        </w:rPr>
        <w:t>Year 3: 36.6 (remaining 3.4)</w:t>
      </w:r>
    </w:p>
    <w:p w14:paraId="551A99CE" w14:textId="77777777" w:rsidR="0050295C" w:rsidRPr="0050295C" w:rsidRDefault="0050295C" w:rsidP="00DF31F5">
      <w:pPr>
        <w:numPr>
          <w:ilvl w:val="0"/>
          <w:numId w:val="47"/>
        </w:numPr>
        <w:spacing w:line="360" w:lineRule="auto"/>
        <w:rPr>
          <w:rFonts w:ascii="Arial" w:hAnsi="Arial" w:cs="Arial"/>
          <w:b/>
          <w:bCs/>
          <w:sz w:val="24"/>
          <w:szCs w:val="24"/>
        </w:rPr>
      </w:pPr>
      <w:r w:rsidRPr="0050295C">
        <w:rPr>
          <w:rFonts w:ascii="Arial" w:hAnsi="Arial" w:cs="Arial"/>
          <w:b/>
          <w:bCs/>
          <w:sz w:val="24"/>
          <w:szCs w:val="24"/>
        </w:rPr>
        <w:t>Year 4: 48.8 (recovered)</w:t>
      </w:r>
    </w:p>
    <w:p w14:paraId="788B6426" w14:textId="7DE0CCCF" w:rsidR="0050295C" w:rsidRPr="0050295C" w:rsidRDefault="0050295C" w:rsidP="00DF31F5">
      <w:pPr>
        <w:spacing w:line="360" w:lineRule="auto"/>
        <w:rPr>
          <w:rFonts w:ascii="Arial" w:hAnsi="Arial" w:cs="Arial"/>
          <w:b/>
          <w:bCs/>
          <w:sz w:val="24"/>
          <w:szCs w:val="24"/>
        </w:rPr>
      </w:pPr>
      <m:oMathPara>
        <m:oMath>
          <m:sSub>
            <m:sSubPr>
              <m:ctrlPr>
                <w:rPr>
                  <w:rFonts w:ascii="Cambria Math" w:hAnsi="Cambria Math" w:cs="Arial"/>
                  <w:b/>
                  <w:bCs/>
                  <w:sz w:val="24"/>
                  <w:szCs w:val="24"/>
                </w:rPr>
              </m:ctrlPr>
            </m:sSubPr>
            <m:e>
              <m:r>
                <m:rPr>
                  <m:nor/>
                </m:rPr>
                <w:rPr>
                  <w:rFonts w:ascii="Arial" w:hAnsi="Arial" w:cs="Arial"/>
                  <w:b/>
                  <w:bCs/>
                  <w:sz w:val="24"/>
                  <w:szCs w:val="24"/>
                </w:rPr>
                <m:t>PBP</m:t>
              </m:r>
            </m:e>
            <m:sub>
              <m:r>
                <m:rPr>
                  <m:sty m:val="bi"/>
                </m:rPr>
                <w:rPr>
                  <w:rFonts w:ascii="Cambria Math" w:hAnsi="Cambria Math" w:cs="Arial"/>
                  <w:sz w:val="24"/>
                  <w:szCs w:val="24"/>
                </w:rPr>
                <m:t>A</m:t>
              </m:r>
            </m:sub>
          </m:sSub>
          <m:r>
            <m:rPr>
              <m:sty m:val="bi"/>
            </m:rPr>
            <w:rPr>
              <w:rFonts w:ascii="Cambria Math" w:hAnsi="Cambria Math" w:cs="Arial"/>
              <w:sz w:val="24"/>
              <w:szCs w:val="24"/>
            </w:rPr>
            <m:t>=3+</m:t>
          </m:r>
          <m:f>
            <m:fPr>
              <m:ctrlPr>
                <w:rPr>
                  <w:rFonts w:ascii="Cambria Math" w:hAnsi="Cambria Math" w:cs="Arial"/>
                  <w:b/>
                  <w:bCs/>
                  <w:sz w:val="24"/>
                  <w:szCs w:val="24"/>
                </w:rPr>
              </m:ctrlPr>
            </m:fPr>
            <m:num>
              <m:r>
                <m:rPr>
                  <m:sty m:val="bi"/>
                </m:rPr>
                <w:rPr>
                  <w:rFonts w:ascii="Cambria Math" w:hAnsi="Cambria Math" w:cs="Arial"/>
                  <w:sz w:val="24"/>
                  <w:szCs w:val="24"/>
                </w:rPr>
                <m:t>3.4</m:t>
              </m:r>
            </m:num>
            <m:den>
              <m:r>
                <m:rPr>
                  <m:sty m:val="bi"/>
                </m:rPr>
                <w:rPr>
                  <w:rFonts w:ascii="Cambria Math" w:hAnsi="Cambria Math" w:cs="Arial"/>
                  <w:sz w:val="24"/>
                  <w:szCs w:val="24"/>
                </w:rPr>
                <m:t>12.2</m:t>
              </m:r>
            </m:den>
          </m:f>
          <m:r>
            <m:rPr>
              <m:sty m:val="bi"/>
            </m:rPr>
            <w:rPr>
              <w:rFonts w:ascii="Cambria Math" w:hAnsi="Cambria Math" w:cs="Arial"/>
              <w:sz w:val="24"/>
              <w:szCs w:val="24"/>
            </w:rPr>
            <m:t>=3.28</m:t>
          </m:r>
          <m:r>
            <m:rPr>
              <m:nor/>
            </m:rPr>
            <w:rPr>
              <w:rFonts w:ascii="Arial" w:hAnsi="Arial" w:cs="Arial"/>
              <w:b/>
              <w:bCs/>
              <w:sz w:val="24"/>
              <w:szCs w:val="24"/>
            </w:rPr>
            <m:t xml:space="preserve"> years</m:t>
          </m:r>
          <m:r>
            <w:rPr>
              <w:rFonts w:ascii="Arial" w:hAnsi="Arial" w:cs="Arial"/>
              <w:b/>
              <w:bCs/>
              <w:sz w:val="24"/>
              <w:szCs w:val="24"/>
            </w:rPr>
            <w:br/>
          </m:r>
        </m:oMath>
      </m:oMathPara>
    </w:p>
    <w:p w14:paraId="7FFA2AA8" w14:textId="77777777" w:rsidR="005708DA"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b/>
          <w:bCs/>
          <w:sz w:val="24"/>
          <w:szCs w:val="24"/>
        </w:rPr>
        <w:br/>
      </w:r>
      <w:r w:rsidR="005708DA" w:rsidRPr="00DF31F5">
        <w:rPr>
          <w:rFonts w:ascii="Arial" w:hAnsi="Arial" w:cs="Arial"/>
          <w:bCs/>
          <w:sz w:val="24"/>
          <w:szCs w:val="24"/>
        </w:rPr>
        <w:t>The time taken by the Project A to recover the cost is about 3.3 years and hence it is the quickest of all projects. This would be desirable to GE considering its liquidity level.</w:t>
      </w:r>
    </w:p>
    <w:p w14:paraId="168E10B9" w14:textId="3B435AC7" w:rsidR="0050295C" w:rsidRPr="0050295C" w:rsidRDefault="0050295C" w:rsidP="00DF31F5">
      <w:pPr>
        <w:spacing w:line="360" w:lineRule="auto"/>
        <w:rPr>
          <w:rFonts w:ascii="Arial" w:hAnsi="Arial" w:cs="Arial"/>
          <w:b/>
          <w:bCs/>
          <w:sz w:val="24"/>
          <w:szCs w:val="24"/>
        </w:rPr>
      </w:pPr>
    </w:p>
    <w:p w14:paraId="63245A0E" w14:textId="204E79E6" w:rsidR="0050295C" w:rsidRPr="0050295C" w:rsidRDefault="0050295C" w:rsidP="00DF31F5">
      <w:pPr>
        <w:spacing w:line="360" w:lineRule="auto"/>
        <w:rPr>
          <w:rFonts w:ascii="Arial" w:hAnsi="Arial" w:cs="Arial"/>
          <w:b/>
          <w:bCs/>
          <w:sz w:val="24"/>
          <w:szCs w:val="24"/>
        </w:rPr>
      </w:pPr>
    </w:p>
    <w:p w14:paraId="049FA48E"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B</w:t>
      </w:r>
    </w:p>
    <w:p w14:paraId="7B788A6A" w14:textId="77777777" w:rsidR="0050295C" w:rsidRPr="0050295C" w:rsidRDefault="0050295C" w:rsidP="00DF31F5">
      <w:pPr>
        <w:numPr>
          <w:ilvl w:val="0"/>
          <w:numId w:val="48"/>
        </w:numPr>
        <w:spacing w:line="360" w:lineRule="auto"/>
        <w:rPr>
          <w:rFonts w:ascii="Arial" w:hAnsi="Arial" w:cs="Arial"/>
          <w:b/>
          <w:bCs/>
          <w:sz w:val="24"/>
          <w:szCs w:val="24"/>
        </w:rPr>
      </w:pPr>
      <w:r w:rsidRPr="0050295C">
        <w:rPr>
          <w:rFonts w:ascii="Arial" w:hAnsi="Arial" w:cs="Arial"/>
          <w:b/>
          <w:bCs/>
          <w:sz w:val="24"/>
          <w:szCs w:val="24"/>
        </w:rPr>
        <w:t>Initial: £30m</w:t>
      </w:r>
    </w:p>
    <w:p w14:paraId="5A62F280" w14:textId="77777777" w:rsidR="0050295C" w:rsidRPr="0050295C" w:rsidRDefault="0050295C" w:rsidP="00DF31F5">
      <w:pPr>
        <w:numPr>
          <w:ilvl w:val="0"/>
          <w:numId w:val="48"/>
        </w:numPr>
        <w:spacing w:line="360" w:lineRule="auto"/>
        <w:rPr>
          <w:rFonts w:ascii="Arial" w:hAnsi="Arial" w:cs="Arial"/>
          <w:b/>
          <w:bCs/>
          <w:sz w:val="24"/>
          <w:szCs w:val="24"/>
        </w:rPr>
      </w:pPr>
      <w:r w:rsidRPr="0050295C">
        <w:rPr>
          <w:rFonts w:ascii="Arial" w:hAnsi="Arial" w:cs="Arial"/>
          <w:b/>
          <w:bCs/>
          <w:sz w:val="24"/>
          <w:szCs w:val="24"/>
        </w:rPr>
        <w:t>Annual inflow: £7.6m</w:t>
      </w:r>
    </w:p>
    <w:p w14:paraId="20FE0B38"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Cumulative cash flows:</w:t>
      </w:r>
    </w:p>
    <w:p w14:paraId="4D011A57" w14:textId="77777777" w:rsidR="0050295C" w:rsidRPr="0050295C" w:rsidRDefault="0050295C" w:rsidP="00DF31F5">
      <w:pPr>
        <w:numPr>
          <w:ilvl w:val="0"/>
          <w:numId w:val="49"/>
        </w:numPr>
        <w:spacing w:line="360" w:lineRule="auto"/>
        <w:rPr>
          <w:rFonts w:ascii="Arial" w:hAnsi="Arial" w:cs="Arial"/>
          <w:b/>
          <w:bCs/>
          <w:sz w:val="24"/>
          <w:szCs w:val="24"/>
        </w:rPr>
      </w:pPr>
      <w:r w:rsidRPr="0050295C">
        <w:rPr>
          <w:rFonts w:ascii="Arial" w:hAnsi="Arial" w:cs="Arial"/>
          <w:b/>
          <w:bCs/>
          <w:sz w:val="24"/>
          <w:szCs w:val="24"/>
        </w:rPr>
        <w:t>Y1: 7.6 (22.4 left)</w:t>
      </w:r>
    </w:p>
    <w:p w14:paraId="3E5C61E2" w14:textId="77777777" w:rsidR="0050295C" w:rsidRPr="0050295C" w:rsidRDefault="0050295C" w:rsidP="00DF31F5">
      <w:pPr>
        <w:numPr>
          <w:ilvl w:val="0"/>
          <w:numId w:val="49"/>
        </w:numPr>
        <w:spacing w:line="360" w:lineRule="auto"/>
        <w:rPr>
          <w:rFonts w:ascii="Arial" w:hAnsi="Arial" w:cs="Arial"/>
          <w:b/>
          <w:bCs/>
          <w:sz w:val="24"/>
          <w:szCs w:val="24"/>
        </w:rPr>
      </w:pPr>
      <w:r w:rsidRPr="0050295C">
        <w:rPr>
          <w:rFonts w:ascii="Arial" w:hAnsi="Arial" w:cs="Arial"/>
          <w:b/>
          <w:bCs/>
          <w:sz w:val="24"/>
          <w:szCs w:val="24"/>
        </w:rPr>
        <w:t>Y2: 15.2 (14.8 left)</w:t>
      </w:r>
    </w:p>
    <w:p w14:paraId="7923F29D" w14:textId="77777777" w:rsidR="0050295C" w:rsidRPr="0050295C" w:rsidRDefault="0050295C" w:rsidP="00DF31F5">
      <w:pPr>
        <w:numPr>
          <w:ilvl w:val="0"/>
          <w:numId w:val="49"/>
        </w:numPr>
        <w:spacing w:line="360" w:lineRule="auto"/>
        <w:rPr>
          <w:rFonts w:ascii="Arial" w:hAnsi="Arial" w:cs="Arial"/>
          <w:b/>
          <w:bCs/>
          <w:sz w:val="24"/>
          <w:szCs w:val="24"/>
        </w:rPr>
      </w:pPr>
      <w:r w:rsidRPr="0050295C">
        <w:rPr>
          <w:rFonts w:ascii="Arial" w:hAnsi="Arial" w:cs="Arial"/>
          <w:b/>
          <w:bCs/>
          <w:sz w:val="24"/>
          <w:szCs w:val="24"/>
        </w:rPr>
        <w:t>Y3: 22.8 (7.2 left)</w:t>
      </w:r>
    </w:p>
    <w:p w14:paraId="731F773B" w14:textId="77777777" w:rsidR="0050295C" w:rsidRPr="0050295C" w:rsidRDefault="0050295C" w:rsidP="00DF31F5">
      <w:pPr>
        <w:numPr>
          <w:ilvl w:val="0"/>
          <w:numId w:val="49"/>
        </w:numPr>
        <w:spacing w:line="360" w:lineRule="auto"/>
        <w:rPr>
          <w:rFonts w:ascii="Arial" w:hAnsi="Arial" w:cs="Arial"/>
          <w:b/>
          <w:bCs/>
          <w:sz w:val="24"/>
          <w:szCs w:val="24"/>
        </w:rPr>
      </w:pPr>
      <w:r w:rsidRPr="0050295C">
        <w:rPr>
          <w:rFonts w:ascii="Arial" w:hAnsi="Arial" w:cs="Arial"/>
          <w:b/>
          <w:bCs/>
          <w:sz w:val="24"/>
          <w:szCs w:val="24"/>
        </w:rPr>
        <w:t>Y4: 30.4 (recovered)</w:t>
      </w:r>
    </w:p>
    <w:p w14:paraId="192DF890" w14:textId="4D6CA41C" w:rsidR="0050295C" w:rsidRPr="0050295C" w:rsidRDefault="0050295C" w:rsidP="00DF31F5">
      <w:pPr>
        <w:spacing w:line="360" w:lineRule="auto"/>
        <w:rPr>
          <w:rFonts w:ascii="Arial" w:hAnsi="Arial" w:cs="Arial"/>
          <w:b/>
          <w:bCs/>
          <w:sz w:val="24"/>
          <w:szCs w:val="24"/>
        </w:rPr>
      </w:pPr>
      <m:oMathPara>
        <m:oMath>
          <m:sSub>
            <m:sSubPr>
              <m:ctrlPr>
                <w:rPr>
                  <w:rFonts w:ascii="Cambria Math" w:hAnsi="Cambria Math" w:cs="Arial"/>
                  <w:b/>
                  <w:bCs/>
                  <w:sz w:val="24"/>
                  <w:szCs w:val="24"/>
                </w:rPr>
              </m:ctrlPr>
            </m:sSubPr>
            <m:e>
              <m:r>
                <m:rPr>
                  <m:nor/>
                </m:rPr>
                <w:rPr>
                  <w:rFonts w:ascii="Arial" w:hAnsi="Arial" w:cs="Arial"/>
                  <w:b/>
                  <w:bCs/>
                  <w:sz w:val="24"/>
                  <w:szCs w:val="24"/>
                </w:rPr>
                <m:t>PBP</m:t>
              </m:r>
            </m:e>
            <m:sub>
              <m:r>
                <m:rPr>
                  <m:sty m:val="bi"/>
                </m:rPr>
                <w:rPr>
                  <w:rFonts w:ascii="Cambria Math" w:hAnsi="Cambria Math" w:cs="Arial"/>
                  <w:sz w:val="24"/>
                  <w:szCs w:val="24"/>
                </w:rPr>
                <m:t>B</m:t>
              </m:r>
            </m:sub>
          </m:sSub>
          <m:r>
            <m:rPr>
              <m:sty m:val="bi"/>
            </m:rPr>
            <w:rPr>
              <w:rFonts w:ascii="Cambria Math" w:hAnsi="Cambria Math" w:cs="Arial"/>
              <w:sz w:val="24"/>
              <w:szCs w:val="24"/>
            </w:rPr>
            <m:t>=3+</m:t>
          </m:r>
          <m:f>
            <m:fPr>
              <m:ctrlPr>
                <w:rPr>
                  <w:rFonts w:ascii="Cambria Math" w:hAnsi="Cambria Math" w:cs="Arial"/>
                  <w:b/>
                  <w:bCs/>
                  <w:sz w:val="24"/>
                  <w:szCs w:val="24"/>
                </w:rPr>
              </m:ctrlPr>
            </m:fPr>
            <m:num>
              <m:r>
                <m:rPr>
                  <m:sty m:val="bi"/>
                </m:rPr>
                <w:rPr>
                  <w:rFonts w:ascii="Cambria Math" w:hAnsi="Cambria Math" w:cs="Arial"/>
                  <w:sz w:val="24"/>
                  <w:szCs w:val="24"/>
                </w:rPr>
                <m:t>7.2</m:t>
              </m:r>
            </m:num>
            <m:den>
              <m:r>
                <m:rPr>
                  <m:sty m:val="bi"/>
                </m:rPr>
                <w:rPr>
                  <w:rFonts w:ascii="Cambria Math" w:hAnsi="Cambria Math" w:cs="Arial"/>
                  <w:sz w:val="24"/>
                  <w:szCs w:val="24"/>
                </w:rPr>
                <m:t>7.6</m:t>
              </m:r>
            </m:den>
          </m:f>
          <m:r>
            <m:rPr>
              <m:sty m:val="bi"/>
            </m:rPr>
            <w:rPr>
              <w:rFonts w:ascii="Cambria Math" w:hAnsi="Cambria Math" w:cs="Arial"/>
              <w:sz w:val="24"/>
              <w:szCs w:val="24"/>
            </w:rPr>
            <m:t>=3.95≈4</m:t>
          </m:r>
          <m:r>
            <m:rPr>
              <m:nor/>
            </m:rPr>
            <w:rPr>
              <w:rFonts w:ascii="Arial" w:hAnsi="Arial" w:cs="Arial"/>
              <w:b/>
              <w:bCs/>
              <w:sz w:val="24"/>
              <w:szCs w:val="24"/>
            </w:rPr>
            <m:t xml:space="preserve"> years</m:t>
          </m:r>
          <m:r>
            <w:rPr>
              <w:rFonts w:ascii="Arial" w:hAnsi="Arial" w:cs="Arial"/>
              <w:b/>
              <w:bCs/>
              <w:sz w:val="24"/>
              <w:szCs w:val="24"/>
            </w:rPr>
            <w:br/>
          </m:r>
        </m:oMath>
      </m:oMathPara>
    </w:p>
    <w:p w14:paraId="6B8043DA" w14:textId="77777777" w:rsidR="005708DA"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lastRenderedPageBreak/>
        <w:t>Interpretation:</w:t>
      </w:r>
      <w:r w:rsidRPr="0050295C">
        <w:rPr>
          <w:rFonts w:ascii="Arial" w:hAnsi="Arial" w:cs="Arial"/>
          <w:b/>
          <w:bCs/>
          <w:sz w:val="24"/>
          <w:szCs w:val="24"/>
        </w:rPr>
        <w:br/>
      </w:r>
      <w:r w:rsidR="005708DA" w:rsidRPr="00DF31F5">
        <w:rPr>
          <w:rFonts w:ascii="Arial" w:hAnsi="Arial" w:cs="Arial"/>
          <w:bCs/>
          <w:sz w:val="24"/>
          <w:szCs w:val="24"/>
        </w:rPr>
        <w:t>The recovery period of four years is much slower. This entails liquidity risk and decreases appeal in a capital constrained environment.</w:t>
      </w:r>
    </w:p>
    <w:p w14:paraId="4DAB73C6" w14:textId="3291D96A" w:rsidR="0050295C" w:rsidRPr="0050295C" w:rsidRDefault="0050295C" w:rsidP="00DF31F5">
      <w:pPr>
        <w:spacing w:line="360" w:lineRule="auto"/>
        <w:rPr>
          <w:rFonts w:ascii="Arial" w:hAnsi="Arial" w:cs="Arial"/>
          <w:b/>
          <w:bCs/>
          <w:sz w:val="24"/>
          <w:szCs w:val="24"/>
        </w:rPr>
      </w:pPr>
    </w:p>
    <w:p w14:paraId="4585541D"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C</w:t>
      </w:r>
    </w:p>
    <w:p w14:paraId="26F8A691" w14:textId="77777777" w:rsidR="0050295C" w:rsidRPr="0050295C" w:rsidRDefault="0050295C" w:rsidP="00DF31F5">
      <w:pPr>
        <w:numPr>
          <w:ilvl w:val="0"/>
          <w:numId w:val="50"/>
        </w:numPr>
        <w:spacing w:line="360" w:lineRule="auto"/>
        <w:rPr>
          <w:rFonts w:ascii="Arial" w:hAnsi="Arial" w:cs="Arial"/>
          <w:b/>
          <w:bCs/>
          <w:sz w:val="24"/>
          <w:szCs w:val="24"/>
        </w:rPr>
      </w:pPr>
      <w:r w:rsidRPr="0050295C">
        <w:rPr>
          <w:rFonts w:ascii="Arial" w:hAnsi="Arial" w:cs="Arial"/>
          <w:b/>
          <w:bCs/>
          <w:sz w:val="24"/>
          <w:szCs w:val="24"/>
        </w:rPr>
        <w:t>Initial: £50m</w:t>
      </w:r>
    </w:p>
    <w:p w14:paraId="2C1ACDD6" w14:textId="77777777" w:rsidR="0050295C" w:rsidRPr="0050295C" w:rsidRDefault="0050295C" w:rsidP="00DF31F5">
      <w:pPr>
        <w:numPr>
          <w:ilvl w:val="0"/>
          <w:numId w:val="50"/>
        </w:numPr>
        <w:spacing w:line="360" w:lineRule="auto"/>
        <w:rPr>
          <w:rFonts w:ascii="Arial" w:hAnsi="Arial" w:cs="Arial"/>
          <w:b/>
          <w:bCs/>
          <w:sz w:val="24"/>
          <w:szCs w:val="24"/>
        </w:rPr>
      </w:pPr>
      <w:r w:rsidRPr="0050295C">
        <w:rPr>
          <w:rFonts w:ascii="Arial" w:hAnsi="Arial" w:cs="Arial"/>
          <w:b/>
          <w:bCs/>
          <w:sz w:val="24"/>
          <w:szCs w:val="24"/>
        </w:rPr>
        <w:t>Annual inflow: £16.1m</w:t>
      </w:r>
    </w:p>
    <w:p w14:paraId="1B575752"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Cumulative cash flows:</w:t>
      </w:r>
    </w:p>
    <w:p w14:paraId="00BDB0B2" w14:textId="77777777" w:rsidR="0050295C" w:rsidRPr="0050295C" w:rsidRDefault="0050295C" w:rsidP="00DF31F5">
      <w:pPr>
        <w:numPr>
          <w:ilvl w:val="0"/>
          <w:numId w:val="51"/>
        </w:numPr>
        <w:spacing w:line="360" w:lineRule="auto"/>
        <w:rPr>
          <w:rFonts w:ascii="Arial" w:hAnsi="Arial" w:cs="Arial"/>
          <w:b/>
          <w:bCs/>
          <w:sz w:val="24"/>
          <w:szCs w:val="24"/>
        </w:rPr>
      </w:pPr>
      <w:r w:rsidRPr="0050295C">
        <w:rPr>
          <w:rFonts w:ascii="Arial" w:hAnsi="Arial" w:cs="Arial"/>
          <w:b/>
          <w:bCs/>
          <w:sz w:val="24"/>
          <w:szCs w:val="24"/>
        </w:rPr>
        <w:t>Y1: 16.1 (33.9 left)</w:t>
      </w:r>
    </w:p>
    <w:p w14:paraId="08305038" w14:textId="77777777" w:rsidR="0050295C" w:rsidRPr="0050295C" w:rsidRDefault="0050295C" w:rsidP="00DF31F5">
      <w:pPr>
        <w:numPr>
          <w:ilvl w:val="0"/>
          <w:numId w:val="51"/>
        </w:numPr>
        <w:spacing w:line="360" w:lineRule="auto"/>
        <w:rPr>
          <w:rFonts w:ascii="Arial" w:hAnsi="Arial" w:cs="Arial"/>
          <w:b/>
          <w:bCs/>
          <w:sz w:val="24"/>
          <w:szCs w:val="24"/>
        </w:rPr>
      </w:pPr>
      <w:r w:rsidRPr="0050295C">
        <w:rPr>
          <w:rFonts w:ascii="Arial" w:hAnsi="Arial" w:cs="Arial"/>
          <w:b/>
          <w:bCs/>
          <w:sz w:val="24"/>
          <w:szCs w:val="24"/>
        </w:rPr>
        <w:t>Y2: 32.2 (17.8 left)</w:t>
      </w:r>
    </w:p>
    <w:p w14:paraId="4082269F" w14:textId="77777777" w:rsidR="0050295C" w:rsidRPr="0050295C" w:rsidRDefault="0050295C" w:rsidP="00DF31F5">
      <w:pPr>
        <w:numPr>
          <w:ilvl w:val="0"/>
          <w:numId w:val="51"/>
        </w:numPr>
        <w:spacing w:line="360" w:lineRule="auto"/>
        <w:rPr>
          <w:rFonts w:ascii="Arial" w:hAnsi="Arial" w:cs="Arial"/>
          <w:b/>
          <w:bCs/>
          <w:sz w:val="24"/>
          <w:szCs w:val="24"/>
        </w:rPr>
      </w:pPr>
      <w:r w:rsidRPr="0050295C">
        <w:rPr>
          <w:rFonts w:ascii="Arial" w:hAnsi="Arial" w:cs="Arial"/>
          <w:b/>
          <w:bCs/>
          <w:sz w:val="24"/>
          <w:szCs w:val="24"/>
        </w:rPr>
        <w:t>Y3: 48.3 (1.7 left)</w:t>
      </w:r>
    </w:p>
    <w:p w14:paraId="5C108288" w14:textId="77777777" w:rsidR="0050295C" w:rsidRPr="0050295C" w:rsidRDefault="0050295C" w:rsidP="00DF31F5">
      <w:pPr>
        <w:numPr>
          <w:ilvl w:val="0"/>
          <w:numId w:val="51"/>
        </w:numPr>
        <w:spacing w:line="360" w:lineRule="auto"/>
        <w:rPr>
          <w:rFonts w:ascii="Arial" w:hAnsi="Arial" w:cs="Arial"/>
          <w:b/>
          <w:bCs/>
          <w:sz w:val="24"/>
          <w:szCs w:val="24"/>
        </w:rPr>
      </w:pPr>
      <w:r w:rsidRPr="0050295C">
        <w:rPr>
          <w:rFonts w:ascii="Arial" w:hAnsi="Arial" w:cs="Arial"/>
          <w:b/>
          <w:bCs/>
          <w:sz w:val="24"/>
          <w:szCs w:val="24"/>
        </w:rPr>
        <w:t>Y4: 64.4 (recovered)</w:t>
      </w:r>
    </w:p>
    <w:p w14:paraId="006C789F" w14:textId="6D5F33DE" w:rsidR="0050295C" w:rsidRPr="0050295C" w:rsidRDefault="0050295C" w:rsidP="00DF31F5">
      <w:pPr>
        <w:spacing w:line="360" w:lineRule="auto"/>
        <w:rPr>
          <w:rFonts w:ascii="Arial" w:hAnsi="Arial" w:cs="Arial"/>
          <w:b/>
          <w:bCs/>
          <w:sz w:val="24"/>
          <w:szCs w:val="24"/>
        </w:rPr>
      </w:pPr>
      <m:oMathPara>
        <m:oMath>
          <m:sSub>
            <m:sSubPr>
              <m:ctrlPr>
                <w:rPr>
                  <w:rFonts w:ascii="Cambria Math" w:hAnsi="Cambria Math" w:cs="Arial"/>
                  <w:b/>
                  <w:bCs/>
                  <w:sz w:val="24"/>
                  <w:szCs w:val="24"/>
                </w:rPr>
              </m:ctrlPr>
            </m:sSubPr>
            <m:e>
              <m:r>
                <m:rPr>
                  <m:nor/>
                </m:rPr>
                <w:rPr>
                  <w:rFonts w:ascii="Arial" w:hAnsi="Arial" w:cs="Arial"/>
                  <w:b/>
                  <w:bCs/>
                  <w:sz w:val="24"/>
                  <w:szCs w:val="24"/>
                </w:rPr>
                <m:t>PBP</m:t>
              </m:r>
            </m:e>
            <m:sub>
              <m:r>
                <m:rPr>
                  <m:sty m:val="bi"/>
                </m:rPr>
                <w:rPr>
                  <w:rFonts w:ascii="Cambria Math" w:hAnsi="Cambria Math" w:cs="Arial"/>
                  <w:sz w:val="24"/>
                  <w:szCs w:val="24"/>
                </w:rPr>
                <m:t>C</m:t>
              </m:r>
            </m:sub>
          </m:sSub>
          <m:r>
            <m:rPr>
              <m:sty m:val="bi"/>
            </m:rPr>
            <w:rPr>
              <w:rFonts w:ascii="Cambria Math" w:hAnsi="Cambria Math" w:cs="Arial"/>
              <w:sz w:val="24"/>
              <w:szCs w:val="24"/>
            </w:rPr>
            <m:t>=3+</m:t>
          </m:r>
          <m:f>
            <m:fPr>
              <m:ctrlPr>
                <w:rPr>
                  <w:rFonts w:ascii="Cambria Math" w:hAnsi="Cambria Math" w:cs="Arial"/>
                  <w:b/>
                  <w:bCs/>
                  <w:sz w:val="24"/>
                  <w:szCs w:val="24"/>
                </w:rPr>
              </m:ctrlPr>
            </m:fPr>
            <m:num>
              <m:r>
                <m:rPr>
                  <m:sty m:val="bi"/>
                </m:rPr>
                <w:rPr>
                  <w:rFonts w:ascii="Cambria Math" w:hAnsi="Cambria Math" w:cs="Arial"/>
                  <w:sz w:val="24"/>
                  <w:szCs w:val="24"/>
                </w:rPr>
                <m:t>1.7</m:t>
              </m:r>
            </m:num>
            <m:den>
              <m:r>
                <m:rPr>
                  <m:sty m:val="bi"/>
                </m:rPr>
                <w:rPr>
                  <w:rFonts w:ascii="Cambria Math" w:hAnsi="Cambria Math" w:cs="Arial"/>
                  <w:sz w:val="24"/>
                  <w:szCs w:val="24"/>
                </w:rPr>
                <m:t>16.1</m:t>
              </m:r>
            </m:den>
          </m:f>
          <m:r>
            <m:rPr>
              <m:sty m:val="bi"/>
            </m:rPr>
            <w:rPr>
              <w:rFonts w:ascii="Cambria Math" w:hAnsi="Cambria Math" w:cs="Arial"/>
              <w:sz w:val="24"/>
              <w:szCs w:val="24"/>
            </w:rPr>
            <m:t>=3.11</m:t>
          </m:r>
          <m:r>
            <m:rPr>
              <m:nor/>
            </m:rPr>
            <w:rPr>
              <w:rFonts w:ascii="Arial" w:hAnsi="Arial" w:cs="Arial"/>
              <w:b/>
              <w:bCs/>
              <w:sz w:val="24"/>
              <w:szCs w:val="24"/>
            </w:rPr>
            <m:t xml:space="preserve"> years</m:t>
          </m:r>
          <m:r>
            <w:rPr>
              <w:rFonts w:ascii="Arial" w:hAnsi="Arial" w:cs="Arial"/>
              <w:b/>
              <w:bCs/>
              <w:sz w:val="24"/>
              <w:szCs w:val="24"/>
            </w:rPr>
            <w:br/>
          </m:r>
        </m:oMath>
      </m:oMathPara>
    </w:p>
    <w:p w14:paraId="4D4EE2F3" w14:textId="77777777" w:rsidR="005708DA"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b/>
          <w:bCs/>
          <w:sz w:val="24"/>
          <w:szCs w:val="24"/>
        </w:rPr>
        <w:br/>
      </w:r>
      <w:r w:rsidR="005708DA" w:rsidRPr="00DF31F5">
        <w:rPr>
          <w:rFonts w:ascii="Arial" w:hAnsi="Arial" w:cs="Arial"/>
          <w:bCs/>
          <w:sz w:val="24"/>
          <w:szCs w:val="24"/>
        </w:rPr>
        <w:t>It is agreeable that Project C will involve the highest initial investment but it is impressive that it will have recovered within a little more than 3.1 years. This is an indication of good initial cash-flow.</w:t>
      </w:r>
    </w:p>
    <w:p w14:paraId="54EDBB6B" w14:textId="16B18040" w:rsidR="0050295C" w:rsidRPr="0050295C" w:rsidRDefault="0050295C" w:rsidP="00DF31F5">
      <w:pPr>
        <w:spacing w:line="360" w:lineRule="auto"/>
        <w:rPr>
          <w:rFonts w:ascii="Arial" w:hAnsi="Arial" w:cs="Arial"/>
          <w:b/>
          <w:bCs/>
          <w:sz w:val="24"/>
          <w:szCs w:val="24"/>
        </w:rPr>
      </w:pPr>
    </w:p>
    <w:p w14:paraId="3F3BE26B"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5.2 Accounting Rate of Return (ARR)</w:t>
      </w:r>
    </w:p>
    <w:p w14:paraId="6B4CA64C" w14:textId="77777777" w:rsidR="0037335D"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Description:</w:t>
      </w:r>
      <w:r w:rsidRPr="0050295C">
        <w:rPr>
          <w:rFonts w:ascii="Arial" w:hAnsi="Arial" w:cs="Arial"/>
          <w:b/>
          <w:bCs/>
          <w:sz w:val="24"/>
          <w:szCs w:val="24"/>
        </w:rPr>
        <w:br/>
      </w:r>
      <w:r w:rsidR="0037335D" w:rsidRPr="00DF31F5">
        <w:rPr>
          <w:rFonts w:ascii="Arial" w:hAnsi="Arial" w:cs="Arial"/>
          <w:bCs/>
          <w:sz w:val="24"/>
          <w:szCs w:val="24"/>
        </w:rPr>
        <w:t>Accounting rate of return (ARR) is essential since it shows how profitable the bank is based on accurate and reliable accounting techniques.</w:t>
      </w:r>
    </w:p>
    <w:p w14:paraId="776A07F2" w14:textId="7694AA17" w:rsidR="0050295C" w:rsidRPr="0050295C" w:rsidRDefault="0050295C" w:rsidP="00DF31F5">
      <w:pPr>
        <w:spacing w:line="360" w:lineRule="auto"/>
        <w:rPr>
          <w:rFonts w:ascii="Arial" w:hAnsi="Arial" w:cs="Arial"/>
          <w:b/>
          <w:bCs/>
          <w:sz w:val="24"/>
          <w:szCs w:val="24"/>
        </w:rPr>
      </w:pPr>
    </w:p>
    <w:p w14:paraId="39BFD064"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Formula:</w:t>
      </w:r>
    </w:p>
    <w:p w14:paraId="0EAA6160" w14:textId="3A6D2E30" w:rsidR="0050295C" w:rsidRPr="0050295C" w:rsidRDefault="0050295C" w:rsidP="00DF31F5">
      <w:pPr>
        <w:spacing w:line="360" w:lineRule="auto"/>
        <w:rPr>
          <w:rFonts w:ascii="Arial" w:hAnsi="Arial" w:cs="Arial"/>
          <w:b/>
          <w:bCs/>
          <w:sz w:val="24"/>
          <w:szCs w:val="24"/>
        </w:rPr>
      </w:pPr>
      <m:oMathPara>
        <m:oMath>
          <m:r>
            <m:rPr>
              <m:nor/>
            </m:rPr>
            <w:rPr>
              <w:rFonts w:ascii="Arial" w:hAnsi="Arial" w:cs="Arial"/>
              <w:b/>
              <w:bCs/>
              <w:sz w:val="24"/>
              <w:szCs w:val="24"/>
            </w:rPr>
            <w:lastRenderedPageBreak/>
            <m:t>ARR</m:t>
          </m:r>
          <m:r>
            <m:rPr>
              <m:sty m:val="bi"/>
            </m:rPr>
            <w:rPr>
              <w:rFonts w:ascii="Cambria Math" w:hAnsi="Cambria Math" w:cs="Arial"/>
              <w:sz w:val="24"/>
              <w:szCs w:val="24"/>
            </w:rPr>
            <m:t>=</m:t>
          </m:r>
          <m:f>
            <m:fPr>
              <m:ctrlPr>
                <w:rPr>
                  <w:rFonts w:ascii="Cambria Math" w:hAnsi="Cambria Math" w:cs="Arial"/>
                  <w:b/>
                  <w:bCs/>
                  <w:sz w:val="24"/>
                  <w:szCs w:val="24"/>
                </w:rPr>
              </m:ctrlPr>
            </m:fPr>
            <m:num>
              <m:r>
                <m:rPr>
                  <m:nor/>
                </m:rPr>
                <w:rPr>
                  <w:rFonts w:ascii="Arial" w:hAnsi="Arial" w:cs="Arial"/>
                  <w:b/>
                  <w:bCs/>
                  <w:sz w:val="24"/>
                  <w:szCs w:val="24"/>
                </w:rPr>
                <m:t>Average Annual Accounting Profit</m:t>
              </m:r>
            </m:num>
            <m:den>
              <m:r>
                <m:rPr>
                  <m:nor/>
                </m:rPr>
                <w:rPr>
                  <w:rFonts w:ascii="Arial" w:hAnsi="Arial" w:cs="Arial"/>
                  <w:b/>
                  <w:bCs/>
                  <w:sz w:val="24"/>
                  <w:szCs w:val="24"/>
                </w:rPr>
                <m:t>Average Investment</m:t>
              </m:r>
            </m:den>
          </m:f>
          <m:r>
            <w:rPr>
              <w:rFonts w:ascii="Arial" w:hAnsi="Arial" w:cs="Arial"/>
              <w:b/>
              <w:bCs/>
              <w:sz w:val="24"/>
              <w:szCs w:val="24"/>
            </w:rPr>
            <w:br/>
          </m:r>
        </m:oMath>
        <m:oMath>
          <m:r>
            <m:rPr>
              <m:nor/>
            </m:rPr>
            <w:rPr>
              <w:rFonts w:ascii="Arial" w:hAnsi="Arial" w:cs="Arial"/>
              <w:b/>
              <w:bCs/>
              <w:sz w:val="24"/>
              <w:szCs w:val="24"/>
            </w:rPr>
            <m:t>Average Investment</m:t>
          </m:r>
          <m:r>
            <m:rPr>
              <m:sty m:val="bi"/>
            </m:rPr>
            <w:rPr>
              <w:rFonts w:ascii="Cambria Math" w:hAnsi="Cambria Math" w:cs="Arial"/>
              <w:sz w:val="24"/>
              <w:szCs w:val="24"/>
            </w:rPr>
            <m:t>=</m:t>
          </m:r>
          <m:f>
            <m:fPr>
              <m:ctrlPr>
                <w:rPr>
                  <w:rFonts w:ascii="Cambria Math" w:hAnsi="Cambria Math" w:cs="Arial"/>
                  <w:b/>
                  <w:bCs/>
                  <w:sz w:val="24"/>
                  <w:szCs w:val="24"/>
                </w:rPr>
              </m:ctrlPr>
            </m:fPr>
            <m:num>
              <m:r>
                <m:rPr>
                  <m:nor/>
                </m:rPr>
                <w:rPr>
                  <w:rFonts w:ascii="Arial" w:hAnsi="Arial" w:cs="Arial"/>
                  <w:b/>
                  <w:bCs/>
                  <w:sz w:val="24"/>
                  <w:szCs w:val="24"/>
                </w:rPr>
                <m:t>Initial Investment + Residual Value</m:t>
              </m:r>
            </m:num>
            <m:den>
              <m:r>
                <m:rPr>
                  <m:sty m:val="bi"/>
                </m:rPr>
                <w:rPr>
                  <w:rFonts w:ascii="Cambria Math" w:hAnsi="Cambria Math" w:cs="Arial"/>
                  <w:sz w:val="24"/>
                  <w:szCs w:val="24"/>
                </w:rPr>
                <m:t>2</m:t>
              </m:r>
            </m:den>
          </m:f>
          <m:r>
            <w:rPr>
              <w:rFonts w:ascii="Arial" w:hAnsi="Arial" w:cs="Arial"/>
              <w:b/>
              <w:bCs/>
              <w:sz w:val="24"/>
              <w:szCs w:val="24"/>
            </w:rPr>
            <w:br/>
          </m:r>
        </m:oMath>
      </m:oMathPara>
    </w:p>
    <w:p w14:paraId="26870AA3" w14:textId="15362D52" w:rsidR="0050295C" w:rsidRPr="0050295C" w:rsidRDefault="0037335D" w:rsidP="00DF31F5">
      <w:pPr>
        <w:spacing w:line="360" w:lineRule="auto"/>
        <w:rPr>
          <w:rFonts w:ascii="Arial" w:hAnsi="Arial" w:cs="Arial"/>
          <w:bCs/>
          <w:sz w:val="24"/>
          <w:szCs w:val="24"/>
        </w:rPr>
      </w:pPr>
      <w:r w:rsidRPr="00DF31F5">
        <w:rPr>
          <w:rFonts w:ascii="Arial" w:hAnsi="Arial" w:cs="Arial"/>
          <w:bCs/>
          <w:sz w:val="24"/>
          <w:szCs w:val="24"/>
        </w:rPr>
        <w:t>Depreciation to zero on a straight line basis of 5 years.</w:t>
      </w:r>
    </w:p>
    <w:p w14:paraId="25AFC577"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A</w:t>
      </w:r>
    </w:p>
    <w:p w14:paraId="63372D30"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Initial investment: 40</w:t>
      </w:r>
      <w:r w:rsidRPr="0050295C">
        <w:rPr>
          <w:rFonts w:ascii="Arial" w:hAnsi="Arial" w:cs="Arial"/>
          <w:sz w:val="24"/>
          <w:szCs w:val="24"/>
        </w:rPr>
        <w:br/>
        <w:t>Depreciation: 40/5 = 8</w:t>
      </w:r>
      <w:r w:rsidRPr="0050295C">
        <w:rPr>
          <w:rFonts w:ascii="Arial" w:hAnsi="Arial" w:cs="Arial"/>
          <w:sz w:val="24"/>
          <w:szCs w:val="24"/>
        </w:rPr>
        <w:br/>
        <w:t>Annual profit: 12.2 – 8 = 4.2</w:t>
      </w:r>
      <w:r w:rsidRPr="0050295C">
        <w:rPr>
          <w:rFonts w:ascii="Arial" w:hAnsi="Arial" w:cs="Arial"/>
          <w:sz w:val="24"/>
          <w:szCs w:val="24"/>
        </w:rPr>
        <w:br/>
        <w:t>Average investment: 40/2 = 20</w:t>
      </w:r>
    </w:p>
    <w:p w14:paraId="56CD64CD" w14:textId="37A3DCE2" w:rsidR="0050295C" w:rsidRPr="0050295C" w:rsidRDefault="0050295C" w:rsidP="00DF31F5">
      <w:pPr>
        <w:spacing w:line="360" w:lineRule="auto"/>
        <w:rPr>
          <w:rFonts w:ascii="Arial" w:hAnsi="Arial" w:cs="Arial"/>
          <w:b/>
          <w:bCs/>
          <w:sz w:val="24"/>
          <w:szCs w:val="24"/>
        </w:rPr>
      </w:pPr>
      <m:oMathPara>
        <m:oMath>
          <m:sSub>
            <m:sSubPr>
              <m:ctrlPr>
                <w:rPr>
                  <w:rFonts w:ascii="Cambria Math" w:hAnsi="Cambria Math" w:cs="Arial"/>
                  <w:b/>
                  <w:bCs/>
                  <w:sz w:val="24"/>
                  <w:szCs w:val="24"/>
                </w:rPr>
              </m:ctrlPr>
            </m:sSubPr>
            <m:e>
              <m:r>
                <m:rPr>
                  <m:nor/>
                </m:rPr>
                <w:rPr>
                  <w:rFonts w:ascii="Arial" w:hAnsi="Arial" w:cs="Arial"/>
                  <w:b/>
                  <w:bCs/>
                  <w:sz w:val="24"/>
                  <w:szCs w:val="24"/>
                </w:rPr>
                <m:t>ARR</m:t>
              </m:r>
            </m:e>
            <m:sub>
              <m:r>
                <m:rPr>
                  <m:sty m:val="bi"/>
                </m:rPr>
                <w:rPr>
                  <w:rFonts w:ascii="Cambria Math" w:hAnsi="Cambria Math" w:cs="Arial"/>
                  <w:sz w:val="24"/>
                  <w:szCs w:val="24"/>
                </w:rPr>
                <m:t>A</m:t>
              </m:r>
            </m:sub>
          </m:sSub>
          <m:r>
            <m:rPr>
              <m:sty m:val="bi"/>
            </m:rPr>
            <w:rPr>
              <w:rFonts w:ascii="Cambria Math" w:hAnsi="Cambria Math" w:cs="Arial"/>
              <w:sz w:val="24"/>
              <w:szCs w:val="24"/>
            </w:rPr>
            <m:t>=</m:t>
          </m:r>
          <m:f>
            <m:fPr>
              <m:ctrlPr>
                <w:rPr>
                  <w:rFonts w:ascii="Cambria Math" w:hAnsi="Cambria Math" w:cs="Arial"/>
                  <w:b/>
                  <w:bCs/>
                  <w:sz w:val="24"/>
                  <w:szCs w:val="24"/>
                </w:rPr>
              </m:ctrlPr>
            </m:fPr>
            <m:num>
              <m:r>
                <m:rPr>
                  <m:sty m:val="bi"/>
                </m:rPr>
                <w:rPr>
                  <w:rFonts w:ascii="Cambria Math" w:hAnsi="Cambria Math" w:cs="Arial"/>
                  <w:sz w:val="24"/>
                  <w:szCs w:val="24"/>
                </w:rPr>
                <m:t>4.2</m:t>
              </m:r>
            </m:num>
            <m:den>
              <m:r>
                <m:rPr>
                  <m:sty m:val="bi"/>
                </m:rPr>
                <w:rPr>
                  <w:rFonts w:ascii="Cambria Math" w:hAnsi="Cambria Math" w:cs="Arial"/>
                  <w:sz w:val="24"/>
                  <w:szCs w:val="24"/>
                </w:rPr>
                <m:t>20</m:t>
              </m:r>
            </m:den>
          </m:f>
          <m:r>
            <m:rPr>
              <m:sty m:val="bi"/>
            </m:rPr>
            <w:rPr>
              <w:rFonts w:ascii="Cambria Math" w:hAnsi="Cambria Math" w:cs="Arial"/>
              <w:sz w:val="24"/>
              <w:szCs w:val="24"/>
            </w:rPr>
            <m:t>=21</m:t>
          </m:r>
          <m:r>
            <m:rPr>
              <m:sty m:val="b"/>
            </m:rPr>
            <w:rPr>
              <w:rFonts w:ascii="Cambria Math" w:hAnsi="Cambria Math" w:cs="Arial"/>
              <w:sz w:val="24"/>
              <w:szCs w:val="24"/>
            </w:rPr>
            <m:t>%</m:t>
          </m:r>
          <m:r>
            <w:rPr>
              <w:rFonts w:ascii="Arial" w:hAnsi="Arial" w:cs="Arial"/>
              <w:b/>
              <w:bCs/>
              <w:sz w:val="24"/>
              <w:szCs w:val="24"/>
            </w:rPr>
            <w:br/>
          </m:r>
        </m:oMath>
      </m:oMathPara>
    </w:p>
    <w:p w14:paraId="6A87262B" w14:textId="77777777" w:rsidR="0037335D"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b/>
          <w:bCs/>
          <w:sz w:val="24"/>
          <w:szCs w:val="24"/>
        </w:rPr>
        <w:br/>
      </w:r>
      <w:r w:rsidR="0037335D" w:rsidRPr="00DF31F5">
        <w:rPr>
          <w:rFonts w:ascii="Arial" w:hAnsi="Arial" w:cs="Arial"/>
          <w:bCs/>
          <w:sz w:val="24"/>
          <w:szCs w:val="24"/>
        </w:rPr>
        <w:t>The ARR is 21 percent, which is very strong profitability and is well above the normal corporate hurdle rates.</w:t>
      </w:r>
    </w:p>
    <w:p w14:paraId="20A0E890" w14:textId="5DD01FFA" w:rsidR="0050295C" w:rsidRPr="0050295C" w:rsidRDefault="0050295C" w:rsidP="00DF31F5">
      <w:pPr>
        <w:spacing w:line="360" w:lineRule="auto"/>
        <w:rPr>
          <w:rFonts w:ascii="Arial" w:hAnsi="Arial" w:cs="Arial"/>
          <w:b/>
          <w:bCs/>
          <w:sz w:val="24"/>
          <w:szCs w:val="24"/>
        </w:rPr>
      </w:pPr>
    </w:p>
    <w:p w14:paraId="580698DA" w14:textId="59EF9103" w:rsidR="0050295C" w:rsidRPr="0050295C" w:rsidRDefault="0050295C" w:rsidP="00DF31F5">
      <w:pPr>
        <w:spacing w:line="360" w:lineRule="auto"/>
        <w:rPr>
          <w:rFonts w:ascii="Arial" w:hAnsi="Arial" w:cs="Arial"/>
          <w:b/>
          <w:bCs/>
          <w:sz w:val="24"/>
          <w:szCs w:val="24"/>
        </w:rPr>
      </w:pPr>
    </w:p>
    <w:p w14:paraId="1022DA69"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B</w:t>
      </w:r>
    </w:p>
    <w:p w14:paraId="2421A13F"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Initial: 30</w:t>
      </w:r>
      <w:r w:rsidRPr="0050295C">
        <w:rPr>
          <w:rFonts w:ascii="Arial" w:hAnsi="Arial" w:cs="Arial"/>
          <w:sz w:val="24"/>
          <w:szCs w:val="24"/>
        </w:rPr>
        <w:br/>
        <w:t>Depreciation: 30/5 = 6</w:t>
      </w:r>
      <w:r w:rsidRPr="0050295C">
        <w:rPr>
          <w:rFonts w:ascii="Arial" w:hAnsi="Arial" w:cs="Arial"/>
          <w:sz w:val="24"/>
          <w:szCs w:val="24"/>
        </w:rPr>
        <w:br/>
        <w:t>Annual profit = 7.6 – 6 = 1.6</w:t>
      </w:r>
      <w:r w:rsidRPr="0050295C">
        <w:rPr>
          <w:rFonts w:ascii="Arial" w:hAnsi="Arial" w:cs="Arial"/>
          <w:sz w:val="24"/>
          <w:szCs w:val="24"/>
        </w:rPr>
        <w:br/>
        <w:t>Average investment = 15</w:t>
      </w:r>
    </w:p>
    <w:p w14:paraId="3933C315" w14:textId="15F9F629" w:rsidR="0050295C" w:rsidRPr="0050295C" w:rsidRDefault="0050295C" w:rsidP="00DF31F5">
      <w:pPr>
        <w:spacing w:line="360" w:lineRule="auto"/>
        <w:rPr>
          <w:rFonts w:ascii="Arial" w:hAnsi="Arial" w:cs="Arial"/>
          <w:b/>
          <w:bCs/>
          <w:sz w:val="24"/>
          <w:szCs w:val="24"/>
        </w:rPr>
      </w:pPr>
      <m:oMathPara>
        <m:oMath>
          <m:sSub>
            <m:sSubPr>
              <m:ctrlPr>
                <w:rPr>
                  <w:rFonts w:ascii="Cambria Math" w:hAnsi="Cambria Math" w:cs="Arial"/>
                  <w:b/>
                  <w:bCs/>
                  <w:sz w:val="24"/>
                  <w:szCs w:val="24"/>
                </w:rPr>
              </m:ctrlPr>
            </m:sSubPr>
            <m:e>
              <m:r>
                <m:rPr>
                  <m:nor/>
                </m:rPr>
                <w:rPr>
                  <w:rFonts w:ascii="Arial" w:hAnsi="Arial" w:cs="Arial"/>
                  <w:b/>
                  <w:bCs/>
                  <w:sz w:val="24"/>
                  <w:szCs w:val="24"/>
                </w:rPr>
                <m:t>ARR</m:t>
              </m:r>
            </m:e>
            <m:sub>
              <m:r>
                <m:rPr>
                  <m:sty m:val="bi"/>
                </m:rPr>
                <w:rPr>
                  <w:rFonts w:ascii="Cambria Math" w:hAnsi="Cambria Math" w:cs="Arial"/>
                  <w:sz w:val="24"/>
                  <w:szCs w:val="24"/>
                </w:rPr>
                <m:t>B</m:t>
              </m:r>
            </m:sub>
          </m:sSub>
          <m:r>
            <m:rPr>
              <m:sty m:val="bi"/>
            </m:rPr>
            <w:rPr>
              <w:rFonts w:ascii="Cambria Math" w:hAnsi="Cambria Math" w:cs="Arial"/>
              <w:sz w:val="24"/>
              <w:szCs w:val="24"/>
            </w:rPr>
            <m:t>=</m:t>
          </m:r>
          <m:f>
            <m:fPr>
              <m:ctrlPr>
                <w:rPr>
                  <w:rFonts w:ascii="Cambria Math" w:hAnsi="Cambria Math" w:cs="Arial"/>
                  <w:b/>
                  <w:bCs/>
                  <w:sz w:val="24"/>
                  <w:szCs w:val="24"/>
                </w:rPr>
              </m:ctrlPr>
            </m:fPr>
            <m:num>
              <m:r>
                <m:rPr>
                  <m:sty m:val="bi"/>
                </m:rPr>
                <w:rPr>
                  <w:rFonts w:ascii="Cambria Math" w:hAnsi="Cambria Math" w:cs="Arial"/>
                  <w:sz w:val="24"/>
                  <w:szCs w:val="24"/>
                </w:rPr>
                <m:t>1.6</m:t>
              </m:r>
            </m:num>
            <m:den>
              <m:r>
                <m:rPr>
                  <m:sty m:val="bi"/>
                </m:rPr>
                <w:rPr>
                  <w:rFonts w:ascii="Cambria Math" w:hAnsi="Cambria Math" w:cs="Arial"/>
                  <w:sz w:val="24"/>
                  <w:szCs w:val="24"/>
                </w:rPr>
                <m:t>15</m:t>
              </m:r>
            </m:den>
          </m:f>
          <m:r>
            <m:rPr>
              <m:sty m:val="bi"/>
            </m:rPr>
            <w:rPr>
              <w:rFonts w:ascii="Cambria Math" w:hAnsi="Cambria Math" w:cs="Arial"/>
              <w:sz w:val="24"/>
              <w:szCs w:val="24"/>
            </w:rPr>
            <m:t>≈10.7</m:t>
          </m:r>
          <m:r>
            <m:rPr>
              <m:sty m:val="b"/>
            </m:rPr>
            <w:rPr>
              <w:rFonts w:ascii="Cambria Math" w:hAnsi="Cambria Math" w:cs="Arial"/>
              <w:sz w:val="24"/>
              <w:szCs w:val="24"/>
            </w:rPr>
            <m:t>%</m:t>
          </m:r>
          <m:r>
            <w:rPr>
              <w:rFonts w:ascii="Arial" w:hAnsi="Arial" w:cs="Arial"/>
              <w:b/>
              <w:bCs/>
              <w:sz w:val="24"/>
              <w:szCs w:val="24"/>
            </w:rPr>
            <w:br/>
          </m:r>
        </m:oMath>
      </m:oMathPara>
    </w:p>
    <w:p w14:paraId="3E93F63A" w14:textId="77777777" w:rsidR="0037335D"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b/>
          <w:bCs/>
          <w:sz w:val="24"/>
          <w:szCs w:val="24"/>
        </w:rPr>
        <w:br/>
      </w:r>
      <w:r w:rsidR="0037335D" w:rsidRPr="00DF31F5">
        <w:rPr>
          <w:rFonts w:ascii="Arial" w:hAnsi="Arial" w:cs="Arial"/>
          <w:bCs/>
          <w:sz w:val="24"/>
          <w:szCs w:val="24"/>
        </w:rPr>
        <w:t>The project generates small accounting returns and barely passes a standard hurdle rate meaning the little value to shareholders.</w:t>
      </w:r>
    </w:p>
    <w:p w14:paraId="11CFC443" w14:textId="4D59D787" w:rsidR="0050295C" w:rsidRPr="0050295C" w:rsidRDefault="0050295C" w:rsidP="00DF31F5">
      <w:pPr>
        <w:spacing w:line="360" w:lineRule="auto"/>
        <w:rPr>
          <w:rFonts w:ascii="Arial" w:hAnsi="Arial" w:cs="Arial"/>
          <w:sz w:val="24"/>
          <w:szCs w:val="24"/>
        </w:rPr>
      </w:pPr>
    </w:p>
    <w:p w14:paraId="6AA90AB1" w14:textId="0D8F9FBB" w:rsidR="0050295C" w:rsidRPr="0050295C" w:rsidRDefault="0050295C" w:rsidP="00DF31F5">
      <w:pPr>
        <w:spacing w:line="360" w:lineRule="auto"/>
        <w:rPr>
          <w:rFonts w:ascii="Arial" w:hAnsi="Arial" w:cs="Arial"/>
          <w:b/>
          <w:bCs/>
          <w:sz w:val="24"/>
          <w:szCs w:val="24"/>
        </w:rPr>
      </w:pPr>
    </w:p>
    <w:p w14:paraId="720C05A9"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lastRenderedPageBreak/>
        <w:t>Project C</w:t>
      </w:r>
    </w:p>
    <w:p w14:paraId="52420AAC"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Initial: 50</w:t>
      </w:r>
      <w:r w:rsidRPr="0050295C">
        <w:rPr>
          <w:rFonts w:ascii="Arial" w:hAnsi="Arial" w:cs="Arial"/>
          <w:sz w:val="24"/>
          <w:szCs w:val="24"/>
        </w:rPr>
        <w:br/>
        <w:t>Depreciation = 10</w:t>
      </w:r>
      <w:r w:rsidRPr="0050295C">
        <w:rPr>
          <w:rFonts w:ascii="Arial" w:hAnsi="Arial" w:cs="Arial"/>
          <w:sz w:val="24"/>
          <w:szCs w:val="24"/>
        </w:rPr>
        <w:br/>
        <w:t>Profit = 16.1 – 10 = 6.1</w:t>
      </w:r>
      <w:r w:rsidRPr="0050295C">
        <w:rPr>
          <w:rFonts w:ascii="Arial" w:hAnsi="Arial" w:cs="Arial"/>
          <w:sz w:val="24"/>
          <w:szCs w:val="24"/>
        </w:rPr>
        <w:br/>
        <w:t>Average investment = 25</w:t>
      </w:r>
    </w:p>
    <w:p w14:paraId="4AA04013" w14:textId="158B95E5" w:rsidR="0050295C" w:rsidRPr="0050295C" w:rsidRDefault="0050295C" w:rsidP="00DF31F5">
      <w:pPr>
        <w:spacing w:line="360" w:lineRule="auto"/>
        <w:rPr>
          <w:rFonts w:ascii="Arial" w:hAnsi="Arial" w:cs="Arial"/>
          <w:b/>
          <w:bCs/>
          <w:sz w:val="24"/>
          <w:szCs w:val="24"/>
        </w:rPr>
      </w:pPr>
      <m:oMathPara>
        <m:oMath>
          <m:sSub>
            <m:sSubPr>
              <m:ctrlPr>
                <w:rPr>
                  <w:rFonts w:ascii="Cambria Math" w:hAnsi="Cambria Math" w:cs="Arial"/>
                  <w:b/>
                  <w:bCs/>
                  <w:sz w:val="24"/>
                  <w:szCs w:val="24"/>
                </w:rPr>
              </m:ctrlPr>
            </m:sSubPr>
            <m:e>
              <m:r>
                <m:rPr>
                  <m:nor/>
                </m:rPr>
                <w:rPr>
                  <w:rFonts w:ascii="Arial" w:hAnsi="Arial" w:cs="Arial"/>
                  <w:b/>
                  <w:bCs/>
                  <w:sz w:val="24"/>
                  <w:szCs w:val="24"/>
                </w:rPr>
                <m:t>ARR</m:t>
              </m:r>
            </m:e>
            <m:sub>
              <m:r>
                <m:rPr>
                  <m:sty m:val="bi"/>
                </m:rPr>
                <w:rPr>
                  <w:rFonts w:ascii="Cambria Math" w:hAnsi="Cambria Math" w:cs="Arial"/>
                  <w:sz w:val="24"/>
                  <w:szCs w:val="24"/>
                </w:rPr>
                <m:t>C</m:t>
              </m:r>
            </m:sub>
          </m:sSub>
          <m:r>
            <m:rPr>
              <m:sty m:val="bi"/>
            </m:rPr>
            <w:rPr>
              <w:rFonts w:ascii="Cambria Math" w:hAnsi="Cambria Math" w:cs="Arial"/>
              <w:sz w:val="24"/>
              <w:szCs w:val="24"/>
            </w:rPr>
            <m:t>=</m:t>
          </m:r>
          <m:f>
            <m:fPr>
              <m:ctrlPr>
                <w:rPr>
                  <w:rFonts w:ascii="Cambria Math" w:hAnsi="Cambria Math" w:cs="Arial"/>
                  <w:b/>
                  <w:bCs/>
                  <w:sz w:val="24"/>
                  <w:szCs w:val="24"/>
                </w:rPr>
              </m:ctrlPr>
            </m:fPr>
            <m:num>
              <m:r>
                <m:rPr>
                  <m:sty m:val="bi"/>
                </m:rPr>
                <w:rPr>
                  <w:rFonts w:ascii="Cambria Math" w:hAnsi="Cambria Math" w:cs="Arial"/>
                  <w:sz w:val="24"/>
                  <w:szCs w:val="24"/>
                </w:rPr>
                <m:t>6.1</m:t>
              </m:r>
            </m:num>
            <m:den>
              <m:r>
                <m:rPr>
                  <m:sty m:val="bi"/>
                </m:rPr>
                <w:rPr>
                  <w:rFonts w:ascii="Cambria Math" w:hAnsi="Cambria Math" w:cs="Arial"/>
                  <w:sz w:val="24"/>
                  <w:szCs w:val="24"/>
                </w:rPr>
                <m:t>25</m:t>
              </m:r>
            </m:den>
          </m:f>
          <m:r>
            <m:rPr>
              <m:sty m:val="bi"/>
            </m:rPr>
            <w:rPr>
              <w:rFonts w:ascii="Cambria Math" w:hAnsi="Cambria Math" w:cs="Arial"/>
              <w:sz w:val="24"/>
              <w:szCs w:val="24"/>
            </w:rPr>
            <m:t>=24.4</m:t>
          </m:r>
          <m:r>
            <m:rPr>
              <m:sty m:val="b"/>
            </m:rPr>
            <w:rPr>
              <w:rFonts w:ascii="Cambria Math" w:hAnsi="Cambria Math" w:cs="Arial"/>
              <w:sz w:val="24"/>
              <w:szCs w:val="24"/>
            </w:rPr>
            <m:t>%</m:t>
          </m:r>
          <m:r>
            <w:rPr>
              <w:rFonts w:ascii="Arial" w:hAnsi="Arial" w:cs="Arial"/>
              <w:b/>
              <w:bCs/>
              <w:sz w:val="24"/>
              <w:szCs w:val="24"/>
            </w:rPr>
            <w:br/>
          </m:r>
        </m:oMath>
      </m:oMathPara>
    </w:p>
    <w:p w14:paraId="279F6523" w14:textId="77777777" w:rsidR="0037335D"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b/>
          <w:bCs/>
          <w:sz w:val="24"/>
          <w:szCs w:val="24"/>
        </w:rPr>
        <w:br/>
      </w:r>
      <w:r w:rsidR="0037335D" w:rsidRPr="00DF31F5">
        <w:rPr>
          <w:rFonts w:ascii="Arial" w:hAnsi="Arial" w:cs="Arial"/>
          <w:bCs/>
          <w:sz w:val="24"/>
          <w:szCs w:val="24"/>
        </w:rPr>
        <w:t>Project C is the most profitable in terms of ARR, which implies a high level of accounting profitability, which complies with the long-term strategy of digital expansion of GE.</w:t>
      </w:r>
    </w:p>
    <w:p w14:paraId="00C6FFB5" w14:textId="28F7ADAF" w:rsidR="0050295C" w:rsidRPr="0050295C" w:rsidRDefault="0050295C" w:rsidP="00DF31F5">
      <w:pPr>
        <w:spacing w:line="360" w:lineRule="auto"/>
        <w:rPr>
          <w:rFonts w:ascii="Arial" w:hAnsi="Arial" w:cs="Arial"/>
          <w:sz w:val="24"/>
          <w:szCs w:val="24"/>
        </w:rPr>
      </w:pPr>
    </w:p>
    <w:p w14:paraId="6D4C7E52" w14:textId="4068BFB7" w:rsidR="0050295C" w:rsidRPr="0050295C" w:rsidRDefault="0050295C" w:rsidP="00DF31F5">
      <w:pPr>
        <w:spacing w:line="360" w:lineRule="auto"/>
        <w:rPr>
          <w:rFonts w:ascii="Arial" w:hAnsi="Arial" w:cs="Arial"/>
          <w:b/>
          <w:bCs/>
          <w:sz w:val="24"/>
          <w:szCs w:val="24"/>
        </w:rPr>
      </w:pPr>
    </w:p>
    <w:p w14:paraId="2A96F924"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5.3 Net Present Value (NPV)</w:t>
      </w:r>
    </w:p>
    <w:p w14:paraId="3CCDD099" w14:textId="77777777" w:rsidR="0037335D"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Description:</w:t>
      </w:r>
      <w:r w:rsidRPr="0050295C">
        <w:rPr>
          <w:rFonts w:ascii="Arial" w:hAnsi="Arial" w:cs="Arial"/>
          <w:b/>
          <w:bCs/>
          <w:sz w:val="24"/>
          <w:szCs w:val="24"/>
        </w:rPr>
        <w:br/>
      </w:r>
      <w:r w:rsidR="0037335D" w:rsidRPr="00DF31F5">
        <w:rPr>
          <w:rFonts w:ascii="Arial" w:hAnsi="Arial" w:cs="Arial"/>
          <w:bCs/>
          <w:sz w:val="24"/>
          <w:szCs w:val="24"/>
        </w:rPr>
        <w:t>NPV discounts all the future cash inflows to the present value and calculates the difference between the initial cost and the present value of the cash. It is the most valid way of appraisal since it considers the time value of money and it evaluates the absolute value creation.</w:t>
      </w:r>
    </w:p>
    <w:p w14:paraId="7CE0A7ED" w14:textId="3EC841EB" w:rsidR="0050295C" w:rsidRPr="0050295C" w:rsidRDefault="0050295C" w:rsidP="00DF31F5">
      <w:pPr>
        <w:spacing w:line="360" w:lineRule="auto"/>
        <w:rPr>
          <w:rFonts w:ascii="Arial" w:hAnsi="Arial" w:cs="Arial"/>
          <w:b/>
          <w:bCs/>
          <w:sz w:val="24"/>
          <w:szCs w:val="24"/>
        </w:rPr>
      </w:pPr>
    </w:p>
    <w:p w14:paraId="519724BC"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Formula:</w:t>
      </w:r>
    </w:p>
    <w:p w14:paraId="2E692108" w14:textId="4F3A4EEB" w:rsidR="0050295C" w:rsidRPr="0050295C" w:rsidRDefault="0050295C" w:rsidP="00DF31F5">
      <w:pPr>
        <w:spacing w:line="360" w:lineRule="auto"/>
        <w:rPr>
          <w:rFonts w:ascii="Arial" w:hAnsi="Arial" w:cs="Arial"/>
          <w:b/>
          <w:bCs/>
          <w:sz w:val="24"/>
          <w:szCs w:val="24"/>
        </w:rPr>
      </w:pPr>
      <m:oMathPara>
        <m:oMath>
          <m:r>
            <m:rPr>
              <m:sty m:val="bi"/>
            </m:rPr>
            <w:rPr>
              <w:rFonts w:ascii="Cambria Math" w:hAnsi="Cambria Math" w:cs="Arial"/>
              <w:sz w:val="24"/>
              <w:szCs w:val="24"/>
            </w:rPr>
            <m:t>NPV=</m:t>
          </m:r>
          <m:nary>
            <m:naryPr>
              <m:chr m:val="∑"/>
              <m:limLoc m:val="undOvr"/>
              <m:grow m:val="1"/>
              <m:ctrlPr>
                <w:rPr>
                  <w:rFonts w:ascii="Cambria Math" w:hAnsi="Cambria Math" w:cs="Arial"/>
                  <w:b/>
                  <w:bCs/>
                  <w:sz w:val="24"/>
                  <w:szCs w:val="24"/>
                </w:rPr>
              </m:ctrlPr>
            </m:naryPr>
            <m:sub>
              <m:r>
                <m:rPr>
                  <m:sty m:val="bi"/>
                </m:rPr>
                <w:rPr>
                  <w:rFonts w:ascii="Cambria Math" w:hAnsi="Cambria Math" w:cs="Arial"/>
                  <w:sz w:val="24"/>
                  <w:szCs w:val="24"/>
                </w:rPr>
                <m:t>t=1</m:t>
              </m:r>
            </m:sub>
            <m:sup>
              <m:r>
                <m:rPr>
                  <m:sty m:val="bi"/>
                </m:rPr>
                <w:rPr>
                  <w:rFonts w:ascii="Cambria Math" w:hAnsi="Cambria Math" w:cs="Arial"/>
                  <w:sz w:val="24"/>
                  <w:szCs w:val="24"/>
                </w:rPr>
                <m:t>5</m:t>
              </m:r>
            </m:sup>
            <m:e/>
          </m:nary>
          <m:f>
            <m:fPr>
              <m:ctrlPr>
                <w:rPr>
                  <w:rFonts w:ascii="Cambria Math" w:hAnsi="Cambria Math" w:cs="Arial"/>
                  <w:b/>
                  <w:bCs/>
                  <w:sz w:val="24"/>
                  <w:szCs w:val="24"/>
                </w:rPr>
              </m:ctrlPr>
            </m:fPr>
            <m:num>
              <m:r>
                <m:rPr>
                  <m:sty m:val="bi"/>
                </m:rPr>
                <w:rPr>
                  <w:rFonts w:ascii="Cambria Math" w:hAnsi="Cambria Math" w:cs="Arial"/>
                  <w:sz w:val="24"/>
                  <w:szCs w:val="24"/>
                </w:rPr>
                <m:t>CF</m:t>
              </m:r>
            </m:num>
            <m:den>
              <m:r>
                <m:rPr>
                  <m:sty m:val="bi"/>
                </m:rPr>
                <w:rPr>
                  <w:rFonts w:ascii="Cambria Math" w:hAnsi="Cambria Math" w:cs="Arial"/>
                  <w:sz w:val="24"/>
                  <w:szCs w:val="24"/>
                </w:rPr>
                <m:t>(1+0.10</m:t>
              </m:r>
              <m:sSup>
                <m:sSupPr>
                  <m:ctrlPr>
                    <w:rPr>
                      <w:rFonts w:ascii="Cambria Math" w:hAnsi="Cambria Math" w:cs="Arial"/>
                      <w:b/>
                      <w:bCs/>
                      <w:sz w:val="24"/>
                      <w:szCs w:val="24"/>
                    </w:rPr>
                  </m:ctrlPr>
                </m:sSupPr>
                <m:e>
                  <m:r>
                    <m:rPr>
                      <m:sty m:val="bi"/>
                    </m:rPr>
                    <w:rPr>
                      <w:rFonts w:ascii="Cambria Math" w:hAnsi="Cambria Math" w:cs="Arial"/>
                      <w:sz w:val="24"/>
                      <w:szCs w:val="24"/>
                    </w:rPr>
                    <m:t>)</m:t>
                  </m:r>
                </m:e>
                <m:sup>
                  <m:r>
                    <m:rPr>
                      <m:sty m:val="bi"/>
                    </m:rPr>
                    <w:rPr>
                      <w:rFonts w:ascii="Cambria Math" w:hAnsi="Cambria Math" w:cs="Arial"/>
                      <w:sz w:val="24"/>
                      <w:szCs w:val="24"/>
                    </w:rPr>
                    <m:t>t</m:t>
                  </m:r>
                </m:sup>
              </m:sSup>
            </m:den>
          </m:f>
          <m:r>
            <m:rPr>
              <m:sty m:val="bi"/>
            </m:rPr>
            <w:rPr>
              <w:rFonts w:ascii="Cambria Math" w:hAnsi="Cambria Math" w:cs="Arial"/>
              <w:sz w:val="24"/>
              <w:szCs w:val="24"/>
            </w:rPr>
            <m:t>-</m:t>
          </m:r>
          <m:r>
            <m:rPr>
              <m:nor/>
            </m:rPr>
            <w:rPr>
              <w:rFonts w:ascii="Arial" w:hAnsi="Arial" w:cs="Arial"/>
              <w:b/>
              <w:bCs/>
              <w:sz w:val="24"/>
              <w:szCs w:val="24"/>
            </w:rPr>
            <m:t>Initial Investment</m:t>
          </m:r>
          <m:r>
            <w:rPr>
              <w:rFonts w:ascii="Arial" w:hAnsi="Arial" w:cs="Arial"/>
              <w:b/>
              <w:bCs/>
              <w:sz w:val="24"/>
              <w:szCs w:val="24"/>
            </w:rPr>
            <w:br/>
          </m:r>
        </m:oMath>
      </m:oMathPara>
    </w:p>
    <w:p w14:paraId="1224F67E"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Discount rate = 10%</w:t>
      </w:r>
      <w:r w:rsidRPr="0050295C">
        <w:rPr>
          <w:rFonts w:ascii="Arial" w:hAnsi="Arial" w:cs="Arial"/>
          <w:sz w:val="24"/>
          <w:szCs w:val="24"/>
        </w:rPr>
        <w:br/>
        <w:t>5-year annuity factor at 10% = 3.7908</w:t>
      </w:r>
    </w:p>
    <w:p w14:paraId="2F10F74C" w14:textId="24287DA4" w:rsidR="0050295C" w:rsidRPr="0050295C" w:rsidRDefault="0050295C" w:rsidP="00DF31F5">
      <w:pPr>
        <w:spacing w:line="360" w:lineRule="auto"/>
        <w:rPr>
          <w:rFonts w:ascii="Arial" w:hAnsi="Arial" w:cs="Arial"/>
          <w:b/>
          <w:bCs/>
          <w:sz w:val="24"/>
          <w:szCs w:val="24"/>
        </w:rPr>
      </w:pPr>
    </w:p>
    <w:p w14:paraId="38EBE8F0"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A</w:t>
      </w:r>
    </w:p>
    <w:p w14:paraId="4D542038" w14:textId="22128B73" w:rsidR="0050295C" w:rsidRPr="0050295C" w:rsidRDefault="0050295C" w:rsidP="00DF31F5">
      <w:pPr>
        <w:spacing w:line="360" w:lineRule="auto"/>
        <w:rPr>
          <w:rFonts w:ascii="Arial" w:hAnsi="Arial" w:cs="Arial"/>
          <w:b/>
          <w:bCs/>
          <w:sz w:val="24"/>
          <w:szCs w:val="24"/>
        </w:rPr>
      </w:pPr>
      <m:oMathPara>
        <m:oMath>
          <m:r>
            <m:rPr>
              <m:sty m:val="bi"/>
            </m:rPr>
            <w:rPr>
              <w:rFonts w:ascii="Cambria Math" w:hAnsi="Cambria Math" w:cs="Arial"/>
              <w:sz w:val="24"/>
              <w:szCs w:val="24"/>
            </w:rPr>
            <w:lastRenderedPageBreak/>
            <m:t>PV=12.2×3.7908=46.3</m:t>
          </m:r>
          <m:r>
            <w:rPr>
              <w:rFonts w:ascii="Arial" w:hAnsi="Arial" w:cs="Arial"/>
              <w:b/>
              <w:bCs/>
              <w:i/>
              <w:sz w:val="24"/>
              <w:szCs w:val="24"/>
            </w:rPr>
            <w:br/>
          </m:r>
        </m:oMath>
        <m:oMath>
          <m:r>
            <m:rPr>
              <m:sty m:val="bi"/>
            </m:rPr>
            <w:rPr>
              <w:rFonts w:ascii="Cambria Math" w:hAnsi="Cambria Math" w:cs="Arial"/>
              <w:sz w:val="24"/>
              <w:szCs w:val="24"/>
            </w:rPr>
            <m:t>NPV=46.3-40=+</m:t>
          </m:r>
          <m:r>
            <m:rPr>
              <m:sty m:val="b"/>
            </m:rPr>
            <w:rPr>
              <w:rFonts w:ascii="Cambria Math" w:hAnsi="Cambria Math" w:cs="Arial"/>
              <w:sz w:val="24"/>
              <w:szCs w:val="24"/>
            </w:rPr>
            <m:t>6.3m</m:t>
          </m:r>
          <m:r>
            <w:rPr>
              <w:rFonts w:ascii="Arial" w:hAnsi="Arial" w:cs="Arial"/>
              <w:b/>
              <w:bCs/>
              <w:sz w:val="24"/>
              <w:szCs w:val="24"/>
            </w:rPr>
            <w:br/>
          </m:r>
        </m:oMath>
      </m:oMathPara>
    </w:p>
    <w:p w14:paraId="2F64E6CD" w14:textId="2D4716F4" w:rsidR="0050295C" w:rsidRPr="0050295C"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b/>
          <w:bCs/>
          <w:sz w:val="24"/>
          <w:szCs w:val="24"/>
        </w:rPr>
        <w:br/>
      </w:r>
      <w:r w:rsidR="0037335D" w:rsidRPr="00DF31F5">
        <w:rPr>
          <w:rFonts w:ascii="Arial" w:hAnsi="Arial" w:cs="Arial"/>
          <w:bCs/>
          <w:sz w:val="24"/>
          <w:szCs w:val="24"/>
        </w:rPr>
        <w:t>The positive NPV proves value creation, which facilitates investing.</w:t>
      </w:r>
    </w:p>
    <w:p w14:paraId="4CF713E0" w14:textId="5C402717" w:rsidR="0050295C" w:rsidRPr="0050295C" w:rsidRDefault="0050295C" w:rsidP="00DF31F5">
      <w:pPr>
        <w:spacing w:line="360" w:lineRule="auto"/>
        <w:rPr>
          <w:rFonts w:ascii="Arial" w:hAnsi="Arial" w:cs="Arial"/>
          <w:b/>
          <w:bCs/>
          <w:sz w:val="24"/>
          <w:szCs w:val="24"/>
        </w:rPr>
      </w:pPr>
    </w:p>
    <w:p w14:paraId="3DC24434"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B</w:t>
      </w:r>
    </w:p>
    <w:p w14:paraId="60BF51D6" w14:textId="713305A0" w:rsidR="0050295C" w:rsidRPr="0050295C" w:rsidRDefault="0050295C" w:rsidP="00DF31F5">
      <w:pPr>
        <w:spacing w:line="360" w:lineRule="auto"/>
        <w:rPr>
          <w:rFonts w:ascii="Arial" w:hAnsi="Arial" w:cs="Arial"/>
          <w:b/>
          <w:bCs/>
          <w:sz w:val="24"/>
          <w:szCs w:val="24"/>
        </w:rPr>
      </w:pPr>
      <m:oMathPara>
        <m:oMath>
          <m:r>
            <m:rPr>
              <m:sty m:val="bi"/>
            </m:rPr>
            <w:rPr>
              <w:rFonts w:ascii="Cambria Math" w:hAnsi="Cambria Math" w:cs="Arial"/>
              <w:sz w:val="24"/>
              <w:szCs w:val="24"/>
            </w:rPr>
            <m:t>PV=7.6×3.7908=28.8</m:t>
          </m:r>
          <m:r>
            <w:rPr>
              <w:rFonts w:ascii="Arial" w:hAnsi="Arial" w:cs="Arial"/>
              <w:b/>
              <w:bCs/>
              <w:i/>
              <w:sz w:val="24"/>
              <w:szCs w:val="24"/>
            </w:rPr>
            <w:br/>
          </m:r>
        </m:oMath>
        <m:oMath>
          <m:r>
            <m:rPr>
              <m:sty m:val="bi"/>
            </m:rPr>
            <w:rPr>
              <w:rFonts w:ascii="Cambria Math" w:hAnsi="Cambria Math" w:cs="Arial"/>
              <w:sz w:val="24"/>
              <w:szCs w:val="24"/>
            </w:rPr>
            <m:t>NPV=28.8-30=-</m:t>
          </m:r>
          <m:r>
            <m:rPr>
              <m:sty m:val="b"/>
            </m:rPr>
            <w:rPr>
              <w:rFonts w:ascii="Cambria Math" w:hAnsi="Cambria Math" w:cs="Arial"/>
              <w:sz w:val="24"/>
              <w:szCs w:val="24"/>
            </w:rPr>
            <m:t>1.2m</m:t>
          </m:r>
          <m:r>
            <w:rPr>
              <w:rFonts w:ascii="Arial" w:hAnsi="Arial" w:cs="Arial"/>
              <w:b/>
              <w:bCs/>
              <w:sz w:val="24"/>
              <w:szCs w:val="24"/>
            </w:rPr>
            <w:br/>
          </m:r>
        </m:oMath>
      </m:oMathPara>
    </w:p>
    <w:p w14:paraId="1F631553" w14:textId="77777777" w:rsidR="0037335D"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b/>
          <w:bCs/>
          <w:sz w:val="24"/>
          <w:szCs w:val="24"/>
        </w:rPr>
        <w:br/>
      </w:r>
      <w:r w:rsidR="0037335D" w:rsidRPr="00DF31F5">
        <w:rPr>
          <w:rFonts w:ascii="Arial" w:hAnsi="Arial" w:cs="Arial"/>
          <w:bCs/>
          <w:sz w:val="24"/>
          <w:szCs w:val="24"/>
        </w:rPr>
        <w:t>When NPV is negative, it implies that the project destroys shareholders.</w:t>
      </w:r>
    </w:p>
    <w:p w14:paraId="26B35B81" w14:textId="3735DC62" w:rsidR="0050295C" w:rsidRPr="0050295C" w:rsidRDefault="0050295C" w:rsidP="00DF31F5">
      <w:pPr>
        <w:spacing w:line="360" w:lineRule="auto"/>
        <w:rPr>
          <w:rFonts w:ascii="Arial" w:hAnsi="Arial" w:cs="Arial"/>
          <w:sz w:val="24"/>
          <w:szCs w:val="24"/>
        </w:rPr>
      </w:pPr>
    </w:p>
    <w:p w14:paraId="49CA38C2" w14:textId="1DFBB449" w:rsidR="0050295C" w:rsidRPr="0050295C" w:rsidRDefault="0050295C" w:rsidP="00DF31F5">
      <w:pPr>
        <w:spacing w:line="360" w:lineRule="auto"/>
        <w:rPr>
          <w:rFonts w:ascii="Arial" w:hAnsi="Arial" w:cs="Arial"/>
          <w:b/>
          <w:bCs/>
          <w:sz w:val="24"/>
          <w:szCs w:val="24"/>
        </w:rPr>
      </w:pPr>
    </w:p>
    <w:p w14:paraId="6DF03C98"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C</w:t>
      </w:r>
    </w:p>
    <w:p w14:paraId="3451966B" w14:textId="2C18DBA1" w:rsidR="0050295C" w:rsidRPr="0050295C" w:rsidRDefault="0050295C" w:rsidP="00DF31F5">
      <w:pPr>
        <w:spacing w:line="360" w:lineRule="auto"/>
        <w:rPr>
          <w:rFonts w:ascii="Arial" w:hAnsi="Arial" w:cs="Arial"/>
          <w:b/>
          <w:bCs/>
          <w:sz w:val="24"/>
          <w:szCs w:val="24"/>
        </w:rPr>
      </w:pPr>
      <m:oMathPara>
        <m:oMath>
          <m:r>
            <m:rPr>
              <m:sty m:val="bi"/>
            </m:rPr>
            <w:rPr>
              <w:rFonts w:ascii="Cambria Math" w:hAnsi="Cambria Math" w:cs="Arial"/>
              <w:sz w:val="24"/>
              <w:szCs w:val="24"/>
            </w:rPr>
            <m:t>PV=16.1×3.7908=60.9</m:t>
          </m:r>
          <m:r>
            <w:rPr>
              <w:rFonts w:ascii="Arial" w:hAnsi="Arial" w:cs="Arial"/>
              <w:b/>
              <w:bCs/>
              <w:i/>
              <w:sz w:val="24"/>
              <w:szCs w:val="24"/>
            </w:rPr>
            <w:br/>
          </m:r>
        </m:oMath>
        <m:oMath>
          <m:r>
            <m:rPr>
              <m:sty m:val="bi"/>
            </m:rPr>
            <w:rPr>
              <w:rFonts w:ascii="Cambria Math" w:hAnsi="Cambria Math" w:cs="Arial"/>
              <w:sz w:val="24"/>
              <w:szCs w:val="24"/>
            </w:rPr>
            <m:t>NPV=60.9-50=+</m:t>
          </m:r>
          <m:r>
            <m:rPr>
              <m:sty m:val="b"/>
            </m:rPr>
            <w:rPr>
              <w:rFonts w:ascii="Cambria Math" w:hAnsi="Cambria Math" w:cs="Arial"/>
              <w:sz w:val="24"/>
              <w:szCs w:val="24"/>
            </w:rPr>
            <m:t>10.9m</m:t>
          </m:r>
          <m:r>
            <w:rPr>
              <w:rFonts w:ascii="Arial" w:hAnsi="Arial" w:cs="Arial"/>
              <w:b/>
              <w:bCs/>
              <w:sz w:val="24"/>
              <w:szCs w:val="24"/>
            </w:rPr>
            <w:br/>
          </m:r>
        </m:oMath>
      </m:oMathPara>
    </w:p>
    <w:p w14:paraId="390462CF" w14:textId="1EC97BE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Interpretation:</w:t>
      </w:r>
      <w:r w:rsidRPr="0050295C">
        <w:rPr>
          <w:rFonts w:ascii="Arial" w:hAnsi="Arial" w:cs="Arial"/>
          <w:b/>
          <w:bCs/>
          <w:sz w:val="24"/>
          <w:szCs w:val="24"/>
        </w:rPr>
        <w:br/>
      </w:r>
      <w:r w:rsidR="0037335D" w:rsidRPr="00DF31F5">
        <w:rPr>
          <w:rFonts w:ascii="Arial" w:hAnsi="Arial" w:cs="Arial"/>
          <w:bCs/>
          <w:sz w:val="24"/>
          <w:szCs w:val="24"/>
        </w:rPr>
        <w:t>It is the best NPV of any project, but the returns are back-loaded</w:t>
      </w:r>
      <w:r w:rsidRPr="0050295C">
        <w:rPr>
          <w:rFonts w:ascii="Arial" w:hAnsi="Arial" w:cs="Arial"/>
          <w:b/>
          <w:bCs/>
          <w:sz w:val="24"/>
          <w:szCs w:val="24"/>
        </w:rPr>
        <w:t xml:space="preserve"> </w:t>
      </w:r>
    </w:p>
    <w:p w14:paraId="784F742A" w14:textId="1B54C44E" w:rsidR="0050295C" w:rsidRPr="0050295C" w:rsidRDefault="0050295C" w:rsidP="00DF31F5">
      <w:pPr>
        <w:spacing w:line="360" w:lineRule="auto"/>
        <w:rPr>
          <w:rFonts w:ascii="Arial" w:hAnsi="Arial" w:cs="Arial"/>
          <w:b/>
          <w:bCs/>
          <w:sz w:val="24"/>
          <w:szCs w:val="24"/>
        </w:rPr>
      </w:pPr>
    </w:p>
    <w:p w14:paraId="1B286EB7"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5.4 Internal Rate of Return (IRR)</w:t>
      </w:r>
    </w:p>
    <w:p w14:paraId="7FDF6F23" w14:textId="77777777" w:rsidR="0037335D"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Description:</w:t>
      </w:r>
      <w:r w:rsidRPr="0050295C">
        <w:rPr>
          <w:rFonts w:ascii="Arial" w:hAnsi="Arial" w:cs="Arial"/>
          <w:b/>
          <w:bCs/>
          <w:sz w:val="24"/>
          <w:szCs w:val="24"/>
        </w:rPr>
        <w:br/>
      </w:r>
      <w:r w:rsidR="0037335D" w:rsidRPr="00DF31F5">
        <w:rPr>
          <w:rFonts w:ascii="Arial" w:hAnsi="Arial" w:cs="Arial"/>
          <w:bCs/>
          <w:sz w:val="24"/>
          <w:szCs w:val="24"/>
        </w:rPr>
        <w:t>IRR is the rate of discount that causes NPV to be equal to 0. It denotes the break-even cost of capital of the project. In case the IRR is higher than the necessary return in the firm (10% in this case), the project is acceptable. IRR is easy to use and may be deceptive where the cash flows are not normal.</w:t>
      </w:r>
    </w:p>
    <w:p w14:paraId="792C14E7" w14:textId="39B787E1" w:rsidR="0050295C" w:rsidRPr="0050295C" w:rsidRDefault="0050295C" w:rsidP="00DF31F5">
      <w:pPr>
        <w:spacing w:line="360" w:lineRule="auto"/>
        <w:rPr>
          <w:rFonts w:ascii="Arial" w:hAnsi="Arial" w:cs="Arial"/>
          <w:b/>
          <w:bCs/>
          <w:sz w:val="24"/>
          <w:szCs w:val="24"/>
        </w:rPr>
      </w:pPr>
    </w:p>
    <w:p w14:paraId="2B2AEB7D"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lastRenderedPageBreak/>
        <w:t>Formula:</w:t>
      </w:r>
    </w:p>
    <w:p w14:paraId="2898E0C5" w14:textId="71C56943" w:rsidR="0050295C" w:rsidRPr="0050295C" w:rsidRDefault="0050295C" w:rsidP="00DF31F5">
      <w:pPr>
        <w:spacing w:line="360" w:lineRule="auto"/>
        <w:rPr>
          <w:rFonts w:ascii="Arial" w:hAnsi="Arial" w:cs="Arial"/>
          <w:b/>
          <w:bCs/>
          <w:sz w:val="24"/>
          <w:szCs w:val="24"/>
        </w:rPr>
      </w:pPr>
      <m:oMathPara>
        <m:oMath>
          <m:r>
            <m:rPr>
              <m:sty m:val="bi"/>
            </m:rPr>
            <w:rPr>
              <w:rFonts w:ascii="Cambria Math" w:hAnsi="Cambria Math" w:cs="Arial"/>
              <w:sz w:val="24"/>
              <w:szCs w:val="24"/>
            </w:rPr>
            <m:t>0=-I+CF×(</m:t>
          </m:r>
          <m:f>
            <m:fPr>
              <m:ctrlPr>
                <w:rPr>
                  <w:rFonts w:ascii="Cambria Math" w:hAnsi="Cambria Math" w:cs="Arial"/>
                  <w:b/>
                  <w:bCs/>
                  <w:sz w:val="24"/>
                  <w:szCs w:val="24"/>
                </w:rPr>
              </m:ctrlPr>
            </m:fPr>
            <m:num>
              <m:r>
                <m:rPr>
                  <m:sty m:val="bi"/>
                </m:rPr>
                <w:rPr>
                  <w:rFonts w:ascii="Cambria Math" w:hAnsi="Cambria Math" w:cs="Arial"/>
                  <w:sz w:val="24"/>
                  <w:szCs w:val="24"/>
                </w:rPr>
                <m:t>1-(1+r</m:t>
              </m:r>
              <m:sSup>
                <m:sSupPr>
                  <m:ctrlPr>
                    <w:rPr>
                      <w:rFonts w:ascii="Cambria Math" w:hAnsi="Cambria Math" w:cs="Arial"/>
                      <w:b/>
                      <w:bCs/>
                      <w:sz w:val="24"/>
                      <w:szCs w:val="24"/>
                    </w:rPr>
                  </m:ctrlPr>
                </m:sSupPr>
                <m:e>
                  <m:r>
                    <m:rPr>
                      <m:sty m:val="bi"/>
                    </m:rPr>
                    <w:rPr>
                      <w:rFonts w:ascii="Cambria Math" w:hAnsi="Cambria Math" w:cs="Arial"/>
                      <w:sz w:val="24"/>
                      <w:szCs w:val="24"/>
                    </w:rPr>
                    <m:t>)</m:t>
                  </m:r>
                </m:e>
                <m:sup>
                  <m:r>
                    <m:rPr>
                      <m:sty m:val="bi"/>
                    </m:rPr>
                    <w:rPr>
                      <w:rFonts w:ascii="Cambria Math" w:hAnsi="Cambria Math" w:cs="Arial"/>
                      <w:sz w:val="24"/>
                      <w:szCs w:val="24"/>
                    </w:rPr>
                    <m:t>-5</m:t>
                  </m:r>
                </m:sup>
              </m:sSup>
            </m:num>
            <m:den>
              <m:r>
                <m:rPr>
                  <m:sty m:val="bi"/>
                </m:rPr>
                <w:rPr>
                  <w:rFonts w:ascii="Cambria Math" w:hAnsi="Cambria Math" w:cs="Arial"/>
                  <w:sz w:val="24"/>
                  <w:szCs w:val="24"/>
                </w:rPr>
                <m:t>r</m:t>
              </m:r>
            </m:den>
          </m:f>
          <m:r>
            <m:rPr>
              <m:sty m:val="bi"/>
            </m:rPr>
            <w:rPr>
              <w:rFonts w:ascii="Cambria Math" w:hAnsi="Cambria Math" w:cs="Arial"/>
              <w:sz w:val="24"/>
              <w:szCs w:val="24"/>
            </w:rPr>
            <m:t>)</m:t>
          </m:r>
          <m:r>
            <w:rPr>
              <w:rFonts w:ascii="Arial" w:hAnsi="Arial" w:cs="Arial"/>
              <w:b/>
              <w:bCs/>
              <w:i/>
              <w:sz w:val="24"/>
              <w:szCs w:val="24"/>
            </w:rPr>
            <w:br/>
          </m:r>
        </m:oMath>
      </m:oMathPara>
    </w:p>
    <w:p w14:paraId="0BF3AE8D"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Solved via interpolation.</w:t>
      </w:r>
    </w:p>
    <w:p w14:paraId="1E7C078E" w14:textId="22B86593" w:rsidR="0050295C" w:rsidRPr="0050295C" w:rsidRDefault="0050295C" w:rsidP="00DF31F5">
      <w:pPr>
        <w:spacing w:line="360" w:lineRule="auto"/>
        <w:rPr>
          <w:rFonts w:ascii="Arial" w:hAnsi="Arial" w:cs="Arial"/>
          <w:sz w:val="24"/>
          <w:szCs w:val="24"/>
        </w:rPr>
      </w:pPr>
    </w:p>
    <w:p w14:paraId="173A8C22"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Project A</w:t>
      </w:r>
    </w:p>
    <w:p w14:paraId="3C1EBB02"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IRR ≈ 13%</w:t>
      </w:r>
    </w:p>
    <w:p w14:paraId="1544D78D" w14:textId="77777777" w:rsidR="0037335D" w:rsidRPr="00DF31F5" w:rsidRDefault="0050295C" w:rsidP="00DF31F5">
      <w:pPr>
        <w:spacing w:line="360" w:lineRule="auto"/>
        <w:rPr>
          <w:rFonts w:ascii="Arial" w:hAnsi="Arial" w:cs="Arial"/>
          <w:bCs/>
          <w:sz w:val="24"/>
          <w:szCs w:val="24"/>
        </w:rPr>
      </w:pPr>
      <w:r w:rsidRPr="0050295C">
        <w:rPr>
          <w:rFonts w:ascii="Arial" w:hAnsi="Arial" w:cs="Arial"/>
          <w:sz w:val="24"/>
          <w:szCs w:val="24"/>
        </w:rPr>
        <w:t>Interpretation:</w:t>
      </w:r>
      <w:r w:rsidRPr="0050295C">
        <w:rPr>
          <w:rFonts w:ascii="Arial" w:hAnsi="Arial" w:cs="Arial"/>
          <w:sz w:val="24"/>
          <w:szCs w:val="24"/>
        </w:rPr>
        <w:br/>
      </w:r>
      <w:r w:rsidR="0037335D" w:rsidRPr="00DF31F5">
        <w:rPr>
          <w:rFonts w:ascii="Arial" w:hAnsi="Arial" w:cs="Arial"/>
          <w:bCs/>
          <w:sz w:val="24"/>
          <w:szCs w:val="24"/>
        </w:rPr>
        <w:t>This is above the 10 percent hurdle rate which is an attraction.</w:t>
      </w:r>
    </w:p>
    <w:p w14:paraId="4D63BA56" w14:textId="171D79AB" w:rsidR="0050295C" w:rsidRPr="0050295C" w:rsidRDefault="0050295C" w:rsidP="00DF31F5">
      <w:pPr>
        <w:spacing w:line="360" w:lineRule="auto"/>
        <w:rPr>
          <w:rFonts w:ascii="Arial" w:hAnsi="Arial" w:cs="Arial"/>
          <w:sz w:val="24"/>
          <w:szCs w:val="24"/>
        </w:rPr>
      </w:pPr>
    </w:p>
    <w:p w14:paraId="05F056A8"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Project B</w:t>
      </w:r>
    </w:p>
    <w:p w14:paraId="7039143D"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IRR ≈ 8%</w:t>
      </w:r>
    </w:p>
    <w:p w14:paraId="4A2AE061" w14:textId="77777777" w:rsidR="0037335D" w:rsidRPr="00DF31F5" w:rsidRDefault="0050295C" w:rsidP="00DF31F5">
      <w:pPr>
        <w:spacing w:line="360" w:lineRule="auto"/>
        <w:rPr>
          <w:rFonts w:ascii="Arial" w:hAnsi="Arial" w:cs="Arial"/>
          <w:bCs/>
          <w:sz w:val="24"/>
          <w:szCs w:val="24"/>
        </w:rPr>
      </w:pPr>
      <w:r w:rsidRPr="0050295C">
        <w:rPr>
          <w:rFonts w:ascii="Arial" w:hAnsi="Arial" w:cs="Arial"/>
          <w:sz w:val="24"/>
          <w:szCs w:val="24"/>
        </w:rPr>
        <w:t>Interpretation:</w:t>
      </w:r>
      <w:r w:rsidRPr="0050295C">
        <w:rPr>
          <w:rFonts w:ascii="Arial" w:hAnsi="Arial" w:cs="Arial"/>
          <w:sz w:val="24"/>
          <w:szCs w:val="24"/>
        </w:rPr>
        <w:br/>
      </w:r>
      <w:r w:rsidR="0037335D" w:rsidRPr="00DF31F5">
        <w:rPr>
          <w:rFonts w:ascii="Arial" w:hAnsi="Arial" w:cs="Arial"/>
          <w:bCs/>
          <w:sz w:val="24"/>
          <w:szCs w:val="24"/>
        </w:rPr>
        <w:t>Under the hurdle level - economically unacceptable.</w:t>
      </w:r>
    </w:p>
    <w:p w14:paraId="6782CFFF" w14:textId="69EECDDD" w:rsidR="0050295C" w:rsidRPr="0050295C" w:rsidRDefault="0050295C" w:rsidP="00DF31F5">
      <w:pPr>
        <w:spacing w:line="360" w:lineRule="auto"/>
        <w:rPr>
          <w:rFonts w:ascii="Arial" w:hAnsi="Arial" w:cs="Arial"/>
          <w:sz w:val="24"/>
          <w:szCs w:val="24"/>
        </w:rPr>
      </w:pPr>
    </w:p>
    <w:p w14:paraId="2072583C"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Project C</w:t>
      </w:r>
    </w:p>
    <w:p w14:paraId="5DAFAD2B"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IRR ≈ 16%</w:t>
      </w:r>
    </w:p>
    <w:p w14:paraId="33CC35D9" w14:textId="77777777" w:rsidR="0037335D" w:rsidRPr="00DF31F5" w:rsidRDefault="0050295C" w:rsidP="00DF31F5">
      <w:pPr>
        <w:spacing w:line="360" w:lineRule="auto"/>
        <w:rPr>
          <w:rFonts w:ascii="Arial" w:hAnsi="Arial" w:cs="Arial"/>
          <w:bCs/>
          <w:sz w:val="24"/>
          <w:szCs w:val="24"/>
        </w:rPr>
      </w:pPr>
      <w:r w:rsidRPr="0050295C">
        <w:rPr>
          <w:rFonts w:ascii="Arial" w:hAnsi="Arial" w:cs="Arial"/>
          <w:sz w:val="24"/>
          <w:szCs w:val="24"/>
        </w:rPr>
        <w:t>Interpretation:</w:t>
      </w:r>
      <w:r w:rsidRPr="0050295C">
        <w:rPr>
          <w:rFonts w:ascii="Arial" w:hAnsi="Arial" w:cs="Arial"/>
          <w:sz w:val="24"/>
          <w:szCs w:val="24"/>
        </w:rPr>
        <w:br/>
      </w:r>
      <w:r w:rsidR="0037335D" w:rsidRPr="00DF31F5">
        <w:rPr>
          <w:rFonts w:ascii="Arial" w:hAnsi="Arial" w:cs="Arial"/>
          <w:bCs/>
          <w:sz w:val="24"/>
          <w:szCs w:val="24"/>
        </w:rPr>
        <w:t>Highest IRR on the projects, which denotes high returns in the long term.</w:t>
      </w:r>
    </w:p>
    <w:p w14:paraId="3534E5CE" w14:textId="3C3A8EAA" w:rsidR="00106D5F" w:rsidRPr="00DF31F5" w:rsidRDefault="00106D5F" w:rsidP="00DF31F5">
      <w:pPr>
        <w:spacing w:line="360" w:lineRule="auto"/>
        <w:rPr>
          <w:rFonts w:ascii="Arial" w:hAnsi="Arial" w:cs="Arial"/>
          <w:sz w:val="24"/>
          <w:szCs w:val="24"/>
        </w:rPr>
      </w:pPr>
    </w:p>
    <w:p w14:paraId="5206FB51" w14:textId="77777777" w:rsidR="0050295C" w:rsidRPr="00DF31F5" w:rsidRDefault="0050295C" w:rsidP="00DF31F5">
      <w:pPr>
        <w:spacing w:line="360" w:lineRule="auto"/>
        <w:rPr>
          <w:rFonts w:ascii="Arial" w:hAnsi="Arial" w:cs="Arial"/>
          <w:b/>
          <w:bCs/>
          <w:sz w:val="24"/>
          <w:szCs w:val="24"/>
        </w:rPr>
      </w:pPr>
    </w:p>
    <w:p w14:paraId="3FECAE90"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5.5 Profitability Index (PI) and Capital Rationing</w:t>
      </w:r>
    </w:p>
    <w:p w14:paraId="75F1AE7D"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Description</w:t>
      </w:r>
    </w:p>
    <w:p w14:paraId="11508BCA" w14:textId="77777777" w:rsidR="0037335D" w:rsidRPr="00DF31F5" w:rsidRDefault="0037335D" w:rsidP="00DF31F5">
      <w:pPr>
        <w:spacing w:line="360" w:lineRule="auto"/>
        <w:rPr>
          <w:rFonts w:ascii="Arial" w:hAnsi="Arial" w:cs="Arial"/>
          <w:bCs/>
          <w:sz w:val="24"/>
          <w:szCs w:val="24"/>
        </w:rPr>
      </w:pPr>
      <w:r w:rsidRPr="00DF31F5">
        <w:rPr>
          <w:rFonts w:ascii="Arial" w:hAnsi="Arial" w:cs="Arial"/>
          <w:bCs/>
          <w:sz w:val="24"/>
          <w:szCs w:val="24"/>
        </w:rPr>
        <w:t xml:space="preserve">Profitability Index (PI) refers to the value generated on a single PS1 invested. The present value (PV) of cash inflows divided by the initial investment is computed to </w:t>
      </w:r>
      <w:r w:rsidRPr="00DF31F5">
        <w:rPr>
          <w:rFonts w:ascii="Arial" w:hAnsi="Arial" w:cs="Arial"/>
          <w:bCs/>
          <w:sz w:val="24"/>
          <w:szCs w:val="24"/>
        </w:rPr>
        <w:lastRenderedPageBreak/>
        <w:t>arrive at it. PI of above 1.0 means value creation. PI is also applicable especially when capital rationing is practiced whereby limited funds are available which need to be used in the most effective projects.</w:t>
      </w:r>
    </w:p>
    <w:p w14:paraId="04CD4F69"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Formula</w:t>
      </w:r>
    </w:p>
    <w:p w14:paraId="536C2458" w14:textId="426A148C" w:rsidR="0050295C" w:rsidRPr="0050295C" w:rsidRDefault="0050295C" w:rsidP="00DF31F5">
      <w:pPr>
        <w:spacing w:line="360" w:lineRule="auto"/>
        <w:rPr>
          <w:rFonts w:ascii="Arial" w:hAnsi="Arial" w:cs="Arial"/>
          <w:sz w:val="24"/>
          <w:szCs w:val="24"/>
        </w:rPr>
      </w:pPr>
      <m:oMathPara>
        <m:oMath>
          <m:r>
            <w:rPr>
              <w:rFonts w:ascii="Cambria Math" w:hAnsi="Cambria Math" w:cs="Arial"/>
              <w:sz w:val="24"/>
              <w:szCs w:val="24"/>
            </w:rPr>
            <m:t>PI=</m:t>
          </m:r>
          <m:f>
            <m:fPr>
              <m:ctrlPr>
                <w:rPr>
                  <w:rFonts w:ascii="Cambria Math" w:hAnsi="Cambria Math" w:cs="Arial"/>
                  <w:sz w:val="24"/>
                  <w:szCs w:val="24"/>
                </w:rPr>
              </m:ctrlPr>
            </m:fPr>
            <m:num>
              <m:r>
                <m:rPr>
                  <m:nor/>
                </m:rPr>
                <w:rPr>
                  <w:rFonts w:ascii="Arial" w:hAnsi="Arial" w:cs="Arial"/>
                  <w:sz w:val="24"/>
                  <w:szCs w:val="24"/>
                </w:rPr>
                <m:t>PV of inflows</m:t>
              </m:r>
            </m:num>
            <m:den>
              <m:r>
                <m:rPr>
                  <m:nor/>
                </m:rPr>
                <w:rPr>
                  <w:rFonts w:ascii="Arial" w:hAnsi="Arial" w:cs="Arial"/>
                  <w:sz w:val="24"/>
                  <w:szCs w:val="24"/>
                </w:rPr>
                <m:t>Initial investment</m:t>
              </m:r>
            </m:den>
          </m:f>
          <m:r>
            <w:rPr>
              <w:rFonts w:ascii="Arial" w:hAnsi="Arial" w:cs="Arial"/>
              <w:sz w:val="24"/>
              <w:szCs w:val="24"/>
            </w:rPr>
            <w:br/>
          </m:r>
        </m:oMath>
      </m:oMathPara>
    </w:p>
    <w:p w14:paraId="76BB1C75" w14:textId="58DFFB0E" w:rsidR="0050295C" w:rsidRPr="0050295C" w:rsidRDefault="0050295C" w:rsidP="00DF31F5">
      <w:pPr>
        <w:spacing w:line="360" w:lineRule="auto"/>
        <w:rPr>
          <w:rFonts w:ascii="Arial" w:hAnsi="Arial" w:cs="Arial"/>
          <w:sz w:val="24"/>
          <w:szCs w:val="24"/>
        </w:rPr>
      </w:pPr>
    </w:p>
    <w:p w14:paraId="033FA234"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PI Calculations</w:t>
      </w:r>
    </w:p>
    <w:p w14:paraId="3B3E555F"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A</w:t>
      </w:r>
    </w:p>
    <w:p w14:paraId="615DE4FE" w14:textId="3417C6B0" w:rsidR="0050295C" w:rsidRPr="0050295C" w:rsidRDefault="0050295C" w:rsidP="00DF31F5">
      <w:pPr>
        <w:spacing w:line="360" w:lineRule="auto"/>
        <w:rPr>
          <w:rFonts w:ascii="Arial" w:hAnsi="Arial" w:cs="Arial"/>
          <w:sz w:val="24"/>
          <w:szCs w:val="24"/>
        </w:rPr>
      </w:pPr>
      <m:oMathPara>
        <m:oMath>
          <m:r>
            <w:rPr>
              <w:rFonts w:ascii="Cambria Math" w:hAnsi="Cambria Math" w:cs="Arial"/>
              <w:sz w:val="24"/>
              <w:szCs w:val="24"/>
            </w:rPr>
            <m:t>P</m:t>
          </m:r>
          <m:sSub>
            <m:sSubPr>
              <m:ctrlPr>
                <w:rPr>
                  <w:rFonts w:ascii="Cambria Math" w:hAnsi="Cambria Math" w:cs="Arial"/>
                  <w:sz w:val="24"/>
                  <w:szCs w:val="24"/>
                </w:rPr>
              </m:ctrlPr>
            </m:sSubPr>
            <m:e>
              <m:r>
                <w:rPr>
                  <w:rFonts w:ascii="Cambria Math" w:hAnsi="Cambria Math" w:cs="Arial"/>
                  <w:sz w:val="24"/>
                  <w:szCs w:val="24"/>
                </w:rPr>
                <m:t>I</m:t>
              </m:r>
            </m:e>
            <m:sub>
              <m:r>
                <w:rPr>
                  <w:rFonts w:ascii="Cambria Math" w:hAnsi="Cambria Math" w:cs="Arial"/>
                  <w:sz w:val="24"/>
                  <w:szCs w:val="24"/>
                </w:rPr>
                <m:t>A</m:t>
              </m:r>
            </m:sub>
          </m:sSub>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46.3</m:t>
              </m:r>
            </m:num>
            <m:den>
              <m:r>
                <w:rPr>
                  <w:rFonts w:ascii="Cambria Math" w:hAnsi="Cambria Math" w:cs="Arial"/>
                  <w:sz w:val="24"/>
                  <w:szCs w:val="24"/>
                </w:rPr>
                <m:t>40</m:t>
              </m:r>
            </m:den>
          </m:f>
          <m:r>
            <w:rPr>
              <w:rFonts w:ascii="Cambria Math" w:hAnsi="Cambria Math" w:cs="Arial"/>
              <w:sz w:val="24"/>
              <w:szCs w:val="24"/>
            </w:rPr>
            <m:t>=1.16</m:t>
          </m:r>
          <m:r>
            <w:rPr>
              <w:rFonts w:ascii="Arial" w:hAnsi="Arial" w:cs="Arial"/>
              <w:i/>
              <w:sz w:val="24"/>
              <w:szCs w:val="24"/>
            </w:rPr>
            <w:br/>
          </m:r>
        </m:oMath>
      </m:oMathPara>
    </w:p>
    <w:p w14:paraId="6A26E00D"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B</w:t>
      </w:r>
    </w:p>
    <w:p w14:paraId="706E559F" w14:textId="3D72D983" w:rsidR="0050295C" w:rsidRPr="0050295C" w:rsidRDefault="0050295C" w:rsidP="00DF31F5">
      <w:pPr>
        <w:spacing w:line="360" w:lineRule="auto"/>
        <w:rPr>
          <w:rFonts w:ascii="Arial" w:hAnsi="Arial" w:cs="Arial"/>
          <w:sz w:val="24"/>
          <w:szCs w:val="24"/>
        </w:rPr>
      </w:pPr>
      <m:oMathPara>
        <m:oMath>
          <m:r>
            <w:rPr>
              <w:rFonts w:ascii="Cambria Math" w:hAnsi="Cambria Math" w:cs="Arial"/>
              <w:sz w:val="24"/>
              <w:szCs w:val="24"/>
            </w:rPr>
            <m:t>P</m:t>
          </m:r>
          <m:sSub>
            <m:sSubPr>
              <m:ctrlPr>
                <w:rPr>
                  <w:rFonts w:ascii="Cambria Math" w:hAnsi="Cambria Math" w:cs="Arial"/>
                  <w:sz w:val="24"/>
                  <w:szCs w:val="24"/>
                </w:rPr>
              </m:ctrlPr>
            </m:sSubPr>
            <m:e>
              <m:r>
                <w:rPr>
                  <w:rFonts w:ascii="Cambria Math" w:hAnsi="Cambria Math" w:cs="Arial"/>
                  <w:sz w:val="24"/>
                  <w:szCs w:val="24"/>
                </w:rPr>
                <m:t>I</m:t>
              </m:r>
            </m:e>
            <m:sub>
              <m:r>
                <w:rPr>
                  <w:rFonts w:ascii="Cambria Math" w:hAnsi="Cambria Math" w:cs="Arial"/>
                  <w:sz w:val="24"/>
                  <w:szCs w:val="24"/>
                </w:rPr>
                <m:t>B</m:t>
              </m:r>
            </m:sub>
          </m:sSub>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28.8</m:t>
              </m:r>
            </m:num>
            <m:den>
              <m:r>
                <w:rPr>
                  <w:rFonts w:ascii="Cambria Math" w:hAnsi="Cambria Math" w:cs="Arial"/>
                  <w:sz w:val="24"/>
                  <w:szCs w:val="24"/>
                </w:rPr>
                <m:t>30</m:t>
              </m:r>
            </m:den>
          </m:f>
          <m:r>
            <w:rPr>
              <w:rFonts w:ascii="Cambria Math" w:hAnsi="Cambria Math" w:cs="Arial"/>
              <w:sz w:val="24"/>
              <w:szCs w:val="24"/>
            </w:rPr>
            <m:t>=0.96</m:t>
          </m:r>
          <m:r>
            <w:rPr>
              <w:rFonts w:ascii="Arial" w:hAnsi="Arial" w:cs="Arial"/>
              <w:i/>
              <w:sz w:val="24"/>
              <w:szCs w:val="24"/>
            </w:rPr>
            <w:br/>
          </m:r>
        </m:oMath>
      </m:oMathPara>
    </w:p>
    <w:p w14:paraId="53D79B1D"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C</w:t>
      </w:r>
    </w:p>
    <w:p w14:paraId="1166862C" w14:textId="050E8511" w:rsidR="0050295C" w:rsidRPr="0050295C" w:rsidRDefault="0050295C" w:rsidP="00DF31F5">
      <w:pPr>
        <w:spacing w:line="360" w:lineRule="auto"/>
        <w:rPr>
          <w:rFonts w:ascii="Arial" w:hAnsi="Arial" w:cs="Arial"/>
          <w:sz w:val="24"/>
          <w:szCs w:val="24"/>
        </w:rPr>
      </w:pPr>
      <m:oMathPara>
        <m:oMath>
          <m:r>
            <w:rPr>
              <w:rFonts w:ascii="Cambria Math" w:hAnsi="Cambria Math" w:cs="Arial"/>
              <w:sz w:val="24"/>
              <w:szCs w:val="24"/>
            </w:rPr>
            <m:t>P</m:t>
          </m:r>
          <m:sSub>
            <m:sSubPr>
              <m:ctrlPr>
                <w:rPr>
                  <w:rFonts w:ascii="Cambria Math" w:hAnsi="Cambria Math" w:cs="Arial"/>
                  <w:sz w:val="24"/>
                  <w:szCs w:val="24"/>
                </w:rPr>
              </m:ctrlPr>
            </m:sSubPr>
            <m:e>
              <m:r>
                <w:rPr>
                  <w:rFonts w:ascii="Cambria Math" w:hAnsi="Cambria Math" w:cs="Arial"/>
                  <w:sz w:val="24"/>
                  <w:szCs w:val="24"/>
                </w:rPr>
                <m:t>I</m:t>
              </m:r>
            </m:e>
            <m:sub>
              <m:r>
                <w:rPr>
                  <w:rFonts w:ascii="Cambria Math" w:hAnsi="Cambria Math" w:cs="Arial"/>
                  <w:sz w:val="24"/>
                  <w:szCs w:val="24"/>
                </w:rPr>
                <m:t>C</m:t>
              </m:r>
            </m:sub>
          </m:sSub>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60.9</m:t>
              </m:r>
            </m:num>
            <m:den>
              <m:r>
                <w:rPr>
                  <w:rFonts w:ascii="Cambria Math" w:hAnsi="Cambria Math" w:cs="Arial"/>
                  <w:sz w:val="24"/>
                  <w:szCs w:val="24"/>
                </w:rPr>
                <m:t>50</m:t>
              </m:r>
            </m:den>
          </m:f>
          <m:r>
            <w:rPr>
              <w:rFonts w:ascii="Cambria Math" w:hAnsi="Cambria Math" w:cs="Arial"/>
              <w:sz w:val="24"/>
              <w:szCs w:val="24"/>
            </w:rPr>
            <m:t>=1.22</m:t>
          </m:r>
          <m:r>
            <w:rPr>
              <w:rFonts w:ascii="Arial" w:hAnsi="Arial" w:cs="Arial"/>
              <w:i/>
              <w:sz w:val="24"/>
              <w:szCs w:val="24"/>
            </w:rPr>
            <w:br/>
          </m:r>
        </m:oMath>
      </m:oMathPara>
    </w:p>
    <w:p w14:paraId="25360946" w14:textId="0DD405A5" w:rsidR="0050295C" w:rsidRPr="0050295C" w:rsidRDefault="0050295C" w:rsidP="00DF31F5">
      <w:pPr>
        <w:spacing w:line="360" w:lineRule="auto"/>
        <w:rPr>
          <w:rFonts w:ascii="Arial" w:hAnsi="Arial" w:cs="Arial"/>
          <w:sz w:val="24"/>
          <w:szCs w:val="24"/>
        </w:rPr>
      </w:pPr>
    </w:p>
    <w:p w14:paraId="250E7A41"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Interpretation of PI</w:t>
      </w:r>
    </w:p>
    <w:p w14:paraId="5887F45B" w14:textId="05B2CFD6" w:rsidR="0037335D" w:rsidRPr="00DF31F5" w:rsidRDefault="0037335D" w:rsidP="00DF31F5">
      <w:pPr>
        <w:spacing w:line="360" w:lineRule="auto"/>
        <w:rPr>
          <w:rFonts w:ascii="Arial" w:hAnsi="Arial" w:cs="Arial"/>
          <w:bCs/>
          <w:sz w:val="24"/>
          <w:szCs w:val="24"/>
        </w:rPr>
      </w:pPr>
      <w:r w:rsidRPr="00DF31F5">
        <w:rPr>
          <w:rFonts w:ascii="Arial" w:hAnsi="Arial" w:cs="Arial"/>
          <w:bCs/>
          <w:sz w:val="24"/>
          <w:szCs w:val="24"/>
        </w:rPr>
        <w:t>Project C possesses the greatest PI (1.22) that is, it is able to produce the most value per pound invested.</w:t>
      </w:r>
      <w:r w:rsidRPr="00DF31F5">
        <w:rPr>
          <w:rFonts w:ascii="Arial" w:hAnsi="Arial" w:cs="Arial"/>
          <w:bCs/>
          <w:sz w:val="24"/>
          <w:szCs w:val="24"/>
        </w:rPr>
        <w:t xml:space="preserve"> </w:t>
      </w:r>
      <w:r w:rsidRPr="00DF31F5">
        <w:rPr>
          <w:rFonts w:ascii="Arial" w:hAnsi="Arial" w:cs="Arial"/>
          <w:bCs/>
          <w:sz w:val="24"/>
          <w:szCs w:val="24"/>
        </w:rPr>
        <w:t>There is also the significant value created by project A (1.16).</w:t>
      </w:r>
      <w:r w:rsidRPr="00DF31F5">
        <w:rPr>
          <w:rFonts w:ascii="Arial" w:hAnsi="Arial" w:cs="Arial"/>
          <w:bCs/>
          <w:sz w:val="24"/>
          <w:szCs w:val="24"/>
        </w:rPr>
        <w:t xml:space="preserve"> </w:t>
      </w:r>
      <w:r w:rsidRPr="00DF31F5">
        <w:rPr>
          <w:rFonts w:ascii="Arial" w:hAnsi="Arial" w:cs="Arial"/>
          <w:bCs/>
          <w:sz w:val="24"/>
          <w:szCs w:val="24"/>
        </w:rPr>
        <w:t>The project B (0.96) is lower than 1.0 and hence kills value.</w:t>
      </w:r>
    </w:p>
    <w:p w14:paraId="2403B482" w14:textId="37DC00B0" w:rsidR="0050295C" w:rsidRPr="0050295C" w:rsidRDefault="0050295C" w:rsidP="00DF31F5">
      <w:pPr>
        <w:spacing w:line="360" w:lineRule="auto"/>
        <w:rPr>
          <w:rFonts w:ascii="Arial" w:hAnsi="Arial" w:cs="Arial"/>
          <w:sz w:val="24"/>
          <w:szCs w:val="24"/>
        </w:rPr>
      </w:pPr>
    </w:p>
    <w:p w14:paraId="3D30A55C"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Capital Rationing Analysis</w:t>
      </w:r>
    </w:p>
    <w:p w14:paraId="0EA8867E" w14:textId="77777777" w:rsidR="0037335D" w:rsidRPr="00DF31F5" w:rsidRDefault="0037335D" w:rsidP="00DF31F5">
      <w:pPr>
        <w:spacing w:line="360" w:lineRule="auto"/>
        <w:rPr>
          <w:rFonts w:ascii="Arial" w:hAnsi="Arial" w:cs="Arial"/>
          <w:bCs/>
          <w:sz w:val="24"/>
          <w:szCs w:val="24"/>
        </w:rPr>
      </w:pPr>
      <w:r w:rsidRPr="00DF31F5">
        <w:rPr>
          <w:rFonts w:ascii="Arial" w:hAnsi="Arial" w:cs="Arial"/>
          <w:bCs/>
          <w:sz w:val="24"/>
          <w:szCs w:val="24"/>
        </w:rPr>
        <w:lastRenderedPageBreak/>
        <w:t>Considering the PS60m capital limitation of GE, not all projects can be funded by the firm. The combinations that are available are:</w:t>
      </w:r>
    </w:p>
    <w:p w14:paraId="780F9EF9"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1. A only</w:t>
      </w:r>
    </w:p>
    <w:p w14:paraId="0A52BB9C"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Cost = 40m → Within budget</w:t>
      </w:r>
      <w:r w:rsidRPr="0050295C">
        <w:rPr>
          <w:rFonts w:ascii="Arial" w:hAnsi="Arial" w:cs="Arial"/>
          <w:sz w:val="24"/>
          <w:szCs w:val="24"/>
        </w:rPr>
        <w:br/>
        <w:t>NPV = +6.3m</w:t>
      </w:r>
    </w:p>
    <w:p w14:paraId="22F3FA9C"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2. B only</w:t>
      </w:r>
    </w:p>
    <w:p w14:paraId="04E1E939"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Cost = 30m → Within budget</w:t>
      </w:r>
      <w:r w:rsidRPr="0050295C">
        <w:rPr>
          <w:rFonts w:ascii="Arial" w:hAnsi="Arial" w:cs="Arial"/>
          <w:sz w:val="24"/>
          <w:szCs w:val="24"/>
        </w:rPr>
        <w:br/>
        <w:t>NPV = –1.2m (not acceptable)</w:t>
      </w:r>
    </w:p>
    <w:p w14:paraId="69BCEC2C"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3. C only</w:t>
      </w:r>
    </w:p>
    <w:p w14:paraId="0FBD443B"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Cost = 50m → Within budget</w:t>
      </w:r>
      <w:r w:rsidRPr="0050295C">
        <w:rPr>
          <w:rFonts w:ascii="Arial" w:hAnsi="Arial" w:cs="Arial"/>
          <w:sz w:val="24"/>
          <w:szCs w:val="24"/>
        </w:rPr>
        <w:br/>
        <w:t>NPV = +10.9m</w:t>
      </w:r>
    </w:p>
    <w:p w14:paraId="6AEF42A7"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4. A + C</w:t>
      </w:r>
    </w:p>
    <w:p w14:paraId="77DCFBD9"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40m + 50m = 90m → Exceeds budget</w:t>
      </w:r>
    </w:p>
    <w:p w14:paraId="73B6A558"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5. B + C</w:t>
      </w:r>
    </w:p>
    <w:p w14:paraId="40F2285D"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30m + 50m = 80m → Exceeds budget</w:t>
      </w:r>
    </w:p>
    <w:p w14:paraId="25035A51"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6. A + B</w:t>
      </w:r>
    </w:p>
    <w:p w14:paraId="0CACA9CC"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40m + 30m = 70m → Exceeds budget</w:t>
      </w:r>
    </w:p>
    <w:p w14:paraId="104D7588" w14:textId="77777777" w:rsidR="0037335D" w:rsidRPr="00DF31F5" w:rsidRDefault="0037335D" w:rsidP="00DF31F5">
      <w:pPr>
        <w:spacing w:line="360" w:lineRule="auto"/>
        <w:rPr>
          <w:rFonts w:ascii="Arial" w:hAnsi="Arial" w:cs="Arial"/>
          <w:bCs/>
          <w:sz w:val="24"/>
          <w:szCs w:val="24"/>
        </w:rPr>
      </w:pPr>
      <w:r w:rsidRPr="00DF31F5">
        <w:rPr>
          <w:rFonts w:ascii="Arial" w:hAnsi="Arial" w:cs="Arial"/>
          <w:bCs/>
          <w:sz w:val="24"/>
          <w:szCs w:val="24"/>
        </w:rPr>
        <w:t>Given that no complete combination is appropriate, GE will have to:</w:t>
      </w:r>
    </w:p>
    <w:p w14:paraId="24D5E25D" w14:textId="078D2FB0" w:rsidR="0037335D" w:rsidRPr="00DF31F5" w:rsidRDefault="0037335D" w:rsidP="00DF31F5">
      <w:pPr>
        <w:spacing w:line="360" w:lineRule="auto"/>
        <w:rPr>
          <w:rFonts w:ascii="Arial" w:hAnsi="Arial" w:cs="Arial"/>
          <w:bCs/>
          <w:sz w:val="24"/>
          <w:szCs w:val="24"/>
        </w:rPr>
      </w:pPr>
      <w:r w:rsidRPr="00DF31F5">
        <w:rPr>
          <w:rFonts w:ascii="Arial" w:hAnsi="Arial" w:cs="Arial"/>
          <w:bCs/>
          <w:sz w:val="24"/>
          <w:szCs w:val="24"/>
        </w:rPr>
        <w:t>Select a single project, or</w:t>
      </w:r>
      <w:r w:rsidRPr="00DF31F5">
        <w:rPr>
          <w:rFonts w:ascii="Arial" w:hAnsi="Arial" w:cs="Arial"/>
          <w:bCs/>
          <w:sz w:val="24"/>
          <w:szCs w:val="24"/>
        </w:rPr>
        <w:t xml:space="preserve"> </w:t>
      </w:r>
      <w:r w:rsidRPr="00DF31F5">
        <w:rPr>
          <w:rFonts w:ascii="Arial" w:hAnsi="Arial" w:cs="Arial"/>
          <w:bCs/>
          <w:sz w:val="24"/>
          <w:szCs w:val="24"/>
        </w:rPr>
        <w:t>Fund a single project and a downsized version of a second project.</w:t>
      </w:r>
    </w:p>
    <w:p w14:paraId="3C59D431" w14:textId="77777777" w:rsidR="0037335D" w:rsidRPr="00DF31F5" w:rsidRDefault="0037335D" w:rsidP="00DF31F5">
      <w:pPr>
        <w:spacing w:line="360" w:lineRule="auto"/>
        <w:rPr>
          <w:rFonts w:ascii="Arial" w:hAnsi="Arial" w:cs="Arial"/>
          <w:bCs/>
          <w:sz w:val="24"/>
          <w:szCs w:val="24"/>
        </w:rPr>
      </w:pPr>
      <w:r w:rsidRPr="00DF31F5">
        <w:rPr>
          <w:rFonts w:ascii="Arial" w:hAnsi="Arial" w:cs="Arial"/>
          <w:bCs/>
          <w:sz w:val="24"/>
          <w:szCs w:val="24"/>
        </w:rPr>
        <w:t>Recommended portfolio:</w:t>
      </w:r>
    </w:p>
    <w:p w14:paraId="5D2E1D70" w14:textId="77777777" w:rsidR="0037335D" w:rsidRPr="00DF31F5" w:rsidRDefault="0037335D" w:rsidP="00DF31F5">
      <w:pPr>
        <w:pStyle w:val="ListParagraph"/>
        <w:numPr>
          <w:ilvl w:val="0"/>
          <w:numId w:val="74"/>
        </w:numPr>
        <w:spacing w:line="360" w:lineRule="auto"/>
        <w:rPr>
          <w:rFonts w:ascii="Arial" w:hAnsi="Arial" w:cs="Arial"/>
          <w:bCs/>
          <w:sz w:val="24"/>
          <w:szCs w:val="24"/>
        </w:rPr>
      </w:pPr>
      <w:r w:rsidRPr="00DF31F5">
        <w:rPr>
          <w:rFonts w:ascii="Arial" w:hAnsi="Arial" w:cs="Arial"/>
          <w:bCs/>
          <w:sz w:val="24"/>
          <w:szCs w:val="24"/>
        </w:rPr>
        <w:t>Fully fund Project A (PS40m).</w:t>
      </w:r>
    </w:p>
    <w:p w14:paraId="4D2C3006" w14:textId="77777777" w:rsidR="0037335D" w:rsidRPr="00DF31F5" w:rsidRDefault="0037335D" w:rsidP="00DF31F5">
      <w:pPr>
        <w:pStyle w:val="ListParagraph"/>
        <w:numPr>
          <w:ilvl w:val="0"/>
          <w:numId w:val="74"/>
        </w:numPr>
        <w:spacing w:line="360" w:lineRule="auto"/>
        <w:rPr>
          <w:rFonts w:ascii="Arial" w:hAnsi="Arial" w:cs="Arial"/>
          <w:bCs/>
          <w:sz w:val="24"/>
          <w:szCs w:val="24"/>
        </w:rPr>
      </w:pPr>
      <w:r w:rsidRPr="00DF31F5">
        <w:rPr>
          <w:rFonts w:ascii="Arial" w:hAnsi="Arial" w:cs="Arial"/>
          <w:bCs/>
          <w:sz w:val="24"/>
          <w:szCs w:val="24"/>
        </w:rPr>
        <w:t>It is possible to think of a reduced pilot version of Project B (~PS20m) in case strategic or ESG objectives provide any partial justification of investment.</w:t>
      </w:r>
    </w:p>
    <w:p w14:paraId="333B23F5" w14:textId="77777777" w:rsidR="0037335D" w:rsidRPr="00DF31F5" w:rsidRDefault="0037335D" w:rsidP="00DF31F5">
      <w:pPr>
        <w:spacing w:line="360" w:lineRule="auto"/>
        <w:rPr>
          <w:rFonts w:ascii="Arial" w:hAnsi="Arial" w:cs="Arial"/>
          <w:bCs/>
          <w:sz w:val="24"/>
          <w:szCs w:val="24"/>
        </w:rPr>
      </w:pPr>
      <w:r w:rsidRPr="00DF31F5">
        <w:rPr>
          <w:rFonts w:ascii="Arial" w:hAnsi="Arial" w:cs="Arial"/>
          <w:bCs/>
          <w:sz w:val="24"/>
          <w:szCs w:val="24"/>
        </w:rPr>
        <w:t>This method takes into consideration the PS60m ceiling and dispersal of operational risk.</w:t>
      </w:r>
    </w:p>
    <w:p w14:paraId="35DA821A" w14:textId="401525A4" w:rsidR="0050295C" w:rsidRPr="0050295C" w:rsidRDefault="0050295C" w:rsidP="00DF31F5">
      <w:pPr>
        <w:spacing w:line="360" w:lineRule="auto"/>
        <w:rPr>
          <w:rFonts w:ascii="Arial" w:hAnsi="Arial" w:cs="Arial"/>
          <w:sz w:val="24"/>
          <w:szCs w:val="24"/>
        </w:rPr>
      </w:pPr>
    </w:p>
    <w:p w14:paraId="1ABDDD7D" w14:textId="1CD031F8" w:rsidR="0050295C" w:rsidRPr="0050295C" w:rsidRDefault="0037335D" w:rsidP="00DF31F5">
      <w:pPr>
        <w:spacing w:line="360" w:lineRule="auto"/>
        <w:rPr>
          <w:rFonts w:ascii="Arial" w:hAnsi="Arial" w:cs="Arial"/>
          <w:b/>
          <w:bCs/>
          <w:sz w:val="24"/>
          <w:szCs w:val="24"/>
        </w:rPr>
      </w:pPr>
      <w:r w:rsidRPr="00DF31F5">
        <w:rPr>
          <w:rFonts w:ascii="Arial" w:hAnsi="Arial" w:cs="Arial"/>
          <w:b/>
          <w:bCs/>
          <w:sz w:val="24"/>
          <w:szCs w:val="24"/>
        </w:rPr>
        <w:br w:type="page"/>
      </w:r>
      <w:r w:rsidR="0050295C" w:rsidRPr="0050295C">
        <w:rPr>
          <w:rFonts w:ascii="Arial" w:hAnsi="Arial" w:cs="Arial"/>
          <w:b/>
          <w:bCs/>
          <w:sz w:val="24"/>
          <w:szCs w:val="24"/>
        </w:rPr>
        <w:lastRenderedPageBreak/>
        <w:t>5.6 Sensitivity and Risk Analysis</w:t>
      </w:r>
    </w:p>
    <w:p w14:paraId="00E6C72D"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Description</w:t>
      </w:r>
    </w:p>
    <w:p w14:paraId="5BA69425" w14:textId="0A790DD2" w:rsidR="0037335D" w:rsidRPr="00DF31F5" w:rsidRDefault="0037335D" w:rsidP="00DF31F5">
      <w:pPr>
        <w:spacing w:line="360" w:lineRule="auto"/>
        <w:rPr>
          <w:rFonts w:ascii="Arial" w:hAnsi="Arial" w:cs="Arial"/>
          <w:bCs/>
          <w:sz w:val="24"/>
          <w:szCs w:val="24"/>
        </w:rPr>
      </w:pPr>
      <w:r w:rsidRPr="00DF31F5">
        <w:rPr>
          <w:rFonts w:ascii="Arial" w:hAnsi="Arial" w:cs="Arial"/>
          <w:bCs/>
          <w:sz w:val="24"/>
          <w:szCs w:val="24"/>
        </w:rPr>
        <w:t>Sensitivity analysis is a test that is used to evaluate how the project NPV is sensitive to the changes of major assumptions. A downside risk and upside potential are evaluated through diversification of +-20% in the annual inflows.</w:t>
      </w:r>
      <w:r w:rsidRPr="00DF31F5">
        <w:rPr>
          <w:rFonts w:ascii="Arial" w:hAnsi="Arial" w:cs="Arial"/>
          <w:bCs/>
          <w:sz w:val="24"/>
          <w:szCs w:val="24"/>
        </w:rPr>
        <w:t xml:space="preserve"> </w:t>
      </w:r>
      <w:r w:rsidRPr="00DF31F5">
        <w:rPr>
          <w:rFonts w:ascii="Arial" w:hAnsi="Arial" w:cs="Arial"/>
          <w:bCs/>
          <w:sz w:val="24"/>
          <w:szCs w:val="24"/>
        </w:rPr>
        <w:t>This is necessary as GE is currently working under a tight liquidity and increased volatility would be a risk to the financial stability in the short term.</w:t>
      </w:r>
    </w:p>
    <w:p w14:paraId="0688C0B5" w14:textId="208E344C" w:rsidR="0037335D" w:rsidRPr="00DF31F5" w:rsidRDefault="0037335D" w:rsidP="00DF31F5">
      <w:pPr>
        <w:spacing w:line="360" w:lineRule="auto"/>
        <w:rPr>
          <w:rFonts w:ascii="Arial" w:hAnsi="Arial" w:cs="Arial"/>
          <w:bCs/>
          <w:sz w:val="24"/>
          <w:szCs w:val="24"/>
        </w:rPr>
      </w:pPr>
    </w:p>
    <w:p w14:paraId="6F411FE6" w14:textId="046BED19" w:rsidR="0050295C" w:rsidRPr="0050295C" w:rsidRDefault="0050295C" w:rsidP="00DF31F5">
      <w:pPr>
        <w:spacing w:line="360" w:lineRule="auto"/>
        <w:rPr>
          <w:rFonts w:ascii="Arial" w:hAnsi="Arial" w:cs="Arial"/>
          <w:sz w:val="24"/>
          <w:szCs w:val="24"/>
        </w:rPr>
      </w:pPr>
    </w:p>
    <w:p w14:paraId="30719F69"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A Sensitivity</w:t>
      </w:r>
    </w:p>
    <w:p w14:paraId="11FD4581"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Base NPV: +£6.3m</w:t>
      </w:r>
    </w:p>
    <w:p w14:paraId="3C602ED8"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Annual inflow = 12.2m</w:t>
      </w:r>
    </w:p>
    <w:p w14:paraId="50F1EB29" w14:textId="77777777" w:rsidR="0050295C" w:rsidRPr="0050295C" w:rsidRDefault="0050295C" w:rsidP="00DF31F5">
      <w:pPr>
        <w:spacing w:line="360" w:lineRule="auto"/>
        <w:rPr>
          <w:rFonts w:ascii="Arial" w:hAnsi="Arial" w:cs="Arial"/>
          <w:sz w:val="24"/>
          <w:szCs w:val="24"/>
        </w:rPr>
      </w:pPr>
      <w:r w:rsidRPr="0050295C">
        <w:rPr>
          <w:rFonts w:ascii="Arial" w:hAnsi="Arial" w:cs="Arial"/>
          <w:b/>
          <w:bCs/>
          <w:sz w:val="24"/>
          <w:szCs w:val="24"/>
        </w:rPr>
        <w:t>+20% inflow:</w:t>
      </w:r>
      <w:r w:rsidRPr="0050295C">
        <w:rPr>
          <w:rFonts w:ascii="Arial" w:hAnsi="Arial" w:cs="Arial"/>
          <w:sz w:val="24"/>
          <w:szCs w:val="24"/>
        </w:rPr>
        <w:br/>
        <w:t>12.2 × 1.20 = 14.64m</w:t>
      </w:r>
    </w:p>
    <w:p w14:paraId="6BD763CD" w14:textId="4460C7BE" w:rsidR="0050295C" w:rsidRPr="0050295C" w:rsidRDefault="0050295C" w:rsidP="00DF31F5">
      <w:pPr>
        <w:spacing w:line="360" w:lineRule="auto"/>
        <w:rPr>
          <w:rFonts w:ascii="Arial" w:hAnsi="Arial" w:cs="Arial"/>
          <w:sz w:val="24"/>
          <w:szCs w:val="24"/>
        </w:rPr>
      </w:pPr>
      <m:oMathPara>
        <m:oMath>
          <m:r>
            <w:rPr>
              <w:rFonts w:ascii="Cambria Math" w:hAnsi="Cambria Math" w:cs="Arial"/>
              <w:sz w:val="24"/>
              <w:szCs w:val="24"/>
            </w:rPr>
            <m:t>NP</m:t>
          </m:r>
          <m:sSub>
            <m:sSubPr>
              <m:ctrlPr>
                <w:rPr>
                  <w:rFonts w:ascii="Cambria Math" w:hAnsi="Cambria Math" w:cs="Arial"/>
                  <w:sz w:val="24"/>
                  <w:szCs w:val="24"/>
                </w:rPr>
              </m:ctrlPr>
            </m:sSubPr>
            <m:e>
              <m:r>
                <w:rPr>
                  <w:rFonts w:ascii="Cambria Math" w:hAnsi="Cambria Math" w:cs="Arial"/>
                  <w:sz w:val="24"/>
                  <w:szCs w:val="24"/>
                </w:rPr>
                <m:t>V</m:t>
              </m:r>
            </m:e>
            <m:sub>
              <m:r>
                <w:rPr>
                  <w:rFonts w:ascii="Cambria Math" w:hAnsi="Cambria Math" w:cs="Arial"/>
                  <w:sz w:val="24"/>
                  <w:szCs w:val="24"/>
                </w:rPr>
                <m:t>+20</m:t>
              </m:r>
              <m:r>
                <m:rPr>
                  <m:sty m:val="p"/>
                </m:rPr>
                <w:rPr>
                  <w:rFonts w:ascii="Cambria Math" w:hAnsi="Cambria Math" w:cs="Arial"/>
                  <w:sz w:val="24"/>
                  <w:szCs w:val="24"/>
                </w:rPr>
                <m:t>%</m:t>
              </m:r>
            </m:sub>
          </m:sSub>
          <m:r>
            <w:rPr>
              <w:rFonts w:ascii="Cambria Math" w:hAnsi="Cambria Math" w:cs="Arial"/>
              <w:sz w:val="24"/>
              <w:szCs w:val="24"/>
            </w:rPr>
            <m:t>=14.64×3.7908-40=15.42-40=9.8m</m:t>
          </m:r>
          <m:r>
            <w:rPr>
              <w:rFonts w:ascii="Arial" w:hAnsi="Arial" w:cs="Arial"/>
              <w:i/>
              <w:sz w:val="24"/>
              <w:szCs w:val="24"/>
            </w:rPr>
            <w:br/>
          </m:r>
        </m:oMath>
      </m:oMathPara>
    </w:p>
    <w:p w14:paraId="411C9C7E" w14:textId="77777777" w:rsidR="0050295C" w:rsidRPr="0050295C" w:rsidRDefault="0050295C" w:rsidP="00DF31F5">
      <w:pPr>
        <w:spacing w:line="360" w:lineRule="auto"/>
        <w:rPr>
          <w:rFonts w:ascii="Arial" w:hAnsi="Arial" w:cs="Arial"/>
          <w:sz w:val="24"/>
          <w:szCs w:val="24"/>
        </w:rPr>
      </w:pPr>
      <w:r w:rsidRPr="0050295C">
        <w:rPr>
          <w:rFonts w:ascii="Arial" w:hAnsi="Arial" w:cs="Arial"/>
          <w:b/>
          <w:bCs/>
          <w:sz w:val="24"/>
          <w:szCs w:val="24"/>
        </w:rPr>
        <w:t>–20% inflow:</w:t>
      </w:r>
      <w:r w:rsidRPr="0050295C">
        <w:rPr>
          <w:rFonts w:ascii="Arial" w:hAnsi="Arial" w:cs="Arial"/>
          <w:sz w:val="24"/>
          <w:szCs w:val="24"/>
        </w:rPr>
        <w:br/>
        <w:t>12.2 × 0.80 = 9.76m</w:t>
      </w:r>
    </w:p>
    <w:p w14:paraId="01AC72B5" w14:textId="34011931" w:rsidR="0050295C" w:rsidRPr="0050295C" w:rsidRDefault="0050295C" w:rsidP="00DF31F5">
      <w:pPr>
        <w:spacing w:line="360" w:lineRule="auto"/>
        <w:rPr>
          <w:rFonts w:ascii="Arial" w:hAnsi="Arial" w:cs="Arial"/>
          <w:sz w:val="24"/>
          <w:szCs w:val="24"/>
        </w:rPr>
      </w:pPr>
      <m:oMathPara>
        <m:oMath>
          <m:r>
            <w:rPr>
              <w:rFonts w:ascii="Cambria Math" w:hAnsi="Cambria Math" w:cs="Arial"/>
              <w:sz w:val="24"/>
              <w:szCs w:val="24"/>
            </w:rPr>
            <m:t>NP</m:t>
          </m:r>
          <m:sSub>
            <m:sSubPr>
              <m:ctrlPr>
                <w:rPr>
                  <w:rFonts w:ascii="Cambria Math" w:hAnsi="Cambria Math" w:cs="Arial"/>
                  <w:sz w:val="24"/>
                  <w:szCs w:val="24"/>
                </w:rPr>
              </m:ctrlPr>
            </m:sSubPr>
            <m:e>
              <m:r>
                <w:rPr>
                  <w:rFonts w:ascii="Cambria Math" w:hAnsi="Cambria Math" w:cs="Arial"/>
                  <w:sz w:val="24"/>
                  <w:szCs w:val="24"/>
                </w:rPr>
                <m:t>V</m:t>
              </m:r>
            </m:e>
            <m:sub>
              <m:r>
                <w:rPr>
                  <w:rFonts w:ascii="Cambria Math" w:hAnsi="Cambria Math" w:cs="Arial"/>
                  <w:sz w:val="24"/>
                  <w:szCs w:val="24"/>
                </w:rPr>
                <m:t>-20</m:t>
              </m:r>
              <m:r>
                <m:rPr>
                  <m:sty m:val="p"/>
                </m:rPr>
                <w:rPr>
                  <w:rFonts w:ascii="Cambria Math" w:hAnsi="Cambria Math" w:cs="Arial"/>
                  <w:sz w:val="24"/>
                  <w:szCs w:val="24"/>
                </w:rPr>
                <m:t>%</m:t>
              </m:r>
            </m:sub>
          </m:sSub>
          <m:r>
            <w:rPr>
              <w:rFonts w:ascii="Cambria Math" w:hAnsi="Cambria Math" w:cs="Arial"/>
              <w:sz w:val="24"/>
              <w:szCs w:val="24"/>
            </w:rPr>
            <m:t>=9.76×3.7908-40=42.8-40=2.8m</m:t>
          </m:r>
          <m:r>
            <w:rPr>
              <w:rFonts w:ascii="Arial" w:hAnsi="Arial" w:cs="Arial"/>
              <w:i/>
              <w:sz w:val="24"/>
              <w:szCs w:val="24"/>
            </w:rPr>
            <w:br/>
          </m:r>
        </m:oMath>
      </m:oMathPara>
    </w:p>
    <w:p w14:paraId="15947C26" w14:textId="77777777" w:rsidR="0037335D"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sz w:val="24"/>
          <w:szCs w:val="24"/>
        </w:rPr>
        <w:br/>
      </w:r>
      <w:r w:rsidR="0037335D" w:rsidRPr="00DF31F5">
        <w:rPr>
          <w:rFonts w:ascii="Arial" w:hAnsi="Arial" w:cs="Arial"/>
          <w:bCs/>
          <w:sz w:val="24"/>
          <w:szCs w:val="24"/>
        </w:rPr>
        <w:t>NPV is still positive even when one assumes a pessimistic situation - Project A is strong.</w:t>
      </w:r>
    </w:p>
    <w:p w14:paraId="0E8907F8" w14:textId="413A65EC" w:rsidR="0050295C" w:rsidRPr="0050295C" w:rsidRDefault="0050295C" w:rsidP="00DF31F5">
      <w:pPr>
        <w:spacing w:line="360" w:lineRule="auto"/>
        <w:rPr>
          <w:rFonts w:ascii="Arial" w:hAnsi="Arial" w:cs="Arial"/>
          <w:sz w:val="24"/>
          <w:szCs w:val="24"/>
        </w:rPr>
      </w:pPr>
    </w:p>
    <w:p w14:paraId="3A035EAE"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B Sensitivity</w:t>
      </w:r>
    </w:p>
    <w:p w14:paraId="2E540BC9"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Base NPV: –£1.2m</w:t>
      </w:r>
    </w:p>
    <w:p w14:paraId="6954D7F0"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Annual inflow = 7.6m</w:t>
      </w:r>
    </w:p>
    <w:p w14:paraId="76ECFBAF" w14:textId="77777777" w:rsidR="0050295C" w:rsidRPr="0050295C" w:rsidRDefault="0050295C" w:rsidP="00DF31F5">
      <w:pPr>
        <w:spacing w:line="360" w:lineRule="auto"/>
        <w:rPr>
          <w:rFonts w:ascii="Arial" w:hAnsi="Arial" w:cs="Arial"/>
          <w:sz w:val="24"/>
          <w:szCs w:val="24"/>
        </w:rPr>
      </w:pPr>
      <w:r w:rsidRPr="0050295C">
        <w:rPr>
          <w:rFonts w:ascii="Arial" w:hAnsi="Arial" w:cs="Arial"/>
          <w:b/>
          <w:bCs/>
          <w:sz w:val="24"/>
          <w:szCs w:val="24"/>
        </w:rPr>
        <w:lastRenderedPageBreak/>
        <w:t>–20% impact:</w:t>
      </w:r>
      <w:r w:rsidRPr="0050295C">
        <w:rPr>
          <w:rFonts w:ascii="Arial" w:hAnsi="Arial" w:cs="Arial"/>
          <w:sz w:val="24"/>
          <w:szCs w:val="24"/>
        </w:rPr>
        <w:br/>
        <w:t>7.6 × 0.80 = 6.08m</w:t>
      </w:r>
    </w:p>
    <w:p w14:paraId="7C805F2F" w14:textId="20A94593" w:rsidR="0050295C" w:rsidRPr="0050295C" w:rsidRDefault="0050295C" w:rsidP="00DF31F5">
      <w:pPr>
        <w:spacing w:line="360" w:lineRule="auto"/>
        <w:rPr>
          <w:rFonts w:ascii="Arial" w:hAnsi="Arial" w:cs="Arial"/>
          <w:sz w:val="24"/>
          <w:szCs w:val="24"/>
        </w:rPr>
      </w:pPr>
      <m:oMathPara>
        <m:oMath>
          <m:r>
            <w:rPr>
              <w:rFonts w:ascii="Cambria Math" w:hAnsi="Cambria Math" w:cs="Arial"/>
              <w:sz w:val="24"/>
              <w:szCs w:val="24"/>
            </w:rPr>
            <m:t>NP</m:t>
          </m:r>
          <m:sSub>
            <m:sSubPr>
              <m:ctrlPr>
                <w:rPr>
                  <w:rFonts w:ascii="Cambria Math" w:hAnsi="Cambria Math" w:cs="Arial"/>
                  <w:sz w:val="24"/>
                  <w:szCs w:val="24"/>
                </w:rPr>
              </m:ctrlPr>
            </m:sSubPr>
            <m:e>
              <m:r>
                <w:rPr>
                  <w:rFonts w:ascii="Cambria Math" w:hAnsi="Cambria Math" w:cs="Arial"/>
                  <w:sz w:val="24"/>
                  <w:szCs w:val="24"/>
                </w:rPr>
                <m:t>V</m:t>
              </m:r>
            </m:e>
            <m:sub>
              <m:r>
                <w:rPr>
                  <w:rFonts w:ascii="Cambria Math" w:hAnsi="Cambria Math" w:cs="Arial"/>
                  <w:sz w:val="24"/>
                  <w:szCs w:val="24"/>
                </w:rPr>
                <m:t>-20</m:t>
              </m:r>
              <m:r>
                <m:rPr>
                  <m:sty m:val="p"/>
                </m:rPr>
                <w:rPr>
                  <w:rFonts w:ascii="Cambria Math" w:hAnsi="Cambria Math" w:cs="Arial"/>
                  <w:sz w:val="24"/>
                  <w:szCs w:val="24"/>
                </w:rPr>
                <m:t>%</m:t>
              </m:r>
            </m:sub>
          </m:sSub>
          <m:r>
            <w:rPr>
              <w:rFonts w:ascii="Cambria Math" w:hAnsi="Cambria Math" w:cs="Arial"/>
              <w:sz w:val="24"/>
              <w:szCs w:val="24"/>
            </w:rPr>
            <m:t>=6.08×3.7908-30=23.06-30=-6.94m≈-6m</m:t>
          </m:r>
          <m:r>
            <w:rPr>
              <w:rFonts w:ascii="Arial" w:hAnsi="Arial" w:cs="Arial"/>
              <w:i/>
              <w:sz w:val="24"/>
              <w:szCs w:val="24"/>
            </w:rPr>
            <w:br/>
          </m:r>
        </m:oMath>
      </m:oMathPara>
    </w:p>
    <w:p w14:paraId="68EA96F1" w14:textId="77777777" w:rsidR="00CD4D3F"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sz w:val="24"/>
          <w:szCs w:val="24"/>
        </w:rPr>
        <w:br/>
      </w:r>
      <w:r w:rsidR="00CD4D3F" w:rsidRPr="00DF31F5">
        <w:rPr>
          <w:rFonts w:ascii="Arial" w:hAnsi="Arial" w:cs="Arial"/>
          <w:bCs/>
          <w:sz w:val="24"/>
          <w:szCs w:val="24"/>
        </w:rPr>
        <w:t>The downside risk is high, and it may make a negative NPV a huge loss.</w:t>
      </w:r>
    </w:p>
    <w:p w14:paraId="0AAD89B3" w14:textId="77777777" w:rsidR="00CD4D3F" w:rsidRPr="00DF31F5" w:rsidRDefault="00CD4D3F" w:rsidP="00DF31F5">
      <w:pPr>
        <w:spacing w:line="360" w:lineRule="auto"/>
        <w:rPr>
          <w:rFonts w:ascii="Arial" w:hAnsi="Arial" w:cs="Arial"/>
          <w:bCs/>
          <w:sz w:val="24"/>
          <w:szCs w:val="24"/>
        </w:rPr>
      </w:pPr>
      <w:r w:rsidRPr="00DF31F5">
        <w:rPr>
          <w:rFonts w:ascii="Arial" w:hAnsi="Arial" w:cs="Arial"/>
          <w:bCs/>
          <w:sz w:val="24"/>
          <w:szCs w:val="24"/>
        </w:rPr>
        <w:t>Unprofitable, except in pilot versions.</w:t>
      </w:r>
    </w:p>
    <w:p w14:paraId="63D07C97" w14:textId="3E884BF4" w:rsidR="0050295C" w:rsidRPr="0050295C" w:rsidRDefault="0050295C" w:rsidP="00DF31F5">
      <w:pPr>
        <w:spacing w:line="360" w:lineRule="auto"/>
        <w:rPr>
          <w:rFonts w:ascii="Arial" w:hAnsi="Arial" w:cs="Arial"/>
          <w:sz w:val="24"/>
          <w:szCs w:val="24"/>
        </w:rPr>
      </w:pPr>
    </w:p>
    <w:p w14:paraId="5048AA0F" w14:textId="4A245773" w:rsidR="0050295C" w:rsidRPr="0050295C" w:rsidRDefault="0050295C" w:rsidP="00DF31F5">
      <w:pPr>
        <w:spacing w:line="360" w:lineRule="auto"/>
        <w:rPr>
          <w:rFonts w:ascii="Arial" w:hAnsi="Arial" w:cs="Arial"/>
          <w:sz w:val="24"/>
          <w:szCs w:val="24"/>
        </w:rPr>
      </w:pPr>
    </w:p>
    <w:p w14:paraId="0EB0EF4C"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Project C Sensitivity</w:t>
      </w:r>
    </w:p>
    <w:p w14:paraId="34D8F507"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Base NPV: +£10.9m</w:t>
      </w:r>
    </w:p>
    <w:p w14:paraId="023CCCC9" w14:textId="77777777" w:rsidR="0050295C" w:rsidRPr="0050295C" w:rsidRDefault="0050295C" w:rsidP="00DF31F5">
      <w:pPr>
        <w:spacing w:line="360" w:lineRule="auto"/>
        <w:rPr>
          <w:rFonts w:ascii="Arial" w:hAnsi="Arial" w:cs="Arial"/>
          <w:sz w:val="24"/>
          <w:szCs w:val="24"/>
        </w:rPr>
      </w:pPr>
      <w:r w:rsidRPr="0050295C">
        <w:rPr>
          <w:rFonts w:ascii="Arial" w:hAnsi="Arial" w:cs="Arial"/>
          <w:sz w:val="24"/>
          <w:szCs w:val="24"/>
        </w:rPr>
        <w:t>Annual inflow = 16.1m</w:t>
      </w:r>
    </w:p>
    <w:p w14:paraId="7188FA2E" w14:textId="77777777" w:rsidR="0050295C" w:rsidRPr="0050295C" w:rsidRDefault="0050295C" w:rsidP="00DF31F5">
      <w:pPr>
        <w:spacing w:line="360" w:lineRule="auto"/>
        <w:rPr>
          <w:rFonts w:ascii="Arial" w:hAnsi="Arial" w:cs="Arial"/>
          <w:sz w:val="24"/>
          <w:szCs w:val="24"/>
        </w:rPr>
      </w:pPr>
      <w:r w:rsidRPr="0050295C">
        <w:rPr>
          <w:rFonts w:ascii="Arial" w:hAnsi="Arial" w:cs="Arial"/>
          <w:b/>
          <w:bCs/>
          <w:sz w:val="24"/>
          <w:szCs w:val="24"/>
        </w:rPr>
        <w:t>+20%:</w:t>
      </w:r>
      <w:r w:rsidRPr="0050295C">
        <w:rPr>
          <w:rFonts w:ascii="Arial" w:hAnsi="Arial" w:cs="Arial"/>
          <w:sz w:val="24"/>
          <w:szCs w:val="24"/>
        </w:rPr>
        <w:br/>
        <w:t>19.32m</w:t>
      </w:r>
    </w:p>
    <w:p w14:paraId="2EF2BBA3" w14:textId="03B85EC6" w:rsidR="0050295C" w:rsidRPr="0050295C" w:rsidRDefault="0050295C" w:rsidP="00DF31F5">
      <w:pPr>
        <w:spacing w:line="360" w:lineRule="auto"/>
        <w:rPr>
          <w:rFonts w:ascii="Arial" w:hAnsi="Arial" w:cs="Arial"/>
          <w:sz w:val="24"/>
          <w:szCs w:val="24"/>
        </w:rPr>
      </w:pPr>
      <m:oMathPara>
        <m:oMath>
          <m:r>
            <w:rPr>
              <w:rFonts w:ascii="Cambria Math" w:hAnsi="Cambria Math" w:cs="Arial"/>
              <w:sz w:val="24"/>
              <w:szCs w:val="24"/>
            </w:rPr>
            <m:t>NP</m:t>
          </m:r>
          <m:sSub>
            <m:sSubPr>
              <m:ctrlPr>
                <w:rPr>
                  <w:rFonts w:ascii="Cambria Math" w:hAnsi="Cambria Math" w:cs="Arial"/>
                  <w:sz w:val="24"/>
                  <w:szCs w:val="24"/>
                </w:rPr>
              </m:ctrlPr>
            </m:sSubPr>
            <m:e>
              <m:r>
                <w:rPr>
                  <w:rFonts w:ascii="Cambria Math" w:hAnsi="Cambria Math" w:cs="Arial"/>
                  <w:sz w:val="24"/>
                  <w:szCs w:val="24"/>
                </w:rPr>
                <m:t>V</m:t>
              </m:r>
            </m:e>
            <m:sub>
              <m:r>
                <w:rPr>
                  <w:rFonts w:ascii="Cambria Math" w:hAnsi="Cambria Math" w:cs="Arial"/>
                  <w:sz w:val="24"/>
                  <w:szCs w:val="24"/>
                </w:rPr>
                <m:t>+20</m:t>
              </m:r>
              <m:r>
                <m:rPr>
                  <m:sty m:val="p"/>
                </m:rPr>
                <w:rPr>
                  <w:rFonts w:ascii="Cambria Math" w:hAnsi="Cambria Math" w:cs="Arial"/>
                  <w:sz w:val="24"/>
                  <w:szCs w:val="24"/>
                </w:rPr>
                <m:t>%</m:t>
              </m:r>
            </m:sub>
          </m:sSub>
          <m:r>
            <w:rPr>
              <w:rFonts w:ascii="Cambria Math" w:hAnsi="Cambria Math" w:cs="Arial"/>
              <w:sz w:val="24"/>
              <w:szCs w:val="24"/>
            </w:rPr>
            <m:t>=19.32×3.7908-50=73.2-50=23.2m</m:t>
          </m:r>
          <m:r>
            <w:rPr>
              <w:rFonts w:ascii="Arial" w:hAnsi="Arial" w:cs="Arial"/>
              <w:i/>
              <w:sz w:val="24"/>
              <w:szCs w:val="24"/>
            </w:rPr>
            <w:br/>
          </m:r>
        </m:oMath>
      </m:oMathPara>
    </w:p>
    <w:p w14:paraId="31152F9C" w14:textId="77777777" w:rsidR="0050295C" w:rsidRPr="0050295C" w:rsidRDefault="0050295C" w:rsidP="00DF31F5">
      <w:pPr>
        <w:spacing w:line="360" w:lineRule="auto"/>
        <w:rPr>
          <w:rFonts w:ascii="Arial" w:hAnsi="Arial" w:cs="Arial"/>
          <w:sz w:val="24"/>
          <w:szCs w:val="24"/>
        </w:rPr>
      </w:pPr>
      <w:r w:rsidRPr="0050295C">
        <w:rPr>
          <w:rFonts w:ascii="Arial" w:hAnsi="Arial" w:cs="Arial"/>
          <w:b/>
          <w:bCs/>
          <w:sz w:val="24"/>
          <w:szCs w:val="24"/>
        </w:rPr>
        <w:t>–20%:</w:t>
      </w:r>
      <w:r w:rsidRPr="0050295C">
        <w:rPr>
          <w:rFonts w:ascii="Arial" w:hAnsi="Arial" w:cs="Arial"/>
          <w:sz w:val="24"/>
          <w:szCs w:val="24"/>
        </w:rPr>
        <w:br/>
        <w:t>12.88m</w:t>
      </w:r>
    </w:p>
    <w:p w14:paraId="14D053E2" w14:textId="2514FACA" w:rsidR="0050295C" w:rsidRPr="0050295C" w:rsidRDefault="0050295C" w:rsidP="00DF31F5">
      <w:pPr>
        <w:spacing w:line="360" w:lineRule="auto"/>
        <w:rPr>
          <w:rFonts w:ascii="Arial" w:hAnsi="Arial" w:cs="Arial"/>
          <w:sz w:val="24"/>
          <w:szCs w:val="24"/>
        </w:rPr>
      </w:pPr>
      <m:oMathPara>
        <m:oMath>
          <m:r>
            <w:rPr>
              <w:rFonts w:ascii="Cambria Math" w:hAnsi="Cambria Math" w:cs="Arial"/>
              <w:sz w:val="24"/>
              <w:szCs w:val="24"/>
            </w:rPr>
            <m:t>NP</m:t>
          </m:r>
          <m:sSub>
            <m:sSubPr>
              <m:ctrlPr>
                <w:rPr>
                  <w:rFonts w:ascii="Cambria Math" w:hAnsi="Cambria Math" w:cs="Arial"/>
                  <w:sz w:val="24"/>
                  <w:szCs w:val="24"/>
                </w:rPr>
              </m:ctrlPr>
            </m:sSubPr>
            <m:e>
              <m:r>
                <w:rPr>
                  <w:rFonts w:ascii="Cambria Math" w:hAnsi="Cambria Math" w:cs="Arial"/>
                  <w:sz w:val="24"/>
                  <w:szCs w:val="24"/>
                </w:rPr>
                <m:t>V</m:t>
              </m:r>
            </m:e>
            <m:sub>
              <m:r>
                <w:rPr>
                  <w:rFonts w:ascii="Cambria Math" w:hAnsi="Cambria Math" w:cs="Arial"/>
                  <w:sz w:val="24"/>
                  <w:szCs w:val="24"/>
                </w:rPr>
                <m:t>-20</m:t>
              </m:r>
              <m:r>
                <m:rPr>
                  <m:sty m:val="p"/>
                </m:rPr>
                <w:rPr>
                  <w:rFonts w:ascii="Cambria Math" w:hAnsi="Cambria Math" w:cs="Arial"/>
                  <w:sz w:val="24"/>
                  <w:szCs w:val="24"/>
                </w:rPr>
                <m:t>%</m:t>
              </m:r>
            </m:sub>
          </m:sSub>
          <m:r>
            <w:rPr>
              <w:rFonts w:ascii="Cambria Math" w:hAnsi="Cambria Math" w:cs="Arial"/>
              <w:sz w:val="24"/>
              <w:szCs w:val="24"/>
            </w:rPr>
            <m:t>=12.88×3.7908-50=48.8-50=-1.2≈0m</m:t>
          </m:r>
          <m:r>
            <w:rPr>
              <w:rFonts w:ascii="Arial" w:hAnsi="Arial" w:cs="Arial"/>
              <w:i/>
              <w:sz w:val="24"/>
              <w:szCs w:val="24"/>
            </w:rPr>
            <w:br/>
          </m:r>
        </m:oMath>
      </m:oMathPara>
    </w:p>
    <w:p w14:paraId="691053A4" w14:textId="77777777" w:rsidR="00CD4D3F" w:rsidRPr="00DF31F5" w:rsidRDefault="0050295C" w:rsidP="00DF31F5">
      <w:pPr>
        <w:spacing w:line="360" w:lineRule="auto"/>
        <w:rPr>
          <w:rFonts w:ascii="Arial" w:hAnsi="Arial" w:cs="Arial"/>
          <w:bCs/>
          <w:sz w:val="24"/>
          <w:szCs w:val="24"/>
        </w:rPr>
      </w:pPr>
      <w:r w:rsidRPr="0050295C">
        <w:rPr>
          <w:rFonts w:ascii="Arial" w:hAnsi="Arial" w:cs="Arial"/>
          <w:b/>
          <w:bCs/>
          <w:sz w:val="24"/>
          <w:szCs w:val="24"/>
        </w:rPr>
        <w:t>Interpretation:</w:t>
      </w:r>
      <w:r w:rsidRPr="0050295C">
        <w:rPr>
          <w:rFonts w:ascii="Arial" w:hAnsi="Arial" w:cs="Arial"/>
          <w:sz w:val="24"/>
          <w:szCs w:val="24"/>
        </w:rPr>
        <w:br/>
      </w:r>
      <w:r w:rsidR="00CD4D3F" w:rsidRPr="00DF31F5">
        <w:rPr>
          <w:rFonts w:ascii="Arial" w:hAnsi="Arial" w:cs="Arial"/>
          <w:bCs/>
          <w:sz w:val="24"/>
          <w:szCs w:val="24"/>
        </w:rPr>
        <w:t>The NPV of project C is between breakeven and PS23m, and it is highly volatile depending on the risk of adopting digital.</w:t>
      </w:r>
    </w:p>
    <w:p w14:paraId="77B9486F" w14:textId="22F585ED" w:rsidR="0050295C" w:rsidRPr="0050295C" w:rsidRDefault="0050295C" w:rsidP="00DF31F5">
      <w:pPr>
        <w:spacing w:line="360" w:lineRule="auto"/>
        <w:rPr>
          <w:rFonts w:ascii="Arial" w:hAnsi="Arial" w:cs="Arial"/>
          <w:sz w:val="24"/>
          <w:szCs w:val="24"/>
        </w:rPr>
      </w:pPr>
    </w:p>
    <w:p w14:paraId="1A1CB866"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Risk Mitigation Recommendations</w:t>
      </w:r>
    </w:p>
    <w:p w14:paraId="4769115C" w14:textId="77777777" w:rsidR="00CD4D3F" w:rsidRPr="00DF31F5" w:rsidRDefault="00CD4D3F" w:rsidP="00DF31F5">
      <w:pPr>
        <w:pStyle w:val="ListParagraph"/>
        <w:numPr>
          <w:ilvl w:val="0"/>
          <w:numId w:val="75"/>
        </w:numPr>
        <w:spacing w:line="360" w:lineRule="auto"/>
        <w:rPr>
          <w:rFonts w:ascii="Arial" w:hAnsi="Arial" w:cs="Arial"/>
          <w:bCs/>
          <w:sz w:val="24"/>
          <w:szCs w:val="24"/>
        </w:rPr>
      </w:pPr>
      <w:r w:rsidRPr="00DF31F5">
        <w:rPr>
          <w:rFonts w:ascii="Arial" w:hAnsi="Arial" w:cs="Arial"/>
          <w:bCs/>
          <w:sz w:val="24"/>
          <w:szCs w:val="24"/>
        </w:rPr>
        <w:t>Implement stage-gate capital release where the additional investment is only approved once the milestones are met.</w:t>
      </w:r>
    </w:p>
    <w:p w14:paraId="24CBD848" w14:textId="77777777" w:rsidR="00CD4D3F" w:rsidRPr="00DF31F5" w:rsidRDefault="00CD4D3F" w:rsidP="00DF31F5">
      <w:pPr>
        <w:pStyle w:val="ListParagraph"/>
        <w:numPr>
          <w:ilvl w:val="0"/>
          <w:numId w:val="75"/>
        </w:numPr>
        <w:spacing w:line="360" w:lineRule="auto"/>
        <w:rPr>
          <w:rFonts w:ascii="Arial" w:hAnsi="Arial" w:cs="Arial"/>
          <w:bCs/>
          <w:sz w:val="24"/>
          <w:szCs w:val="24"/>
        </w:rPr>
      </w:pPr>
      <w:r w:rsidRPr="00DF31F5">
        <w:rPr>
          <w:rFonts w:ascii="Arial" w:hAnsi="Arial" w:cs="Arial"/>
          <w:bCs/>
          <w:sz w:val="24"/>
          <w:szCs w:val="24"/>
        </w:rPr>
        <w:lastRenderedPageBreak/>
        <w:t>Enter into form co-development alliances on Project C to share the risk and lower initial R&amp;D expenses.</w:t>
      </w:r>
    </w:p>
    <w:p w14:paraId="3B34FE2D" w14:textId="77777777" w:rsidR="00CD4D3F" w:rsidRPr="00DF31F5" w:rsidRDefault="00CD4D3F" w:rsidP="00DF31F5">
      <w:pPr>
        <w:pStyle w:val="ListParagraph"/>
        <w:numPr>
          <w:ilvl w:val="0"/>
          <w:numId w:val="75"/>
        </w:numPr>
        <w:spacing w:line="360" w:lineRule="auto"/>
        <w:rPr>
          <w:rFonts w:ascii="Arial" w:hAnsi="Arial" w:cs="Arial"/>
          <w:bCs/>
          <w:sz w:val="24"/>
          <w:szCs w:val="24"/>
        </w:rPr>
      </w:pPr>
      <w:r w:rsidRPr="00DF31F5">
        <w:rPr>
          <w:rFonts w:ascii="Arial" w:hAnsi="Arial" w:cs="Arial"/>
          <w:bCs/>
          <w:sz w:val="24"/>
          <w:szCs w:val="24"/>
        </w:rPr>
        <w:t>Hedging of currency in which machinery or digital inputs are brought in.</w:t>
      </w:r>
    </w:p>
    <w:p w14:paraId="7B07CAC7" w14:textId="77777777" w:rsidR="00CD4D3F" w:rsidRPr="00DF31F5" w:rsidRDefault="00CD4D3F" w:rsidP="00DF31F5">
      <w:pPr>
        <w:pStyle w:val="ListParagraph"/>
        <w:numPr>
          <w:ilvl w:val="0"/>
          <w:numId w:val="75"/>
        </w:numPr>
        <w:spacing w:line="360" w:lineRule="auto"/>
        <w:rPr>
          <w:rFonts w:ascii="Arial" w:hAnsi="Arial" w:cs="Arial"/>
          <w:bCs/>
          <w:sz w:val="24"/>
          <w:szCs w:val="24"/>
        </w:rPr>
      </w:pPr>
      <w:r w:rsidRPr="00DF31F5">
        <w:rPr>
          <w:rFonts w:ascii="Arial" w:hAnsi="Arial" w:cs="Arial"/>
          <w:bCs/>
          <w:sz w:val="24"/>
          <w:szCs w:val="24"/>
        </w:rPr>
        <w:t>Have a diversity of suppliers to avoid disruption in the supply chain.</w:t>
      </w:r>
    </w:p>
    <w:p w14:paraId="33762FFF" w14:textId="509BBA38" w:rsidR="0050295C" w:rsidRPr="0050295C" w:rsidRDefault="0050295C" w:rsidP="00DF31F5">
      <w:pPr>
        <w:spacing w:line="360" w:lineRule="auto"/>
        <w:rPr>
          <w:rFonts w:ascii="Arial" w:hAnsi="Arial" w:cs="Arial"/>
          <w:sz w:val="24"/>
          <w:szCs w:val="24"/>
        </w:rPr>
      </w:pPr>
    </w:p>
    <w:p w14:paraId="581C1CF5"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5.7 Strategic and Ethical Fit</w:t>
      </w:r>
    </w:p>
    <w:p w14:paraId="498FD33F"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Description</w:t>
      </w:r>
    </w:p>
    <w:p w14:paraId="1F80F7C7" w14:textId="24BBBF65" w:rsidR="0050295C" w:rsidRPr="0050295C" w:rsidRDefault="00CD4D3F" w:rsidP="00DF31F5">
      <w:pPr>
        <w:spacing w:line="360" w:lineRule="auto"/>
        <w:rPr>
          <w:rFonts w:ascii="Arial" w:hAnsi="Arial" w:cs="Arial"/>
          <w:bCs/>
          <w:sz w:val="24"/>
          <w:szCs w:val="24"/>
        </w:rPr>
      </w:pPr>
      <w:r w:rsidRPr="00DF31F5">
        <w:rPr>
          <w:rFonts w:ascii="Arial" w:hAnsi="Arial" w:cs="Arial"/>
          <w:bCs/>
          <w:sz w:val="24"/>
          <w:szCs w:val="24"/>
        </w:rPr>
        <w:t>Ethical responsibilities and strategic goals should be consistent with financial results. The reorganization of GE needs to be liquidated, resolute, competitive in the long run, and preservation of the corporate image.</w:t>
      </w:r>
    </w:p>
    <w:p w14:paraId="1D2DA804" w14:textId="77777777" w:rsidR="00CD4D3F" w:rsidRPr="00DF31F5" w:rsidRDefault="00CD4D3F" w:rsidP="00DF31F5">
      <w:pPr>
        <w:spacing w:line="360" w:lineRule="auto"/>
        <w:rPr>
          <w:rFonts w:ascii="Arial" w:hAnsi="Arial" w:cs="Arial"/>
          <w:b/>
          <w:sz w:val="24"/>
          <w:szCs w:val="24"/>
        </w:rPr>
      </w:pPr>
      <w:r w:rsidRPr="00DF31F5">
        <w:rPr>
          <w:rFonts w:ascii="Arial" w:hAnsi="Arial" w:cs="Arial"/>
          <w:b/>
          <w:sz w:val="24"/>
          <w:szCs w:val="24"/>
        </w:rPr>
        <w:t>Project A: Good Strategic Fit.</w:t>
      </w:r>
    </w:p>
    <w:p w14:paraId="7B936017" w14:textId="77777777" w:rsidR="00CD4D3F" w:rsidRPr="00DF31F5" w:rsidRDefault="00CD4D3F" w:rsidP="00DF31F5">
      <w:pPr>
        <w:pStyle w:val="ListParagraph"/>
        <w:numPr>
          <w:ilvl w:val="0"/>
          <w:numId w:val="76"/>
        </w:numPr>
        <w:spacing w:line="360" w:lineRule="auto"/>
        <w:rPr>
          <w:rFonts w:ascii="Arial" w:hAnsi="Arial" w:cs="Arial"/>
          <w:bCs/>
          <w:sz w:val="24"/>
          <w:szCs w:val="24"/>
        </w:rPr>
      </w:pPr>
      <w:r w:rsidRPr="00DF31F5">
        <w:rPr>
          <w:rFonts w:ascii="Arial" w:hAnsi="Arial" w:cs="Arial"/>
          <w:bCs/>
          <w:sz w:val="24"/>
          <w:szCs w:val="24"/>
        </w:rPr>
        <w:t>Increases the efficiency of manufacturing.</w:t>
      </w:r>
    </w:p>
    <w:p w14:paraId="5FDA4CDD" w14:textId="77777777" w:rsidR="00CD4D3F" w:rsidRPr="00DF31F5" w:rsidRDefault="00CD4D3F" w:rsidP="00DF31F5">
      <w:pPr>
        <w:pStyle w:val="ListParagraph"/>
        <w:numPr>
          <w:ilvl w:val="0"/>
          <w:numId w:val="76"/>
        </w:numPr>
        <w:spacing w:line="360" w:lineRule="auto"/>
        <w:rPr>
          <w:rFonts w:ascii="Arial" w:hAnsi="Arial" w:cs="Arial"/>
          <w:bCs/>
          <w:sz w:val="24"/>
          <w:szCs w:val="24"/>
        </w:rPr>
      </w:pPr>
      <w:r w:rsidRPr="00DF31F5">
        <w:rPr>
          <w:rFonts w:ascii="Arial" w:hAnsi="Arial" w:cs="Arial"/>
          <w:bCs/>
          <w:sz w:val="24"/>
          <w:szCs w:val="24"/>
        </w:rPr>
        <w:t>Minimizes operational expenses within a short time.</w:t>
      </w:r>
    </w:p>
    <w:p w14:paraId="54C39386" w14:textId="77777777" w:rsidR="00CD4D3F" w:rsidRPr="00DF31F5" w:rsidRDefault="00CD4D3F" w:rsidP="00DF31F5">
      <w:pPr>
        <w:pStyle w:val="ListParagraph"/>
        <w:numPr>
          <w:ilvl w:val="0"/>
          <w:numId w:val="76"/>
        </w:numPr>
        <w:spacing w:line="360" w:lineRule="auto"/>
        <w:rPr>
          <w:rFonts w:ascii="Arial" w:hAnsi="Arial" w:cs="Arial"/>
          <w:bCs/>
          <w:sz w:val="24"/>
          <w:szCs w:val="24"/>
        </w:rPr>
      </w:pPr>
      <w:r w:rsidRPr="00DF31F5">
        <w:rPr>
          <w:rFonts w:ascii="Arial" w:hAnsi="Arial" w:cs="Arial"/>
          <w:bCs/>
          <w:sz w:val="24"/>
          <w:szCs w:val="24"/>
        </w:rPr>
        <w:t>Makes early cash payments that help in the deleveraging strategy of GE.</w:t>
      </w:r>
    </w:p>
    <w:p w14:paraId="6DFF6254" w14:textId="77777777" w:rsidR="00CD4D3F" w:rsidRPr="00DF31F5" w:rsidRDefault="00CD4D3F" w:rsidP="00DF31F5">
      <w:pPr>
        <w:pStyle w:val="ListParagraph"/>
        <w:numPr>
          <w:ilvl w:val="0"/>
          <w:numId w:val="76"/>
        </w:numPr>
        <w:spacing w:line="360" w:lineRule="auto"/>
        <w:rPr>
          <w:rFonts w:ascii="Arial" w:hAnsi="Arial" w:cs="Arial"/>
          <w:bCs/>
          <w:sz w:val="24"/>
          <w:szCs w:val="24"/>
        </w:rPr>
      </w:pPr>
      <w:r w:rsidRPr="00DF31F5">
        <w:rPr>
          <w:rFonts w:ascii="Arial" w:hAnsi="Arial" w:cs="Arial"/>
          <w:bCs/>
          <w:sz w:val="24"/>
          <w:szCs w:val="24"/>
        </w:rPr>
        <w:t>Minimal ethical risk and minimal disruption of personnel.</w:t>
      </w:r>
    </w:p>
    <w:p w14:paraId="796C2ADF" w14:textId="77777777" w:rsidR="00CD4D3F" w:rsidRPr="00DF31F5" w:rsidRDefault="00CD4D3F" w:rsidP="00DF31F5">
      <w:pPr>
        <w:spacing w:line="360" w:lineRule="auto"/>
        <w:rPr>
          <w:rFonts w:ascii="Arial" w:hAnsi="Arial" w:cs="Arial"/>
          <w:bCs/>
          <w:sz w:val="24"/>
          <w:szCs w:val="24"/>
        </w:rPr>
      </w:pPr>
      <w:r w:rsidRPr="00DF31F5">
        <w:rPr>
          <w:rFonts w:ascii="Arial" w:hAnsi="Arial" w:cs="Arial"/>
          <w:bCs/>
          <w:sz w:val="24"/>
          <w:szCs w:val="24"/>
        </w:rPr>
        <w:t>Conclusion: Endorses the short term stabilisation plan of GE.</w:t>
      </w:r>
    </w:p>
    <w:p w14:paraId="2A6D9C72" w14:textId="21D889C6" w:rsidR="0050295C" w:rsidRPr="0050295C" w:rsidRDefault="0050295C" w:rsidP="00DF31F5">
      <w:pPr>
        <w:spacing w:line="360" w:lineRule="auto"/>
        <w:rPr>
          <w:rFonts w:ascii="Arial" w:hAnsi="Arial" w:cs="Arial"/>
          <w:sz w:val="24"/>
          <w:szCs w:val="24"/>
        </w:rPr>
      </w:pPr>
    </w:p>
    <w:p w14:paraId="2BC42AFE" w14:textId="77777777" w:rsidR="00CD4D3F" w:rsidRPr="00DF31F5" w:rsidRDefault="00CD4D3F" w:rsidP="00DF31F5">
      <w:pPr>
        <w:spacing w:line="360" w:lineRule="auto"/>
        <w:rPr>
          <w:rFonts w:ascii="Arial" w:hAnsi="Arial" w:cs="Arial"/>
          <w:b/>
          <w:sz w:val="24"/>
          <w:szCs w:val="24"/>
        </w:rPr>
      </w:pPr>
      <w:r w:rsidRPr="00DF31F5">
        <w:rPr>
          <w:rFonts w:ascii="Arial" w:hAnsi="Arial" w:cs="Arial"/>
          <w:b/>
          <w:sz w:val="24"/>
          <w:szCs w:val="24"/>
        </w:rPr>
        <w:t>Project B: Lack of Financials but Strategic ESG Pushes.</w:t>
      </w:r>
    </w:p>
    <w:p w14:paraId="1FB21C3B" w14:textId="77777777" w:rsidR="00CD4D3F" w:rsidRPr="00DF31F5" w:rsidRDefault="00CD4D3F" w:rsidP="00DF31F5">
      <w:pPr>
        <w:pStyle w:val="ListParagraph"/>
        <w:numPr>
          <w:ilvl w:val="0"/>
          <w:numId w:val="77"/>
        </w:numPr>
        <w:spacing w:line="360" w:lineRule="auto"/>
        <w:rPr>
          <w:rFonts w:ascii="Arial" w:hAnsi="Arial" w:cs="Arial"/>
          <w:bCs/>
          <w:sz w:val="24"/>
          <w:szCs w:val="24"/>
        </w:rPr>
      </w:pPr>
      <w:r w:rsidRPr="00DF31F5">
        <w:rPr>
          <w:rFonts w:ascii="Arial" w:hAnsi="Arial" w:cs="Arial"/>
          <w:bCs/>
          <w:sz w:val="24"/>
          <w:szCs w:val="24"/>
        </w:rPr>
        <w:t>Saves employment and local interaction.</w:t>
      </w:r>
    </w:p>
    <w:p w14:paraId="0EF1C1A1" w14:textId="77777777" w:rsidR="00CD4D3F" w:rsidRPr="00DF31F5" w:rsidRDefault="00CD4D3F" w:rsidP="00DF31F5">
      <w:pPr>
        <w:pStyle w:val="ListParagraph"/>
        <w:numPr>
          <w:ilvl w:val="0"/>
          <w:numId w:val="77"/>
        </w:numPr>
        <w:spacing w:line="360" w:lineRule="auto"/>
        <w:rPr>
          <w:rFonts w:ascii="Arial" w:hAnsi="Arial" w:cs="Arial"/>
          <w:bCs/>
          <w:sz w:val="24"/>
          <w:szCs w:val="24"/>
        </w:rPr>
      </w:pPr>
      <w:r w:rsidRPr="00DF31F5">
        <w:rPr>
          <w:rFonts w:ascii="Arial" w:hAnsi="Arial" w:cs="Arial"/>
          <w:bCs/>
          <w:sz w:val="24"/>
          <w:szCs w:val="24"/>
        </w:rPr>
        <w:t>Contributes to the social responsibility agenda of GE.</w:t>
      </w:r>
    </w:p>
    <w:p w14:paraId="6B9DE7D2" w14:textId="77777777" w:rsidR="00CD4D3F" w:rsidRPr="00DF31F5" w:rsidRDefault="00CD4D3F" w:rsidP="00DF31F5">
      <w:pPr>
        <w:pStyle w:val="ListParagraph"/>
        <w:numPr>
          <w:ilvl w:val="0"/>
          <w:numId w:val="77"/>
        </w:numPr>
        <w:spacing w:line="360" w:lineRule="auto"/>
        <w:rPr>
          <w:rFonts w:ascii="Arial" w:hAnsi="Arial" w:cs="Arial"/>
          <w:bCs/>
          <w:sz w:val="24"/>
          <w:szCs w:val="24"/>
        </w:rPr>
      </w:pPr>
      <w:r w:rsidRPr="00DF31F5">
        <w:rPr>
          <w:rFonts w:ascii="Arial" w:hAnsi="Arial" w:cs="Arial"/>
          <w:bCs/>
          <w:sz w:val="24"/>
          <w:szCs w:val="24"/>
        </w:rPr>
        <w:t>Improves contribution to the local economy.</w:t>
      </w:r>
    </w:p>
    <w:p w14:paraId="23D3552F" w14:textId="77777777" w:rsidR="00CD4D3F" w:rsidRPr="00DF31F5" w:rsidRDefault="00CD4D3F" w:rsidP="00DF31F5">
      <w:pPr>
        <w:spacing w:line="360" w:lineRule="auto"/>
        <w:ind w:left="360"/>
        <w:rPr>
          <w:rFonts w:ascii="Arial" w:hAnsi="Arial" w:cs="Arial"/>
          <w:bCs/>
          <w:sz w:val="24"/>
          <w:szCs w:val="24"/>
        </w:rPr>
      </w:pPr>
      <w:r w:rsidRPr="00DF31F5">
        <w:rPr>
          <w:rFonts w:ascii="Arial" w:hAnsi="Arial" w:cs="Arial"/>
          <w:bCs/>
          <w:sz w:val="24"/>
          <w:szCs w:val="24"/>
        </w:rPr>
        <w:t>Conclusion: Reasoned out as a small, limited pilot on grounds of poor returns.</w:t>
      </w:r>
    </w:p>
    <w:p w14:paraId="6747E87D" w14:textId="0B2A3844" w:rsidR="0050295C" w:rsidRPr="0050295C" w:rsidRDefault="0050295C" w:rsidP="00DF31F5">
      <w:pPr>
        <w:spacing w:line="360" w:lineRule="auto"/>
        <w:rPr>
          <w:rFonts w:ascii="Arial" w:hAnsi="Arial" w:cs="Arial"/>
          <w:sz w:val="24"/>
          <w:szCs w:val="24"/>
        </w:rPr>
      </w:pPr>
    </w:p>
    <w:p w14:paraId="63CE954C" w14:textId="77777777" w:rsidR="00CD4D3F" w:rsidRPr="00DF31F5" w:rsidRDefault="00CD4D3F" w:rsidP="00DF31F5">
      <w:pPr>
        <w:spacing w:line="360" w:lineRule="auto"/>
        <w:rPr>
          <w:rFonts w:ascii="Arial" w:hAnsi="Arial" w:cs="Arial"/>
          <w:b/>
          <w:sz w:val="24"/>
          <w:szCs w:val="24"/>
        </w:rPr>
      </w:pPr>
      <w:r w:rsidRPr="00DF31F5">
        <w:rPr>
          <w:rFonts w:ascii="Arial" w:hAnsi="Arial" w:cs="Arial"/>
          <w:b/>
          <w:sz w:val="24"/>
          <w:szCs w:val="24"/>
        </w:rPr>
        <w:t>Project C: Company high strategic significance in long term.</w:t>
      </w:r>
    </w:p>
    <w:p w14:paraId="07426439" w14:textId="77777777" w:rsidR="00CD4D3F" w:rsidRPr="00DF31F5" w:rsidRDefault="00CD4D3F" w:rsidP="00DF31F5">
      <w:pPr>
        <w:pStyle w:val="ListParagraph"/>
        <w:numPr>
          <w:ilvl w:val="0"/>
          <w:numId w:val="78"/>
        </w:numPr>
        <w:spacing w:line="360" w:lineRule="auto"/>
        <w:rPr>
          <w:rFonts w:ascii="Arial" w:hAnsi="Arial" w:cs="Arial"/>
          <w:bCs/>
          <w:sz w:val="24"/>
          <w:szCs w:val="24"/>
        </w:rPr>
      </w:pPr>
      <w:r w:rsidRPr="00DF31F5">
        <w:rPr>
          <w:rFonts w:ascii="Arial" w:hAnsi="Arial" w:cs="Arial"/>
          <w:bCs/>
          <w:sz w:val="24"/>
          <w:szCs w:val="24"/>
        </w:rPr>
        <w:t>It is in line with the digital transformation roadmap at GE.</w:t>
      </w:r>
    </w:p>
    <w:p w14:paraId="190B897E" w14:textId="77777777" w:rsidR="00CD4D3F" w:rsidRPr="00DF31F5" w:rsidRDefault="00CD4D3F" w:rsidP="00DF31F5">
      <w:pPr>
        <w:pStyle w:val="ListParagraph"/>
        <w:numPr>
          <w:ilvl w:val="0"/>
          <w:numId w:val="78"/>
        </w:numPr>
        <w:spacing w:line="360" w:lineRule="auto"/>
        <w:rPr>
          <w:rFonts w:ascii="Arial" w:hAnsi="Arial" w:cs="Arial"/>
          <w:bCs/>
          <w:sz w:val="24"/>
          <w:szCs w:val="24"/>
        </w:rPr>
      </w:pPr>
      <w:r w:rsidRPr="00DF31F5">
        <w:rPr>
          <w:rFonts w:ascii="Arial" w:hAnsi="Arial" w:cs="Arial"/>
          <w:bCs/>
          <w:sz w:val="24"/>
          <w:szCs w:val="24"/>
        </w:rPr>
        <w:t>Supports high margin data based services.</w:t>
      </w:r>
    </w:p>
    <w:p w14:paraId="6AA675BF" w14:textId="77777777" w:rsidR="00CD4D3F" w:rsidRPr="00DF31F5" w:rsidRDefault="00CD4D3F" w:rsidP="00DF31F5">
      <w:pPr>
        <w:pStyle w:val="ListParagraph"/>
        <w:numPr>
          <w:ilvl w:val="0"/>
          <w:numId w:val="78"/>
        </w:numPr>
        <w:spacing w:line="360" w:lineRule="auto"/>
        <w:rPr>
          <w:rFonts w:ascii="Arial" w:hAnsi="Arial" w:cs="Arial"/>
          <w:bCs/>
          <w:sz w:val="24"/>
          <w:szCs w:val="24"/>
        </w:rPr>
      </w:pPr>
      <w:r w:rsidRPr="00DF31F5">
        <w:rPr>
          <w:rFonts w:ascii="Arial" w:hAnsi="Arial" w:cs="Arial"/>
          <w:bCs/>
          <w:sz w:val="24"/>
          <w:szCs w:val="24"/>
        </w:rPr>
        <w:t>Needs effective cybersecurity and integration.</w:t>
      </w:r>
    </w:p>
    <w:p w14:paraId="0F000B76" w14:textId="77777777" w:rsidR="00CD4D3F" w:rsidRPr="00DF31F5" w:rsidRDefault="00CD4D3F" w:rsidP="00DF31F5">
      <w:pPr>
        <w:pStyle w:val="ListParagraph"/>
        <w:numPr>
          <w:ilvl w:val="0"/>
          <w:numId w:val="78"/>
        </w:numPr>
        <w:spacing w:line="360" w:lineRule="auto"/>
        <w:rPr>
          <w:rFonts w:ascii="Arial" w:hAnsi="Arial" w:cs="Arial"/>
          <w:bCs/>
          <w:sz w:val="24"/>
          <w:szCs w:val="24"/>
        </w:rPr>
      </w:pPr>
      <w:r w:rsidRPr="00DF31F5">
        <w:rPr>
          <w:rFonts w:ascii="Arial" w:hAnsi="Arial" w:cs="Arial"/>
          <w:bCs/>
          <w:sz w:val="24"/>
          <w:szCs w:val="24"/>
        </w:rPr>
        <w:lastRenderedPageBreak/>
        <w:t>Huge initial capital requirement is opposed to the existing liquidity limitations of GE.</w:t>
      </w:r>
    </w:p>
    <w:p w14:paraId="0FC47700" w14:textId="77777777" w:rsidR="00CD4D3F" w:rsidRPr="00DF31F5" w:rsidRDefault="00CD4D3F" w:rsidP="00DF31F5">
      <w:pPr>
        <w:spacing w:line="360" w:lineRule="auto"/>
        <w:ind w:left="360"/>
        <w:rPr>
          <w:rFonts w:ascii="Arial" w:hAnsi="Arial" w:cs="Arial"/>
          <w:bCs/>
          <w:sz w:val="24"/>
          <w:szCs w:val="24"/>
        </w:rPr>
      </w:pPr>
      <w:r w:rsidRPr="00DF31F5">
        <w:rPr>
          <w:rFonts w:ascii="Arial" w:hAnsi="Arial" w:cs="Arial"/>
          <w:bCs/>
          <w:sz w:val="24"/>
          <w:szCs w:val="24"/>
        </w:rPr>
        <w:t>Conclusion Strategically important, and should be deferred or partnered.</w:t>
      </w:r>
    </w:p>
    <w:p w14:paraId="653B366C" w14:textId="6DBD44AE" w:rsidR="0050295C" w:rsidRPr="0050295C" w:rsidRDefault="0050295C" w:rsidP="00DF31F5">
      <w:pPr>
        <w:spacing w:line="360" w:lineRule="auto"/>
        <w:rPr>
          <w:rFonts w:ascii="Arial" w:hAnsi="Arial" w:cs="Arial"/>
          <w:sz w:val="24"/>
          <w:szCs w:val="24"/>
        </w:rPr>
      </w:pPr>
    </w:p>
    <w:p w14:paraId="2BA3B9CF"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5.8 Integration with Broader Financial Strategy</w:t>
      </w:r>
    </w:p>
    <w:p w14:paraId="431C0C3F"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Description</w:t>
      </w:r>
    </w:p>
    <w:p w14:paraId="1A86A619" w14:textId="67196344" w:rsidR="0050295C" w:rsidRPr="00DF31F5" w:rsidRDefault="00CD4D3F" w:rsidP="00DF31F5">
      <w:pPr>
        <w:spacing w:line="360" w:lineRule="auto"/>
        <w:rPr>
          <w:rFonts w:ascii="Arial" w:hAnsi="Arial" w:cs="Arial"/>
          <w:sz w:val="24"/>
          <w:szCs w:val="24"/>
        </w:rPr>
      </w:pPr>
      <w:r w:rsidRPr="00DF31F5">
        <w:rPr>
          <w:rFonts w:ascii="Arial" w:hAnsi="Arial" w:cs="Arial"/>
          <w:sz w:val="24"/>
          <w:szCs w:val="24"/>
        </w:rPr>
        <w:t>The proper capital budgeting should reinforce the broader restructuring strategy of the organisation especially recovery of liquidity and restoration of balance sheet.</w:t>
      </w:r>
    </w:p>
    <w:p w14:paraId="6D88F194" w14:textId="77777777" w:rsidR="00CD4D3F" w:rsidRPr="0050295C" w:rsidRDefault="00CD4D3F" w:rsidP="00DF31F5">
      <w:pPr>
        <w:spacing w:line="360" w:lineRule="auto"/>
        <w:rPr>
          <w:rFonts w:ascii="Arial" w:hAnsi="Arial" w:cs="Arial"/>
          <w:sz w:val="24"/>
          <w:szCs w:val="24"/>
        </w:rPr>
      </w:pPr>
    </w:p>
    <w:p w14:paraId="70457672" w14:textId="77777777" w:rsidR="00CD4D3F" w:rsidRPr="00DF31F5" w:rsidRDefault="00CD4D3F" w:rsidP="00DF31F5">
      <w:pPr>
        <w:spacing w:line="360" w:lineRule="auto"/>
        <w:rPr>
          <w:rFonts w:ascii="Arial" w:hAnsi="Arial" w:cs="Arial"/>
          <w:b/>
          <w:bCs/>
          <w:sz w:val="24"/>
          <w:szCs w:val="24"/>
        </w:rPr>
      </w:pPr>
      <w:r w:rsidRPr="00DF31F5">
        <w:rPr>
          <w:rFonts w:ascii="Arial" w:hAnsi="Arial" w:cs="Arial"/>
          <w:b/>
          <w:bCs/>
          <w:sz w:val="24"/>
          <w:szCs w:val="24"/>
        </w:rPr>
        <w:t>Project A's Contribution</w:t>
      </w:r>
    </w:p>
    <w:p w14:paraId="33DDDA37" w14:textId="77777777" w:rsidR="00CD4D3F" w:rsidRPr="00DF31F5" w:rsidRDefault="00CD4D3F" w:rsidP="00DF31F5">
      <w:pPr>
        <w:pStyle w:val="ListParagraph"/>
        <w:numPr>
          <w:ilvl w:val="0"/>
          <w:numId w:val="79"/>
        </w:numPr>
        <w:spacing w:line="360" w:lineRule="auto"/>
        <w:rPr>
          <w:rFonts w:ascii="Arial" w:hAnsi="Arial" w:cs="Arial"/>
          <w:sz w:val="24"/>
          <w:szCs w:val="24"/>
        </w:rPr>
      </w:pPr>
      <w:r w:rsidRPr="00DF31F5">
        <w:rPr>
          <w:rFonts w:ascii="Arial" w:hAnsi="Arial" w:cs="Arial"/>
          <w:sz w:val="24"/>
          <w:szCs w:val="24"/>
        </w:rPr>
        <w:t>Short term liquidity is enhanced by fast payback.</w:t>
      </w:r>
    </w:p>
    <w:p w14:paraId="610951E9" w14:textId="77777777" w:rsidR="00CD4D3F" w:rsidRPr="00DF31F5" w:rsidRDefault="00CD4D3F" w:rsidP="00DF31F5">
      <w:pPr>
        <w:pStyle w:val="ListParagraph"/>
        <w:numPr>
          <w:ilvl w:val="0"/>
          <w:numId w:val="79"/>
        </w:numPr>
        <w:spacing w:line="360" w:lineRule="auto"/>
        <w:rPr>
          <w:rFonts w:ascii="Arial" w:hAnsi="Arial" w:cs="Arial"/>
          <w:sz w:val="24"/>
          <w:szCs w:val="24"/>
        </w:rPr>
      </w:pPr>
      <w:r w:rsidRPr="00DF31F5">
        <w:rPr>
          <w:rFonts w:ascii="Arial" w:hAnsi="Arial" w:cs="Arial"/>
          <w:sz w:val="24"/>
          <w:szCs w:val="24"/>
        </w:rPr>
        <w:t>Positive NPV augments working capital buffer.</w:t>
      </w:r>
    </w:p>
    <w:p w14:paraId="3D9840FF" w14:textId="77777777" w:rsidR="00CD4D3F" w:rsidRPr="00DF31F5" w:rsidRDefault="00CD4D3F" w:rsidP="00DF31F5">
      <w:pPr>
        <w:pStyle w:val="ListParagraph"/>
        <w:numPr>
          <w:ilvl w:val="0"/>
          <w:numId w:val="79"/>
        </w:numPr>
        <w:spacing w:line="360" w:lineRule="auto"/>
        <w:rPr>
          <w:rFonts w:ascii="Arial" w:hAnsi="Arial" w:cs="Arial"/>
          <w:sz w:val="24"/>
          <w:szCs w:val="24"/>
        </w:rPr>
      </w:pPr>
      <w:r w:rsidRPr="00DF31F5">
        <w:rPr>
          <w:rFonts w:ascii="Arial" w:hAnsi="Arial" w:cs="Arial"/>
          <w:sz w:val="24"/>
          <w:szCs w:val="24"/>
        </w:rPr>
        <w:t>Helps in the reduction programme of debts at GE.</w:t>
      </w:r>
    </w:p>
    <w:p w14:paraId="150238F4" w14:textId="77777777" w:rsidR="00CD4D3F" w:rsidRPr="00DF31F5" w:rsidRDefault="00CD4D3F" w:rsidP="00DF31F5">
      <w:pPr>
        <w:spacing w:line="360" w:lineRule="auto"/>
        <w:rPr>
          <w:rFonts w:ascii="Arial" w:hAnsi="Arial" w:cs="Arial"/>
          <w:b/>
          <w:bCs/>
          <w:sz w:val="24"/>
          <w:szCs w:val="24"/>
        </w:rPr>
      </w:pPr>
      <w:r w:rsidRPr="00DF31F5">
        <w:rPr>
          <w:rFonts w:ascii="Arial" w:hAnsi="Arial" w:cs="Arial"/>
          <w:b/>
          <w:bCs/>
          <w:sz w:val="24"/>
          <w:szCs w:val="24"/>
        </w:rPr>
        <w:t>Project B's Role</w:t>
      </w:r>
    </w:p>
    <w:p w14:paraId="114F929B" w14:textId="77777777" w:rsidR="00CD4D3F" w:rsidRPr="00DF31F5" w:rsidRDefault="00CD4D3F" w:rsidP="00DF31F5">
      <w:pPr>
        <w:pStyle w:val="ListParagraph"/>
        <w:numPr>
          <w:ilvl w:val="0"/>
          <w:numId w:val="80"/>
        </w:numPr>
        <w:spacing w:line="360" w:lineRule="auto"/>
        <w:rPr>
          <w:rFonts w:ascii="Arial" w:hAnsi="Arial" w:cs="Arial"/>
          <w:sz w:val="24"/>
          <w:szCs w:val="24"/>
        </w:rPr>
      </w:pPr>
      <w:r w:rsidRPr="00DF31F5">
        <w:rPr>
          <w:rFonts w:ascii="Arial" w:hAnsi="Arial" w:cs="Arial"/>
          <w:sz w:val="24"/>
          <w:szCs w:val="24"/>
        </w:rPr>
        <w:t>Low money value yet brings continuity of production.</w:t>
      </w:r>
    </w:p>
    <w:p w14:paraId="34B7ECFF" w14:textId="77777777" w:rsidR="00CD4D3F" w:rsidRPr="00DF31F5" w:rsidRDefault="00CD4D3F" w:rsidP="00DF31F5">
      <w:pPr>
        <w:pStyle w:val="ListParagraph"/>
        <w:numPr>
          <w:ilvl w:val="0"/>
          <w:numId w:val="80"/>
        </w:numPr>
        <w:spacing w:line="360" w:lineRule="auto"/>
        <w:rPr>
          <w:rFonts w:ascii="Arial" w:hAnsi="Arial" w:cs="Arial"/>
          <w:sz w:val="24"/>
          <w:szCs w:val="24"/>
        </w:rPr>
      </w:pPr>
      <w:r w:rsidRPr="00DF31F5">
        <w:rPr>
          <w:rFonts w:ascii="Arial" w:hAnsi="Arial" w:cs="Arial"/>
          <w:sz w:val="24"/>
          <w:szCs w:val="24"/>
        </w:rPr>
        <w:t>A pilot does not have to overburden cash reserves and does not violate ESG commitments.</w:t>
      </w:r>
    </w:p>
    <w:p w14:paraId="0F0BBE51" w14:textId="77777777" w:rsidR="00CD4D3F" w:rsidRPr="00DF31F5" w:rsidRDefault="00CD4D3F" w:rsidP="00DF31F5">
      <w:pPr>
        <w:spacing w:line="360" w:lineRule="auto"/>
        <w:rPr>
          <w:rFonts w:ascii="Arial" w:hAnsi="Arial" w:cs="Arial"/>
          <w:b/>
          <w:bCs/>
          <w:sz w:val="24"/>
          <w:szCs w:val="24"/>
        </w:rPr>
      </w:pPr>
      <w:r w:rsidRPr="00DF31F5">
        <w:rPr>
          <w:rFonts w:ascii="Arial" w:hAnsi="Arial" w:cs="Arial"/>
          <w:b/>
          <w:bCs/>
          <w:sz w:val="24"/>
          <w:szCs w:val="24"/>
        </w:rPr>
        <w:t>Project C's Timing</w:t>
      </w:r>
    </w:p>
    <w:p w14:paraId="5090EE6F" w14:textId="77777777" w:rsidR="00CD4D3F" w:rsidRPr="00DF31F5" w:rsidRDefault="00CD4D3F" w:rsidP="00DF31F5">
      <w:pPr>
        <w:pStyle w:val="ListParagraph"/>
        <w:numPr>
          <w:ilvl w:val="0"/>
          <w:numId w:val="81"/>
        </w:numPr>
        <w:spacing w:line="360" w:lineRule="auto"/>
        <w:rPr>
          <w:rFonts w:ascii="Arial" w:hAnsi="Arial" w:cs="Arial"/>
          <w:sz w:val="24"/>
          <w:szCs w:val="24"/>
        </w:rPr>
      </w:pPr>
      <w:r w:rsidRPr="00DF31F5">
        <w:rPr>
          <w:rFonts w:ascii="Arial" w:hAnsi="Arial" w:cs="Arial"/>
          <w:sz w:val="24"/>
          <w:szCs w:val="24"/>
        </w:rPr>
        <w:t>Only then when leverage is less than 1.0, when GE is stable in terms of liquidity.</w:t>
      </w:r>
    </w:p>
    <w:p w14:paraId="6317FD53" w14:textId="77777777" w:rsidR="00CD4D3F" w:rsidRPr="00DF31F5" w:rsidRDefault="00CD4D3F" w:rsidP="00DF31F5">
      <w:pPr>
        <w:pStyle w:val="ListParagraph"/>
        <w:numPr>
          <w:ilvl w:val="0"/>
          <w:numId w:val="81"/>
        </w:numPr>
        <w:spacing w:line="360" w:lineRule="auto"/>
        <w:rPr>
          <w:rFonts w:ascii="Arial" w:hAnsi="Arial" w:cs="Arial"/>
          <w:sz w:val="24"/>
          <w:szCs w:val="24"/>
        </w:rPr>
      </w:pPr>
      <w:r w:rsidRPr="00DF31F5">
        <w:rPr>
          <w:rFonts w:ascii="Arial" w:hAnsi="Arial" w:cs="Arial"/>
          <w:sz w:val="24"/>
          <w:szCs w:val="24"/>
        </w:rPr>
        <w:t>Joint ventures, partnerships or revenue sharing models can help to alleviate cash burden.</w:t>
      </w:r>
    </w:p>
    <w:p w14:paraId="2D8FB37B" w14:textId="6560B59E" w:rsidR="0050295C" w:rsidRPr="0050295C" w:rsidRDefault="0050295C" w:rsidP="00DF31F5">
      <w:pPr>
        <w:spacing w:line="360" w:lineRule="auto"/>
        <w:rPr>
          <w:rFonts w:ascii="Arial" w:hAnsi="Arial" w:cs="Arial"/>
          <w:sz w:val="24"/>
          <w:szCs w:val="24"/>
        </w:rPr>
      </w:pPr>
    </w:p>
    <w:p w14:paraId="7CE53C56" w14:textId="77777777" w:rsidR="0050295C" w:rsidRPr="0050295C" w:rsidRDefault="0050295C" w:rsidP="00DF31F5">
      <w:pPr>
        <w:spacing w:line="360" w:lineRule="auto"/>
        <w:rPr>
          <w:rFonts w:ascii="Arial" w:hAnsi="Arial" w:cs="Arial"/>
          <w:b/>
          <w:bCs/>
          <w:sz w:val="24"/>
          <w:szCs w:val="24"/>
        </w:rPr>
      </w:pPr>
      <w:r w:rsidRPr="0050295C">
        <w:rPr>
          <w:rFonts w:ascii="Arial" w:hAnsi="Arial" w:cs="Arial"/>
          <w:b/>
          <w:bCs/>
          <w:sz w:val="24"/>
          <w:szCs w:val="24"/>
        </w:rPr>
        <w:t>5.9 Final Conclusion on Investment Appraisal</w:t>
      </w:r>
    </w:p>
    <w:p w14:paraId="6C7BCEED" w14:textId="77777777" w:rsidR="00CD4D3F" w:rsidRPr="00DF31F5" w:rsidRDefault="00CD4D3F" w:rsidP="00DF31F5">
      <w:pPr>
        <w:spacing w:line="360" w:lineRule="auto"/>
        <w:rPr>
          <w:rFonts w:ascii="Arial" w:hAnsi="Arial" w:cs="Arial"/>
          <w:sz w:val="24"/>
          <w:szCs w:val="24"/>
        </w:rPr>
      </w:pPr>
      <w:r w:rsidRPr="00DF31F5">
        <w:rPr>
          <w:rFonts w:ascii="Arial" w:hAnsi="Arial" w:cs="Arial"/>
          <w:sz w:val="24"/>
          <w:szCs w:val="24"/>
        </w:rPr>
        <w:t>It is as a result of complete financial analysis and strategic assessments:</w:t>
      </w:r>
    </w:p>
    <w:p w14:paraId="64BE40BF" w14:textId="77777777" w:rsidR="00CD4D3F" w:rsidRPr="00DF31F5" w:rsidRDefault="00CD4D3F" w:rsidP="00DF31F5">
      <w:pPr>
        <w:spacing w:line="360" w:lineRule="auto"/>
        <w:rPr>
          <w:rFonts w:ascii="Arial" w:hAnsi="Arial" w:cs="Arial"/>
          <w:sz w:val="24"/>
          <w:szCs w:val="24"/>
        </w:rPr>
      </w:pPr>
      <w:r w:rsidRPr="00DF31F5">
        <w:rPr>
          <w:rFonts w:ascii="Arial" w:hAnsi="Arial" w:cs="Arial"/>
          <w:sz w:val="24"/>
          <w:szCs w:val="24"/>
        </w:rPr>
        <w:t>The PS60m capital ceiling is the most feasible investment in project A.</w:t>
      </w:r>
    </w:p>
    <w:p w14:paraId="71C6D9E4" w14:textId="3DD5040F" w:rsidR="00CD4D3F" w:rsidRPr="00DF31F5" w:rsidRDefault="00CD4D3F" w:rsidP="00DF31F5">
      <w:pPr>
        <w:pStyle w:val="ListParagraph"/>
        <w:numPr>
          <w:ilvl w:val="0"/>
          <w:numId w:val="83"/>
        </w:numPr>
        <w:spacing w:line="360" w:lineRule="auto"/>
        <w:rPr>
          <w:rFonts w:ascii="Arial" w:hAnsi="Arial" w:cs="Arial"/>
          <w:sz w:val="24"/>
          <w:szCs w:val="24"/>
        </w:rPr>
      </w:pPr>
      <w:r w:rsidRPr="00DF31F5">
        <w:rPr>
          <w:rFonts w:ascii="Arial" w:hAnsi="Arial" w:cs="Arial"/>
          <w:sz w:val="24"/>
          <w:szCs w:val="24"/>
        </w:rPr>
        <w:t>NPV = +PS6.3m</w:t>
      </w:r>
    </w:p>
    <w:p w14:paraId="74A1FF5A" w14:textId="524136AD" w:rsidR="00CD4D3F" w:rsidRPr="00DF31F5" w:rsidRDefault="00CD4D3F" w:rsidP="00DF31F5">
      <w:pPr>
        <w:pStyle w:val="ListParagraph"/>
        <w:numPr>
          <w:ilvl w:val="0"/>
          <w:numId w:val="83"/>
        </w:numPr>
        <w:spacing w:line="360" w:lineRule="auto"/>
        <w:rPr>
          <w:rFonts w:ascii="Arial" w:hAnsi="Arial" w:cs="Arial"/>
          <w:sz w:val="24"/>
          <w:szCs w:val="24"/>
        </w:rPr>
      </w:pPr>
      <w:r w:rsidRPr="00DF31F5">
        <w:rPr>
          <w:rFonts w:ascii="Arial" w:hAnsi="Arial" w:cs="Arial"/>
          <w:sz w:val="24"/>
          <w:szCs w:val="24"/>
        </w:rPr>
        <w:lastRenderedPageBreak/>
        <w:t>IRR = 13% (&gt; hurdle rate)</w:t>
      </w:r>
    </w:p>
    <w:p w14:paraId="05CE25E5" w14:textId="6644F890" w:rsidR="00CD4D3F" w:rsidRPr="00DF31F5" w:rsidRDefault="00CD4D3F" w:rsidP="00DF31F5">
      <w:pPr>
        <w:pStyle w:val="ListParagraph"/>
        <w:numPr>
          <w:ilvl w:val="0"/>
          <w:numId w:val="83"/>
        </w:numPr>
        <w:spacing w:line="360" w:lineRule="auto"/>
        <w:rPr>
          <w:rFonts w:ascii="Arial" w:hAnsi="Arial" w:cs="Arial"/>
          <w:sz w:val="24"/>
          <w:szCs w:val="24"/>
        </w:rPr>
      </w:pPr>
      <w:r w:rsidRPr="00DF31F5">
        <w:rPr>
          <w:rFonts w:ascii="Arial" w:hAnsi="Arial" w:cs="Arial"/>
          <w:sz w:val="24"/>
          <w:szCs w:val="24"/>
        </w:rPr>
        <w:t>PI = 1.16</w:t>
      </w:r>
    </w:p>
    <w:p w14:paraId="509081F4" w14:textId="480FC5EF" w:rsidR="00CD4D3F" w:rsidRPr="00DF31F5" w:rsidRDefault="00CD4D3F" w:rsidP="00DF31F5">
      <w:pPr>
        <w:spacing w:line="360" w:lineRule="auto"/>
        <w:rPr>
          <w:rFonts w:ascii="Arial" w:hAnsi="Arial" w:cs="Arial"/>
          <w:sz w:val="24"/>
          <w:szCs w:val="24"/>
        </w:rPr>
      </w:pPr>
      <w:r w:rsidRPr="00DF31F5">
        <w:rPr>
          <w:rFonts w:ascii="Arial" w:hAnsi="Arial" w:cs="Arial"/>
          <w:sz w:val="24"/>
          <w:szCs w:val="24"/>
        </w:rPr>
        <w:t>Fastest payback (3.3 years)</w:t>
      </w:r>
    </w:p>
    <w:p w14:paraId="52D65D95" w14:textId="799EC121" w:rsidR="00CD4D3F" w:rsidRPr="00DF31F5" w:rsidRDefault="00CD4D3F" w:rsidP="00DF31F5">
      <w:pPr>
        <w:spacing w:line="360" w:lineRule="auto"/>
        <w:rPr>
          <w:rFonts w:ascii="Arial" w:hAnsi="Arial" w:cs="Arial"/>
          <w:sz w:val="24"/>
          <w:szCs w:val="24"/>
        </w:rPr>
      </w:pPr>
      <w:r w:rsidRPr="00DF31F5">
        <w:rPr>
          <w:rFonts w:ascii="Arial" w:hAnsi="Arial" w:cs="Arial"/>
          <w:sz w:val="24"/>
          <w:szCs w:val="24"/>
        </w:rPr>
        <w:t>Liquidity repair on short notice.</w:t>
      </w:r>
    </w:p>
    <w:p w14:paraId="04D10535" w14:textId="77777777" w:rsidR="00CD4D3F" w:rsidRPr="00DF31F5" w:rsidRDefault="00CD4D3F" w:rsidP="00DF31F5">
      <w:pPr>
        <w:spacing w:line="360" w:lineRule="auto"/>
        <w:rPr>
          <w:rFonts w:ascii="Arial" w:hAnsi="Arial" w:cs="Arial"/>
          <w:sz w:val="24"/>
          <w:szCs w:val="24"/>
        </w:rPr>
      </w:pPr>
      <w:r w:rsidRPr="00DF31F5">
        <w:rPr>
          <w:rFonts w:ascii="Arial" w:hAnsi="Arial" w:cs="Arial"/>
          <w:sz w:val="24"/>
          <w:szCs w:val="24"/>
        </w:rPr>
        <w:t>Project B annihilates value, yet it has ESG and employment advantages.</w:t>
      </w:r>
    </w:p>
    <w:p w14:paraId="61C18131" w14:textId="77777777" w:rsidR="00CD4D3F" w:rsidRPr="00DF31F5" w:rsidRDefault="00CD4D3F" w:rsidP="00DF31F5">
      <w:pPr>
        <w:spacing w:line="360" w:lineRule="auto"/>
        <w:rPr>
          <w:rFonts w:ascii="Arial" w:hAnsi="Arial" w:cs="Arial"/>
          <w:sz w:val="24"/>
          <w:szCs w:val="24"/>
        </w:rPr>
      </w:pPr>
      <w:r w:rsidRPr="00DF31F5">
        <w:rPr>
          <w:rFonts w:ascii="Arial" w:hAnsi="Arial" w:cs="Arial"/>
          <w:sz w:val="24"/>
          <w:szCs w:val="24"/>
        </w:rPr>
        <w:t>Only proceed with a downsized pilot.</w:t>
      </w:r>
    </w:p>
    <w:p w14:paraId="578624D1" w14:textId="77777777" w:rsidR="00CD4D3F" w:rsidRPr="00DF31F5" w:rsidRDefault="00CD4D3F" w:rsidP="00DF31F5">
      <w:pPr>
        <w:spacing w:line="360" w:lineRule="auto"/>
        <w:rPr>
          <w:rFonts w:ascii="Arial" w:hAnsi="Arial" w:cs="Arial"/>
          <w:sz w:val="24"/>
          <w:szCs w:val="24"/>
        </w:rPr>
      </w:pPr>
      <w:r w:rsidRPr="00DF31F5">
        <w:rPr>
          <w:rFonts w:ascii="Arial" w:hAnsi="Arial" w:cs="Arial"/>
          <w:sz w:val="24"/>
          <w:szCs w:val="24"/>
        </w:rPr>
        <w:t>Project C has the best NPV and PI but it has:</w:t>
      </w:r>
    </w:p>
    <w:p w14:paraId="503F54F8" w14:textId="3529F0F7" w:rsidR="00CD4D3F" w:rsidRPr="00DF31F5" w:rsidRDefault="00CD4D3F" w:rsidP="00DF31F5">
      <w:pPr>
        <w:pStyle w:val="ListParagraph"/>
        <w:numPr>
          <w:ilvl w:val="0"/>
          <w:numId w:val="82"/>
        </w:numPr>
        <w:spacing w:line="360" w:lineRule="auto"/>
        <w:rPr>
          <w:rFonts w:ascii="Arial" w:hAnsi="Arial" w:cs="Arial"/>
          <w:sz w:val="24"/>
          <w:szCs w:val="24"/>
        </w:rPr>
      </w:pPr>
      <w:r w:rsidRPr="00DF31F5">
        <w:rPr>
          <w:rFonts w:ascii="Arial" w:hAnsi="Arial" w:cs="Arial"/>
          <w:sz w:val="24"/>
          <w:szCs w:val="24"/>
        </w:rPr>
        <w:t>higher strategic risk</w:t>
      </w:r>
    </w:p>
    <w:p w14:paraId="28AB8F47" w14:textId="42A1727D" w:rsidR="00CD4D3F" w:rsidRPr="00DF31F5" w:rsidRDefault="00CD4D3F" w:rsidP="00DF31F5">
      <w:pPr>
        <w:pStyle w:val="ListParagraph"/>
        <w:numPr>
          <w:ilvl w:val="0"/>
          <w:numId w:val="82"/>
        </w:numPr>
        <w:spacing w:line="360" w:lineRule="auto"/>
        <w:rPr>
          <w:rFonts w:ascii="Arial" w:hAnsi="Arial" w:cs="Arial"/>
          <w:sz w:val="24"/>
          <w:szCs w:val="24"/>
        </w:rPr>
      </w:pPr>
      <w:r w:rsidRPr="00DF31F5">
        <w:rPr>
          <w:rFonts w:ascii="Arial" w:hAnsi="Arial" w:cs="Arial"/>
          <w:sz w:val="24"/>
          <w:szCs w:val="24"/>
        </w:rPr>
        <w:t>high upfront cost</w:t>
      </w:r>
    </w:p>
    <w:p w14:paraId="58A460D2" w14:textId="3A935CC8" w:rsidR="00CD4D3F" w:rsidRPr="00DF31F5" w:rsidRDefault="00CD4D3F" w:rsidP="00DF31F5">
      <w:pPr>
        <w:pStyle w:val="ListParagraph"/>
        <w:numPr>
          <w:ilvl w:val="0"/>
          <w:numId w:val="82"/>
        </w:numPr>
        <w:spacing w:line="360" w:lineRule="auto"/>
        <w:rPr>
          <w:rFonts w:ascii="Arial" w:hAnsi="Arial" w:cs="Arial"/>
          <w:sz w:val="24"/>
          <w:szCs w:val="24"/>
        </w:rPr>
      </w:pPr>
      <w:r w:rsidRPr="00DF31F5">
        <w:rPr>
          <w:rFonts w:ascii="Arial" w:hAnsi="Arial" w:cs="Arial"/>
          <w:sz w:val="24"/>
          <w:szCs w:val="24"/>
        </w:rPr>
        <w:t>volatile outcomes</w:t>
      </w:r>
    </w:p>
    <w:p w14:paraId="352343D0" w14:textId="77777777" w:rsidR="00CD4D3F" w:rsidRPr="00DF31F5" w:rsidRDefault="00CD4D3F" w:rsidP="00DF31F5">
      <w:pPr>
        <w:spacing w:line="360" w:lineRule="auto"/>
        <w:rPr>
          <w:rFonts w:ascii="Arial" w:hAnsi="Arial" w:cs="Arial"/>
          <w:sz w:val="24"/>
          <w:szCs w:val="24"/>
        </w:rPr>
      </w:pPr>
      <w:r w:rsidRPr="00DF31F5">
        <w:rPr>
          <w:rFonts w:ascii="Arial" w:hAnsi="Arial" w:cs="Arial"/>
          <w:sz w:val="24"/>
          <w:szCs w:val="24"/>
        </w:rPr>
        <w:t>Should not be planned or developed immediately in order to minimize financial risk of GE.</w:t>
      </w:r>
    </w:p>
    <w:p w14:paraId="3F01E3FB" w14:textId="3A8AB41D" w:rsidR="00CD4D3F" w:rsidRPr="00DF31F5" w:rsidRDefault="00CD4D3F" w:rsidP="00DF31F5">
      <w:pPr>
        <w:spacing w:line="360" w:lineRule="auto"/>
        <w:rPr>
          <w:rFonts w:ascii="Arial" w:hAnsi="Arial" w:cs="Arial"/>
          <w:sz w:val="24"/>
          <w:szCs w:val="24"/>
        </w:rPr>
      </w:pPr>
      <w:r w:rsidRPr="00DF31F5">
        <w:rPr>
          <w:rFonts w:ascii="Arial" w:hAnsi="Arial" w:cs="Arial"/>
          <w:sz w:val="24"/>
          <w:szCs w:val="24"/>
        </w:rPr>
        <w:t>Overall Recommendation</w:t>
      </w:r>
      <w:r w:rsidRPr="00DF31F5">
        <w:rPr>
          <w:rFonts w:ascii="Arial" w:hAnsi="Arial" w:cs="Arial"/>
          <w:sz w:val="24"/>
          <w:szCs w:val="24"/>
        </w:rPr>
        <w:t xml:space="preserve">: </w:t>
      </w:r>
      <w:r w:rsidRPr="00DF31F5">
        <w:rPr>
          <w:rFonts w:ascii="Arial" w:hAnsi="Arial" w:cs="Arial"/>
          <w:sz w:val="24"/>
          <w:szCs w:val="24"/>
        </w:rPr>
        <w:t>GE needs to focus on Project A with a potential pilot Project B and postpone or collaborate on Project C. Such a combination will maximise liquidity, retain stakeholder confidence, and make GE digitally competitive in the long term when its balance sheet becomes stronger.</w:t>
      </w:r>
    </w:p>
    <w:p w14:paraId="2D0889AF" w14:textId="77777777" w:rsidR="004D2834" w:rsidRPr="00DF31F5" w:rsidRDefault="004D2834" w:rsidP="00DF31F5">
      <w:pPr>
        <w:spacing w:line="360" w:lineRule="auto"/>
        <w:rPr>
          <w:rFonts w:ascii="Arial" w:hAnsi="Arial" w:cs="Arial"/>
          <w:sz w:val="24"/>
          <w:szCs w:val="24"/>
        </w:rPr>
      </w:pPr>
    </w:p>
    <w:p w14:paraId="0B23571C" w14:textId="487AE0A2"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6.0 Conclusion</w:t>
      </w:r>
    </w:p>
    <w:p w14:paraId="0134584A" w14:textId="77777777" w:rsidR="00CD4D3F" w:rsidRPr="00DF31F5" w:rsidRDefault="00CD4D3F" w:rsidP="00DF31F5">
      <w:pPr>
        <w:spacing w:line="360" w:lineRule="auto"/>
        <w:rPr>
          <w:rFonts w:ascii="Arial" w:hAnsi="Arial" w:cs="Arial"/>
          <w:bCs/>
          <w:sz w:val="24"/>
          <w:szCs w:val="24"/>
        </w:rPr>
      </w:pPr>
      <w:r w:rsidRPr="00DF31F5">
        <w:rPr>
          <w:rFonts w:ascii="Arial" w:hAnsi="Arial" w:cs="Arial"/>
          <w:bCs/>
          <w:sz w:val="24"/>
          <w:szCs w:val="24"/>
        </w:rPr>
        <w:t>The current performance of GE is indicative of a company that is financially struggling yet has some real potential to mend. The basics for which it is not a bad-year company, as shown by the resilient gross margins in most years and indicative positive operating cash flow in 2024, suggest that the engine of the company remains functional. Shortening the working-capital cycle, rebalancing the capital structure, and focusing the limited capital on what will pay back within a short time and help strengthen the core franchise are the pressing issues.</w:t>
      </w:r>
    </w:p>
    <w:p w14:paraId="502BC548" w14:textId="77777777" w:rsidR="00CD4D3F" w:rsidRPr="00DF31F5" w:rsidRDefault="00CD4D3F" w:rsidP="00DF31F5">
      <w:pPr>
        <w:spacing w:line="360" w:lineRule="auto"/>
        <w:rPr>
          <w:rFonts w:ascii="Arial" w:hAnsi="Arial" w:cs="Arial"/>
          <w:bCs/>
          <w:sz w:val="24"/>
          <w:szCs w:val="24"/>
        </w:rPr>
      </w:pPr>
      <w:r w:rsidRPr="00DF31F5">
        <w:rPr>
          <w:rFonts w:ascii="Arial" w:hAnsi="Arial" w:cs="Arial"/>
          <w:bCs/>
          <w:sz w:val="24"/>
          <w:szCs w:val="24"/>
        </w:rPr>
        <w:t>The suggested turnaround is anchored on four pillars which complement each other:</w:t>
      </w:r>
    </w:p>
    <w:p w14:paraId="3A3C300D" w14:textId="77777777" w:rsidR="00CD4D3F" w:rsidRPr="00DF31F5" w:rsidRDefault="00CD4D3F" w:rsidP="00DF31F5">
      <w:pPr>
        <w:spacing w:line="360" w:lineRule="auto"/>
        <w:rPr>
          <w:rFonts w:ascii="Arial" w:hAnsi="Arial" w:cs="Arial"/>
          <w:bCs/>
          <w:sz w:val="24"/>
          <w:szCs w:val="24"/>
        </w:rPr>
      </w:pPr>
      <w:r w:rsidRPr="00DF31F5">
        <w:rPr>
          <w:rFonts w:ascii="Arial" w:hAnsi="Arial" w:cs="Arial"/>
          <w:bCs/>
          <w:sz w:val="24"/>
          <w:szCs w:val="24"/>
        </w:rPr>
        <w:lastRenderedPageBreak/>
        <w:t>Working-capital reform: reduce DSO, DIO, use supply chain finance wisely, and establish 13-week cash projections. A 25-30 days CCC cut can open PS25-30bn to-key debt service and strategic flexibility.</w:t>
      </w:r>
    </w:p>
    <w:p w14:paraId="320C404F" w14:textId="77777777" w:rsidR="00CD4D3F" w:rsidRPr="00DF31F5" w:rsidRDefault="00CD4D3F" w:rsidP="00DF31F5">
      <w:pPr>
        <w:spacing w:line="360" w:lineRule="auto"/>
        <w:rPr>
          <w:rFonts w:ascii="Arial" w:hAnsi="Arial" w:cs="Arial"/>
          <w:bCs/>
          <w:sz w:val="24"/>
          <w:szCs w:val="24"/>
        </w:rPr>
      </w:pPr>
      <w:r w:rsidRPr="00DF31F5">
        <w:rPr>
          <w:rFonts w:ascii="Arial" w:hAnsi="Arial" w:cs="Arial"/>
          <w:bCs/>
          <w:sz w:val="24"/>
          <w:szCs w:val="24"/>
        </w:rPr>
        <w:t>Capital structure re-set: re-pricing, buy coupon relief after achievement of milestone, convert part of debt to equity and do a rights issue at the right time to lower WACC and restore resilience.</w:t>
      </w:r>
    </w:p>
    <w:p w14:paraId="1B0BEB85" w14:textId="77777777" w:rsidR="00CD4D3F" w:rsidRPr="00DF31F5" w:rsidRDefault="00CD4D3F" w:rsidP="00DF31F5">
      <w:pPr>
        <w:spacing w:line="360" w:lineRule="auto"/>
        <w:rPr>
          <w:rFonts w:ascii="Arial" w:hAnsi="Arial" w:cs="Arial"/>
          <w:bCs/>
          <w:sz w:val="24"/>
          <w:szCs w:val="24"/>
        </w:rPr>
      </w:pPr>
      <w:r w:rsidRPr="00DF31F5">
        <w:rPr>
          <w:rFonts w:ascii="Arial" w:hAnsi="Arial" w:cs="Arial"/>
          <w:bCs/>
          <w:sz w:val="24"/>
          <w:szCs w:val="24"/>
        </w:rPr>
        <w:t>Discipline Portfolio Dispose of non-core and low-return businesses to increase PS15-20bn; selectively reinvest in related goods and services, renewable-related elements, and digital services; collaborate where speed and risk sharing is beneficial.</w:t>
      </w:r>
    </w:p>
    <w:p w14:paraId="33571878" w14:textId="77777777" w:rsidR="00CD4D3F" w:rsidRPr="00DF31F5" w:rsidRDefault="00CD4D3F" w:rsidP="00DF31F5">
      <w:pPr>
        <w:spacing w:line="360" w:lineRule="auto"/>
        <w:rPr>
          <w:rFonts w:ascii="Arial" w:hAnsi="Arial" w:cs="Arial"/>
          <w:bCs/>
          <w:sz w:val="24"/>
          <w:szCs w:val="24"/>
        </w:rPr>
      </w:pPr>
      <w:r w:rsidRPr="00DF31F5">
        <w:rPr>
          <w:rFonts w:ascii="Arial" w:hAnsi="Arial" w:cs="Arial"/>
          <w:bCs/>
          <w:sz w:val="24"/>
          <w:szCs w:val="24"/>
        </w:rPr>
        <w:t>The responsibility based on ethical and ESG governance: invest on reskilling and conscientious supply chains, maintain open tax behavior, and inculcate energy effectiveness and circularity in capital distribution. This will ensure support of the stakeholders and minimise the risk in the long run.</w:t>
      </w:r>
    </w:p>
    <w:p w14:paraId="2F52948D" w14:textId="77777777" w:rsidR="00CD4D3F" w:rsidRPr="00DF31F5" w:rsidRDefault="00CD4D3F" w:rsidP="00DF31F5">
      <w:pPr>
        <w:spacing w:line="360" w:lineRule="auto"/>
        <w:rPr>
          <w:rFonts w:ascii="Arial" w:hAnsi="Arial" w:cs="Arial"/>
          <w:bCs/>
          <w:sz w:val="24"/>
          <w:szCs w:val="24"/>
        </w:rPr>
      </w:pPr>
      <w:r w:rsidRPr="00DF31F5">
        <w:rPr>
          <w:rFonts w:ascii="Arial" w:hAnsi="Arial" w:cs="Arial"/>
          <w:bCs/>
          <w:sz w:val="24"/>
          <w:szCs w:val="24"/>
        </w:rPr>
        <w:t>Unless implemented with a sense of urgency and in a transparent manner reinforced by measurably visible milestones and a rigorous cash management program, GE can reasonably expect to regain ROE in excess of 8 percent and reduce the debt ratio to less than 0.9 in three years. The future requires unswerving attention to cash, plausible dialogue with stakeholders and rational risk taking in the investment-turning GE out of survival mode to more focused, platform-enabled rise path in an intensely competitive electronic business environment worldwide.</w:t>
      </w:r>
    </w:p>
    <w:p w14:paraId="4C079043" w14:textId="77777777" w:rsidR="00CD4D3F" w:rsidRPr="00DF31F5" w:rsidRDefault="00CD4D3F" w:rsidP="00DF31F5">
      <w:pPr>
        <w:spacing w:line="360" w:lineRule="auto"/>
        <w:rPr>
          <w:rFonts w:ascii="Arial" w:hAnsi="Arial" w:cs="Arial"/>
          <w:b/>
          <w:bCs/>
          <w:sz w:val="24"/>
          <w:szCs w:val="24"/>
        </w:rPr>
      </w:pPr>
    </w:p>
    <w:p w14:paraId="10E10A59" w14:textId="77777777" w:rsidR="00CD4D3F" w:rsidRPr="00DF31F5" w:rsidRDefault="00CD4D3F" w:rsidP="00DF31F5">
      <w:pPr>
        <w:spacing w:line="360" w:lineRule="auto"/>
        <w:rPr>
          <w:rFonts w:ascii="Arial" w:hAnsi="Arial" w:cs="Arial"/>
          <w:b/>
          <w:bCs/>
          <w:sz w:val="24"/>
          <w:szCs w:val="24"/>
        </w:rPr>
      </w:pPr>
    </w:p>
    <w:p w14:paraId="106FCF7D" w14:textId="59363D78" w:rsidR="004D2834" w:rsidRPr="00DF31F5" w:rsidRDefault="004D2834" w:rsidP="00DF31F5">
      <w:pPr>
        <w:spacing w:line="360" w:lineRule="auto"/>
        <w:rPr>
          <w:rFonts w:ascii="Arial" w:hAnsi="Arial" w:cs="Arial"/>
          <w:b/>
          <w:bCs/>
          <w:sz w:val="24"/>
          <w:szCs w:val="24"/>
        </w:rPr>
      </w:pPr>
      <w:r w:rsidRPr="00DF31F5">
        <w:rPr>
          <w:rFonts w:ascii="Arial" w:hAnsi="Arial" w:cs="Arial"/>
          <w:b/>
          <w:bCs/>
          <w:sz w:val="24"/>
          <w:szCs w:val="24"/>
        </w:rPr>
        <w:t>References</w:t>
      </w:r>
    </w:p>
    <w:p w14:paraId="2C77B2E5"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Accenture (2024) AI in Demand Forecasting: From Prediction to Prescription. Accenture Research.</w:t>
      </w:r>
    </w:p>
    <w:p w14:paraId="0716D5C9"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Altman, E.I. (1968) Financial Ratios, Discriminant Analysis and the Prediction of Corporate Bankruptcy. The Journal of Finance, 23(4), pp.589–609.</w:t>
      </w:r>
    </w:p>
    <w:p w14:paraId="1214244A"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Altman, E.I. &amp; Hotchkiss, E. (2020) Corporate Financial Distress and Bankruptcy. 4th ed. Wiley.</w:t>
      </w:r>
    </w:p>
    <w:p w14:paraId="29C0DB10"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lastRenderedPageBreak/>
        <w:t>Arnold, G. (2021) Corporate Financial Management. 6th ed. Pearson.</w:t>
      </w:r>
    </w:p>
    <w:p w14:paraId="66A0C6C8"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Atrill, P. &amp; McLaney, E. (2022) Accounting and Finance for Non-Specialists. 12th ed. Pearson.</w:t>
      </w:r>
    </w:p>
    <w:p w14:paraId="40F6DBEB"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BCG (2023) Global Consumer Electronics: Resetting for Growth. Boston Consulting Group.</w:t>
      </w:r>
    </w:p>
    <w:p w14:paraId="595FAA79"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Bloomberg (2024) Electronics Sector Profitability Analysis. Bloomberg Intelligence, June.</w:t>
      </w:r>
    </w:p>
    <w:p w14:paraId="461BD792"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Brigham, E.F. &amp; Ehrhardt, M.C. (2022) Financial Management: Theory and Practice. 17th ed. Cengage.</w:t>
      </w:r>
    </w:p>
    <w:p w14:paraId="3529E04B"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Carroll, A.B. (2016) Corporate Social Responsibility: Evolution of a Definitional Construct. Business &amp; Society, 38(3), pp.268–295.</w:t>
      </w:r>
    </w:p>
    <w:p w14:paraId="228E7870"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CFI (2023) Altman Z-Score Model Overview. Corporate Finance Institute.</w:t>
      </w:r>
    </w:p>
    <w:p w14:paraId="4EAF1656"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Christopher, M. (2016) Logistics and Supply Chain Management. 5th ed. Pearson.</w:t>
      </w:r>
    </w:p>
    <w:p w14:paraId="2DF8BD2E"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Deloitte (2023) Working Capital Management Survey. Deloitte Insights.</w:t>
      </w:r>
    </w:p>
    <w:p w14:paraId="3A7E62AE"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EY (2024) Capital Structure and Financing Trends. EY Global Research.</w:t>
      </w:r>
    </w:p>
    <w:p w14:paraId="1D9C864E"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Financial Times (2024) Electronics Makers Grapple with Supply Chain Disruptions. FT, March.</w:t>
      </w:r>
    </w:p>
    <w:p w14:paraId="18D910B1"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Gitman, L.J. &amp; Zutter, C.J. (2019) Principles of Managerial Finance. 15th ed. Pearson.</w:t>
      </w:r>
    </w:p>
    <w:p w14:paraId="5A620C2C"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Grant Thornton (2023) 13-Week Cash Flow Forecasting Best Practices. Grant Thornton Insights.</w:t>
      </w:r>
    </w:p>
    <w:p w14:paraId="7E79E4D3"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IMF (2024) Global Financial Stability Report. International Monetary Fund.</w:t>
      </w:r>
    </w:p>
    <w:p w14:paraId="254C61A0"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Investopedia (2024) Liquidity Ratios Explained. Investopedia Online.</w:t>
      </w:r>
    </w:p>
    <w:p w14:paraId="7E49EB0C"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KPMG (2023) Operational Efficiency in Manufacturing. KPMG Insights.</w:t>
      </w:r>
    </w:p>
    <w:p w14:paraId="74CB26D7"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McKinsey &amp; Company (2024) Reinventing the Electronics Industry. McKinsey Global Institute.</w:t>
      </w:r>
    </w:p>
    <w:p w14:paraId="309DED22"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lastRenderedPageBreak/>
        <w:t>Modigliani, F. &amp; Miller, M.H. (1963) Corporate Income Taxes and the Cost of Capital: A Correction. The American Economic Review, 53(3), pp.433–443.</w:t>
      </w:r>
    </w:p>
    <w:p w14:paraId="359F01E7"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OECD (2023) Corporate Restructuring Practices. OECD Policy Paper.</w:t>
      </w:r>
    </w:p>
    <w:p w14:paraId="3018B883"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Pike, R. &amp; Neale, B. (2021) Corporate Finance and Investment: Decisions and Strategies. 9th ed. Pearson.</w:t>
      </w:r>
    </w:p>
    <w:p w14:paraId="3F6B38E8"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PwC (2024) Global Consumer Electronics Outlook. PwC Strategy&amp;.</w:t>
      </w:r>
    </w:p>
    <w:p w14:paraId="0F72E26B"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Reuters (2024) Electronics Firms Face Margin Squeeze amid Inflation. Reuters Business.</w:t>
      </w:r>
    </w:p>
    <w:p w14:paraId="4564D6F2"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UN Global Compact (2023) Sustainable Corporate Finance Principles. UNGC Publication.</w:t>
      </w:r>
    </w:p>
    <w:p w14:paraId="4896E4F8" w14:textId="77777777" w:rsidR="004D2834" w:rsidRPr="00DF31F5" w:rsidRDefault="004D2834" w:rsidP="00DF31F5">
      <w:pPr>
        <w:spacing w:line="360" w:lineRule="auto"/>
        <w:rPr>
          <w:rFonts w:ascii="Arial" w:hAnsi="Arial" w:cs="Arial"/>
          <w:sz w:val="24"/>
          <w:szCs w:val="24"/>
        </w:rPr>
      </w:pPr>
      <w:r w:rsidRPr="00DF31F5">
        <w:rPr>
          <w:rFonts w:ascii="Arial" w:hAnsi="Arial" w:cs="Arial"/>
          <w:sz w:val="24"/>
          <w:szCs w:val="24"/>
        </w:rPr>
        <w:t>World Bank (2024) Global Economic Prospects. Washington, DC.</w:t>
      </w:r>
    </w:p>
    <w:p w14:paraId="57653768" w14:textId="77777777" w:rsidR="002A5174" w:rsidRPr="00DF31F5" w:rsidRDefault="002A5174" w:rsidP="00DF31F5">
      <w:pPr>
        <w:spacing w:line="360" w:lineRule="auto"/>
        <w:rPr>
          <w:rFonts w:ascii="Arial" w:hAnsi="Arial" w:cs="Arial"/>
          <w:sz w:val="24"/>
          <w:szCs w:val="24"/>
        </w:rPr>
      </w:pPr>
    </w:p>
    <w:sectPr w:rsidR="002A5174" w:rsidRPr="00DF31F5" w:rsidSect="00954CC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39581" w14:textId="77777777" w:rsidR="0006175E" w:rsidRDefault="0006175E" w:rsidP="00DF31F5">
      <w:pPr>
        <w:spacing w:after="0" w:line="240" w:lineRule="auto"/>
      </w:pPr>
      <w:r>
        <w:separator/>
      </w:r>
    </w:p>
  </w:endnote>
  <w:endnote w:type="continuationSeparator" w:id="0">
    <w:p w14:paraId="60AAA898" w14:textId="77777777" w:rsidR="0006175E" w:rsidRDefault="0006175E" w:rsidP="00DF3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8511969"/>
      <w:docPartObj>
        <w:docPartGallery w:val="Page Numbers (Bottom of Page)"/>
        <w:docPartUnique/>
      </w:docPartObj>
    </w:sdtPr>
    <w:sdtEndPr>
      <w:rPr>
        <w:noProof/>
      </w:rPr>
    </w:sdtEndPr>
    <w:sdtContent>
      <w:p w14:paraId="02788658" w14:textId="06327AB0" w:rsidR="00DF31F5" w:rsidRDefault="00DF31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6A18A4" w14:textId="77777777" w:rsidR="00DF31F5" w:rsidRDefault="00DF3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F8197" w14:textId="77777777" w:rsidR="0006175E" w:rsidRDefault="0006175E" w:rsidP="00DF31F5">
      <w:pPr>
        <w:spacing w:after="0" w:line="240" w:lineRule="auto"/>
      </w:pPr>
      <w:r>
        <w:separator/>
      </w:r>
    </w:p>
  </w:footnote>
  <w:footnote w:type="continuationSeparator" w:id="0">
    <w:p w14:paraId="66ADE15A" w14:textId="77777777" w:rsidR="0006175E" w:rsidRDefault="0006175E" w:rsidP="00DF31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39F9"/>
    <w:multiLevelType w:val="hybridMultilevel"/>
    <w:tmpl w:val="7F4C2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21739"/>
    <w:multiLevelType w:val="multilevel"/>
    <w:tmpl w:val="5430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13503"/>
    <w:multiLevelType w:val="multilevel"/>
    <w:tmpl w:val="0676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533737"/>
    <w:multiLevelType w:val="multilevel"/>
    <w:tmpl w:val="11FA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710824"/>
    <w:multiLevelType w:val="multilevel"/>
    <w:tmpl w:val="FB62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B60BF9"/>
    <w:multiLevelType w:val="multilevel"/>
    <w:tmpl w:val="EC8E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C957D0"/>
    <w:multiLevelType w:val="multilevel"/>
    <w:tmpl w:val="11AC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2E3C0C"/>
    <w:multiLevelType w:val="hybridMultilevel"/>
    <w:tmpl w:val="C6F8B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55014"/>
    <w:multiLevelType w:val="multilevel"/>
    <w:tmpl w:val="CDAA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537325"/>
    <w:multiLevelType w:val="multilevel"/>
    <w:tmpl w:val="5526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5D6961"/>
    <w:multiLevelType w:val="multilevel"/>
    <w:tmpl w:val="E4A8C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4A604D"/>
    <w:multiLevelType w:val="hybridMultilevel"/>
    <w:tmpl w:val="59429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BD130C"/>
    <w:multiLevelType w:val="hybridMultilevel"/>
    <w:tmpl w:val="CD048C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4708FD"/>
    <w:multiLevelType w:val="multilevel"/>
    <w:tmpl w:val="22B00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C5564D"/>
    <w:multiLevelType w:val="multilevel"/>
    <w:tmpl w:val="1E28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6A1478A"/>
    <w:multiLevelType w:val="multilevel"/>
    <w:tmpl w:val="88E6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BD51FA"/>
    <w:multiLevelType w:val="multilevel"/>
    <w:tmpl w:val="5D10C570"/>
    <w:lvl w:ilvl="0">
      <w:start w:val="1"/>
      <w:numFmt w:val="decimal"/>
      <w:lvlText w:val="%1."/>
      <w:lvlJc w:val="left"/>
      <w:pPr>
        <w:ind w:left="1440" w:hanging="360"/>
      </w:pPr>
    </w:lvl>
    <w:lvl w:ilv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7" w15:restartNumberingAfterBreak="0">
    <w:nsid w:val="19BB534F"/>
    <w:multiLevelType w:val="multilevel"/>
    <w:tmpl w:val="AE5A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C264BC"/>
    <w:multiLevelType w:val="multilevel"/>
    <w:tmpl w:val="B188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577074B"/>
    <w:multiLevelType w:val="multilevel"/>
    <w:tmpl w:val="786EB382"/>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296986"/>
    <w:multiLevelType w:val="multilevel"/>
    <w:tmpl w:val="786EB382"/>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6F6C84"/>
    <w:multiLevelType w:val="multilevel"/>
    <w:tmpl w:val="A7D2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8947AB9"/>
    <w:multiLevelType w:val="multilevel"/>
    <w:tmpl w:val="D9EC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844A4E"/>
    <w:multiLevelType w:val="multilevel"/>
    <w:tmpl w:val="95601B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935D2E"/>
    <w:multiLevelType w:val="multilevel"/>
    <w:tmpl w:val="061A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9E7F86"/>
    <w:multiLevelType w:val="multilevel"/>
    <w:tmpl w:val="3C8AE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1D7D24"/>
    <w:multiLevelType w:val="multilevel"/>
    <w:tmpl w:val="328E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F0B6CE2"/>
    <w:multiLevelType w:val="multilevel"/>
    <w:tmpl w:val="BE64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2505B24"/>
    <w:multiLevelType w:val="multilevel"/>
    <w:tmpl w:val="5E70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0B3228"/>
    <w:multiLevelType w:val="multilevel"/>
    <w:tmpl w:val="BBEC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2B2977"/>
    <w:multiLevelType w:val="multilevel"/>
    <w:tmpl w:val="DD88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9372E16"/>
    <w:multiLevelType w:val="multilevel"/>
    <w:tmpl w:val="66E27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7D1ED0"/>
    <w:multiLevelType w:val="multilevel"/>
    <w:tmpl w:val="7C54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5C785F"/>
    <w:multiLevelType w:val="multilevel"/>
    <w:tmpl w:val="66EA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D7D2220"/>
    <w:multiLevelType w:val="multilevel"/>
    <w:tmpl w:val="CF4C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E48199A"/>
    <w:multiLevelType w:val="multilevel"/>
    <w:tmpl w:val="DBFA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A27F18"/>
    <w:multiLevelType w:val="multilevel"/>
    <w:tmpl w:val="30BAD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DE02ED"/>
    <w:multiLevelType w:val="multilevel"/>
    <w:tmpl w:val="B7A6D1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44262EA"/>
    <w:multiLevelType w:val="multilevel"/>
    <w:tmpl w:val="786EB382"/>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451269A"/>
    <w:multiLevelType w:val="hybridMultilevel"/>
    <w:tmpl w:val="4FB8B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133E25"/>
    <w:multiLevelType w:val="multilevel"/>
    <w:tmpl w:val="8F869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160F99"/>
    <w:multiLevelType w:val="multilevel"/>
    <w:tmpl w:val="47D2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4762C6"/>
    <w:multiLevelType w:val="multilevel"/>
    <w:tmpl w:val="786EB382"/>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7C2DFA"/>
    <w:multiLevelType w:val="hybridMultilevel"/>
    <w:tmpl w:val="00C0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EB4301"/>
    <w:multiLevelType w:val="hybridMultilevel"/>
    <w:tmpl w:val="8B06EA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CD5529"/>
    <w:multiLevelType w:val="multilevel"/>
    <w:tmpl w:val="B7E8A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C0F1030"/>
    <w:multiLevelType w:val="multilevel"/>
    <w:tmpl w:val="8DE6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9C2E0B"/>
    <w:multiLevelType w:val="multilevel"/>
    <w:tmpl w:val="1E2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E0A2589"/>
    <w:multiLevelType w:val="multilevel"/>
    <w:tmpl w:val="8798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ED50007"/>
    <w:multiLevelType w:val="multilevel"/>
    <w:tmpl w:val="6266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F581845"/>
    <w:multiLevelType w:val="hybridMultilevel"/>
    <w:tmpl w:val="AD2AA1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FF243C4"/>
    <w:multiLevelType w:val="multilevel"/>
    <w:tmpl w:val="01F2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85137B"/>
    <w:multiLevelType w:val="multilevel"/>
    <w:tmpl w:val="F08E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6D6161A"/>
    <w:multiLevelType w:val="multilevel"/>
    <w:tmpl w:val="30DA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6FE111C"/>
    <w:multiLevelType w:val="multilevel"/>
    <w:tmpl w:val="2C621C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BBF796F"/>
    <w:multiLevelType w:val="multilevel"/>
    <w:tmpl w:val="AF642F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C894F1C"/>
    <w:multiLevelType w:val="multilevel"/>
    <w:tmpl w:val="786EB382"/>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CB12D16"/>
    <w:multiLevelType w:val="multilevel"/>
    <w:tmpl w:val="DAA20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D4E4A08"/>
    <w:multiLevelType w:val="multilevel"/>
    <w:tmpl w:val="D356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914AF8"/>
    <w:multiLevelType w:val="multilevel"/>
    <w:tmpl w:val="A868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0F27297"/>
    <w:multiLevelType w:val="hybridMultilevel"/>
    <w:tmpl w:val="96549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252921"/>
    <w:multiLevelType w:val="multilevel"/>
    <w:tmpl w:val="1472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346ADC"/>
    <w:multiLevelType w:val="multilevel"/>
    <w:tmpl w:val="7750B74E"/>
    <w:lvl w:ilvl="0">
      <w:start w:val="1"/>
      <w:numFmt w:val="decimal"/>
      <w:lvlText w:val="%1."/>
      <w:lvlJc w:val="left"/>
      <w:pPr>
        <w:tabs>
          <w:tab w:val="num" w:pos="720"/>
        </w:tabs>
        <w:ind w:left="720" w:hanging="360"/>
      </w:pPr>
      <w:rPr>
        <w:rFonts w:hint="default"/>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1158E6"/>
    <w:multiLevelType w:val="multilevel"/>
    <w:tmpl w:val="677C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214E49"/>
    <w:multiLevelType w:val="multilevel"/>
    <w:tmpl w:val="5D10C570"/>
    <w:lvl w:ilvl="0">
      <w:start w:val="1"/>
      <w:numFmt w:val="decimal"/>
      <w:lvlText w:val="%1."/>
      <w:lvlJc w:val="left"/>
      <w:pPr>
        <w:ind w:left="1440" w:hanging="360"/>
      </w:pPr>
    </w:lvl>
    <w:lvl w:ilv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65" w15:restartNumberingAfterBreak="0">
    <w:nsid w:val="6A4944DA"/>
    <w:multiLevelType w:val="multilevel"/>
    <w:tmpl w:val="3092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55391B"/>
    <w:multiLevelType w:val="multilevel"/>
    <w:tmpl w:val="F092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C8A3ECB"/>
    <w:multiLevelType w:val="multilevel"/>
    <w:tmpl w:val="62BA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EF16CAE"/>
    <w:multiLevelType w:val="hybridMultilevel"/>
    <w:tmpl w:val="5F748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0523A40"/>
    <w:multiLevelType w:val="multilevel"/>
    <w:tmpl w:val="786EB382"/>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2656A1F"/>
    <w:multiLevelType w:val="multilevel"/>
    <w:tmpl w:val="DB9C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741A61"/>
    <w:multiLevelType w:val="multilevel"/>
    <w:tmpl w:val="4848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3181E0D"/>
    <w:multiLevelType w:val="multilevel"/>
    <w:tmpl w:val="37B8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7391AD2"/>
    <w:multiLevelType w:val="multilevel"/>
    <w:tmpl w:val="653E8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88B4B19"/>
    <w:multiLevelType w:val="hybridMultilevel"/>
    <w:tmpl w:val="A6F6C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890703D"/>
    <w:multiLevelType w:val="multilevel"/>
    <w:tmpl w:val="640CA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A1A03BC"/>
    <w:multiLevelType w:val="multilevel"/>
    <w:tmpl w:val="CA64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A75250B"/>
    <w:multiLevelType w:val="multilevel"/>
    <w:tmpl w:val="801E8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AB41DF4"/>
    <w:multiLevelType w:val="multilevel"/>
    <w:tmpl w:val="945C1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B3C7C9F"/>
    <w:multiLevelType w:val="multilevel"/>
    <w:tmpl w:val="445AA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BDD2427"/>
    <w:multiLevelType w:val="multilevel"/>
    <w:tmpl w:val="652C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C2B640E"/>
    <w:multiLevelType w:val="multilevel"/>
    <w:tmpl w:val="98848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E8B73FF"/>
    <w:multiLevelType w:val="multilevel"/>
    <w:tmpl w:val="786EB382"/>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E8E641F"/>
    <w:multiLevelType w:val="multilevel"/>
    <w:tmpl w:val="7ADE1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1280678">
    <w:abstractNumId w:val="75"/>
  </w:num>
  <w:num w:numId="2" w16cid:durableId="1526794335">
    <w:abstractNumId w:val="55"/>
  </w:num>
  <w:num w:numId="3" w16cid:durableId="1449815717">
    <w:abstractNumId w:val="72"/>
  </w:num>
  <w:num w:numId="4" w16cid:durableId="1240139264">
    <w:abstractNumId w:val="10"/>
  </w:num>
  <w:num w:numId="5" w16cid:durableId="1895695746">
    <w:abstractNumId w:val="53"/>
  </w:num>
  <w:num w:numId="6" w16cid:durableId="482817553">
    <w:abstractNumId w:val="26"/>
  </w:num>
  <w:num w:numId="7" w16cid:durableId="1689066121">
    <w:abstractNumId w:val="71"/>
  </w:num>
  <w:num w:numId="8" w16cid:durableId="892691054">
    <w:abstractNumId w:val="21"/>
  </w:num>
  <w:num w:numId="9" w16cid:durableId="2442091">
    <w:abstractNumId w:val="67"/>
  </w:num>
  <w:num w:numId="10" w16cid:durableId="437526646">
    <w:abstractNumId w:val="27"/>
  </w:num>
  <w:num w:numId="11" w16cid:durableId="436557426">
    <w:abstractNumId w:val="79"/>
  </w:num>
  <w:num w:numId="12" w16cid:durableId="64880985">
    <w:abstractNumId w:val="24"/>
  </w:num>
  <w:num w:numId="13" w16cid:durableId="1323120948">
    <w:abstractNumId w:val="54"/>
  </w:num>
  <w:num w:numId="14" w16cid:durableId="1844199099">
    <w:abstractNumId w:val="57"/>
  </w:num>
  <w:num w:numId="15" w16cid:durableId="1832869369">
    <w:abstractNumId w:val="45"/>
  </w:num>
  <w:num w:numId="16" w16cid:durableId="150604716">
    <w:abstractNumId w:val="66"/>
  </w:num>
  <w:num w:numId="17" w16cid:durableId="1938251575">
    <w:abstractNumId w:val="4"/>
  </w:num>
  <w:num w:numId="18" w16cid:durableId="95516003">
    <w:abstractNumId w:val="3"/>
  </w:num>
  <w:num w:numId="19" w16cid:durableId="1669096636">
    <w:abstractNumId w:val="23"/>
  </w:num>
  <w:num w:numId="20" w16cid:durableId="524487440">
    <w:abstractNumId w:val="59"/>
  </w:num>
  <w:num w:numId="21" w16cid:durableId="578830473">
    <w:abstractNumId w:val="17"/>
  </w:num>
  <w:num w:numId="22" w16cid:durableId="1474978412">
    <w:abstractNumId w:val="8"/>
  </w:num>
  <w:num w:numId="23" w16cid:durableId="1364866014">
    <w:abstractNumId w:val="14"/>
  </w:num>
  <w:num w:numId="24" w16cid:durableId="1772168518">
    <w:abstractNumId w:val="81"/>
  </w:num>
  <w:num w:numId="25" w16cid:durableId="1059014320">
    <w:abstractNumId w:val="18"/>
  </w:num>
  <w:num w:numId="26" w16cid:durableId="611979079">
    <w:abstractNumId w:val="6"/>
  </w:num>
  <w:num w:numId="27" w16cid:durableId="1597861257">
    <w:abstractNumId w:val="48"/>
  </w:num>
  <w:num w:numId="28" w16cid:durableId="139418784">
    <w:abstractNumId w:val="2"/>
  </w:num>
  <w:num w:numId="29" w16cid:durableId="1089548729">
    <w:abstractNumId w:val="37"/>
  </w:num>
  <w:num w:numId="30" w16cid:durableId="2028211682">
    <w:abstractNumId w:val="76"/>
  </w:num>
  <w:num w:numId="31" w16cid:durableId="2138525247">
    <w:abstractNumId w:val="30"/>
  </w:num>
  <w:num w:numId="32" w16cid:durableId="356926256">
    <w:abstractNumId w:val="52"/>
  </w:num>
  <w:num w:numId="33" w16cid:durableId="1876771233">
    <w:abstractNumId w:val="47"/>
  </w:num>
  <w:num w:numId="34" w16cid:durableId="458425395">
    <w:abstractNumId w:val="78"/>
  </w:num>
  <w:num w:numId="35" w16cid:durableId="427194414">
    <w:abstractNumId w:val="33"/>
  </w:num>
  <w:num w:numId="36" w16cid:durableId="1535078726">
    <w:abstractNumId w:val="34"/>
  </w:num>
  <w:num w:numId="37" w16cid:durableId="980698279">
    <w:abstractNumId w:val="49"/>
  </w:num>
  <w:num w:numId="38" w16cid:durableId="705452918">
    <w:abstractNumId w:val="77"/>
  </w:num>
  <w:num w:numId="39" w16cid:durableId="1852452861">
    <w:abstractNumId w:val="1"/>
  </w:num>
  <w:num w:numId="40" w16cid:durableId="2078286717">
    <w:abstractNumId w:val="22"/>
  </w:num>
  <w:num w:numId="41" w16cid:durableId="1717852615">
    <w:abstractNumId w:val="51"/>
  </w:num>
  <w:num w:numId="42" w16cid:durableId="1133981369">
    <w:abstractNumId w:val="58"/>
  </w:num>
  <w:num w:numId="43" w16cid:durableId="1799836519">
    <w:abstractNumId w:val="35"/>
  </w:num>
  <w:num w:numId="44" w16cid:durableId="117644720">
    <w:abstractNumId w:val="46"/>
  </w:num>
  <w:num w:numId="45" w16cid:durableId="5716289">
    <w:abstractNumId w:val="9"/>
  </w:num>
  <w:num w:numId="46" w16cid:durableId="1508129735">
    <w:abstractNumId w:val="61"/>
  </w:num>
  <w:num w:numId="47" w16cid:durableId="1816218763">
    <w:abstractNumId w:val="5"/>
  </w:num>
  <w:num w:numId="48" w16cid:durableId="69237849">
    <w:abstractNumId w:val="40"/>
  </w:num>
  <w:num w:numId="49" w16cid:durableId="1072199201">
    <w:abstractNumId w:val="36"/>
  </w:num>
  <w:num w:numId="50" w16cid:durableId="1151479042">
    <w:abstractNumId w:val="29"/>
  </w:num>
  <w:num w:numId="51" w16cid:durableId="118258620">
    <w:abstractNumId w:val="63"/>
  </w:num>
  <w:num w:numId="52" w16cid:durableId="501160747">
    <w:abstractNumId w:val="25"/>
  </w:num>
  <w:num w:numId="53" w16cid:durableId="329602346">
    <w:abstractNumId w:val="73"/>
  </w:num>
  <w:num w:numId="54" w16cid:durableId="1022391635">
    <w:abstractNumId w:val="80"/>
  </w:num>
  <w:num w:numId="55" w16cid:durableId="971521378">
    <w:abstractNumId w:val="15"/>
  </w:num>
  <w:num w:numId="56" w16cid:durableId="1251475478">
    <w:abstractNumId w:val="13"/>
  </w:num>
  <w:num w:numId="57" w16cid:durableId="1105032311">
    <w:abstractNumId w:val="70"/>
  </w:num>
  <w:num w:numId="58" w16cid:durableId="863203130">
    <w:abstractNumId w:val="32"/>
  </w:num>
  <w:num w:numId="59" w16cid:durableId="1358775414">
    <w:abstractNumId w:val="41"/>
  </w:num>
  <w:num w:numId="60" w16cid:durableId="1860506033">
    <w:abstractNumId w:val="28"/>
  </w:num>
  <w:num w:numId="61" w16cid:durableId="483471194">
    <w:abstractNumId w:val="65"/>
  </w:num>
  <w:num w:numId="62" w16cid:durableId="29453382">
    <w:abstractNumId w:val="31"/>
  </w:num>
  <w:num w:numId="63" w16cid:durableId="952596899">
    <w:abstractNumId w:val="44"/>
  </w:num>
  <w:num w:numId="64" w16cid:durableId="1639530090">
    <w:abstractNumId w:val="16"/>
  </w:num>
  <w:num w:numId="65" w16cid:durableId="680352600">
    <w:abstractNumId w:val="74"/>
  </w:num>
  <w:num w:numId="66" w16cid:durableId="831528877">
    <w:abstractNumId w:val="68"/>
  </w:num>
  <w:num w:numId="67" w16cid:durableId="921526882">
    <w:abstractNumId w:val="56"/>
  </w:num>
  <w:num w:numId="68" w16cid:durableId="665280157">
    <w:abstractNumId w:val="82"/>
  </w:num>
  <w:num w:numId="69" w16cid:durableId="431366962">
    <w:abstractNumId w:val="64"/>
  </w:num>
  <w:num w:numId="70" w16cid:durableId="921447264">
    <w:abstractNumId w:val="42"/>
  </w:num>
  <w:num w:numId="71" w16cid:durableId="586043106">
    <w:abstractNumId w:val="69"/>
  </w:num>
  <w:num w:numId="72" w16cid:durableId="1948006978">
    <w:abstractNumId w:val="38"/>
  </w:num>
  <w:num w:numId="73" w16cid:durableId="224029508">
    <w:abstractNumId w:val="50"/>
  </w:num>
  <w:num w:numId="74" w16cid:durableId="713117178">
    <w:abstractNumId w:val="19"/>
  </w:num>
  <w:num w:numId="75" w16cid:durableId="1558976186">
    <w:abstractNumId w:val="12"/>
  </w:num>
  <w:num w:numId="76" w16cid:durableId="1880432087">
    <w:abstractNumId w:val="7"/>
  </w:num>
  <w:num w:numId="77" w16cid:durableId="716709385">
    <w:abstractNumId w:val="0"/>
  </w:num>
  <w:num w:numId="78" w16cid:durableId="814296132">
    <w:abstractNumId w:val="60"/>
  </w:num>
  <w:num w:numId="79" w16cid:durableId="1679845394">
    <w:abstractNumId w:val="43"/>
  </w:num>
  <w:num w:numId="80" w16cid:durableId="390813221">
    <w:abstractNumId w:val="11"/>
  </w:num>
  <w:num w:numId="81" w16cid:durableId="1346321159">
    <w:abstractNumId w:val="39"/>
  </w:num>
  <w:num w:numId="82" w16cid:durableId="211039411">
    <w:abstractNumId w:val="62"/>
  </w:num>
  <w:num w:numId="83" w16cid:durableId="1795177503">
    <w:abstractNumId w:val="20"/>
  </w:num>
  <w:num w:numId="84" w16cid:durableId="351077782">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004"/>
    <w:rsid w:val="0006175E"/>
    <w:rsid w:val="00106D5F"/>
    <w:rsid w:val="002A5174"/>
    <w:rsid w:val="00350C0E"/>
    <w:rsid w:val="0037335D"/>
    <w:rsid w:val="00480688"/>
    <w:rsid w:val="004D2834"/>
    <w:rsid w:val="004E4AF8"/>
    <w:rsid w:val="0050295C"/>
    <w:rsid w:val="005708DA"/>
    <w:rsid w:val="006F5BDD"/>
    <w:rsid w:val="0078225D"/>
    <w:rsid w:val="00783CA2"/>
    <w:rsid w:val="007F4004"/>
    <w:rsid w:val="00871B2E"/>
    <w:rsid w:val="00954CC6"/>
    <w:rsid w:val="00A72A50"/>
    <w:rsid w:val="00C00EFF"/>
    <w:rsid w:val="00CD4D3F"/>
    <w:rsid w:val="00DF31F5"/>
    <w:rsid w:val="00E75A1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95749"/>
  <w15:chartTrackingRefBased/>
  <w15:docId w15:val="{BDEBF4F3-6BC7-458E-A1AC-77E9F93B3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7F4004"/>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7F4004"/>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7F4004"/>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7F40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0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0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0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0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0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004"/>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7F4004"/>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7F4004"/>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7F40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0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0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0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0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004"/>
    <w:rPr>
      <w:rFonts w:eastAsiaTheme="majorEastAsia" w:cstheme="majorBidi"/>
      <w:color w:val="272727" w:themeColor="text1" w:themeTint="D8"/>
    </w:rPr>
  </w:style>
  <w:style w:type="paragraph" w:styleId="Title">
    <w:name w:val="Title"/>
    <w:basedOn w:val="Normal"/>
    <w:next w:val="Normal"/>
    <w:link w:val="TitleChar"/>
    <w:uiPriority w:val="10"/>
    <w:qFormat/>
    <w:rsid w:val="007F4004"/>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7F4004"/>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7F4004"/>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7F4004"/>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7F4004"/>
    <w:pPr>
      <w:spacing w:before="160"/>
      <w:jc w:val="center"/>
    </w:pPr>
    <w:rPr>
      <w:i/>
      <w:iCs/>
      <w:color w:val="404040" w:themeColor="text1" w:themeTint="BF"/>
    </w:rPr>
  </w:style>
  <w:style w:type="character" w:customStyle="1" w:styleId="QuoteChar">
    <w:name w:val="Quote Char"/>
    <w:basedOn w:val="DefaultParagraphFont"/>
    <w:link w:val="Quote"/>
    <w:uiPriority w:val="29"/>
    <w:rsid w:val="007F4004"/>
    <w:rPr>
      <w:rFonts w:cs="Vrinda"/>
      <w:i/>
      <w:iCs/>
      <w:color w:val="404040" w:themeColor="text1" w:themeTint="BF"/>
    </w:rPr>
  </w:style>
  <w:style w:type="paragraph" w:styleId="ListParagraph">
    <w:name w:val="List Paragraph"/>
    <w:basedOn w:val="Normal"/>
    <w:uiPriority w:val="34"/>
    <w:qFormat/>
    <w:rsid w:val="007F4004"/>
    <w:pPr>
      <w:ind w:left="720"/>
      <w:contextualSpacing/>
    </w:pPr>
  </w:style>
  <w:style w:type="character" w:styleId="IntenseEmphasis">
    <w:name w:val="Intense Emphasis"/>
    <w:basedOn w:val="DefaultParagraphFont"/>
    <w:uiPriority w:val="21"/>
    <w:qFormat/>
    <w:rsid w:val="007F4004"/>
    <w:rPr>
      <w:i/>
      <w:iCs/>
      <w:color w:val="0F4761" w:themeColor="accent1" w:themeShade="BF"/>
    </w:rPr>
  </w:style>
  <w:style w:type="paragraph" w:styleId="IntenseQuote">
    <w:name w:val="Intense Quote"/>
    <w:basedOn w:val="Normal"/>
    <w:next w:val="Normal"/>
    <w:link w:val="IntenseQuoteChar"/>
    <w:uiPriority w:val="30"/>
    <w:qFormat/>
    <w:rsid w:val="007F40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004"/>
    <w:rPr>
      <w:rFonts w:cs="Vrinda"/>
      <w:i/>
      <w:iCs/>
      <w:color w:val="0F4761" w:themeColor="accent1" w:themeShade="BF"/>
    </w:rPr>
  </w:style>
  <w:style w:type="character" w:styleId="IntenseReference">
    <w:name w:val="Intense Reference"/>
    <w:basedOn w:val="DefaultParagraphFont"/>
    <w:uiPriority w:val="32"/>
    <w:qFormat/>
    <w:rsid w:val="007F4004"/>
    <w:rPr>
      <w:b/>
      <w:bCs/>
      <w:smallCaps/>
      <w:color w:val="0F4761" w:themeColor="accent1" w:themeShade="BF"/>
      <w:spacing w:val="5"/>
    </w:rPr>
  </w:style>
  <w:style w:type="table" w:styleId="TableGrid">
    <w:name w:val="Table Grid"/>
    <w:basedOn w:val="TableNormal"/>
    <w:uiPriority w:val="39"/>
    <w:rsid w:val="004D2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31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31F5"/>
    <w:rPr>
      <w:rFonts w:cs="Vrinda"/>
    </w:rPr>
  </w:style>
  <w:style w:type="paragraph" w:styleId="Footer">
    <w:name w:val="footer"/>
    <w:basedOn w:val="Normal"/>
    <w:link w:val="FooterChar"/>
    <w:uiPriority w:val="99"/>
    <w:unhideWhenUsed/>
    <w:rsid w:val="00DF31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1F5"/>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33</Pages>
  <Words>5764</Words>
  <Characters>32855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Sifat</dc:creator>
  <cp:keywords/>
  <dc:description/>
  <cp:lastModifiedBy>Sykat Sen</cp:lastModifiedBy>
  <cp:revision>5</cp:revision>
  <dcterms:created xsi:type="dcterms:W3CDTF">2025-11-11T22:43:00Z</dcterms:created>
  <dcterms:modified xsi:type="dcterms:W3CDTF">2025-11-24T06:01:00Z</dcterms:modified>
</cp:coreProperties>
</file>