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CA4EB" w14:textId="4819DD0D" w:rsidR="00782062" w:rsidRDefault="00DB64AF" w:rsidP="00247FBD">
      <w:pPr>
        <w:rPr>
          <w:rFonts w:cs="Times New Roman"/>
          <w:szCs w:val="24"/>
        </w:rPr>
      </w:pPr>
      <w:r w:rsidRPr="00A406E5">
        <w:rPr>
          <w:rFonts w:ascii="Arial" w:hAnsi="Arial" w:cs="Arial"/>
          <w:noProof/>
        </w:rPr>
        <w:drawing>
          <wp:anchor distT="0" distB="0" distL="114300" distR="114300" simplePos="0" relativeHeight="251659264" behindDoc="0" locked="0" layoutInCell="1" allowOverlap="1" wp14:anchorId="23422839" wp14:editId="5C619E48">
            <wp:simplePos x="0" y="0"/>
            <wp:positionH relativeFrom="column">
              <wp:posOffset>0</wp:posOffset>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9CDC02F" w14:textId="77777777" w:rsidR="00DB64AF" w:rsidRDefault="00DB64AF" w:rsidP="00247FBD">
      <w:pPr>
        <w:rPr>
          <w:rFonts w:cs="Times New Roman"/>
          <w:szCs w:val="24"/>
        </w:rPr>
      </w:pPr>
    </w:p>
    <w:p w14:paraId="0030440D" w14:textId="77777777" w:rsidR="00782062" w:rsidRDefault="00782062" w:rsidP="00247FBD">
      <w:pPr>
        <w:rPr>
          <w:rFonts w:cs="Times New Roman"/>
          <w:szCs w:val="24"/>
        </w:rPr>
      </w:pPr>
    </w:p>
    <w:p w14:paraId="1D256970" w14:textId="77777777" w:rsidR="009E3E08" w:rsidRDefault="009E3E08" w:rsidP="009E3E08">
      <w:pPr>
        <w:jc w:val="center"/>
        <w:rPr>
          <w:rFonts w:cs="Times New Roman"/>
          <w:szCs w:val="24"/>
        </w:rPr>
      </w:pPr>
    </w:p>
    <w:p w14:paraId="2EB0A770" w14:textId="77777777" w:rsidR="009E3E08" w:rsidRDefault="009E3E08" w:rsidP="009E3E08">
      <w:pPr>
        <w:jc w:val="center"/>
        <w:rPr>
          <w:rFonts w:cs="Times New Roman"/>
          <w:szCs w:val="24"/>
        </w:rPr>
      </w:pPr>
    </w:p>
    <w:p w14:paraId="05C9FE6C" w14:textId="77777777" w:rsidR="009E3E08" w:rsidRPr="009E3E08" w:rsidRDefault="009E3E08" w:rsidP="009E3E08">
      <w:pPr>
        <w:jc w:val="center"/>
        <w:rPr>
          <w:rFonts w:cs="Times New Roman"/>
          <w:sz w:val="36"/>
          <w:szCs w:val="36"/>
        </w:rPr>
      </w:pPr>
    </w:p>
    <w:p w14:paraId="69796082" w14:textId="77777777" w:rsidR="009E3E08" w:rsidRPr="009E3E08" w:rsidRDefault="009E3E08" w:rsidP="009E3E08">
      <w:pPr>
        <w:jc w:val="center"/>
        <w:rPr>
          <w:rFonts w:cs="Times New Roman"/>
          <w:sz w:val="36"/>
          <w:szCs w:val="36"/>
        </w:rPr>
      </w:pPr>
    </w:p>
    <w:p w14:paraId="1D558889" w14:textId="313215C1" w:rsidR="00782062" w:rsidRDefault="009E3E08" w:rsidP="009E3E08">
      <w:pPr>
        <w:jc w:val="center"/>
        <w:rPr>
          <w:rFonts w:cs="Times New Roman"/>
          <w:sz w:val="36"/>
          <w:szCs w:val="36"/>
        </w:rPr>
      </w:pPr>
      <w:r w:rsidRPr="009E3E08">
        <w:rPr>
          <w:rFonts w:cs="Times New Roman"/>
          <w:sz w:val="36"/>
          <w:szCs w:val="36"/>
        </w:rPr>
        <w:t>BA (Hons) Business Management</w:t>
      </w:r>
    </w:p>
    <w:p w14:paraId="3722048D" w14:textId="77777777" w:rsidR="009E3E08" w:rsidRPr="009E3E08" w:rsidRDefault="009E3E08" w:rsidP="009E3E08">
      <w:pPr>
        <w:jc w:val="center"/>
        <w:rPr>
          <w:rFonts w:cs="Times New Roman"/>
          <w:sz w:val="36"/>
          <w:szCs w:val="36"/>
        </w:rPr>
      </w:pPr>
    </w:p>
    <w:p w14:paraId="0BBC6B14" w14:textId="38919786" w:rsidR="00782062" w:rsidRDefault="009E3E08" w:rsidP="009E3E08">
      <w:pPr>
        <w:jc w:val="center"/>
        <w:rPr>
          <w:rFonts w:cs="Times New Roman"/>
          <w:sz w:val="36"/>
          <w:szCs w:val="36"/>
        </w:rPr>
      </w:pPr>
      <w:r w:rsidRPr="009E3E08">
        <w:rPr>
          <w:rFonts w:cs="Times New Roman"/>
          <w:sz w:val="36"/>
          <w:szCs w:val="36"/>
        </w:rPr>
        <w:t>LCBB</w:t>
      </w:r>
      <w:proofErr w:type="gramStart"/>
      <w:r w:rsidRPr="009E3E08">
        <w:rPr>
          <w:rFonts w:cs="Times New Roman"/>
          <w:sz w:val="36"/>
          <w:szCs w:val="36"/>
        </w:rPr>
        <w:t>6002</w:t>
      </w:r>
      <w:r w:rsidRPr="009E3E08">
        <w:rPr>
          <w:rFonts w:cs="Times New Roman"/>
          <w:sz w:val="36"/>
          <w:szCs w:val="36"/>
        </w:rPr>
        <w:t>:</w:t>
      </w:r>
      <w:r w:rsidRPr="009E3E08">
        <w:rPr>
          <w:rFonts w:cs="Times New Roman"/>
          <w:sz w:val="36"/>
          <w:szCs w:val="36"/>
        </w:rPr>
        <w:t>International</w:t>
      </w:r>
      <w:proofErr w:type="gramEnd"/>
      <w:r w:rsidRPr="009E3E08">
        <w:rPr>
          <w:rFonts w:cs="Times New Roman"/>
          <w:sz w:val="36"/>
          <w:szCs w:val="36"/>
        </w:rPr>
        <w:t xml:space="preserve"> Financial Management</w:t>
      </w:r>
    </w:p>
    <w:p w14:paraId="61DA26EF" w14:textId="0914907E" w:rsidR="009E3E08" w:rsidRPr="009E3E08" w:rsidRDefault="009E3E08" w:rsidP="009E3E08">
      <w:pPr>
        <w:tabs>
          <w:tab w:val="left" w:pos="7896"/>
        </w:tabs>
        <w:jc w:val="left"/>
        <w:rPr>
          <w:rFonts w:cs="Times New Roman"/>
          <w:sz w:val="36"/>
          <w:szCs w:val="36"/>
        </w:rPr>
      </w:pPr>
      <w:r>
        <w:rPr>
          <w:rFonts w:cs="Times New Roman"/>
          <w:sz w:val="36"/>
          <w:szCs w:val="36"/>
        </w:rPr>
        <w:tab/>
      </w:r>
    </w:p>
    <w:p w14:paraId="63D2D8A4" w14:textId="448E3E48" w:rsidR="009E3E08" w:rsidRPr="009E3E08" w:rsidRDefault="009E3E08" w:rsidP="009E3E08">
      <w:pPr>
        <w:jc w:val="center"/>
        <w:rPr>
          <w:rFonts w:cs="Times New Roman"/>
          <w:sz w:val="36"/>
          <w:szCs w:val="36"/>
        </w:rPr>
      </w:pPr>
      <w:r w:rsidRPr="009E3E08">
        <w:rPr>
          <w:rFonts w:cs="Times New Roman"/>
          <w:sz w:val="36"/>
          <w:szCs w:val="36"/>
        </w:rPr>
        <w:t xml:space="preserve">Submitted by: </w:t>
      </w:r>
      <w:r w:rsidRPr="009E3E08">
        <w:rPr>
          <w:rFonts w:cs="Times New Roman"/>
          <w:sz w:val="36"/>
          <w:szCs w:val="36"/>
        </w:rPr>
        <w:tab/>
        <w:t xml:space="preserve">SERGIU DIACONU   </w:t>
      </w:r>
      <w:r w:rsidRPr="009E3E08">
        <w:rPr>
          <w:rFonts w:cs="Times New Roman"/>
          <w:sz w:val="36"/>
          <w:szCs w:val="36"/>
        </w:rPr>
        <w:tab/>
        <w:t xml:space="preserve">Student Id: </w:t>
      </w:r>
      <w:r w:rsidRPr="009E3E08">
        <w:rPr>
          <w:rFonts w:cs="Times New Roman"/>
          <w:sz w:val="36"/>
          <w:szCs w:val="36"/>
        </w:rPr>
        <w:tab/>
        <w:t>2126929</w:t>
      </w:r>
    </w:p>
    <w:p w14:paraId="6AFE7A48" w14:textId="77777777" w:rsidR="00782062" w:rsidRDefault="00782062" w:rsidP="009E3E08">
      <w:pPr>
        <w:jc w:val="center"/>
        <w:rPr>
          <w:rFonts w:cs="Times New Roman"/>
          <w:szCs w:val="24"/>
        </w:rPr>
      </w:pPr>
    </w:p>
    <w:p w14:paraId="5DA44054" w14:textId="77777777" w:rsidR="00782062" w:rsidRDefault="00782062" w:rsidP="009E3E08">
      <w:pPr>
        <w:jc w:val="center"/>
        <w:rPr>
          <w:rFonts w:cs="Times New Roman"/>
          <w:szCs w:val="24"/>
        </w:rPr>
      </w:pPr>
    </w:p>
    <w:p w14:paraId="3100FF6D" w14:textId="77777777" w:rsidR="00782062" w:rsidRDefault="00782062" w:rsidP="00247FBD">
      <w:pPr>
        <w:rPr>
          <w:rFonts w:cs="Times New Roman"/>
          <w:szCs w:val="24"/>
        </w:rPr>
      </w:pPr>
    </w:p>
    <w:p w14:paraId="6DA0DD5B" w14:textId="77777777" w:rsidR="009E3E08" w:rsidRDefault="009E3E08" w:rsidP="00247FBD">
      <w:pPr>
        <w:rPr>
          <w:rFonts w:cs="Times New Roman"/>
          <w:szCs w:val="24"/>
        </w:rPr>
      </w:pPr>
    </w:p>
    <w:p w14:paraId="40808713" w14:textId="5E49A93C" w:rsidR="00B920A0" w:rsidRDefault="00B920A0">
      <w:pPr>
        <w:spacing w:line="259" w:lineRule="auto"/>
        <w:jc w:val="left"/>
        <w:rPr>
          <w:rFonts w:cs="Times New Roman"/>
          <w:szCs w:val="24"/>
        </w:rPr>
      </w:pPr>
      <w:r>
        <w:rPr>
          <w:rFonts w:cs="Times New Roman"/>
          <w:szCs w:val="24"/>
        </w:rPr>
        <w:br w:type="page"/>
      </w:r>
    </w:p>
    <w:sdt>
      <w:sdtPr>
        <w:rPr>
          <w:rFonts w:ascii="Times New Roman" w:eastAsiaTheme="minorHAnsi" w:hAnsi="Times New Roman" w:cstheme="minorBidi"/>
          <w:color w:val="000000" w:themeColor="text1"/>
          <w:kern w:val="2"/>
          <w:sz w:val="24"/>
          <w:szCs w:val="22"/>
          <w:lang w:val="en-GB"/>
        </w:rPr>
        <w:id w:val="-1819336314"/>
        <w:docPartObj>
          <w:docPartGallery w:val="Table of Contents"/>
          <w:docPartUnique/>
        </w:docPartObj>
      </w:sdtPr>
      <w:sdtEndPr>
        <w:rPr>
          <w:b/>
          <w:bCs/>
          <w:noProof/>
        </w:rPr>
      </w:sdtEndPr>
      <w:sdtContent>
        <w:p w14:paraId="7A3CC31A" w14:textId="16A731D6" w:rsidR="00C43FE5" w:rsidRDefault="00C43FE5">
          <w:pPr>
            <w:pStyle w:val="TOCHeading"/>
          </w:pPr>
          <w:r>
            <w:t>Table of Contents</w:t>
          </w:r>
        </w:p>
        <w:p w14:paraId="572B8988" w14:textId="74952E16" w:rsidR="00F402DA" w:rsidRDefault="00C43FE5">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81625482" w:history="1">
            <w:r w:rsidR="00F402DA" w:rsidRPr="00A458A5">
              <w:rPr>
                <w:rStyle w:val="Hyperlink"/>
                <w:noProof/>
              </w:rPr>
              <w:t>1.0 Introduction</w:t>
            </w:r>
            <w:r w:rsidR="00F402DA">
              <w:rPr>
                <w:noProof/>
                <w:webHidden/>
              </w:rPr>
              <w:tab/>
            </w:r>
            <w:r w:rsidR="00F402DA">
              <w:rPr>
                <w:noProof/>
                <w:webHidden/>
              </w:rPr>
              <w:fldChar w:fldCharType="begin"/>
            </w:r>
            <w:r w:rsidR="00F402DA">
              <w:rPr>
                <w:noProof/>
                <w:webHidden/>
              </w:rPr>
              <w:instrText xml:space="preserve"> PAGEREF _Toc181625482 \h </w:instrText>
            </w:r>
            <w:r w:rsidR="00F402DA">
              <w:rPr>
                <w:noProof/>
                <w:webHidden/>
              </w:rPr>
            </w:r>
            <w:r w:rsidR="00F402DA">
              <w:rPr>
                <w:noProof/>
                <w:webHidden/>
              </w:rPr>
              <w:fldChar w:fldCharType="separate"/>
            </w:r>
            <w:r w:rsidR="00F402DA">
              <w:rPr>
                <w:noProof/>
                <w:webHidden/>
              </w:rPr>
              <w:t>3</w:t>
            </w:r>
            <w:r w:rsidR="00F402DA">
              <w:rPr>
                <w:noProof/>
                <w:webHidden/>
              </w:rPr>
              <w:fldChar w:fldCharType="end"/>
            </w:r>
          </w:hyperlink>
        </w:p>
        <w:p w14:paraId="3C47FF46" w14:textId="2C636627" w:rsidR="00F402DA" w:rsidRDefault="009E3E08">
          <w:pPr>
            <w:pStyle w:val="TOC1"/>
            <w:tabs>
              <w:tab w:val="right" w:leader="dot" w:pos="9350"/>
            </w:tabs>
            <w:rPr>
              <w:rFonts w:asciiTheme="minorHAnsi" w:eastAsiaTheme="minorEastAsia" w:hAnsiTheme="minorHAnsi"/>
              <w:noProof/>
              <w:color w:val="auto"/>
              <w:sz w:val="22"/>
              <w:lang w:val="en-US"/>
            </w:rPr>
          </w:pPr>
          <w:hyperlink w:anchor="_Toc181625483" w:history="1">
            <w:r w:rsidR="00F402DA" w:rsidRPr="00A458A5">
              <w:rPr>
                <w:rStyle w:val="Hyperlink"/>
                <w:noProof/>
                <w:lang w:val="en-US"/>
              </w:rPr>
              <w:t>2.0 Importance of Corporate Governance Practices at Tesco</w:t>
            </w:r>
            <w:r w:rsidR="00F402DA">
              <w:rPr>
                <w:noProof/>
                <w:webHidden/>
              </w:rPr>
              <w:tab/>
            </w:r>
            <w:r w:rsidR="00F402DA">
              <w:rPr>
                <w:noProof/>
                <w:webHidden/>
              </w:rPr>
              <w:fldChar w:fldCharType="begin"/>
            </w:r>
            <w:r w:rsidR="00F402DA">
              <w:rPr>
                <w:noProof/>
                <w:webHidden/>
              </w:rPr>
              <w:instrText xml:space="preserve"> PAGEREF _Toc181625483 \h </w:instrText>
            </w:r>
            <w:r w:rsidR="00F402DA">
              <w:rPr>
                <w:noProof/>
                <w:webHidden/>
              </w:rPr>
            </w:r>
            <w:r w:rsidR="00F402DA">
              <w:rPr>
                <w:noProof/>
                <w:webHidden/>
              </w:rPr>
              <w:fldChar w:fldCharType="separate"/>
            </w:r>
            <w:r w:rsidR="00F402DA">
              <w:rPr>
                <w:noProof/>
                <w:webHidden/>
              </w:rPr>
              <w:t>3</w:t>
            </w:r>
            <w:r w:rsidR="00F402DA">
              <w:rPr>
                <w:noProof/>
                <w:webHidden/>
              </w:rPr>
              <w:fldChar w:fldCharType="end"/>
            </w:r>
          </w:hyperlink>
        </w:p>
        <w:p w14:paraId="3118E43E" w14:textId="71A62A57" w:rsidR="00F402DA" w:rsidRDefault="009E3E08">
          <w:pPr>
            <w:pStyle w:val="TOC1"/>
            <w:tabs>
              <w:tab w:val="right" w:leader="dot" w:pos="9350"/>
            </w:tabs>
            <w:rPr>
              <w:rFonts w:asciiTheme="minorHAnsi" w:eastAsiaTheme="minorEastAsia" w:hAnsiTheme="minorHAnsi"/>
              <w:noProof/>
              <w:color w:val="auto"/>
              <w:sz w:val="22"/>
              <w:lang w:val="en-US"/>
            </w:rPr>
          </w:pPr>
          <w:hyperlink w:anchor="_Toc181625484" w:history="1">
            <w:r w:rsidR="00F402DA" w:rsidRPr="00A458A5">
              <w:rPr>
                <w:rStyle w:val="Hyperlink"/>
                <w:noProof/>
                <w:lang w:val="en-US"/>
              </w:rPr>
              <w:t>3.0 Corporate Governance Variables Identified in Tesco</w:t>
            </w:r>
            <w:r w:rsidR="00F402DA">
              <w:rPr>
                <w:noProof/>
                <w:webHidden/>
              </w:rPr>
              <w:tab/>
            </w:r>
            <w:r w:rsidR="00F402DA">
              <w:rPr>
                <w:noProof/>
                <w:webHidden/>
              </w:rPr>
              <w:fldChar w:fldCharType="begin"/>
            </w:r>
            <w:r w:rsidR="00F402DA">
              <w:rPr>
                <w:noProof/>
                <w:webHidden/>
              </w:rPr>
              <w:instrText xml:space="preserve"> PAGEREF _Toc181625484 \h </w:instrText>
            </w:r>
            <w:r w:rsidR="00F402DA">
              <w:rPr>
                <w:noProof/>
                <w:webHidden/>
              </w:rPr>
            </w:r>
            <w:r w:rsidR="00F402DA">
              <w:rPr>
                <w:noProof/>
                <w:webHidden/>
              </w:rPr>
              <w:fldChar w:fldCharType="separate"/>
            </w:r>
            <w:r w:rsidR="00F402DA">
              <w:rPr>
                <w:noProof/>
                <w:webHidden/>
              </w:rPr>
              <w:t>6</w:t>
            </w:r>
            <w:r w:rsidR="00F402DA">
              <w:rPr>
                <w:noProof/>
                <w:webHidden/>
              </w:rPr>
              <w:fldChar w:fldCharType="end"/>
            </w:r>
          </w:hyperlink>
        </w:p>
        <w:p w14:paraId="22F8E0C3" w14:textId="3E8F6080" w:rsidR="00F402DA" w:rsidRDefault="009E3E08">
          <w:pPr>
            <w:pStyle w:val="TOC1"/>
            <w:tabs>
              <w:tab w:val="right" w:leader="dot" w:pos="9350"/>
            </w:tabs>
            <w:rPr>
              <w:rFonts w:asciiTheme="minorHAnsi" w:eastAsiaTheme="minorEastAsia" w:hAnsiTheme="minorHAnsi"/>
              <w:noProof/>
              <w:color w:val="auto"/>
              <w:sz w:val="22"/>
              <w:lang w:val="en-US"/>
            </w:rPr>
          </w:pPr>
          <w:hyperlink w:anchor="_Toc181625485" w:history="1">
            <w:r w:rsidR="00F402DA" w:rsidRPr="00A458A5">
              <w:rPr>
                <w:rStyle w:val="Hyperlink"/>
                <w:noProof/>
                <w:lang w:val="en-US"/>
              </w:rPr>
              <w:t>4.0 Relationship between Corporate Governance Practices and Financial Performance</w:t>
            </w:r>
            <w:r w:rsidR="00F402DA">
              <w:rPr>
                <w:noProof/>
                <w:webHidden/>
              </w:rPr>
              <w:tab/>
            </w:r>
            <w:r w:rsidR="00F402DA">
              <w:rPr>
                <w:noProof/>
                <w:webHidden/>
              </w:rPr>
              <w:fldChar w:fldCharType="begin"/>
            </w:r>
            <w:r w:rsidR="00F402DA">
              <w:rPr>
                <w:noProof/>
                <w:webHidden/>
              </w:rPr>
              <w:instrText xml:space="preserve"> PAGEREF _Toc181625485 \h </w:instrText>
            </w:r>
            <w:r w:rsidR="00F402DA">
              <w:rPr>
                <w:noProof/>
                <w:webHidden/>
              </w:rPr>
            </w:r>
            <w:r w:rsidR="00F402DA">
              <w:rPr>
                <w:noProof/>
                <w:webHidden/>
              </w:rPr>
              <w:fldChar w:fldCharType="separate"/>
            </w:r>
            <w:r w:rsidR="00F402DA">
              <w:rPr>
                <w:noProof/>
                <w:webHidden/>
              </w:rPr>
              <w:t>8</w:t>
            </w:r>
            <w:r w:rsidR="00F402DA">
              <w:rPr>
                <w:noProof/>
                <w:webHidden/>
              </w:rPr>
              <w:fldChar w:fldCharType="end"/>
            </w:r>
          </w:hyperlink>
        </w:p>
        <w:p w14:paraId="40D36232" w14:textId="6C6607F6" w:rsidR="00F402DA" w:rsidRDefault="009E3E08">
          <w:pPr>
            <w:pStyle w:val="TOC2"/>
            <w:tabs>
              <w:tab w:val="right" w:leader="dot" w:pos="9350"/>
            </w:tabs>
            <w:rPr>
              <w:rFonts w:asciiTheme="minorHAnsi" w:eastAsiaTheme="minorEastAsia" w:hAnsiTheme="minorHAnsi"/>
              <w:noProof/>
              <w:color w:val="auto"/>
              <w:sz w:val="22"/>
              <w:lang w:val="en-US"/>
            </w:rPr>
          </w:pPr>
          <w:hyperlink w:anchor="_Toc181625486" w:history="1">
            <w:r w:rsidR="00F402DA" w:rsidRPr="00A458A5">
              <w:rPr>
                <w:rStyle w:val="Hyperlink"/>
                <w:noProof/>
                <w:lang w:val="en-US"/>
              </w:rPr>
              <w:t>4.1 Financial Performance Analysis of Tesco plc for 5 years</w:t>
            </w:r>
            <w:r w:rsidR="00F402DA">
              <w:rPr>
                <w:noProof/>
                <w:webHidden/>
              </w:rPr>
              <w:tab/>
            </w:r>
            <w:r w:rsidR="00F402DA">
              <w:rPr>
                <w:noProof/>
                <w:webHidden/>
              </w:rPr>
              <w:fldChar w:fldCharType="begin"/>
            </w:r>
            <w:r w:rsidR="00F402DA">
              <w:rPr>
                <w:noProof/>
                <w:webHidden/>
              </w:rPr>
              <w:instrText xml:space="preserve"> PAGEREF _Toc181625486 \h </w:instrText>
            </w:r>
            <w:r w:rsidR="00F402DA">
              <w:rPr>
                <w:noProof/>
                <w:webHidden/>
              </w:rPr>
            </w:r>
            <w:r w:rsidR="00F402DA">
              <w:rPr>
                <w:noProof/>
                <w:webHidden/>
              </w:rPr>
              <w:fldChar w:fldCharType="separate"/>
            </w:r>
            <w:r w:rsidR="00F402DA">
              <w:rPr>
                <w:noProof/>
                <w:webHidden/>
              </w:rPr>
              <w:t>8</w:t>
            </w:r>
            <w:r w:rsidR="00F402DA">
              <w:rPr>
                <w:noProof/>
                <w:webHidden/>
              </w:rPr>
              <w:fldChar w:fldCharType="end"/>
            </w:r>
          </w:hyperlink>
        </w:p>
        <w:p w14:paraId="086AEB57" w14:textId="4D18371A" w:rsidR="00F402DA" w:rsidRDefault="009E3E08">
          <w:pPr>
            <w:pStyle w:val="TOC2"/>
            <w:tabs>
              <w:tab w:val="right" w:leader="dot" w:pos="9350"/>
            </w:tabs>
            <w:rPr>
              <w:rFonts w:asciiTheme="minorHAnsi" w:eastAsiaTheme="minorEastAsia" w:hAnsiTheme="minorHAnsi"/>
              <w:noProof/>
              <w:color w:val="auto"/>
              <w:sz w:val="22"/>
              <w:lang w:val="en-US"/>
            </w:rPr>
          </w:pPr>
          <w:hyperlink w:anchor="_Toc181625487" w:history="1">
            <w:r w:rsidR="00F402DA" w:rsidRPr="00A458A5">
              <w:rPr>
                <w:rStyle w:val="Hyperlink"/>
                <w:noProof/>
                <w:lang w:val="en-US"/>
              </w:rPr>
              <w:t>4.1 Discussion on the Corporate Governance Practices and Financial Performance</w:t>
            </w:r>
            <w:r w:rsidR="00F402DA">
              <w:rPr>
                <w:noProof/>
                <w:webHidden/>
              </w:rPr>
              <w:tab/>
            </w:r>
            <w:r w:rsidR="00F402DA">
              <w:rPr>
                <w:noProof/>
                <w:webHidden/>
              </w:rPr>
              <w:fldChar w:fldCharType="begin"/>
            </w:r>
            <w:r w:rsidR="00F402DA">
              <w:rPr>
                <w:noProof/>
                <w:webHidden/>
              </w:rPr>
              <w:instrText xml:space="preserve"> PAGEREF _Toc181625487 \h </w:instrText>
            </w:r>
            <w:r w:rsidR="00F402DA">
              <w:rPr>
                <w:noProof/>
                <w:webHidden/>
              </w:rPr>
            </w:r>
            <w:r w:rsidR="00F402DA">
              <w:rPr>
                <w:noProof/>
                <w:webHidden/>
              </w:rPr>
              <w:fldChar w:fldCharType="separate"/>
            </w:r>
            <w:r w:rsidR="00F402DA">
              <w:rPr>
                <w:noProof/>
                <w:webHidden/>
              </w:rPr>
              <w:t>9</w:t>
            </w:r>
            <w:r w:rsidR="00F402DA">
              <w:rPr>
                <w:noProof/>
                <w:webHidden/>
              </w:rPr>
              <w:fldChar w:fldCharType="end"/>
            </w:r>
          </w:hyperlink>
        </w:p>
        <w:p w14:paraId="08D30D8C" w14:textId="7E75C578" w:rsidR="00F402DA" w:rsidRDefault="009E3E08">
          <w:pPr>
            <w:pStyle w:val="TOC1"/>
            <w:tabs>
              <w:tab w:val="right" w:leader="dot" w:pos="9350"/>
            </w:tabs>
            <w:rPr>
              <w:rFonts w:asciiTheme="minorHAnsi" w:eastAsiaTheme="minorEastAsia" w:hAnsiTheme="minorHAnsi"/>
              <w:noProof/>
              <w:color w:val="auto"/>
              <w:sz w:val="22"/>
              <w:lang w:val="en-US"/>
            </w:rPr>
          </w:pPr>
          <w:hyperlink w:anchor="_Toc181625488" w:history="1">
            <w:r w:rsidR="00F402DA" w:rsidRPr="00A458A5">
              <w:rPr>
                <w:rStyle w:val="Hyperlink"/>
                <w:noProof/>
              </w:rPr>
              <w:t>5.0 Conclusion</w:t>
            </w:r>
            <w:r w:rsidR="00F402DA">
              <w:rPr>
                <w:noProof/>
                <w:webHidden/>
              </w:rPr>
              <w:tab/>
            </w:r>
            <w:r w:rsidR="00F402DA">
              <w:rPr>
                <w:noProof/>
                <w:webHidden/>
              </w:rPr>
              <w:fldChar w:fldCharType="begin"/>
            </w:r>
            <w:r w:rsidR="00F402DA">
              <w:rPr>
                <w:noProof/>
                <w:webHidden/>
              </w:rPr>
              <w:instrText xml:space="preserve"> PAGEREF _Toc181625488 \h </w:instrText>
            </w:r>
            <w:r w:rsidR="00F402DA">
              <w:rPr>
                <w:noProof/>
                <w:webHidden/>
              </w:rPr>
            </w:r>
            <w:r w:rsidR="00F402DA">
              <w:rPr>
                <w:noProof/>
                <w:webHidden/>
              </w:rPr>
              <w:fldChar w:fldCharType="separate"/>
            </w:r>
            <w:r w:rsidR="00F402DA">
              <w:rPr>
                <w:noProof/>
                <w:webHidden/>
              </w:rPr>
              <w:t>10</w:t>
            </w:r>
            <w:r w:rsidR="00F402DA">
              <w:rPr>
                <w:noProof/>
                <w:webHidden/>
              </w:rPr>
              <w:fldChar w:fldCharType="end"/>
            </w:r>
          </w:hyperlink>
        </w:p>
        <w:p w14:paraId="23BB7C64" w14:textId="299CA926" w:rsidR="00F402DA" w:rsidRDefault="009E3E08">
          <w:pPr>
            <w:pStyle w:val="TOC1"/>
            <w:tabs>
              <w:tab w:val="right" w:leader="dot" w:pos="9350"/>
            </w:tabs>
            <w:rPr>
              <w:rFonts w:asciiTheme="minorHAnsi" w:eastAsiaTheme="minorEastAsia" w:hAnsiTheme="minorHAnsi"/>
              <w:noProof/>
              <w:color w:val="auto"/>
              <w:sz w:val="22"/>
              <w:lang w:val="en-US"/>
            </w:rPr>
          </w:pPr>
          <w:hyperlink w:anchor="_Toc181625489" w:history="1">
            <w:r w:rsidR="00F402DA" w:rsidRPr="00A458A5">
              <w:rPr>
                <w:rStyle w:val="Hyperlink"/>
                <w:noProof/>
              </w:rPr>
              <w:t>References</w:t>
            </w:r>
            <w:r w:rsidR="00F402DA">
              <w:rPr>
                <w:noProof/>
                <w:webHidden/>
              </w:rPr>
              <w:tab/>
            </w:r>
            <w:r w:rsidR="00F402DA">
              <w:rPr>
                <w:noProof/>
                <w:webHidden/>
              </w:rPr>
              <w:fldChar w:fldCharType="begin"/>
            </w:r>
            <w:r w:rsidR="00F402DA">
              <w:rPr>
                <w:noProof/>
                <w:webHidden/>
              </w:rPr>
              <w:instrText xml:space="preserve"> PAGEREF _Toc181625489 \h </w:instrText>
            </w:r>
            <w:r w:rsidR="00F402DA">
              <w:rPr>
                <w:noProof/>
                <w:webHidden/>
              </w:rPr>
            </w:r>
            <w:r w:rsidR="00F402DA">
              <w:rPr>
                <w:noProof/>
                <w:webHidden/>
              </w:rPr>
              <w:fldChar w:fldCharType="separate"/>
            </w:r>
            <w:r w:rsidR="00F402DA">
              <w:rPr>
                <w:noProof/>
                <w:webHidden/>
              </w:rPr>
              <w:t>11</w:t>
            </w:r>
            <w:r w:rsidR="00F402DA">
              <w:rPr>
                <w:noProof/>
                <w:webHidden/>
              </w:rPr>
              <w:fldChar w:fldCharType="end"/>
            </w:r>
          </w:hyperlink>
        </w:p>
        <w:p w14:paraId="13FDF710" w14:textId="77777777" w:rsidR="00187E68" w:rsidRDefault="00C43FE5">
          <w:pPr>
            <w:rPr>
              <w:noProof/>
            </w:rPr>
          </w:pPr>
          <w:r>
            <w:rPr>
              <w:b/>
              <w:bCs/>
              <w:noProof/>
            </w:rPr>
            <w:fldChar w:fldCharType="end"/>
          </w:r>
          <w:r w:rsidR="00187E68">
            <w:rPr>
              <w:b/>
              <w:bCs/>
              <w:noProof/>
            </w:rPr>
            <w:fldChar w:fldCharType="begin"/>
          </w:r>
          <w:r w:rsidR="00187E68">
            <w:rPr>
              <w:b/>
              <w:bCs/>
              <w:noProof/>
            </w:rPr>
            <w:instrText xml:space="preserve"> TOC \h \z \c "Figure" </w:instrText>
          </w:r>
          <w:r w:rsidR="00187E68">
            <w:rPr>
              <w:b/>
              <w:bCs/>
              <w:noProof/>
            </w:rPr>
            <w:fldChar w:fldCharType="separate"/>
          </w:r>
        </w:p>
        <w:p w14:paraId="10FBDC89" w14:textId="119F6983" w:rsidR="00187E68" w:rsidRDefault="009E3E08">
          <w:pPr>
            <w:pStyle w:val="TableofFigures"/>
            <w:tabs>
              <w:tab w:val="right" w:leader="dot" w:pos="9350"/>
            </w:tabs>
            <w:rPr>
              <w:noProof/>
            </w:rPr>
          </w:pPr>
          <w:hyperlink w:anchor="_Toc181626645" w:history="1">
            <w:r w:rsidR="00187E68" w:rsidRPr="00560776">
              <w:rPr>
                <w:rStyle w:val="Hyperlink"/>
                <w:noProof/>
              </w:rPr>
              <w:t>Figure 1: Tesco Plc</w:t>
            </w:r>
            <w:r w:rsidR="00187E68">
              <w:rPr>
                <w:noProof/>
                <w:webHidden/>
              </w:rPr>
              <w:tab/>
            </w:r>
            <w:r w:rsidR="00187E68">
              <w:rPr>
                <w:noProof/>
                <w:webHidden/>
              </w:rPr>
              <w:fldChar w:fldCharType="begin"/>
            </w:r>
            <w:r w:rsidR="00187E68">
              <w:rPr>
                <w:noProof/>
                <w:webHidden/>
              </w:rPr>
              <w:instrText xml:space="preserve"> PAGEREF _Toc181626645 \h </w:instrText>
            </w:r>
            <w:r w:rsidR="00187E68">
              <w:rPr>
                <w:noProof/>
                <w:webHidden/>
              </w:rPr>
            </w:r>
            <w:r w:rsidR="00187E68">
              <w:rPr>
                <w:noProof/>
                <w:webHidden/>
              </w:rPr>
              <w:fldChar w:fldCharType="separate"/>
            </w:r>
            <w:r w:rsidR="00187E68">
              <w:rPr>
                <w:noProof/>
                <w:webHidden/>
              </w:rPr>
              <w:t>3</w:t>
            </w:r>
            <w:r w:rsidR="00187E68">
              <w:rPr>
                <w:noProof/>
                <w:webHidden/>
              </w:rPr>
              <w:fldChar w:fldCharType="end"/>
            </w:r>
          </w:hyperlink>
        </w:p>
        <w:p w14:paraId="29481E55" w14:textId="09D74E58" w:rsidR="00187E68" w:rsidRDefault="009E3E08">
          <w:pPr>
            <w:pStyle w:val="TableofFigures"/>
            <w:tabs>
              <w:tab w:val="right" w:leader="dot" w:pos="9350"/>
            </w:tabs>
            <w:rPr>
              <w:noProof/>
            </w:rPr>
          </w:pPr>
          <w:hyperlink w:anchor="_Toc181626646" w:history="1">
            <w:r w:rsidR="00187E68" w:rsidRPr="00560776">
              <w:rPr>
                <w:rStyle w:val="Hyperlink"/>
                <w:noProof/>
              </w:rPr>
              <w:t>Figure 2: Corporate Governance</w:t>
            </w:r>
            <w:r w:rsidR="00187E68">
              <w:rPr>
                <w:noProof/>
                <w:webHidden/>
              </w:rPr>
              <w:tab/>
            </w:r>
            <w:r w:rsidR="00187E68">
              <w:rPr>
                <w:noProof/>
                <w:webHidden/>
              </w:rPr>
              <w:fldChar w:fldCharType="begin"/>
            </w:r>
            <w:r w:rsidR="00187E68">
              <w:rPr>
                <w:noProof/>
                <w:webHidden/>
              </w:rPr>
              <w:instrText xml:space="preserve"> PAGEREF _Toc181626646 \h </w:instrText>
            </w:r>
            <w:r w:rsidR="00187E68">
              <w:rPr>
                <w:noProof/>
                <w:webHidden/>
              </w:rPr>
            </w:r>
            <w:r w:rsidR="00187E68">
              <w:rPr>
                <w:noProof/>
                <w:webHidden/>
              </w:rPr>
              <w:fldChar w:fldCharType="separate"/>
            </w:r>
            <w:r w:rsidR="00187E68">
              <w:rPr>
                <w:noProof/>
                <w:webHidden/>
              </w:rPr>
              <w:t>4</w:t>
            </w:r>
            <w:r w:rsidR="00187E68">
              <w:rPr>
                <w:noProof/>
                <w:webHidden/>
              </w:rPr>
              <w:fldChar w:fldCharType="end"/>
            </w:r>
          </w:hyperlink>
        </w:p>
        <w:p w14:paraId="4EC05CF3" w14:textId="364315F9" w:rsidR="00187E68" w:rsidRDefault="009E3E08">
          <w:pPr>
            <w:pStyle w:val="TableofFigures"/>
            <w:tabs>
              <w:tab w:val="right" w:leader="dot" w:pos="9350"/>
            </w:tabs>
            <w:rPr>
              <w:noProof/>
            </w:rPr>
          </w:pPr>
          <w:hyperlink w:anchor="_Toc181626647" w:history="1">
            <w:r w:rsidR="00187E68" w:rsidRPr="00560776">
              <w:rPr>
                <w:rStyle w:val="Hyperlink"/>
                <w:noProof/>
              </w:rPr>
              <w:t>Figure 3: Profitability Ratios</w:t>
            </w:r>
            <w:r w:rsidR="00187E68">
              <w:rPr>
                <w:noProof/>
                <w:webHidden/>
              </w:rPr>
              <w:tab/>
            </w:r>
            <w:r w:rsidR="00187E68">
              <w:rPr>
                <w:noProof/>
                <w:webHidden/>
              </w:rPr>
              <w:fldChar w:fldCharType="begin"/>
            </w:r>
            <w:r w:rsidR="00187E68">
              <w:rPr>
                <w:noProof/>
                <w:webHidden/>
              </w:rPr>
              <w:instrText xml:space="preserve"> PAGEREF _Toc181626647 \h </w:instrText>
            </w:r>
            <w:r w:rsidR="00187E68">
              <w:rPr>
                <w:noProof/>
                <w:webHidden/>
              </w:rPr>
            </w:r>
            <w:r w:rsidR="00187E68">
              <w:rPr>
                <w:noProof/>
                <w:webHidden/>
              </w:rPr>
              <w:fldChar w:fldCharType="separate"/>
            </w:r>
            <w:r w:rsidR="00187E68">
              <w:rPr>
                <w:noProof/>
                <w:webHidden/>
              </w:rPr>
              <w:t>11</w:t>
            </w:r>
            <w:r w:rsidR="00187E68">
              <w:rPr>
                <w:noProof/>
                <w:webHidden/>
              </w:rPr>
              <w:fldChar w:fldCharType="end"/>
            </w:r>
          </w:hyperlink>
        </w:p>
        <w:p w14:paraId="44BAA75A" w14:textId="7FB2295F" w:rsidR="00187E68" w:rsidRDefault="009E3E08">
          <w:pPr>
            <w:pStyle w:val="TableofFigures"/>
            <w:tabs>
              <w:tab w:val="right" w:leader="dot" w:pos="9350"/>
            </w:tabs>
            <w:rPr>
              <w:noProof/>
            </w:rPr>
          </w:pPr>
          <w:hyperlink w:anchor="_Toc181626648" w:history="1">
            <w:r w:rsidR="00187E68" w:rsidRPr="00560776">
              <w:rPr>
                <w:rStyle w:val="Hyperlink"/>
                <w:noProof/>
              </w:rPr>
              <w:t>Figure 4:Liquidity Ratio</w:t>
            </w:r>
            <w:r w:rsidR="00187E68">
              <w:rPr>
                <w:noProof/>
                <w:webHidden/>
              </w:rPr>
              <w:tab/>
            </w:r>
            <w:r w:rsidR="00187E68">
              <w:rPr>
                <w:noProof/>
                <w:webHidden/>
              </w:rPr>
              <w:fldChar w:fldCharType="begin"/>
            </w:r>
            <w:r w:rsidR="00187E68">
              <w:rPr>
                <w:noProof/>
                <w:webHidden/>
              </w:rPr>
              <w:instrText xml:space="preserve"> PAGEREF _Toc181626648 \h </w:instrText>
            </w:r>
            <w:r w:rsidR="00187E68">
              <w:rPr>
                <w:noProof/>
                <w:webHidden/>
              </w:rPr>
            </w:r>
            <w:r w:rsidR="00187E68">
              <w:rPr>
                <w:noProof/>
                <w:webHidden/>
              </w:rPr>
              <w:fldChar w:fldCharType="separate"/>
            </w:r>
            <w:r w:rsidR="00187E68">
              <w:rPr>
                <w:noProof/>
                <w:webHidden/>
              </w:rPr>
              <w:t>11</w:t>
            </w:r>
            <w:r w:rsidR="00187E68">
              <w:rPr>
                <w:noProof/>
                <w:webHidden/>
              </w:rPr>
              <w:fldChar w:fldCharType="end"/>
            </w:r>
          </w:hyperlink>
        </w:p>
        <w:p w14:paraId="47B2EFB4" w14:textId="49F14C8D" w:rsidR="00187E68" w:rsidRDefault="009E3E08">
          <w:pPr>
            <w:pStyle w:val="TableofFigures"/>
            <w:tabs>
              <w:tab w:val="right" w:leader="dot" w:pos="9350"/>
            </w:tabs>
            <w:rPr>
              <w:noProof/>
            </w:rPr>
          </w:pPr>
          <w:hyperlink w:anchor="_Toc181626649" w:history="1">
            <w:r w:rsidR="00187E68" w:rsidRPr="00560776">
              <w:rPr>
                <w:rStyle w:val="Hyperlink"/>
                <w:noProof/>
              </w:rPr>
              <w:t>Figure 5</w:t>
            </w:r>
            <w:r w:rsidR="00187E68" w:rsidRPr="00560776">
              <w:rPr>
                <w:rStyle w:val="Hyperlink"/>
                <w:noProof/>
                <w:lang w:val="en-US"/>
              </w:rPr>
              <w:t>: Efficiency Ratio</w:t>
            </w:r>
            <w:r w:rsidR="00187E68">
              <w:rPr>
                <w:noProof/>
                <w:webHidden/>
              </w:rPr>
              <w:tab/>
            </w:r>
            <w:r w:rsidR="00187E68">
              <w:rPr>
                <w:noProof/>
                <w:webHidden/>
              </w:rPr>
              <w:fldChar w:fldCharType="begin"/>
            </w:r>
            <w:r w:rsidR="00187E68">
              <w:rPr>
                <w:noProof/>
                <w:webHidden/>
              </w:rPr>
              <w:instrText xml:space="preserve"> PAGEREF _Toc181626649 \h </w:instrText>
            </w:r>
            <w:r w:rsidR="00187E68">
              <w:rPr>
                <w:noProof/>
                <w:webHidden/>
              </w:rPr>
            </w:r>
            <w:r w:rsidR="00187E68">
              <w:rPr>
                <w:noProof/>
                <w:webHidden/>
              </w:rPr>
              <w:fldChar w:fldCharType="separate"/>
            </w:r>
            <w:r w:rsidR="00187E68">
              <w:rPr>
                <w:noProof/>
                <w:webHidden/>
              </w:rPr>
              <w:t>12</w:t>
            </w:r>
            <w:r w:rsidR="00187E68">
              <w:rPr>
                <w:noProof/>
                <w:webHidden/>
              </w:rPr>
              <w:fldChar w:fldCharType="end"/>
            </w:r>
          </w:hyperlink>
        </w:p>
        <w:p w14:paraId="36A29539" w14:textId="61EC281D" w:rsidR="00187E68" w:rsidRDefault="009E3E08">
          <w:pPr>
            <w:pStyle w:val="TableofFigures"/>
            <w:tabs>
              <w:tab w:val="right" w:leader="dot" w:pos="9350"/>
            </w:tabs>
            <w:rPr>
              <w:noProof/>
            </w:rPr>
          </w:pPr>
          <w:hyperlink w:anchor="_Toc181626650" w:history="1">
            <w:r w:rsidR="00187E68" w:rsidRPr="00560776">
              <w:rPr>
                <w:rStyle w:val="Hyperlink"/>
                <w:noProof/>
              </w:rPr>
              <w:t>Figure 6</w:t>
            </w:r>
            <w:r w:rsidR="00187E68" w:rsidRPr="00560776">
              <w:rPr>
                <w:rStyle w:val="Hyperlink"/>
                <w:noProof/>
                <w:lang w:val="en-US"/>
              </w:rPr>
              <w:t>:Solvency Ratio</w:t>
            </w:r>
            <w:r w:rsidR="00187E68">
              <w:rPr>
                <w:noProof/>
                <w:webHidden/>
              </w:rPr>
              <w:tab/>
            </w:r>
            <w:r w:rsidR="00187E68">
              <w:rPr>
                <w:noProof/>
                <w:webHidden/>
              </w:rPr>
              <w:fldChar w:fldCharType="begin"/>
            </w:r>
            <w:r w:rsidR="00187E68">
              <w:rPr>
                <w:noProof/>
                <w:webHidden/>
              </w:rPr>
              <w:instrText xml:space="preserve"> PAGEREF _Toc181626650 \h </w:instrText>
            </w:r>
            <w:r w:rsidR="00187E68">
              <w:rPr>
                <w:noProof/>
                <w:webHidden/>
              </w:rPr>
            </w:r>
            <w:r w:rsidR="00187E68">
              <w:rPr>
                <w:noProof/>
                <w:webHidden/>
              </w:rPr>
              <w:fldChar w:fldCharType="separate"/>
            </w:r>
            <w:r w:rsidR="00187E68">
              <w:rPr>
                <w:noProof/>
                <w:webHidden/>
              </w:rPr>
              <w:t>12</w:t>
            </w:r>
            <w:r w:rsidR="00187E68">
              <w:rPr>
                <w:noProof/>
                <w:webHidden/>
              </w:rPr>
              <w:fldChar w:fldCharType="end"/>
            </w:r>
          </w:hyperlink>
        </w:p>
        <w:p w14:paraId="0815AFB0" w14:textId="50136B08" w:rsidR="00C43FE5" w:rsidRDefault="00187E68">
          <w:r>
            <w:rPr>
              <w:b/>
              <w:bCs/>
              <w:noProof/>
            </w:rPr>
            <w:fldChar w:fldCharType="end"/>
          </w:r>
        </w:p>
      </w:sdtContent>
    </w:sdt>
    <w:p w14:paraId="6CD87EBA" w14:textId="77777777" w:rsidR="00C43FE5" w:rsidRDefault="00C43FE5" w:rsidP="00247FBD">
      <w:pPr>
        <w:rPr>
          <w:rFonts w:cs="Times New Roman"/>
          <w:szCs w:val="24"/>
        </w:rPr>
      </w:pPr>
    </w:p>
    <w:p w14:paraId="215BF628" w14:textId="77777777" w:rsidR="00C43FE5" w:rsidRDefault="00C43FE5">
      <w:pPr>
        <w:spacing w:line="259" w:lineRule="auto"/>
        <w:jc w:val="left"/>
        <w:rPr>
          <w:rFonts w:eastAsiaTheme="majorEastAsia" w:cstheme="majorBidi"/>
          <w:b/>
          <w:color w:val="auto"/>
          <w:sz w:val="28"/>
          <w:szCs w:val="32"/>
        </w:rPr>
      </w:pPr>
      <w:r>
        <w:br w:type="page"/>
      </w:r>
    </w:p>
    <w:p w14:paraId="33CE6012" w14:textId="17F68EE3" w:rsidR="00782062" w:rsidRDefault="00B920A0" w:rsidP="00782062">
      <w:pPr>
        <w:pStyle w:val="Heading1"/>
      </w:pPr>
      <w:bookmarkStart w:id="0" w:name="_Toc181625482"/>
      <w:r>
        <w:lastRenderedPageBreak/>
        <w:t xml:space="preserve">1.0 </w:t>
      </w:r>
      <w:r w:rsidR="00782062">
        <w:t>Introduction</w:t>
      </w:r>
      <w:bookmarkEnd w:id="0"/>
      <w:r w:rsidR="00782062">
        <w:t xml:space="preserve"> </w:t>
      </w:r>
    </w:p>
    <w:p w14:paraId="5CADB1A7" w14:textId="2BDE6EAC" w:rsidR="008E3F88" w:rsidRDefault="008E3F88" w:rsidP="008E3F88">
      <w:r>
        <w:t>The corporate governance practices will be discussed in this report for Tesco plc which is the leading global retailer providing a wide range of products in a very customer-oriented business. However, the report will explain how governance practices enhance strategic management, risk management, stakeholder expectations, and financial performance. Furthermore, Tesco is one of the most subscribed supermarket chains globally, having been established in 1919, with several outlets charging a diverse workforce</w:t>
      </w:r>
      <w:r w:rsidR="00B920A0">
        <w:t xml:space="preserve"> (</w:t>
      </w:r>
      <w:r w:rsidR="00B920A0">
        <w:rPr>
          <w:rFonts w:cs="Times New Roman"/>
          <w:szCs w:val="24"/>
        </w:rPr>
        <w:t>Tesco plc, 2024</w:t>
      </w:r>
      <w:r w:rsidR="00B920A0">
        <w:t>)</w:t>
      </w:r>
      <w:r>
        <w:t>. Also, ethics and sustainability constitute part of the corporate governance framework, in which accountability and transparency are combined to be able to ensure appropriate creation of meaningful long-term value to the shareholders and the stakeholders</w:t>
      </w:r>
      <w:r w:rsidR="00DB351B">
        <w:t xml:space="preserve"> (</w:t>
      </w:r>
      <w:r w:rsidR="00DB351B">
        <w:rPr>
          <w:rFonts w:cs="Times New Roman"/>
          <w:szCs w:val="24"/>
        </w:rPr>
        <w:t>Tesco plc, 2024</w:t>
      </w:r>
      <w:r w:rsidR="00DB351B">
        <w:t>)</w:t>
      </w:r>
      <w:r>
        <w:t>.</w:t>
      </w:r>
    </w:p>
    <w:p w14:paraId="7521B1C9" w14:textId="77777777" w:rsidR="003B533D" w:rsidRDefault="003B533D" w:rsidP="003B533D">
      <w:pPr>
        <w:keepNext/>
        <w:jc w:val="center"/>
      </w:pPr>
      <w:r>
        <w:rPr>
          <w:noProof/>
        </w:rPr>
        <w:drawing>
          <wp:inline distT="0" distB="0" distL="0" distR="0" wp14:anchorId="569C7F77" wp14:editId="48EA8232">
            <wp:extent cx="3943350" cy="3486150"/>
            <wp:effectExtent l="0" t="0" r="0" b="0"/>
            <wp:docPr id="1724557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43350" cy="3486150"/>
                    </a:xfrm>
                    <a:prstGeom prst="rect">
                      <a:avLst/>
                    </a:prstGeom>
                    <a:noFill/>
                  </pic:spPr>
                </pic:pic>
              </a:graphicData>
            </a:graphic>
          </wp:inline>
        </w:drawing>
      </w:r>
    </w:p>
    <w:p w14:paraId="1C68D926" w14:textId="6AEBAB86" w:rsidR="003B533D" w:rsidRDefault="003B533D" w:rsidP="003B533D">
      <w:pPr>
        <w:pStyle w:val="Caption"/>
        <w:jc w:val="center"/>
      </w:pPr>
      <w:bookmarkStart w:id="1" w:name="_Toc181626645"/>
      <w:r>
        <w:t xml:space="preserve">Figure </w:t>
      </w:r>
      <w:r>
        <w:fldChar w:fldCharType="begin"/>
      </w:r>
      <w:r>
        <w:instrText xml:space="preserve"> SEQ Figure \* ARABIC </w:instrText>
      </w:r>
      <w:r>
        <w:fldChar w:fldCharType="separate"/>
      </w:r>
      <w:r w:rsidR="009026F4">
        <w:rPr>
          <w:noProof/>
        </w:rPr>
        <w:t>1</w:t>
      </w:r>
      <w:r>
        <w:fldChar w:fldCharType="end"/>
      </w:r>
      <w:r>
        <w:t>: Tesco Plc</w:t>
      </w:r>
      <w:bookmarkEnd w:id="1"/>
    </w:p>
    <w:p w14:paraId="4C5F6165" w14:textId="5B6AC4A2" w:rsidR="003B533D" w:rsidRDefault="00880B51" w:rsidP="00880B51">
      <w:pPr>
        <w:tabs>
          <w:tab w:val="left" w:pos="570"/>
          <w:tab w:val="center" w:pos="4680"/>
        </w:tabs>
        <w:jc w:val="left"/>
      </w:pPr>
      <w:r>
        <w:tab/>
      </w:r>
      <w:r>
        <w:tab/>
      </w:r>
      <w:r w:rsidR="00B920A0">
        <w:t>(</w:t>
      </w:r>
      <w:r w:rsidR="003B533D">
        <w:t>Source: Tesco PLC</w:t>
      </w:r>
      <w:r w:rsidR="00B920A0">
        <w:t>, 2024)</w:t>
      </w:r>
    </w:p>
    <w:p w14:paraId="4F61E22E" w14:textId="77777777" w:rsidR="00880B51" w:rsidRDefault="00880B51">
      <w:pPr>
        <w:spacing w:line="259" w:lineRule="auto"/>
        <w:jc w:val="left"/>
        <w:rPr>
          <w:rFonts w:eastAsiaTheme="majorEastAsia" w:cstheme="majorBidi"/>
          <w:b/>
          <w:color w:val="auto"/>
          <w:sz w:val="28"/>
          <w:szCs w:val="32"/>
          <w:lang w:val="en-US"/>
        </w:rPr>
      </w:pPr>
      <w:bookmarkStart w:id="2" w:name="_Toc181625483"/>
      <w:r>
        <w:rPr>
          <w:lang w:val="en-US"/>
        </w:rPr>
        <w:br w:type="page"/>
      </w:r>
    </w:p>
    <w:p w14:paraId="2059504F" w14:textId="2A065118" w:rsidR="00D9397E" w:rsidRDefault="00B920A0" w:rsidP="00D9397E">
      <w:pPr>
        <w:pStyle w:val="Heading1"/>
        <w:rPr>
          <w:lang w:val="en-US"/>
        </w:rPr>
      </w:pPr>
      <w:r>
        <w:rPr>
          <w:lang w:val="en-US"/>
        </w:rPr>
        <w:lastRenderedPageBreak/>
        <w:t xml:space="preserve">2.0 </w:t>
      </w:r>
      <w:r w:rsidR="00D9397E" w:rsidRPr="00D9397E">
        <w:rPr>
          <w:lang w:val="en-US"/>
        </w:rPr>
        <w:t>Importance of Corporate Governance Practices at Tesco</w:t>
      </w:r>
      <w:bookmarkEnd w:id="2"/>
    </w:p>
    <w:p w14:paraId="53237BA5" w14:textId="41E08F49" w:rsidR="008E3F88" w:rsidRDefault="00C30DBF" w:rsidP="008E3F88">
      <w:r w:rsidRPr="00C30DBF">
        <w:t>Corporate governance is the system whereby laws, customs, and processes guide and govern a company considering the various interests of its stakeholders, which may include shareholders, management, and the community. It is usually important because it gives assurance to provide accountability and transparency in ensuring strategic alignment, long-term success, reduction of risk, and achievement of sustainability in ethical corporate growth</w:t>
      </w:r>
      <w:r>
        <w:t xml:space="preserve"> (</w:t>
      </w:r>
      <w:proofErr w:type="spellStart"/>
      <w:r w:rsidRPr="00C30DBF">
        <w:rPr>
          <w:rFonts w:cs="Times New Roman"/>
          <w:szCs w:val="24"/>
        </w:rPr>
        <w:t>Almashhadani</w:t>
      </w:r>
      <w:proofErr w:type="spellEnd"/>
      <w:r w:rsidRPr="00C30DBF">
        <w:rPr>
          <w:rFonts w:cs="Times New Roman"/>
          <w:szCs w:val="24"/>
        </w:rPr>
        <w:t xml:space="preserve">, and </w:t>
      </w:r>
      <w:proofErr w:type="spellStart"/>
      <w:r w:rsidRPr="00C30DBF">
        <w:rPr>
          <w:rFonts w:cs="Times New Roman"/>
          <w:szCs w:val="24"/>
        </w:rPr>
        <w:t>Almashhadani</w:t>
      </w:r>
      <w:proofErr w:type="spellEnd"/>
      <w:r w:rsidRPr="00C30DBF">
        <w:rPr>
          <w:rFonts w:cs="Times New Roman"/>
          <w:szCs w:val="24"/>
        </w:rPr>
        <w:t>, 2023</w:t>
      </w:r>
      <w:r>
        <w:t>). On another hand, the c</w:t>
      </w:r>
      <w:r w:rsidR="008E3F88">
        <w:t>orporate governance is a way of ensuring that Tesco plc, the leading retail company in the UK, conducts its business in a manner fully compatible with long-term stability and growth and is ethically responsible. Tesco ensures a high level of corporate governance, reinforcing a culture of accountability, transparency, and the sustainable conduct of business in the light of all its operations, and thereby placing it in a position to make prudent decisions which enhance the interests of its shareholders and other stakeholders</w:t>
      </w:r>
      <w:r>
        <w:t xml:space="preserve"> </w:t>
      </w:r>
      <w:r>
        <w:rPr>
          <w:rFonts w:cs="Times New Roman"/>
          <w:szCs w:val="24"/>
          <w:lang w:val="en-US"/>
        </w:rPr>
        <w:t>(</w:t>
      </w:r>
      <w:r>
        <w:rPr>
          <w:rFonts w:cs="Times New Roman"/>
          <w:szCs w:val="24"/>
        </w:rPr>
        <w:t>Tesco Corporate Governance, 2024</w:t>
      </w:r>
      <w:r>
        <w:rPr>
          <w:rFonts w:cs="Times New Roman"/>
          <w:szCs w:val="24"/>
          <w:lang w:val="en-US"/>
        </w:rPr>
        <w:t>)</w:t>
      </w:r>
      <w:r w:rsidR="008E3F88">
        <w:t>.</w:t>
      </w:r>
    </w:p>
    <w:p w14:paraId="307FE2C0" w14:textId="77777777" w:rsidR="003B533D" w:rsidRDefault="003B533D" w:rsidP="003B533D">
      <w:pPr>
        <w:keepNext/>
        <w:jc w:val="center"/>
      </w:pPr>
      <w:r>
        <w:rPr>
          <w:noProof/>
        </w:rPr>
        <w:drawing>
          <wp:inline distT="0" distB="0" distL="0" distR="0" wp14:anchorId="7F43426E" wp14:editId="270CB23B">
            <wp:extent cx="5943600" cy="2540000"/>
            <wp:effectExtent l="0" t="0" r="0" b="0"/>
            <wp:docPr id="829824036" name="Picture 2" descr="Corporate Gover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rporate Governa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40000"/>
                    </a:xfrm>
                    <a:prstGeom prst="rect">
                      <a:avLst/>
                    </a:prstGeom>
                    <a:noFill/>
                    <a:ln>
                      <a:noFill/>
                    </a:ln>
                  </pic:spPr>
                </pic:pic>
              </a:graphicData>
            </a:graphic>
          </wp:inline>
        </w:drawing>
      </w:r>
    </w:p>
    <w:p w14:paraId="52568082" w14:textId="42179FA9" w:rsidR="003B533D" w:rsidRDefault="003B533D" w:rsidP="003B533D">
      <w:pPr>
        <w:pStyle w:val="Caption"/>
        <w:jc w:val="center"/>
      </w:pPr>
      <w:bookmarkStart w:id="3" w:name="_Toc181626646"/>
      <w:r>
        <w:t xml:space="preserve">Figure </w:t>
      </w:r>
      <w:r>
        <w:fldChar w:fldCharType="begin"/>
      </w:r>
      <w:r>
        <w:instrText xml:space="preserve"> SEQ Figure \* ARABIC </w:instrText>
      </w:r>
      <w:r>
        <w:fldChar w:fldCharType="separate"/>
      </w:r>
      <w:r w:rsidR="009026F4">
        <w:rPr>
          <w:noProof/>
        </w:rPr>
        <w:t>2</w:t>
      </w:r>
      <w:r>
        <w:fldChar w:fldCharType="end"/>
      </w:r>
      <w:r>
        <w:t>: Corporate Governance</w:t>
      </w:r>
      <w:bookmarkEnd w:id="3"/>
    </w:p>
    <w:p w14:paraId="7E10FB96" w14:textId="5A9E7154" w:rsidR="003B533D" w:rsidRDefault="00B920A0" w:rsidP="003B533D">
      <w:pPr>
        <w:jc w:val="center"/>
      </w:pPr>
      <w:r>
        <w:t>(</w:t>
      </w:r>
      <w:r w:rsidR="003B533D">
        <w:t>Source: Tesco PLC</w:t>
      </w:r>
      <w:r>
        <w:t>, 2024)</w:t>
      </w:r>
    </w:p>
    <w:p w14:paraId="2FCFF1A2" w14:textId="4D16B3A7" w:rsidR="00DB351B" w:rsidRDefault="00D9397E" w:rsidP="006B3583">
      <w:pPr>
        <w:rPr>
          <w:rFonts w:cs="Times New Roman"/>
          <w:szCs w:val="24"/>
          <w:lang w:val="en-US"/>
        </w:rPr>
      </w:pPr>
      <w:r w:rsidRPr="00D9397E">
        <w:rPr>
          <w:rFonts w:cs="Times New Roman"/>
          <w:b/>
          <w:bCs/>
          <w:szCs w:val="24"/>
          <w:lang w:val="en-US"/>
        </w:rPr>
        <w:t>Strategic Oversight and Risk Management</w:t>
      </w:r>
      <w:r w:rsidR="006B3583">
        <w:rPr>
          <w:rFonts w:cs="Times New Roman"/>
          <w:b/>
          <w:bCs/>
          <w:szCs w:val="24"/>
          <w:lang w:val="en-US"/>
        </w:rPr>
        <w:t xml:space="preserve">: </w:t>
      </w:r>
      <w:r w:rsidR="006B3583">
        <w:rPr>
          <w:rFonts w:cs="Times New Roman"/>
          <w:szCs w:val="24"/>
          <w:lang w:val="en-US"/>
        </w:rPr>
        <w:t>C</w:t>
      </w:r>
      <w:r w:rsidR="006B3583" w:rsidRPr="006B3583">
        <w:rPr>
          <w:rFonts w:cs="Times New Roman"/>
          <w:szCs w:val="24"/>
          <w:lang w:val="en-US"/>
        </w:rPr>
        <w:t xml:space="preserve">orporate governance at Tesco efficiently provides guidance towards the directing of strategic decisions within the organization in the way that best serves the interests of its long-term priorities. The Company's Board is responsible for setting the company's strategic direction and ensuring that the company operates within an effective internal control environment. The commitment to strategic oversight in the company is </w:t>
      </w:r>
      <w:r w:rsidR="006B3583" w:rsidRPr="006B3583">
        <w:rPr>
          <w:rFonts w:cs="Times New Roman"/>
          <w:szCs w:val="24"/>
          <w:lang w:val="en-US"/>
        </w:rPr>
        <w:lastRenderedPageBreak/>
        <w:t xml:space="preserve">further demonstrated through the Audit Committee, which provides assurance on the independence of financial reporting processes, including internal control and compliance, under continuous assessment and monitoring that enables Tesco to be resilient against sophisticated market conditions </w:t>
      </w:r>
      <w:r>
        <w:rPr>
          <w:rFonts w:cs="Times New Roman"/>
          <w:szCs w:val="24"/>
          <w:lang w:val="en-US"/>
        </w:rPr>
        <w:t>(</w:t>
      </w:r>
      <w:r>
        <w:rPr>
          <w:rFonts w:cs="Times New Roman"/>
          <w:szCs w:val="24"/>
        </w:rPr>
        <w:t>Tesco Corporate Governance, 2024</w:t>
      </w:r>
      <w:r>
        <w:rPr>
          <w:rFonts w:cs="Times New Roman"/>
          <w:szCs w:val="24"/>
          <w:lang w:val="en-US"/>
        </w:rPr>
        <w:t>)</w:t>
      </w:r>
      <w:r w:rsidR="006B3583">
        <w:rPr>
          <w:rFonts w:cs="Times New Roman"/>
          <w:szCs w:val="24"/>
          <w:lang w:val="en-US"/>
        </w:rPr>
        <w:t>.</w:t>
      </w:r>
      <w:r w:rsidR="00DB351B">
        <w:rPr>
          <w:rFonts w:cs="Times New Roman"/>
          <w:szCs w:val="24"/>
          <w:lang w:val="en-US"/>
        </w:rPr>
        <w:t xml:space="preserve"> On another hand, i</w:t>
      </w:r>
      <w:r w:rsidR="00DB351B" w:rsidRPr="00DB351B">
        <w:rPr>
          <w:rFonts w:cs="Times New Roman"/>
          <w:szCs w:val="24"/>
          <w:lang w:val="en-US"/>
        </w:rPr>
        <w:t xml:space="preserve">nternational business </w:t>
      </w:r>
      <w:r w:rsidR="00DB351B">
        <w:rPr>
          <w:rFonts w:cs="Times New Roman"/>
          <w:szCs w:val="24"/>
          <w:lang w:val="en-US"/>
        </w:rPr>
        <w:t>management</w:t>
      </w:r>
      <w:r w:rsidR="00DB351B" w:rsidRPr="00DB351B">
        <w:rPr>
          <w:rFonts w:cs="Times New Roman"/>
          <w:szCs w:val="24"/>
          <w:lang w:val="en-US"/>
        </w:rPr>
        <w:t xml:space="preserve"> needs risk management on par with uncertainties: political instability, cultural gaps, and gaps in knowledge of the local market friction. Strategies that might follow, in turns, to ensure effective risk would include informed selection of entry methods, partnership formations, internal and external evaluation of factors in order to avoid expensive failures. It also includes adaptation of business practices to conform to particular market demands and putting customers first in order to cut down on risks</w:t>
      </w:r>
      <w:r w:rsidR="00DB351B">
        <w:rPr>
          <w:rFonts w:cs="Times New Roman"/>
          <w:szCs w:val="24"/>
          <w:lang w:val="en-US"/>
        </w:rPr>
        <w:t xml:space="preserve"> (</w:t>
      </w:r>
      <w:proofErr w:type="spellStart"/>
      <w:r w:rsidR="00DB351B" w:rsidRPr="00DB351B">
        <w:rPr>
          <w:rFonts w:cs="Times New Roman"/>
          <w:szCs w:val="24"/>
        </w:rPr>
        <w:t>Burinskienė</w:t>
      </w:r>
      <w:proofErr w:type="spellEnd"/>
      <w:r w:rsidR="00DB351B" w:rsidRPr="00DB351B">
        <w:rPr>
          <w:rFonts w:cs="Times New Roman"/>
          <w:szCs w:val="24"/>
        </w:rPr>
        <w:t xml:space="preserve">, and </w:t>
      </w:r>
      <w:proofErr w:type="spellStart"/>
      <w:r w:rsidR="00DB351B" w:rsidRPr="00DB351B">
        <w:rPr>
          <w:rFonts w:cs="Times New Roman"/>
          <w:szCs w:val="24"/>
        </w:rPr>
        <w:t>Leonavičienė</w:t>
      </w:r>
      <w:proofErr w:type="spellEnd"/>
      <w:r w:rsidR="00DB351B" w:rsidRPr="00DB351B">
        <w:rPr>
          <w:rFonts w:cs="Times New Roman"/>
          <w:szCs w:val="24"/>
        </w:rPr>
        <w:t>, 2022</w:t>
      </w:r>
      <w:r w:rsidR="00DB351B">
        <w:rPr>
          <w:rFonts w:cs="Times New Roman"/>
          <w:szCs w:val="24"/>
          <w:lang w:val="en-US"/>
        </w:rPr>
        <w:t>)</w:t>
      </w:r>
      <w:r w:rsidR="00DB351B" w:rsidRPr="00DB351B">
        <w:rPr>
          <w:rFonts w:cs="Times New Roman"/>
          <w:szCs w:val="24"/>
          <w:lang w:val="en-US"/>
        </w:rPr>
        <w:t xml:space="preserve">. </w:t>
      </w:r>
    </w:p>
    <w:p w14:paraId="6B6D12E5" w14:textId="51B9C832" w:rsidR="006B3583" w:rsidRPr="006B3583" w:rsidRDefault="00D9397E" w:rsidP="00054AC6">
      <w:pPr>
        <w:rPr>
          <w:rFonts w:cs="Times New Roman"/>
          <w:szCs w:val="24"/>
          <w:lang w:val="en-US"/>
        </w:rPr>
      </w:pPr>
      <w:r w:rsidRPr="00D9397E">
        <w:rPr>
          <w:rFonts w:cs="Times New Roman"/>
          <w:b/>
          <w:bCs/>
          <w:szCs w:val="24"/>
          <w:lang w:val="en-US"/>
        </w:rPr>
        <w:t>Stakeholder Engagement and Communication</w:t>
      </w:r>
      <w:r w:rsidR="006B3583">
        <w:rPr>
          <w:rFonts w:cs="Times New Roman"/>
          <w:b/>
          <w:bCs/>
          <w:szCs w:val="24"/>
          <w:lang w:val="en-US"/>
        </w:rPr>
        <w:t xml:space="preserve">: </w:t>
      </w:r>
      <w:r w:rsidR="006B3583" w:rsidRPr="006B3583">
        <w:rPr>
          <w:rFonts w:cs="Times New Roman"/>
          <w:szCs w:val="24"/>
          <w:lang w:val="en-US"/>
        </w:rPr>
        <w:t>Openness and candor in its attitude toward corporate governance is what Tesco is all about, and this Board, along with its executive leadership, is really committed to fostering better interaction with shareholders, employees, customers, and suppliers alike to ensure their interest in the way the business makes decisions</w:t>
      </w:r>
      <w:r w:rsidR="00054AC6">
        <w:rPr>
          <w:rFonts w:cs="Times New Roman"/>
          <w:szCs w:val="24"/>
          <w:lang w:val="en-US"/>
        </w:rPr>
        <w:t xml:space="preserve"> </w:t>
      </w:r>
      <w:r w:rsidR="00054AC6" w:rsidRPr="00054AC6">
        <w:rPr>
          <w:rFonts w:cs="Times New Roman"/>
          <w:szCs w:val="24"/>
          <w:lang w:val="en-US"/>
        </w:rPr>
        <w:t>(Jones, 2023)</w:t>
      </w:r>
      <w:r w:rsidR="006B3583" w:rsidRPr="006B3583">
        <w:rPr>
          <w:rFonts w:cs="Times New Roman"/>
          <w:szCs w:val="24"/>
          <w:lang w:val="en-US"/>
        </w:rPr>
        <w:t>. This becomes achieved through the functions of the Chairman and the Senior Independent Non-executive Director in promoting dialogue with the essential stakeholders in a bid to engender trust and confidence in Tesco's operations</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 The resultant outcome will reassure the investors that this Board is committed to ethical governance and accountability.</w:t>
      </w:r>
    </w:p>
    <w:p w14:paraId="1C844870" w14:textId="0851CF9F" w:rsidR="00D9397E" w:rsidRPr="00D9397E" w:rsidRDefault="00D9397E" w:rsidP="00054AC6">
      <w:pPr>
        <w:rPr>
          <w:rFonts w:cs="Times New Roman"/>
          <w:szCs w:val="24"/>
          <w:lang w:val="en-US"/>
        </w:rPr>
      </w:pPr>
      <w:r w:rsidRPr="00D9397E">
        <w:rPr>
          <w:rFonts w:cs="Times New Roman"/>
          <w:b/>
          <w:bCs/>
          <w:szCs w:val="24"/>
          <w:lang w:val="en-US"/>
        </w:rPr>
        <w:t>Commitment to Sustainability</w:t>
      </w:r>
      <w:r w:rsidR="006B3583">
        <w:rPr>
          <w:rFonts w:cs="Times New Roman"/>
          <w:b/>
          <w:bCs/>
          <w:szCs w:val="24"/>
          <w:lang w:val="en-US"/>
        </w:rPr>
        <w:t xml:space="preserve">: </w:t>
      </w:r>
      <w:r w:rsidR="006B3583" w:rsidRPr="006B3583">
        <w:rPr>
          <w:rFonts w:cs="Times New Roman"/>
          <w:szCs w:val="24"/>
          <w:lang w:val="en-US"/>
        </w:rPr>
        <w:t>This proves that Tesco is concerned with long-term sustainability in the way the group has embedded ESG considerations into its corporate governance practices. The Sustainability Committee is frontline in monitoring Tesco's environmental goals, such as Group net ZERO goals concerning human rights and community engagements</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 At Tesco, addressing sustainability through governance structures represents a forward-looking approach in terms of ESG; hence, it may appeal to such stakeholders who have a particular interest in corporate responsibility and environmental stewardship</w:t>
      </w:r>
      <w:r w:rsidR="00054AC6">
        <w:rPr>
          <w:rFonts w:cs="Times New Roman"/>
          <w:szCs w:val="24"/>
          <w:lang w:val="en-US"/>
        </w:rPr>
        <w:t xml:space="preserve"> </w:t>
      </w:r>
      <w:r w:rsidR="00054AC6" w:rsidRPr="00054AC6">
        <w:rPr>
          <w:rFonts w:cs="Times New Roman"/>
          <w:szCs w:val="24"/>
          <w:lang w:val="en-US"/>
        </w:rPr>
        <w:t>(Zandi, Singh, and Shahzad, 2021)</w:t>
      </w:r>
      <w:r w:rsidR="006B3583" w:rsidRPr="006B3583">
        <w:rPr>
          <w:rFonts w:cs="Times New Roman"/>
          <w:szCs w:val="24"/>
          <w:lang w:val="en-US"/>
        </w:rPr>
        <w:t>.</w:t>
      </w:r>
    </w:p>
    <w:p w14:paraId="1DE1A6A4" w14:textId="451F820A" w:rsidR="00D9397E" w:rsidRPr="00D9397E" w:rsidRDefault="00D9397E" w:rsidP="00D9397E">
      <w:pPr>
        <w:rPr>
          <w:rFonts w:cs="Times New Roman"/>
          <w:szCs w:val="24"/>
          <w:lang w:val="en-US"/>
        </w:rPr>
      </w:pPr>
      <w:r w:rsidRPr="00D9397E">
        <w:rPr>
          <w:rFonts w:cs="Times New Roman"/>
          <w:b/>
          <w:bCs/>
          <w:szCs w:val="24"/>
          <w:lang w:val="en-US"/>
        </w:rPr>
        <w:t>Clear Roles and Responsibilities</w:t>
      </w:r>
      <w:r w:rsidR="006B3583">
        <w:rPr>
          <w:rFonts w:cs="Times New Roman"/>
          <w:b/>
          <w:bCs/>
          <w:szCs w:val="24"/>
          <w:lang w:val="en-US"/>
        </w:rPr>
        <w:t xml:space="preserve">: </w:t>
      </w:r>
      <w:r w:rsidR="006B3583" w:rsidRPr="006B3583">
        <w:rPr>
          <w:rFonts w:cs="Times New Roman"/>
          <w:szCs w:val="24"/>
          <w:lang w:val="en-US"/>
        </w:rPr>
        <w:t xml:space="preserve">The clear division of responsibility among the members of the Board and its committees will avoid the tyranny of the individual or any group at Tesco. Since the Board has clearly distinguished different roles, the role of every Board member is </w:t>
      </w:r>
      <w:r w:rsidR="006B3583" w:rsidRPr="006B3583">
        <w:rPr>
          <w:rFonts w:cs="Times New Roman"/>
          <w:szCs w:val="24"/>
          <w:lang w:val="en-US"/>
        </w:rPr>
        <w:lastRenderedPageBreak/>
        <w:t>outlined with a view to ensuring that the approach adopted is balanced and objective. For instance, the Chair always leaves the leading of the Board to ensure that the entity is efficiently governed, while running the day-to-day operations and developing of appropriate strategies remain vested in the Group Chief Executive</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 This arrangement puts in place other crucial arms of Tesco's commitment to transparency and ethical management eliminates conflicts of interest and allows accountability.</w:t>
      </w:r>
    </w:p>
    <w:p w14:paraId="6D2F864B" w14:textId="1AB7EC51" w:rsidR="006B3583" w:rsidRPr="006B3583" w:rsidRDefault="00D9397E" w:rsidP="00054AC6">
      <w:pPr>
        <w:rPr>
          <w:rFonts w:cs="Times New Roman"/>
          <w:szCs w:val="24"/>
          <w:lang w:val="en-US"/>
        </w:rPr>
      </w:pPr>
      <w:r w:rsidRPr="00D9397E">
        <w:rPr>
          <w:rFonts w:cs="Times New Roman"/>
          <w:b/>
          <w:bCs/>
          <w:szCs w:val="24"/>
          <w:lang w:val="en-US"/>
        </w:rPr>
        <w:t>Enhanced Financial Integrity and Control</w:t>
      </w:r>
      <w:r w:rsidR="006B3583">
        <w:rPr>
          <w:rFonts w:cs="Times New Roman"/>
          <w:b/>
          <w:bCs/>
          <w:szCs w:val="24"/>
          <w:lang w:val="en-US"/>
        </w:rPr>
        <w:t xml:space="preserve">: </w:t>
      </w:r>
      <w:r w:rsidR="006B3583" w:rsidRPr="006B3583">
        <w:rPr>
          <w:rFonts w:cs="Times New Roman"/>
          <w:szCs w:val="24"/>
          <w:lang w:val="en-US"/>
        </w:rPr>
        <w:t>The corporate governance practices at Tesco also seek to ensure the financial integrity and transparency of all the reporting processes. The Audit Committee would therefore, play a wholesome role in guiding the company's financial reporting to ensure its accuracy and observance of regulatory prescriptions</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 In this context, Tesco maintains prestige through the promotion of healthy financial dealings and independent auditing whereby the stakeholders continue to have faith in its financial strength and accountability</w:t>
      </w:r>
      <w:r w:rsidR="00054AC6">
        <w:rPr>
          <w:rFonts w:cs="Times New Roman"/>
          <w:szCs w:val="24"/>
          <w:lang w:val="en-US"/>
        </w:rPr>
        <w:t xml:space="preserve"> </w:t>
      </w:r>
      <w:r w:rsidR="00054AC6" w:rsidRPr="00054AC6">
        <w:rPr>
          <w:rFonts w:cs="Times New Roman"/>
          <w:szCs w:val="24"/>
          <w:lang w:val="en-US"/>
        </w:rPr>
        <w:t>(und Recht, 2022)</w:t>
      </w:r>
      <w:r w:rsidR="006B3583" w:rsidRPr="006B3583">
        <w:rPr>
          <w:rFonts w:cs="Times New Roman"/>
          <w:szCs w:val="24"/>
          <w:lang w:val="en-US"/>
        </w:rPr>
        <w:t>.</w:t>
      </w:r>
    </w:p>
    <w:p w14:paraId="160B2154" w14:textId="77777777" w:rsidR="00880B51" w:rsidRDefault="00880B51">
      <w:pPr>
        <w:spacing w:line="259" w:lineRule="auto"/>
        <w:jc w:val="left"/>
        <w:rPr>
          <w:rFonts w:eastAsiaTheme="majorEastAsia" w:cstheme="majorBidi"/>
          <w:b/>
          <w:color w:val="auto"/>
          <w:sz w:val="28"/>
          <w:szCs w:val="32"/>
          <w:lang w:val="en-US"/>
        </w:rPr>
      </w:pPr>
      <w:bookmarkStart w:id="4" w:name="_Toc181625484"/>
      <w:r>
        <w:rPr>
          <w:lang w:val="en-US"/>
        </w:rPr>
        <w:br w:type="page"/>
      </w:r>
    </w:p>
    <w:p w14:paraId="623636CC" w14:textId="792EDE17" w:rsidR="00D9397E" w:rsidRPr="00D9397E" w:rsidRDefault="00B920A0" w:rsidP="00D9397E">
      <w:pPr>
        <w:pStyle w:val="Heading1"/>
        <w:rPr>
          <w:lang w:val="en-US"/>
        </w:rPr>
      </w:pPr>
      <w:r>
        <w:rPr>
          <w:lang w:val="en-US"/>
        </w:rPr>
        <w:lastRenderedPageBreak/>
        <w:t xml:space="preserve">3.0 </w:t>
      </w:r>
      <w:r w:rsidR="00D9397E" w:rsidRPr="00D9397E">
        <w:rPr>
          <w:lang w:val="en-US"/>
        </w:rPr>
        <w:t>Corporate Governance Variables Identified in Tesco</w:t>
      </w:r>
      <w:bookmarkEnd w:id="4"/>
    </w:p>
    <w:p w14:paraId="54E1224D" w14:textId="6BBA7A99" w:rsidR="00D9397E" w:rsidRPr="00D9397E" w:rsidRDefault="00D9397E" w:rsidP="00D9397E">
      <w:pPr>
        <w:rPr>
          <w:rFonts w:cs="Times New Roman"/>
          <w:szCs w:val="24"/>
          <w:lang w:val="en-US"/>
        </w:rPr>
      </w:pPr>
      <w:r w:rsidRPr="00D9397E">
        <w:rPr>
          <w:rFonts w:cs="Times New Roman"/>
          <w:b/>
          <w:bCs/>
          <w:szCs w:val="24"/>
          <w:lang w:val="en-US"/>
        </w:rPr>
        <w:t>Board Composition and Responsibility</w:t>
      </w:r>
    </w:p>
    <w:p w14:paraId="5BEDB6EB" w14:textId="16EC1E83" w:rsidR="00D9397E" w:rsidRPr="00D9397E" w:rsidRDefault="006B3583" w:rsidP="00D9397E">
      <w:pPr>
        <w:rPr>
          <w:rFonts w:cs="Times New Roman"/>
          <w:szCs w:val="24"/>
          <w:lang w:val="en-US"/>
        </w:rPr>
      </w:pPr>
      <w:r w:rsidRPr="006B3583">
        <w:rPr>
          <w:rFonts w:cs="Times New Roman"/>
          <w:szCs w:val="24"/>
          <w:lang w:val="en-US"/>
        </w:rPr>
        <w:t>Tesco is organized in such a way that the Board of Directors leads the businesses in the right direction, enabling the company to carry on its activities with its values and mission in mind. The combined role of the Board includes strategy, risk, and long-term value creation. Even more so, the role of an individual director-from the Chair down to Non-executive Directors-was clearly defined to make sure that no one member could dominate the Board</w:t>
      </w:r>
      <w:r>
        <w:rPr>
          <w:rFonts w:cs="Times New Roman"/>
          <w:szCs w:val="24"/>
          <w:lang w:val="en-US"/>
        </w:rPr>
        <w:t xml:space="preserve"> (</w:t>
      </w:r>
      <w:r>
        <w:rPr>
          <w:rFonts w:cs="Times New Roman"/>
          <w:szCs w:val="24"/>
        </w:rPr>
        <w:t>Tesco Corporate Governance, 2024</w:t>
      </w:r>
      <w:r>
        <w:rPr>
          <w:rFonts w:cs="Times New Roman"/>
          <w:szCs w:val="24"/>
          <w:lang w:val="en-US"/>
        </w:rPr>
        <w:t>)</w:t>
      </w:r>
      <w:r w:rsidRPr="006B3583">
        <w:rPr>
          <w:rFonts w:cs="Times New Roman"/>
          <w:szCs w:val="24"/>
          <w:lang w:val="en-US"/>
        </w:rPr>
        <w:t>. This also encompasses the role of the Chair in facilitating open and effective communication, agreeing on an agenda, and making interventions that ensure the work of the Board is efficiently conducted to a successful conclusion.</w:t>
      </w:r>
    </w:p>
    <w:p w14:paraId="498F3222" w14:textId="46BA1D00" w:rsidR="00D9397E" w:rsidRDefault="00D9397E" w:rsidP="00D9397E">
      <w:pPr>
        <w:rPr>
          <w:rFonts w:cs="Times New Roman"/>
          <w:b/>
          <w:bCs/>
          <w:szCs w:val="24"/>
          <w:lang w:val="en-US"/>
        </w:rPr>
      </w:pPr>
      <w:r w:rsidRPr="00D9397E">
        <w:rPr>
          <w:rFonts w:cs="Times New Roman"/>
          <w:b/>
          <w:bCs/>
          <w:szCs w:val="24"/>
          <w:lang w:val="en-US"/>
        </w:rPr>
        <w:t>Specialized Committees for Focused Oversight</w:t>
      </w:r>
    </w:p>
    <w:p w14:paraId="0AB3B1EA" w14:textId="77777777" w:rsidR="006B3583" w:rsidRPr="006B3583" w:rsidRDefault="006B3583" w:rsidP="006B3583">
      <w:pPr>
        <w:rPr>
          <w:rFonts w:cs="Times New Roman"/>
          <w:szCs w:val="24"/>
          <w:lang w:val="en-US"/>
        </w:rPr>
      </w:pPr>
      <w:proofErr w:type="spellStart"/>
      <w:r w:rsidRPr="006B3583">
        <w:rPr>
          <w:rFonts w:cs="Times New Roman"/>
          <w:szCs w:val="24"/>
          <w:lang w:val="en-US"/>
        </w:rPr>
        <w:t>Specialised</w:t>
      </w:r>
      <w:proofErr w:type="spellEnd"/>
      <w:r w:rsidRPr="006B3583">
        <w:rPr>
          <w:rFonts w:cs="Times New Roman"/>
          <w:szCs w:val="24"/>
          <w:lang w:val="en-US"/>
        </w:rPr>
        <w:t xml:space="preserve"> Committees support Tesco's Board in relation to the following:</w:t>
      </w:r>
    </w:p>
    <w:p w14:paraId="164FD66D" w14:textId="6E04B502" w:rsidR="006B3583" w:rsidRDefault="00D9397E" w:rsidP="006B3583">
      <w:pPr>
        <w:rPr>
          <w:rFonts w:cs="Times New Roman"/>
          <w:szCs w:val="24"/>
          <w:lang w:val="en-US"/>
        </w:rPr>
      </w:pPr>
      <w:r w:rsidRPr="00D9397E">
        <w:rPr>
          <w:rFonts w:cs="Times New Roman"/>
          <w:b/>
          <w:bCs/>
          <w:szCs w:val="24"/>
          <w:lang w:val="en-US"/>
        </w:rPr>
        <w:t>Audit Committee</w:t>
      </w:r>
      <w:r w:rsidRPr="00D9397E">
        <w:rPr>
          <w:rFonts w:cs="Times New Roman"/>
          <w:szCs w:val="24"/>
          <w:lang w:val="en-US"/>
        </w:rPr>
        <w:t xml:space="preserve">: </w:t>
      </w:r>
      <w:r w:rsidR="006B3583" w:rsidRPr="006B3583">
        <w:rPr>
          <w:rFonts w:cs="Times New Roman"/>
          <w:szCs w:val="24"/>
          <w:lang w:val="en-US"/>
        </w:rPr>
        <w:t>The scope will encompass integrity in financial reporting, internal controls, and compliance to ensure Tesco is transparent where its finances are concerned.</w:t>
      </w:r>
    </w:p>
    <w:p w14:paraId="6764CA1E" w14:textId="75B2EA83" w:rsidR="006B3583" w:rsidRDefault="00D9397E" w:rsidP="00054AC6">
      <w:pPr>
        <w:rPr>
          <w:rFonts w:cs="Times New Roman"/>
          <w:szCs w:val="24"/>
          <w:lang w:val="en-US"/>
        </w:rPr>
      </w:pPr>
      <w:r w:rsidRPr="00D9397E">
        <w:rPr>
          <w:rFonts w:cs="Times New Roman"/>
          <w:b/>
          <w:bCs/>
          <w:szCs w:val="24"/>
          <w:lang w:val="en-US"/>
        </w:rPr>
        <w:t>Nominations and Governance Committee</w:t>
      </w:r>
      <w:r w:rsidRPr="00D9397E">
        <w:rPr>
          <w:rFonts w:cs="Times New Roman"/>
          <w:szCs w:val="24"/>
          <w:lang w:val="en-US"/>
        </w:rPr>
        <w:t xml:space="preserve">: </w:t>
      </w:r>
      <w:r w:rsidR="006B3583" w:rsidRPr="006B3583">
        <w:rPr>
          <w:rFonts w:cs="Times New Roman"/>
          <w:szCs w:val="24"/>
          <w:lang w:val="en-US"/>
        </w:rPr>
        <w:t>It leads in board compositions, succession planning, and governance policies</w:t>
      </w:r>
      <w:r w:rsidR="00054AC6">
        <w:rPr>
          <w:rFonts w:cs="Times New Roman"/>
          <w:szCs w:val="24"/>
          <w:lang w:val="en-US"/>
        </w:rPr>
        <w:t xml:space="preserve"> </w:t>
      </w:r>
      <w:r w:rsidR="00054AC6" w:rsidRPr="00054AC6">
        <w:rPr>
          <w:rFonts w:cs="Times New Roman"/>
          <w:szCs w:val="24"/>
          <w:lang w:val="en-US"/>
        </w:rPr>
        <w:t>(Student, 2021)</w:t>
      </w:r>
      <w:r w:rsidR="006B3583" w:rsidRPr="006B3583">
        <w:rPr>
          <w:rFonts w:cs="Times New Roman"/>
          <w:szCs w:val="24"/>
          <w:lang w:val="en-US"/>
        </w:rPr>
        <w:t>.</w:t>
      </w:r>
    </w:p>
    <w:p w14:paraId="55EF3B1A" w14:textId="7B5B4328" w:rsidR="006B3583" w:rsidRDefault="00D9397E" w:rsidP="006B3583">
      <w:pPr>
        <w:rPr>
          <w:rFonts w:cs="Times New Roman"/>
          <w:szCs w:val="24"/>
          <w:lang w:val="en-US"/>
        </w:rPr>
      </w:pPr>
      <w:r w:rsidRPr="00D9397E">
        <w:rPr>
          <w:rFonts w:cs="Times New Roman"/>
          <w:b/>
          <w:bCs/>
          <w:szCs w:val="24"/>
          <w:lang w:val="en-US"/>
        </w:rPr>
        <w:t>Remuneration Committee</w:t>
      </w:r>
      <w:r w:rsidRPr="00D9397E">
        <w:rPr>
          <w:rFonts w:cs="Times New Roman"/>
          <w:szCs w:val="24"/>
          <w:lang w:val="en-US"/>
        </w:rPr>
        <w:t xml:space="preserve">: </w:t>
      </w:r>
      <w:r w:rsidR="006B3583" w:rsidRPr="006B3583">
        <w:rPr>
          <w:rFonts w:cs="Times New Roman"/>
          <w:szCs w:val="24"/>
          <w:lang w:val="en-US"/>
        </w:rPr>
        <w:t>The committee ensures that the remuneration policy for executives of the firm is proper and compatible with the performance of the company and the interest of stakeholders</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w:t>
      </w:r>
    </w:p>
    <w:p w14:paraId="4A32867C" w14:textId="77777777" w:rsidR="006B3583" w:rsidRPr="006B3583" w:rsidRDefault="00D9397E" w:rsidP="006B3583">
      <w:pPr>
        <w:rPr>
          <w:rFonts w:cs="Times New Roman"/>
          <w:szCs w:val="24"/>
          <w:lang w:val="en-US"/>
        </w:rPr>
      </w:pPr>
      <w:r w:rsidRPr="00D9397E">
        <w:rPr>
          <w:rFonts w:cs="Times New Roman"/>
          <w:b/>
          <w:bCs/>
          <w:szCs w:val="24"/>
          <w:lang w:val="en-US"/>
        </w:rPr>
        <w:t>Sustainability Committee</w:t>
      </w:r>
      <w:r w:rsidRPr="00D9397E">
        <w:rPr>
          <w:rFonts w:cs="Times New Roman"/>
          <w:szCs w:val="24"/>
          <w:lang w:val="en-US"/>
        </w:rPr>
        <w:t xml:space="preserve">: </w:t>
      </w:r>
      <w:r w:rsidR="006B3583" w:rsidRPr="006B3583">
        <w:rPr>
          <w:rFonts w:cs="Times New Roman"/>
          <w:szCs w:val="24"/>
          <w:lang w:val="en-US"/>
        </w:rPr>
        <w:t>These will also help chart the road map forward on environmental and social goals with respect to the Company's overall sustainability effort in concert with its net-zero commitments.</w:t>
      </w:r>
    </w:p>
    <w:p w14:paraId="77DC6C28" w14:textId="6C6DD398" w:rsidR="006B3583" w:rsidRPr="006B3583" w:rsidRDefault="00D9397E" w:rsidP="00054AC6">
      <w:pPr>
        <w:rPr>
          <w:rFonts w:cs="Times New Roman"/>
          <w:szCs w:val="24"/>
          <w:lang w:val="en-US"/>
        </w:rPr>
      </w:pPr>
      <w:r w:rsidRPr="00D9397E">
        <w:rPr>
          <w:rFonts w:cs="Times New Roman"/>
          <w:b/>
          <w:bCs/>
          <w:szCs w:val="24"/>
          <w:lang w:val="en-US"/>
        </w:rPr>
        <w:t>Comprehensive Risk Management</w:t>
      </w:r>
      <w:r w:rsidR="006B3583">
        <w:rPr>
          <w:rFonts w:cs="Times New Roman"/>
          <w:b/>
          <w:bCs/>
          <w:szCs w:val="24"/>
          <w:lang w:val="en-US"/>
        </w:rPr>
        <w:t xml:space="preserve">: </w:t>
      </w:r>
      <w:r w:rsidR="006B3583" w:rsidRPr="006B3583">
        <w:rPr>
          <w:rFonts w:cs="Times New Roman"/>
          <w:szCs w:val="24"/>
          <w:lang w:val="en-US"/>
        </w:rPr>
        <w:t>One of the most important aspects of corporate governance at Tesco is risk management. There is a committed Group Risk and Compliance Committee oversight, as well as that from the Cyber Committee. Identification, monitoring, and mitigation are taken as the main elements of business and compliance risks by the committees</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 xml:space="preserve">. An example would be how the Cyber Committee ensured governance on cybersecurity risks and ways in which the Group Risk and Compliance </w:t>
      </w:r>
      <w:r w:rsidR="006B3583" w:rsidRPr="006B3583">
        <w:rPr>
          <w:rFonts w:cs="Times New Roman"/>
          <w:szCs w:val="24"/>
          <w:lang w:val="en-US"/>
        </w:rPr>
        <w:lastRenderedPageBreak/>
        <w:t>Committee reviewed both the operational and strategic risks. Tesco takes early intervention measures against such emerging risks, which massively raises overall resilience to external shocks and underpins competitiveness</w:t>
      </w:r>
      <w:r w:rsidR="00054AC6">
        <w:rPr>
          <w:rFonts w:cs="Times New Roman"/>
          <w:szCs w:val="24"/>
          <w:lang w:val="en-US"/>
        </w:rPr>
        <w:t xml:space="preserve"> </w:t>
      </w:r>
      <w:r w:rsidR="00054AC6" w:rsidRPr="00054AC6">
        <w:rPr>
          <w:rFonts w:cs="Times New Roman"/>
          <w:szCs w:val="24"/>
          <w:lang w:val="en-US"/>
        </w:rPr>
        <w:t>(Jung, 2022)</w:t>
      </w:r>
      <w:r w:rsidR="006B3583" w:rsidRPr="006B3583">
        <w:rPr>
          <w:rFonts w:cs="Times New Roman"/>
          <w:szCs w:val="24"/>
          <w:lang w:val="en-US"/>
        </w:rPr>
        <w:t>.</w:t>
      </w:r>
    </w:p>
    <w:p w14:paraId="095EA6F9" w14:textId="267CE5E2" w:rsidR="00D9397E" w:rsidRPr="00D9397E" w:rsidRDefault="00D9397E" w:rsidP="00D9397E">
      <w:pPr>
        <w:rPr>
          <w:rFonts w:cs="Times New Roman"/>
          <w:szCs w:val="24"/>
          <w:lang w:val="en-US"/>
        </w:rPr>
      </w:pPr>
      <w:r w:rsidRPr="00D9397E">
        <w:rPr>
          <w:rFonts w:cs="Times New Roman"/>
          <w:b/>
          <w:bCs/>
          <w:szCs w:val="24"/>
          <w:lang w:val="en-US"/>
        </w:rPr>
        <w:t>Stakeholder Engagement and Communication Channels</w:t>
      </w:r>
      <w:r w:rsidR="006B3583">
        <w:rPr>
          <w:rFonts w:cs="Times New Roman"/>
          <w:b/>
          <w:bCs/>
          <w:szCs w:val="24"/>
          <w:lang w:val="en-US"/>
        </w:rPr>
        <w:t xml:space="preserve">: </w:t>
      </w:r>
      <w:r w:rsidR="006B3583" w:rsidRPr="006B3583">
        <w:rPr>
          <w:rFonts w:cs="Times New Roman"/>
          <w:szCs w:val="24"/>
          <w:lang w:val="en-US"/>
        </w:rPr>
        <w:t>The governance framework of Tesco is very much committed to stakeholder communications, especially to the shareholders, employees, and customers. There was the need for an intermediary who would be available for service to stakeholders when the normal channels of communication could not be used; hence, the Senior Independent Director</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 An account will also be made by the Chair and Group for ensuring that stakeholders' communications are open with clarity on the ground to further help instill the values of openness and trust.</w:t>
      </w:r>
    </w:p>
    <w:p w14:paraId="00D6D68A" w14:textId="208BCEDE" w:rsidR="00D9397E" w:rsidRPr="00D9397E" w:rsidRDefault="00D9397E" w:rsidP="00D9397E">
      <w:pPr>
        <w:rPr>
          <w:rFonts w:cs="Times New Roman"/>
          <w:szCs w:val="24"/>
          <w:lang w:val="en-US"/>
        </w:rPr>
      </w:pPr>
      <w:r w:rsidRPr="00D9397E">
        <w:rPr>
          <w:rFonts w:cs="Times New Roman"/>
          <w:b/>
          <w:bCs/>
          <w:szCs w:val="24"/>
          <w:lang w:val="en-US"/>
        </w:rPr>
        <w:t>Sustainability and Environmental Accountability</w:t>
      </w:r>
      <w:r w:rsidR="006B3583">
        <w:rPr>
          <w:rFonts w:cs="Times New Roman"/>
          <w:b/>
          <w:bCs/>
          <w:szCs w:val="24"/>
          <w:lang w:val="en-US"/>
        </w:rPr>
        <w:t xml:space="preserve">: </w:t>
      </w:r>
      <w:r w:rsidR="006B3583" w:rsidRPr="006B3583">
        <w:rPr>
          <w:rFonts w:cs="Times New Roman"/>
          <w:szCs w:val="24"/>
          <w:lang w:val="en-US"/>
        </w:rPr>
        <w:t>The sustainability-related components include the Sustainability Committee and the Group Planet Committee within Tesco's governance model. These committees are responsible for the governance of Tesco's climate-related work, net zero goals, and observances of social responsibility</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 Sustainability objectives being an integral part of core operations will make Tesco more attractive to those stakeholders who place considerable value on ethics in business operations.</w:t>
      </w:r>
    </w:p>
    <w:p w14:paraId="7B170333" w14:textId="2E8BE43B" w:rsidR="006B3583" w:rsidRPr="006B3583" w:rsidRDefault="00D9397E" w:rsidP="006B3583">
      <w:pPr>
        <w:rPr>
          <w:rFonts w:cs="Times New Roman"/>
          <w:szCs w:val="24"/>
          <w:lang w:val="en-US"/>
        </w:rPr>
      </w:pPr>
      <w:r w:rsidRPr="00D9397E">
        <w:rPr>
          <w:rFonts w:cs="Times New Roman"/>
          <w:b/>
          <w:bCs/>
          <w:szCs w:val="24"/>
          <w:lang w:val="en-US"/>
        </w:rPr>
        <w:t>Financial Integrity and Internal Controls</w:t>
      </w:r>
      <w:r w:rsidR="006B3583">
        <w:rPr>
          <w:rFonts w:cs="Times New Roman"/>
          <w:b/>
          <w:bCs/>
          <w:szCs w:val="24"/>
          <w:lang w:val="en-US"/>
        </w:rPr>
        <w:t xml:space="preserve">: </w:t>
      </w:r>
      <w:r w:rsidR="006B3583" w:rsidRPr="006B3583">
        <w:rPr>
          <w:rFonts w:cs="Times New Roman"/>
          <w:szCs w:val="24"/>
          <w:lang w:val="en-US"/>
        </w:rPr>
        <w:t>One of the most important governance variables that Tesco considers necessary is financial integrity. The Audit Committee has made sure of this in the oversight of processes concerning financial reporting and internal controls. In appropriate standards of accounting, the committee ensures the requisite adherence to the requirements for the safeguarding against any risks of finance misreporting</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 This is in focusing on transparent financial practice that also fortifies Tesco's reputation while building confidence with its investors.</w:t>
      </w:r>
    </w:p>
    <w:p w14:paraId="46ED906C" w14:textId="566C4EFB" w:rsidR="00D9397E" w:rsidRDefault="00D9397E" w:rsidP="00054AC6">
      <w:pPr>
        <w:rPr>
          <w:rFonts w:cs="Times New Roman"/>
          <w:szCs w:val="24"/>
          <w:lang w:val="en-US"/>
        </w:rPr>
      </w:pPr>
      <w:r w:rsidRPr="00D9397E">
        <w:rPr>
          <w:rFonts w:cs="Times New Roman"/>
          <w:b/>
          <w:bCs/>
          <w:szCs w:val="24"/>
          <w:lang w:val="en-US"/>
        </w:rPr>
        <w:t>Defined Roles for Executive and Non-Executive Members</w:t>
      </w:r>
      <w:r w:rsidR="006B3583">
        <w:rPr>
          <w:rFonts w:cs="Times New Roman"/>
          <w:b/>
          <w:bCs/>
          <w:szCs w:val="24"/>
          <w:lang w:val="en-US"/>
        </w:rPr>
        <w:t xml:space="preserve">: </w:t>
      </w:r>
      <w:r w:rsidR="006B3583" w:rsidRPr="006B3583">
        <w:rPr>
          <w:rFonts w:cs="Times New Roman"/>
          <w:szCs w:val="24"/>
          <w:lang w:val="en-US"/>
        </w:rPr>
        <w:t>Tesco's corporate governance structure has clearly laid down the various responsibilities assigned to its executive and non-executive members of the Board</w:t>
      </w:r>
      <w:r w:rsidR="00054AC6">
        <w:rPr>
          <w:rFonts w:cs="Times New Roman"/>
          <w:szCs w:val="24"/>
          <w:lang w:val="en-US"/>
        </w:rPr>
        <w:t xml:space="preserve"> </w:t>
      </w:r>
      <w:r w:rsidR="00054AC6" w:rsidRPr="00054AC6">
        <w:rPr>
          <w:rFonts w:cs="Times New Roman"/>
          <w:szCs w:val="24"/>
          <w:lang w:val="en-US"/>
        </w:rPr>
        <w:t>(Solomon, 2020)</w:t>
      </w:r>
      <w:r w:rsidR="006B3583" w:rsidRPr="006B3583">
        <w:rPr>
          <w:rFonts w:cs="Times New Roman"/>
          <w:szCs w:val="24"/>
          <w:lang w:val="en-US"/>
        </w:rPr>
        <w:t>. The agreed-upon independence accorded to the Non-Executive Directors creates objectivity in vision and constructive challenge to various executive strategies within the Board</w:t>
      </w:r>
      <w:r w:rsidR="006B3583">
        <w:rPr>
          <w:rFonts w:cs="Times New Roman"/>
          <w:szCs w:val="24"/>
          <w:lang w:val="en-US"/>
        </w:rPr>
        <w:t xml:space="preserve"> (</w:t>
      </w:r>
      <w:r w:rsidR="006B3583">
        <w:rPr>
          <w:rFonts w:cs="Times New Roman"/>
          <w:szCs w:val="24"/>
        </w:rPr>
        <w:t>Tesco Corporate Governance, 2024</w:t>
      </w:r>
      <w:r w:rsidR="006B3583">
        <w:rPr>
          <w:rFonts w:cs="Times New Roman"/>
          <w:szCs w:val="24"/>
          <w:lang w:val="en-US"/>
        </w:rPr>
        <w:t>)</w:t>
      </w:r>
      <w:r w:rsidR="006B3583" w:rsidRPr="006B3583">
        <w:rPr>
          <w:rFonts w:cs="Times New Roman"/>
          <w:szCs w:val="24"/>
          <w:lang w:val="en-US"/>
        </w:rPr>
        <w:t xml:space="preserve">. This segregation of </w:t>
      </w:r>
      <w:r w:rsidR="006B3583" w:rsidRPr="006B3583">
        <w:rPr>
          <w:rFonts w:cs="Times New Roman"/>
          <w:szCs w:val="24"/>
          <w:lang w:val="en-US"/>
        </w:rPr>
        <w:lastRenderedPageBreak/>
        <w:t>responsibility, therefore, allows the balanced making of decisions with limited chances of a conflict of interest and serves to further accountability</w:t>
      </w:r>
      <w:r w:rsidR="00054AC6">
        <w:rPr>
          <w:rFonts w:cs="Times New Roman"/>
          <w:szCs w:val="24"/>
          <w:lang w:val="en-US"/>
        </w:rPr>
        <w:t xml:space="preserve"> </w:t>
      </w:r>
      <w:r w:rsidR="00054AC6" w:rsidRPr="00054AC6">
        <w:rPr>
          <w:rFonts w:cs="Times New Roman"/>
          <w:szCs w:val="24"/>
          <w:lang w:val="en-US"/>
        </w:rPr>
        <w:t>(Garnett, Mollan, and Richards, 2024)</w:t>
      </w:r>
      <w:r w:rsidR="006B3583" w:rsidRPr="006B3583">
        <w:rPr>
          <w:rFonts w:cs="Times New Roman"/>
          <w:szCs w:val="24"/>
          <w:lang w:val="en-US"/>
        </w:rPr>
        <w:t>.</w:t>
      </w:r>
    </w:p>
    <w:p w14:paraId="598BCD5C" w14:textId="77777777" w:rsidR="00880B51" w:rsidRDefault="00880B51">
      <w:pPr>
        <w:spacing w:line="259" w:lineRule="auto"/>
        <w:jc w:val="left"/>
        <w:rPr>
          <w:rFonts w:eastAsiaTheme="majorEastAsia" w:cstheme="majorBidi"/>
          <w:b/>
          <w:color w:val="auto"/>
          <w:sz w:val="28"/>
          <w:szCs w:val="32"/>
          <w:lang w:val="en-US"/>
        </w:rPr>
      </w:pPr>
      <w:bookmarkStart w:id="5" w:name="_Toc181625485"/>
      <w:r>
        <w:rPr>
          <w:lang w:val="en-US"/>
        </w:rPr>
        <w:br w:type="page"/>
      </w:r>
    </w:p>
    <w:p w14:paraId="11468738" w14:textId="440A487D" w:rsidR="00B920A0" w:rsidRDefault="00B920A0" w:rsidP="00B920A0">
      <w:pPr>
        <w:pStyle w:val="Heading1"/>
        <w:rPr>
          <w:lang w:val="en-US"/>
        </w:rPr>
      </w:pPr>
      <w:r>
        <w:rPr>
          <w:lang w:val="en-US"/>
        </w:rPr>
        <w:lastRenderedPageBreak/>
        <w:t>4.0 R</w:t>
      </w:r>
      <w:r w:rsidRPr="00C06A59">
        <w:rPr>
          <w:lang w:val="en-US"/>
        </w:rPr>
        <w:t>elationship between Corporate Governance Practices and Financial Performance</w:t>
      </w:r>
      <w:bookmarkEnd w:id="5"/>
    </w:p>
    <w:p w14:paraId="389D768F" w14:textId="61EC7F71" w:rsidR="00D9397E" w:rsidRDefault="00B920A0" w:rsidP="00B920A0">
      <w:pPr>
        <w:pStyle w:val="Heading2"/>
        <w:rPr>
          <w:lang w:val="en-US"/>
        </w:rPr>
      </w:pPr>
      <w:bookmarkStart w:id="6" w:name="_Toc181625486"/>
      <w:r>
        <w:rPr>
          <w:lang w:val="en-US"/>
        </w:rPr>
        <w:t xml:space="preserve">4.1 </w:t>
      </w:r>
      <w:r w:rsidR="00C06A59">
        <w:rPr>
          <w:lang w:val="en-US"/>
        </w:rPr>
        <w:t>Financial Performance Analysis of Tesco plc for 5 years</w:t>
      </w:r>
      <w:bookmarkEnd w:id="6"/>
    </w:p>
    <w:p w14:paraId="42000FC1" w14:textId="45030EF4" w:rsidR="00C06A59" w:rsidRPr="00C06A59" w:rsidRDefault="00C06A59" w:rsidP="00D9397E">
      <w:pPr>
        <w:rPr>
          <w:rFonts w:cs="Times New Roman"/>
          <w:b/>
          <w:bCs/>
          <w:szCs w:val="24"/>
          <w:lang w:val="en-US"/>
        </w:rPr>
      </w:pPr>
      <w:r w:rsidRPr="00C06A59">
        <w:rPr>
          <w:rFonts w:cs="Times New Roman"/>
          <w:b/>
          <w:bCs/>
          <w:szCs w:val="24"/>
          <w:lang w:val="en-US"/>
        </w:rPr>
        <w:t xml:space="preserve">Ratio analysis </w:t>
      </w:r>
    </w:p>
    <w:tbl>
      <w:tblPr>
        <w:tblW w:w="9350" w:type="dxa"/>
        <w:tblInd w:w="113" w:type="dxa"/>
        <w:tblLook w:val="04A0" w:firstRow="1" w:lastRow="0" w:firstColumn="1" w:lastColumn="0" w:noHBand="0" w:noVBand="1"/>
      </w:tblPr>
      <w:tblGrid>
        <w:gridCol w:w="1908"/>
        <w:gridCol w:w="3345"/>
        <w:gridCol w:w="842"/>
        <w:gridCol w:w="842"/>
        <w:gridCol w:w="842"/>
        <w:gridCol w:w="842"/>
        <w:gridCol w:w="842"/>
      </w:tblGrid>
      <w:tr w:rsidR="00C06A59" w:rsidRPr="00C06A59" w14:paraId="368F1DC3" w14:textId="77777777" w:rsidTr="00C06A59">
        <w:trPr>
          <w:trHeight w:val="300"/>
        </w:trPr>
        <w:tc>
          <w:tcPr>
            <w:tcW w:w="9350"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E5AF9D" w14:textId="77777777" w:rsidR="00C06A59" w:rsidRPr="00C06A59" w:rsidRDefault="00C06A59" w:rsidP="00C06A59">
            <w:pPr>
              <w:rPr>
                <w:lang w:val="en-US"/>
              </w:rPr>
            </w:pPr>
            <w:r w:rsidRPr="00C06A59">
              <w:rPr>
                <w:lang w:val="en-US"/>
              </w:rPr>
              <w:t>Ratio analysis of Tesco plc for Five years</w:t>
            </w:r>
          </w:p>
        </w:tc>
      </w:tr>
      <w:tr w:rsidR="00C06A59" w:rsidRPr="00C06A59" w14:paraId="0D904723"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2B7581E8" w14:textId="77777777" w:rsidR="00C06A59" w:rsidRPr="00C06A59" w:rsidRDefault="00C06A59" w:rsidP="00C06A59">
            <w:pPr>
              <w:rPr>
                <w:lang w:val="en-US"/>
              </w:rPr>
            </w:pPr>
            <w:r w:rsidRPr="00C06A59">
              <w:rPr>
                <w:lang w:val="en-US"/>
              </w:rPr>
              <w:t xml:space="preserve">Profitability </w:t>
            </w:r>
          </w:p>
        </w:tc>
        <w:tc>
          <w:tcPr>
            <w:tcW w:w="3915" w:type="dxa"/>
            <w:tcBorders>
              <w:top w:val="nil"/>
              <w:left w:val="nil"/>
              <w:bottom w:val="single" w:sz="4" w:space="0" w:color="auto"/>
              <w:right w:val="single" w:sz="4" w:space="0" w:color="auto"/>
            </w:tcBorders>
            <w:shd w:val="clear" w:color="auto" w:fill="auto"/>
            <w:noWrap/>
            <w:vAlign w:val="bottom"/>
            <w:hideMark/>
          </w:tcPr>
          <w:p w14:paraId="5605605F" w14:textId="77777777" w:rsidR="00C06A59" w:rsidRPr="00C06A59" w:rsidRDefault="00C06A59" w:rsidP="00C06A59">
            <w:pPr>
              <w:rPr>
                <w:lang w:val="en-US"/>
              </w:rPr>
            </w:pPr>
            <w:r w:rsidRPr="00C06A59">
              <w:rPr>
                <w:lang w:val="en-US"/>
              </w:rPr>
              <w:t>Formula</w:t>
            </w:r>
          </w:p>
        </w:tc>
        <w:tc>
          <w:tcPr>
            <w:tcW w:w="644" w:type="dxa"/>
            <w:tcBorders>
              <w:top w:val="nil"/>
              <w:left w:val="nil"/>
              <w:bottom w:val="single" w:sz="4" w:space="0" w:color="auto"/>
              <w:right w:val="single" w:sz="4" w:space="0" w:color="auto"/>
            </w:tcBorders>
            <w:shd w:val="clear" w:color="auto" w:fill="auto"/>
            <w:noWrap/>
            <w:vAlign w:val="bottom"/>
            <w:hideMark/>
          </w:tcPr>
          <w:p w14:paraId="274EF41B" w14:textId="77777777" w:rsidR="00C06A59" w:rsidRPr="00C06A59" w:rsidRDefault="00C06A59" w:rsidP="00C06A59">
            <w:pPr>
              <w:rPr>
                <w:lang w:val="en-US"/>
              </w:rPr>
            </w:pPr>
            <w:r w:rsidRPr="00C06A59">
              <w:rPr>
                <w:lang w:val="en-US"/>
              </w:rPr>
              <w:t>2023</w:t>
            </w:r>
          </w:p>
        </w:tc>
        <w:tc>
          <w:tcPr>
            <w:tcW w:w="644" w:type="dxa"/>
            <w:tcBorders>
              <w:top w:val="nil"/>
              <w:left w:val="nil"/>
              <w:bottom w:val="single" w:sz="4" w:space="0" w:color="auto"/>
              <w:right w:val="single" w:sz="4" w:space="0" w:color="auto"/>
            </w:tcBorders>
            <w:shd w:val="clear" w:color="auto" w:fill="auto"/>
            <w:noWrap/>
            <w:vAlign w:val="bottom"/>
            <w:hideMark/>
          </w:tcPr>
          <w:p w14:paraId="1AF77040" w14:textId="77777777" w:rsidR="00C06A59" w:rsidRPr="00C06A59" w:rsidRDefault="00C06A59" w:rsidP="00C06A59">
            <w:pPr>
              <w:rPr>
                <w:lang w:val="en-US"/>
              </w:rPr>
            </w:pPr>
            <w:r w:rsidRPr="00C06A59">
              <w:rPr>
                <w:lang w:val="en-US"/>
              </w:rPr>
              <w:t>2022</w:t>
            </w:r>
          </w:p>
        </w:tc>
        <w:tc>
          <w:tcPr>
            <w:tcW w:w="644" w:type="dxa"/>
            <w:tcBorders>
              <w:top w:val="nil"/>
              <w:left w:val="nil"/>
              <w:bottom w:val="single" w:sz="4" w:space="0" w:color="auto"/>
              <w:right w:val="single" w:sz="4" w:space="0" w:color="auto"/>
            </w:tcBorders>
            <w:shd w:val="clear" w:color="auto" w:fill="auto"/>
            <w:noWrap/>
            <w:vAlign w:val="bottom"/>
            <w:hideMark/>
          </w:tcPr>
          <w:p w14:paraId="219A02D2" w14:textId="77777777" w:rsidR="00C06A59" w:rsidRPr="00C06A59" w:rsidRDefault="00C06A59" w:rsidP="00C06A59">
            <w:pPr>
              <w:rPr>
                <w:lang w:val="en-US"/>
              </w:rPr>
            </w:pPr>
            <w:r w:rsidRPr="00C06A59">
              <w:rPr>
                <w:lang w:val="en-US"/>
              </w:rPr>
              <w:t>2021</w:t>
            </w:r>
          </w:p>
        </w:tc>
        <w:tc>
          <w:tcPr>
            <w:tcW w:w="644" w:type="dxa"/>
            <w:tcBorders>
              <w:top w:val="nil"/>
              <w:left w:val="nil"/>
              <w:bottom w:val="single" w:sz="4" w:space="0" w:color="auto"/>
              <w:right w:val="single" w:sz="4" w:space="0" w:color="auto"/>
            </w:tcBorders>
            <w:shd w:val="clear" w:color="auto" w:fill="auto"/>
            <w:noWrap/>
            <w:vAlign w:val="bottom"/>
            <w:hideMark/>
          </w:tcPr>
          <w:p w14:paraId="2C6AF547" w14:textId="77777777" w:rsidR="00C06A59" w:rsidRPr="00C06A59" w:rsidRDefault="00C06A59" w:rsidP="00C06A59">
            <w:pPr>
              <w:rPr>
                <w:lang w:val="en-US"/>
              </w:rPr>
            </w:pPr>
            <w:r w:rsidRPr="00C06A59">
              <w:rPr>
                <w:lang w:val="en-US"/>
              </w:rPr>
              <w:t>2020</w:t>
            </w:r>
          </w:p>
        </w:tc>
        <w:tc>
          <w:tcPr>
            <w:tcW w:w="644" w:type="dxa"/>
            <w:tcBorders>
              <w:top w:val="nil"/>
              <w:left w:val="nil"/>
              <w:bottom w:val="single" w:sz="4" w:space="0" w:color="auto"/>
              <w:right w:val="single" w:sz="4" w:space="0" w:color="auto"/>
            </w:tcBorders>
            <w:shd w:val="clear" w:color="auto" w:fill="auto"/>
            <w:noWrap/>
            <w:vAlign w:val="bottom"/>
            <w:hideMark/>
          </w:tcPr>
          <w:p w14:paraId="1E50671B" w14:textId="77777777" w:rsidR="00C06A59" w:rsidRPr="00C06A59" w:rsidRDefault="00C06A59" w:rsidP="00C06A59">
            <w:pPr>
              <w:rPr>
                <w:lang w:val="en-US"/>
              </w:rPr>
            </w:pPr>
            <w:r w:rsidRPr="00C06A59">
              <w:rPr>
                <w:lang w:val="en-US"/>
              </w:rPr>
              <w:t>2019</w:t>
            </w:r>
          </w:p>
        </w:tc>
      </w:tr>
      <w:tr w:rsidR="00C06A59" w:rsidRPr="00C06A59" w14:paraId="4D251C9B"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7305B266" w14:textId="77777777" w:rsidR="00C06A59" w:rsidRPr="00C06A59" w:rsidRDefault="00C06A59" w:rsidP="00C06A59">
            <w:pPr>
              <w:rPr>
                <w:lang w:val="en-US"/>
              </w:rPr>
            </w:pPr>
            <w:r w:rsidRPr="00C06A59">
              <w:rPr>
                <w:lang w:val="en-US"/>
              </w:rPr>
              <w:t>Gross Profit</w:t>
            </w:r>
          </w:p>
        </w:tc>
        <w:tc>
          <w:tcPr>
            <w:tcW w:w="3915" w:type="dxa"/>
            <w:tcBorders>
              <w:top w:val="nil"/>
              <w:left w:val="nil"/>
              <w:bottom w:val="single" w:sz="4" w:space="0" w:color="auto"/>
              <w:right w:val="single" w:sz="4" w:space="0" w:color="auto"/>
            </w:tcBorders>
            <w:shd w:val="clear" w:color="auto" w:fill="auto"/>
            <w:noWrap/>
            <w:vAlign w:val="bottom"/>
            <w:hideMark/>
          </w:tcPr>
          <w:p w14:paraId="3C99E519" w14:textId="77777777" w:rsidR="00C06A59" w:rsidRPr="00C06A59" w:rsidRDefault="00C06A59" w:rsidP="00C06A59">
            <w:pPr>
              <w:rPr>
                <w:lang w:val="en-US"/>
              </w:rPr>
            </w:pPr>
            <w:r w:rsidRPr="00C06A59">
              <w:rPr>
                <w:lang w:val="en-US"/>
              </w:rPr>
              <w:t xml:space="preserve">Gross Profit/ Revenue </w:t>
            </w:r>
          </w:p>
        </w:tc>
        <w:tc>
          <w:tcPr>
            <w:tcW w:w="644" w:type="dxa"/>
            <w:tcBorders>
              <w:top w:val="nil"/>
              <w:left w:val="nil"/>
              <w:bottom w:val="single" w:sz="4" w:space="0" w:color="auto"/>
              <w:right w:val="single" w:sz="4" w:space="0" w:color="auto"/>
            </w:tcBorders>
            <w:shd w:val="clear" w:color="auto" w:fill="auto"/>
            <w:noWrap/>
            <w:vAlign w:val="bottom"/>
            <w:hideMark/>
          </w:tcPr>
          <w:p w14:paraId="76F6B53D" w14:textId="77777777" w:rsidR="00C06A59" w:rsidRPr="00C06A59" w:rsidRDefault="00C06A59" w:rsidP="00C06A59">
            <w:pPr>
              <w:rPr>
                <w:lang w:val="en-US"/>
              </w:rPr>
            </w:pPr>
            <w:r w:rsidRPr="00C06A59">
              <w:rPr>
                <w:lang w:val="en-US"/>
              </w:rPr>
              <w:t>5.57%</w:t>
            </w:r>
          </w:p>
        </w:tc>
        <w:tc>
          <w:tcPr>
            <w:tcW w:w="644" w:type="dxa"/>
            <w:tcBorders>
              <w:top w:val="nil"/>
              <w:left w:val="nil"/>
              <w:bottom w:val="single" w:sz="4" w:space="0" w:color="auto"/>
              <w:right w:val="single" w:sz="4" w:space="0" w:color="auto"/>
            </w:tcBorders>
            <w:shd w:val="clear" w:color="auto" w:fill="auto"/>
            <w:noWrap/>
            <w:vAlign w:val="bottom"/>
            <w:hideMark/>
          </w:tcPr>
          <w:p w14:paraId="7193D819" w14:textId="77777777" w:rsidR="00C06A59" w:rsidRPr="00C06A59" w:rsidRDefault="00C06A59" w:rsidP="00C06A59">
            <w:pPr>
              <w:rPr>
                <w:lang w:val="en-US"/>
              </w:rPr>
            </w:pPr>
            <w:r w:rsidRPr="00C06A59">
              <w:rPr>
                <w:lang w:val="en-US"/>
              </w:rPr>
              <w:t>7.55%</w:t>
            </w:r>
          </w:p>
        </w:tc>
        <w:tc>
          <w:tcPr>
            <w:tcW w:w="644" w:type="dxa"/>
            <w:tcBorders>
              <w:top w:val="nil"/>
              <w:left w:val="nil"/>
              <w:bottom w:val="single" w:sz="4" w:space="0" w:color="auto"/>
              <w:right w:val="single" w:sz="4" w:space="0" w:color="auto"/>
            </w:tcBorders>
            <w:shd w:val="clear" w:color="auto" w:fill="auto"/>
            <w:noWrap/>
            <w:vAlign w:val="bottom"/>
            <w:hideMark/>
          </w:tcPr>
          <w:p w14:paraId="4FD6297F" w14:textId="77777777" w:rsidR="00C06A59" w:rsidRPr="00C06A59" w:rsidRDefault="00C06A59" w:rsidP="00C06A59">
            <w:pPr>
              <w:rPr>
                <w:lang w:val="en-US"/>
              </w:rPr>
            </w:pPr>
            <w:r w:rsidRPr="00C06A59">
              <w:rPr>
                <w:lang w:val="en-US"/>
              </w:rPr>
              <w:t>6.85%</w:t>
            </w:r>
          </w:p>
        </w:tc>
        <w:tc>
          <w:tcPr>
            <w:tcW w:w="644" w:type="dxa"/>
            <w:tcBorders>
              <w:top w:val="nil"/>
              <w:left w:val="nil"/>
              <w:bottom w:val="single" w:sz="4" w:space="0" w:color="auto"/>
              <w:right w:val="single" w:sz="4" w:space="0" w:color="auto"/>
            </w:tcBorders>
            <w:shd w:val="clear" w:color="auto" w:fill="auto"/>
            <w:noWrap/>
            <w:vAlign w:val="bottom"/>
            <w:hideMark/>
          </w:tcPr>
          <w:p w14:paraId="6602D50F" w14:textId="77777777" w:rsidR="00C06A59" w:rsidRPr="00C06A59" w:rsidRDefault="00C06A59" w:rsidP="00C06A59">
            <w:pPr>
              <w:rPr>
                <w:lang w:val="en-US"/>
              </w:rPr>
            </w:pPr>
            <w:r w:rsidRPr="00C06A59">
              <w:rPr>
                <w:lang w:val="en-US"/>
              </w:rPr>
              <w:t>7.05%</w:t>
            </w:r>
          </w:p>
        </w:tc>
        <w:tc>
          <w:tcPr>
            <w:tcW w:w="644" w:type="dxa"/>
            <w:tcBorders>
              <w:top w:val="nil"/>
              <w:left w:val="nil"/>
              <w:bottom w:val="single" w:sz="4" w:space="0" w:color="auto"/>
              <w:right w:val="single" w:sz="4" w:space="0" w:color="auto"/>
            </w:tcBorders>
            <w:shd w:val="clear" w:color="auto" w:fill="auto"/>
            <w:noWrap/>
            <w:vAlign w:val="bottom"/>
            <w:hideMark/>
          </w:tcPr>
          <w:p w14:paraId="15B49E2F" w14:textId="77777777" w:rsidR="00C06A59" w:rsidRPr="00C06A59" w:rsidRDefault="00C06A59" w:rsidP="00C06A59">
            <w:pPr>
              <w:rPr>
                <w:lang w:val="en-US"/>
              </w:rPr>
            </w:pPr>
            <w:r w:rsidRPr="00C06A59">
              <w:rPr>
                <w:lang w:val="en-US"/>
              </w:rPr>
              <w:t>6.48%</w:t>
            </w:r>
          </w:p>
        </w:tc>
      </w:tr>
      <w:tr w:rsidR="00C06A59" w:rsidRPr="00C06A59" w14:paraId="7ACB9287"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23C7549B" w14:textId="77777777" w:rsidR="00C06A59" w:rsidRPr="00C06A59" w:rsidRDefault="00C06A59" w:rsidP="00C06A59">
            <w:pPr>
              <w:rPr>
                <w:lang w:val="en-US"/>
              </w:rPr>
            </w:pPr>
            <w:r w:rsidRPr="00C06A59">
              <w:rPr>
                <w:lang w:val="en-US"/>
              </w:rPr>
              <w:t>Operating Profit</w:t>
            </w:r>
          </w:p>
        </w:tc>
        <w:tc>
          <w:tcPr>
            <w:tcW w:w="3915" w:type="dxa"/>
            <w:tcBorders>
              <w:top w:val="nil"/>
              <w:left w:val="nil"/>
              <w:bottom w:val="single" w:sz="4" w:space="0" w:color="auto"/>
              <w:right w:val="single" w:sz="4" w:space="0" w:color="auto"/>
            </w:tcBorders>
            <w:shd w:val="clear" w:color="auto" w:fill="auto"/>
            <w:noWrap/>
            <w:vAlign w:val="bottom"/>
            <w:hideMark/>
          </w:tcPr>
          <w:p w14:paraId="3105802C" w14:textId="77777777" w:rsidR="00C06A59" w:rsidRPr="00C06A59" w:rsidRDefault="00C06A59" w:rsidP="00C06A59">
            <w:pPr>
              <w:rPr>
                <w:lang w:val="en-US"/>
              </w:rPr>
            </w:pPr>
            <w:r w:rsidRPr="00C06A59">
              <w:rPr>
                <w:lang w:val="en-US"/>
              </w:rPr>
              <w:t xml:space="preserve">Operating profit or EBIT/ Revenue </w:t>
            </w:r>
          </w:p>
        </w:tc>
        <w:tc>
          <w:tcPr>
            <w:tcW w:w="644" w:type="dxa"/>
            <w:tcBorders>
              <w:top w:val="nil"/>
              <w:left w:val="nil"/>
              <w:bottom w:val="single" w:sz="4" w:space="0" w:color="auto"/>
              <w:right w:val="single" w:sz="4" w:space="0" w:color="auto"/>
            </w:tcBorders>
            <w:shd w:val="clear" w:color="auto" w:fill="auto"/>
            <w:noWrap/>
            <w:vAlign w:val="bottom"/>
            <w:hideMark/>
          </w:tcPr>
          <w:p w14:paraId="3B12E4DD" w14:textId="77777777" w:rsidR="00C06A59" w:rsidRPr="00C06A59" w:rsidRDefault="00C06A59" w:rsidP="00C06A59">
            <w:pPr>
              <w:rPr>
                <w:lang w:val="en-US"/>
              </w:rPr>
            </w:pPr>
            <w:r w:rsidRPr="00C06A59">
              <w:rPr>
                <w:lang w:val="en-US"/>
              </w:rPr>
              <w:t>2.32%</w:t>
            </w:r>
          </w:p>
        </w:tc>
        <w:tc>
          <w:tcPr>
            <w:tcW w:w="644" w:type="dxa"/>
            <w:tcBorders>
              <w:top w:val="nil"/>
              <w:left w:val="nil"/>
              <w:bottom w:val="single" w:sz="4" w:space="0" w:color="auto"/>
              <w:right w:val="single" w:sz="4" w:space="0" w:color="auto"/>
            </w:tcBorders>
            <w:shd w:val="clear" w:color="auto" w:fill="auto"/>
            <w:noWrap/>
            <w:vAlign w:val="bottom"/>
            <w:hideMark/>
          </w:tcPr>
          <w:p w14:paraId="5EE2B3B2" w14:textId="77777777" w:rsidR="00C06A59" w:rsidRPr="00C06A59" w:rsidRDefault="00C06A59" w:rsidP="00C06A59">
            <w:pPr>
              <w:rPr>
                <w:lang w:val="en-US"/>
              </w:rPr>
            </w:pPr>
            <w:r w:rsidRPr="00C06A59">
              <w:rPr>
                <w:lang w:val="en-US"/>
              </w:rPr>
              <w:t>4.17%</w:t>
            </w:r>
          </w:p>
        </w:tc>
        <w:tc>
          <w:tcPr>
            <w:tcW w:w="644" w:type="dxa"/>
            <w:tcBorders>
              <w:top w:val="nil"/>
              <w:left w:val="nil"/>
              <w:bottom w:val="single" w:sz="4" w:space="0" w:color="auto"/>
              <w:right w:val="single" w:sz="4" w:space="0" w:color="auto"/>
            </w:tcBorders>
            <w:shd w:val="clear" w:color="auto" w:fill="auto"/>
            <w:noWrap/>
            <w:vAlign w:val="bottom"/>
            <w:hideMark/>
          </w:tcPr>
          <w:p w14:paraId="3A14A375" w14:textId="77777777" w:rsidR="00C06A59" w:rsidRPr="00C06A59" w:rsidRDefault="00C06A59" w:rsidP="00C06A59">
            <w:pPr>
              <w:rPr>
                <w:lang w:val="en-US"/>
              </w:rPr>
            </w:pPr>
            <w:r w:rsidRPr="00C06A59">
              <w:rPr>
                <w:lang w:val="en-US"/>
              </w:rPr>
              <w:t>3.00%</w:t>
            </w:r>
          </w:p>
        </w:tc>
        <w:tc>
          <w:tcPr>
            <w:tcW w:w="644" w:type="dxa"/>
            <w:tcBorders>
              <w:top w:val="nil"/>
              <w:left w:val="nil"/>
              <w:bottom w:val="single" w:sz="4" w:space="0" w:color="auto"/>
              <w:right w:val="single" w:sz="4" w:space="0" w:color="auto"/>
            </w:tcBorders>
            <w:shd w:val="clear" w:color="auto" w:fill="auto"/>
            <w:noWrap/>
            <w:vAlign w:val="bottom"/>
            <w:hideMark/>
          </w:tcPr>
          <w:p w14:paraId="44CF99A5" w14:textId="77777777" w:rsidR="00C06A59" w:rsidRPr="00C06A59" w:rsidRDefault="00C06A59" w:rsidP="00C06A59">
            <w:pPr>
              <w:rPr>
                <w:lang w:val="en-US"/>
              </w:rPr>
            </w:pPr>
            <w:r w:rsidRPr="00C06A59">
              <w:rPr>
                <w:lang w:val="en-US"/>
              </w:rPr>
              <w:t>3.80%</w:t>
            </w:r>
          </w:p>
        </w:tc>
        <w:tc>
          <w:tcPr>
            <w:tcW w:w="644" w:type="dxa"/>
            <w:tcBorders>
              <w:top w:val="nil"/>
              <w:left w:val="nil"/>
              <w:bottom w:val="single" w:sz="4" w:space="0" w:color="auto"/>
              <w:right w:val="single" w:sz="4" w:space="0" w:color="auto"/>
            </w:tcBorders>
            <w:shd w:val="clear" w:color="auto" w:fill="auto"/>
            <w:noWrap/>
            <w:vAlign w:val="bottom"/>
            <w:hideMark/>
          </w:tcPr>
          <w:p w14:paraId="6B46161F" w14:textId="77777777" w:rsidR="00C06A59" w:rsidRPr="00C06A59" w:rsidRDefault="00C06A59" w:rsidP="00C06A59">
            <w:pPr>
              <w:rPr>
                <w:lang w:val="en-US"/>
              </w:rPr>
            </w:pPr>
            <w:r w:rsidRPr="00C06A59">
              <w:rPr>
                <w:lang w:val="en-US"/>
              </w:rPr>
              <w:t>3.37%</w:t>
            </w:r>
          </w:p>
        </w:tc>
      </w:tr>
      <w:tr w:rsidR="00C06A59" w:rsidRPr="00C06A59" w14:paraId="43F58BAE"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6EC13B34" w14:textId="77777777" w:rsidR="00C06A59" w:rsidRPr="00C06A59" w:rsidRDefault="00C06A59" w:rsidP="00C06A59">
            <w:pPr>
              <w:rPr>
                <w:lang w:val="en-US"/>
              </w:rPr>
            </w:pPr>
            <w:r w:rsidRPr="00C06A59">
              <w:rPr>
                <w:lang w:val="en-US"/>
              </w:rPr>
              <w:t> </w:t>
            </w:r>
          </w:p>
        </w:tc>
        <w:tc>
          <w:tcPr>
            <w:tcW w:w="3915" w:type="dxa"/>
            <w:tcBorders>
              <w:top w:val="nil"/>
              <w:left w:val="nil"/>
              <w:bottom w:val="single" w:sz="4" w:space="0" w:color="auto"/>
              <w:right w:val="single" w:sz="4" w:space="0" w:color="auto"/>
            </w:tcBorders>
            <w:shd w:val="clear" w:color="auto" w:fill="auto"/>
            <w:noWrap/>
            <w:vAlign w:val="bottom"/>
            <w:hideMark/>
          </w:tcPr>
          <w:p w14:paraId="060924F8"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27DBE0F0"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39511C6C"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77BC2EC7"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095B7671"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14DB8121" w14:textId="77777777" w:rsidR="00C06A59" w:rsidRPr="00C06A59" w:rsidRDefault="00C06A59" w:rsidP="00C06A59">
            <w:pPr>
              <w:rPr>
                <w:lang w:val="en-US"/>
              </w:rPr>
            </w:pPr>
            <w:r w:rsidRPr="00C06A59">
              <w:rPr>
                <w:lang w:val="en-US"/>
              </w:rPr>
              <w:t> </w:t>
            </w:r>
          </w:p>
        </w:tc>
      </w:tr>
      <w:tr w:rsidR="00C06A59" w:rsidRPr="00C06A59" w14:paraId="4A87A266"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3DFC70FF" w14:textId="77777777" w:rsidR="00C06A59" w:rsidRPr="00C06A59" w:rsidRDefault="00C06A59" w:rsidP="00C06A59">
            <w:pPr>
              <w:rPr>
                <w:lang w:val="en-US"/>
              </w:rPr>
            </w:pPr>
            <w:r w:rsidRPr="00C06A59">
              <w:rPr>
                <w:lang w:val="en-US"/>
              </w:rPr>
              <w:t>Liquidity</w:t>
            </w:r>
          </w:p>
        </w:tc>
        <w:tc>
          <w:tcPr>
            <w:tcW w:w="3915" w:type="dxa"/>
            <w:tcBorders>
              <w:top w:val="nil"/>
              <w:left w:val="nil"/>
              <w:bottom w:val="single" w:sz="4" w:space="0" w:color="auto"/>
              <w:right w:val="single" w:sz="4" w:space="0" w:color="auto"/>
            </w:tcBorders>
            <w:shd w:val="clear" w:color="auto" w:fill="auto"/>
            <w:noWrap/>
            <w:vAlign w:val="bottom"/>
            <w:hideMark/>
          </w:tcPr>
          <w:p w14:paraId="1887B7DD" w14:textId="77777777" w:rsidR="00C06A59" w:rsidRPr="00C06A59" w:rsidRDefault="00C06A59" w:rsidP="00C06A59">
            <w:pPr>
              <w:rPr>
                <w:lang w:val="en-US"/>
              </w:rPr>
            </w:pPr>
            <w:r w:rsidRPr="00C06A59">
              <w:rPr>
                <w:lang w:val="en-US"/>
              </w:rPr>
              <w:t>Formula</w:t>
            </w:r>
          </w:p>
        </w:tc>
        <w:tc>
          <w:tcPr>
            <w:tcW w:w="644" w:type="dxa"/>
            <w:tcBorders>
              <w:top w:val="nil"/>
              <w:left w:val="nil"/>
              <w:bottom w:val="single" w:sz="4" w:space="0" w:color="auto"/>
              <w:right w:val="single" w:sz="4" w:space="0" w:color="auto"/>
            </w:tcBorders>
            <w:shd w:val="clear" w:color="auto" w:fill="auto"/>
            <w:noWrap/>
            <w:vAlign w:val="bottom"/>
            <w:hideMark/>
          </w:tcPr>
          <w:p w14:paraId="29A548DE" w14:textId="77777777" w:rsidR="00C06A59" w:rsidRPr="00C06A59" w:rsidRDefault="00C06A59" w:rsidP="00C06A59">
            <w:pPr>
              <w:rPr>
                <w:lang w:val="en-US"/>
              </w:rPr>
            </w:pPr>
            <w:r w:rsidRPr="00C06A59">
              <w:rPr>
                <w:lang w:val="en-US"/>
              </w:rPr>
              <w:t>2023</w:t>
            </w:r>
          </w:p>
        </w:tc>
        <w:tc>
          <w:tcPr>
            <w:tcW w:w="644" w:type="dxa"/>
            <w:tcBorders>
              <w:top w:val="nil"/>
              <w:left w:val="nil"/>
              <w:bottom w:val="single" w:sz="4" w:space="0" w:color="auto"/>
              <w:right w:val="single" w:sz="4" w:space="0" w:color="auto"/>
            </w:tcBorders>
            <w:shd w:val="clear" w:color="auto" w:fill="auto"/>
            <w:noWrap/>
            <w:vAlign w:val="bottom"/>
            <w:hideMark/>
          </w:tcPr>
          <w:p w14:paraId="44E92D3D" w14:textId="77777777" w:rsidR="00C06A59" w:rsidRPr="00C06A59" w:rsidRDefault="00C06A59" w:rsidP="00C06A59">
            <w:pPr>
              <w:rPr>
                <w:lang w:val="en-US"/>
              </w:rPr>
            </w:pPr>
            <w:r w:rsidRPr="00C06A59">
              <w:rPr>
                <w:lang w:val="en-US"/>
              </w:rPr>
              <w:t>2022</w:t>
            </w:r>
          </w:p>
        </w:tc>
        <w:tc>
          <w:tcPr>
            <w:tcW w:w="644" w:type="dxa"/>
            <w:tcBorders>
              <w:top w:val="nil"/>
              <w:left w:val="nil"/>
              <w:bottom w:val="single" w:sz="4" w:space="0" w:color="auto"/>
              <w:right w:val="single" w:sz="4" w:space="0" w:color="auto"/>
            </w:tcBorders>
            <w:shd w:val="clear" w:color="auto" w:fill="auto"/>
            <w:noWrap/>
            <w:vAlign w:val="bottom"/>
            <w:hideMark/>
          </w:tcPr>
          <w:p w14:paraId="407946AA" w14:textId="77777777" w:rsidR="00C06A59" w:rsidRPr="00C06A59" w:rsidRDefault="00C06A59" w:rsidP="00C06A59">
            <w:pPr>
              <w:rPr>
                <w:lang w:val="en-US"/>
              </w:rPr>
            </w:pPr>
            <w:r w:rsidRPr="00C06A59">
              <w:rPr>
                <w:lang w:val="en-US"/>
              </w:rPr>
              <w:t>2021</w:t>
            </w:r>
          </w:p>
        </w:tc>
        <w:tc>
          <w:tcPr>
            <w:tcW w:w="644" w:type="dxa"/>
            <w:tcBorders>
              <w:top w:val="nil"/>
              <w:left w:val="nil"/>
              <w:bottom w:val="single" w:sz="4" w:space="0" w:color="auto"/>
              <w:right w:val="single" w:sz="4" w:space="0" w:color="auto"/>
            </w:tcBorders>
            <w:shd w:val="clear" w:color="auto" w:fill="auto"/>
            <w:noWrap/>
            <w:vAlign w:val="bottom"/>
            <w:hideMark/>
          </w:tcPr>
          <w:p w14:paraId="0798C8DE" w14:textId="77777777" w:rsidR="00C06A59" w:rsidRPr="00C06A59" w:rsidRDefault="00C06A59" w:rsidP="00C06A59">
            <w:pPr>
              <w:rPr>
                <w:lang w:val="en-US"/>
              </w:rPr>
            </w:pPr>
            <w:r w:rsidRPr="00C06A59">
              <w:rPr>
                <w:lang w:val="en-US"/>
              </w:rPr>
              <w:t>2020</w:t>
            </w:r>
          </w:p>
        </w:tc>
        <w:tc>
          <w:tcPr>
            <w:tcW w:w="644" w:type="dxa"/>
            <w:tcBorders>
              <w:top w:val="nil"/>
              <w:left w:val="nil"/>
              <w:bottom w:val="single" w:sz="4" w:space="0" w:color="auto"/>
              <w:right w:val="single" w:sz="4" w:space="0" w:color="auto"/>
            </w:tcBorders>
            <w:shd w:val="clear" w:color="auto" w:fill="auto"/>
            <w:noWrap/>
            <w:vAlign w:val="bottom"/>
            <w:hideMark/>
          </w:tcPr>
          <w:p w14:paraId="0B5EAFB6" w14:textId="77777777" w:rsidR="00C06A59" w:rsidRPr="00C06A59" w:rsidRDefault="00C06A59" w:rsidP="00C06A59">
            <w:pPr>
              <w:rPr>
                <w:lang w:val="en-US"/>
              </w:rPr>
            </w:pPr>
            <w:r w:rsidRPr="00C06A59">
              <w:rPr>
                <w:lang w:val="en-US"/>
              </w:rPr>
              <w:t>2019</w:t>
            </w:r>
          </w:p>
        </w:tc>
      </w:tr>
      <w:tr w:rsidR="00C06A59" w:rsidRPr="00C06A59" w14:paraId="2CF44798"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506DEF42" w14:textId="77777777" w:rsidR="00C06A59" w:rsidRPr="00C06A59" w:rsidRDefault="00C06A59" w:rsidP="00C06A59">
            <w:pPr>
              <w:rPr>
                <w:lang w:val="en-US"/>
              </w:rPr>
            </w:pPr>
            <w:r w:rsidRPr="00C06A59">
              <w:rPr>
                <w:lang w:val="en-US"/>
              </w:rPr>
              <w:t>Current Ratio</w:t>
            </w:r>
          </w:p>
        </w:tc>
        <w:tc>
          <w:tcPr>
            <w:tcW w:w="3915" w:type="dxa"/>
            <w:tcBorders>
              <w:top w:val="nil"/>
              <w:left w:val="nil"/>
              <w:bottom w:val="single" w:sz="4" w:space="0" w:color="auto"/>
              <w:right w:val="single" w:sz="4" w:space="0" w:color="auto"/>
            </w:tcBorders>
            <w:shd w:val="clear" w:color="auto" w:fill="auto"/>
            <w:noWrap/>
            <w:vAlign w:val="bottom"/>
            <w:hideMark/>
          </w:tcPr>
          <w:p w14:paraId="24808667" w14:textId="77777777" w:rsidR="00C06A59" w:rsidRPr="00C06A59" w:rsidRDefault="00C06A59" w:rsidP="00C06A59">
            <w:pPr>
              <w:rPr>
                <w:lang w:val="en-US"/>
              </w:rPr>
            </w:pPr>
            <w:r w:rsidRPr="00C06A59">
              <w:rPr>
                <w:lang w:val="en-US"/>
              </w:rPr>
              <w:t>Current Assets/ Current Liabilities</w:t>
            </w:r>
          </w:p>
        </w:tc>
        <w:tc>
          <w:tcPr>
            <w:tcW w:w="644" w:type="dxa"/>
            <w:tcBorders>
              <w:top w:val="nil"/>
              <w:left w:val="nil"/>
              <w:bottom w:val="single" w:sz="4" w:space="0" w:color="auto"/>
              <w:right w:val="single" w:sz="4" w:space="0" w:color="auto"/>
            </w:tcBorders>
            <w:shd w:val="clear" w:color="auto" w:fill="auto"/>
            <w:noWrap/>
            <w:vAlign w:val="bottom"/>
            <w:hideMark/>
          </w:tcPr>
          <w:p w14:paraId="71B0E592" w14:textId="77777777" w:rsidR="00C06A59" w:rsidRPr="00C06A59" w:rsidRDefault="00C06A59" w:rsidP="00C06A59">
            <w:pPr>
              <w:rPr>
                <w:lang w:val="en-US"/>
              </w:rPr>
            </w:pPr>
            <w:r w:rsidRPr="00C06A59">
              <w:rPr>
                <w:lang w:val="en-US"/>
              </w:rPr>
              <w:t>0.71</w:t>
            </w:r>
          </w:p>
        </w:tc>
        <w:tc>
          <w:tcPr>
            <w:tcW w:w="644" w:type="dxa"/>
            <w:tcBorders>
              <w:top w:val="nil"/>
              <w:left w:val="nil"/>
              <w:bottom w:val="single" w:sz="4" w:space="0" w:color="auto"/>
              <w:right w:val="single" w:sz="4" w:space="0" w:color="auto"/>
            </w:tcBorders>
            <w:shd w:val="clear" w:color="auto" w:fill="auto"/>
            <w:noWrap/>
            <w:vAlign w:val="bottom"/>
            <w:hideMark/>
          </w:tcPr>
          <w:p w14:paraId="2A640F2C" w14:textId="77777777" w:rsidR="00C06A59" w:rsidRPr="00C06A59" w:rsidRDefault="00C06A59" w:rsidP="00C06A59">
            <w:pPr>
              <w:rPr>
                <w:lang w:val="en-US"/>
              </w:rPr>
            </w:pPr>
            <w:r w:rsidRPr="00C06A59">
              <w:rPr>
                <w:lang w:val="en-US"/>
              </w:rPr>
              <w:t>0.73</w:t>
            </w:r>
          </w:p>
        </w:tc>
        <w:tc>
          <w:tcPr>
            <w:tcW w:w="644" w:type="dxa"/>
            <w:tcBorders>
              <w:top w:val="nil"/>
              <w:left w:val="nil"/>
              <w:bottom w:val="single" w:sz="4" w:space="0" w:color="auto"/>
              <w:right w:val="single" w:sz="4" w:space="0" w:color="auto"/>
            </w:tcBorders>
            <w:shd w:val="clear" w:color="auto" w:fill="auto"/>
            <w:noWrap/>
            <w:vAlign w:val="bottom"/>
            <w:hideMark/>
          </w:tcPr>
          <w:p w14:paraId="5BA6CBA5" w14:textId="77777777" w:rsidR="00C06A59" w:rsidRPr="00C06A59" w:rsidRDefault="00C06A59" w:rsidP="00C06A59">
            <w:pPr>
              <w:rPr>
                <w:lang w:val="en-US"/>
              </w:rPr>
            </w:pPr>
            <w:r w:rsidRPr="00C06A59">
              <w:rPr>
                <w:lang w:val="en-US"/>
              </w:rPr>
              <w:t>0.65</w:t>
            </w:r>
          </w:p>
        </w:tc>
        <w:tc>
          <w:tcPr>
            <w:tcW w:w="644" w:type="dxa"/>
            <w:tcBorders>
              <w:top w:val="nil"/>
              <w:left w:val="nil"/>
              <w:bottom w:val="single" w:sz="4" w:space="0" w:color="auto"/>
              <w:right w:val="single" w:sz="4" w:space="0" w:color="auto"/>
            </w:tcBorders>
            <w:shd w:val="clear" w:color="auto" w:fill="auto"/>
            <w:noWrap/>
            <w:vAlign w:val="bottom"/>
            <w:hideMark/>
          </w:tcPr>
          <w:p w14:paraId="28DF6FC8" w14:textId="77777777" w:rsidR="00C06A59" w:rsidRPr="00C06A59" w:rsidRDefault="00C06A59" w:rsidP="00C06A59">
            <w:pPr>
              <w:rPr>
                <w:lang w:val="en-US"/>
              </w:rPr>
            </w:pPr>
            <w:r w:rsidRPr="00C06A59">
              <w:rPr>
                <w:lang w:val="en-US"/>
              </w:rPr>
              <w:t>0.73</w:t>
            </w:r>
          </w:p>
        </w:tc>
        <w:tc>
          <w:tcPr>
            <w:tcW w:w="644" w:type="dxa"/>
            <w:tcBorders>
              <w:top w:val="nil"/>
              <w:left w:val="nil"/>
              <w:bottom w:val="single" w:sz="4" w:space="0" w:color="auto"/>
              <w:right w:val="single" w:sz="4" w:space="0" w:color="auto"/>
            </w:tcBorders>
            <w:shd w:val="clear" w:color="auto" w:fill="auto"/>
            <w:noWrap/>
            <w:vAlign w:val="bottom"/>
            <w:hideMark/>
          </w:tcPr>
          <w:p w14:paraId="1ED00248" w14:textId="77777777" w:rsidR="00C06A59" w:rsidRPr="00C06A59" w:rsidRDefault="00C06A59" w:rsidP="00C06A59">
            <w:pPr>
              <w:rPr>
                <w:lang w:val="en-US"/>
              </w:rPr>
            </w:pPr>
            <w:r w:rsidRPr="00C06A59">
              <w:rPr>
                <w:lang w:val="en-US"/>
              </w:rPr>
              <w:t>0.62</w:t>
            </w:r>
          </w:p>
        </w:tc>
      </w:tr>
      <w:tr w:rsidR="00C06A59" w:rsidRPr="00C06A59" w14:paraId="7D2FA43E"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326B57FA" w14:textId="77777777" w:rsidR="00C06A59" w:rsidRPr="00C06A59" w:rsidRDefault="00C06A59" w:rsidP="00C06A59">
            <w:pPr>
              <w:rPr>
                <w:lang w:val="en-US"/>
              </w:rPr>
            </w:pPr>
            <w:r w:rsidRPr="00C06A59">
              <w:rPr>
                <w:lang w:val="en-US"/>
              </w:rPr>
              <w:t>Quick Ratio</w:t>
            </w:r>
          </w:p>
        </w:tc>
        <w:tc>
          <w:tcPr>
            <w:tcW w:w="3915" w:type="dxa"/>
            <w:tcBorders>
              <w:top w:val="nil"/>
              <w:left w:val="nil"/>
              <w:bottom w:val="single" w:sz="4" w:space="0" w:color="auto"/>
              <w:right w:val="single" w:sz="4" w:space="0" w:color="auto"/>
            </w:tcBorders>
            <w:shd w:val="clear" w:color="auto" w:fill="auto"/>
            <w:noWrap/>
            <w:vAlign w:val="bottom"/>
            <w:hideMark/>
          </w:tcPr>
          <w:p w14:paraId="5B1AEFC7" w14:textId="77777777" w:rsidR="00C06A59" w:rsidRPr="00C06A59" w:rsidRDefault="00C06A59" w:rsidP="00C06A59">
            <w:pPr>
              <w:rPr>
                <w:lang w:val="en-US"/>
              </w:rPr>
            </w:pPr>
            <w:r w:rsidRPr="00C06A59">
              <w:rPr>
                <w:lang w:val="en-US"/>
              </w:rPr>
              <w:t>Quick Assets/ Current Liabilities</w:t>
            </w:r>
          </w:p>
        </w:tc>
        <w:tc>
          <w:tcPr>
            <w:tcW w:w="644" w:type="dxa"/>
            <w:tcBorders>
              <w:top w:val="nil"/>
              <w:left w:val="nil"/>
              <w:bottom w:val="single" w:sz="4" w:space="0" w:color="auto"/>
              <w:right w:val="single" w:sz="4" w:space="0" w:color="auto"/>
            </w:tcBorders>
            <w:shd w:val="clear" w:color="auto" w:fill="auto"/>
            <w:noWrap/>
            <w:vAlign w:val="bottom"/>
            <w:hideMark/>
          </w:tcPr>
          <w:p w14:paraId="336D9CF4" w14:textId="77777777" w:rsidR="00C06A59" w:rsidRPr="00C06A59" w:rsidRDefault="00C06A59" w:rsidP="00C06A59">
            <w:pPr>
              <w:rPr>
                <w:lang w:val="en-US"/>
              </w:rPr>
            </w:pPr>
            <w:r w:rsidRPr="00C06A59">
              <w:rPr>
                <w:lang w:val="en-US"/>
              </w:rPr>
              <w:t>0.56</w:t>
            </w:r>
          </w:p>
        </w:tc>
        <w:tc>
          <w:tcPr>
            <w:tcW w:w="644" w:type="dxa"/>
            <w:tcBorders>
              <w:top w:val="nil"/>
              <w:left w:val="nil"/>
              <w:bottom w:val="single" w:sz="4" w:space="0" w:color="auto"/>
              <w:right w:val="single" w:sz="4" w:space="0" w:color="auto"/>
            </w:tcBorders>
            <w:shd w:val="clear" w:color="auto" w:fill="auto"/>
            <w:noWrap/>
            <w:vAlign w:val="bottom"/>
            <w:hideMark/>
          </w:tcPr>
          <w:p w14:paraId="0F2B198E" w14:textId="77777777" w:rsidR="00C06A59" w:rsidRPr="00C06A59" w:rsidRDefault="00C06A59" w:rsidP="00C06A59">
            <w:pPr>
              <w:rPr>
                <w:lang w:val="en-US"/>
              </w:rPr>
            </w:pPr>
            <w:r w:rsidRPr="00C06A59">
              <w:rPr>
                <w:lang w:val="en-US"/>
              </w:rPr>
              <w:t>0.59</w:t>
            </w:r>
          </w:p>
        </w:tc>
        <w:tc>
          <w:tcPr>
            <w:tcW w:w="644" w:type="dxa"/>
            <w:tcBorders>
              <w:top w:val="nil"/>
              <w:left w:val="nil"/>
              <w:bottom w:val="single" w:sz="4" w:space="0" w:color="auto"/>
              <w:right w:val="single" w:sz="4" w:space="0" w:color="auto"/>
            </w:tcBorders>
            <w:shd w:val="clear" w:color="auto" w:fill="auto"/>
            <w:noWrap/>
            <w:vAlign w:val="bottom"/>
            <w:hideMark/>
          </w:tcPr>
          <w:p w14:paraId="0380190F" w14:textId="77777777" w:rsidR="00C06A59" w:rsidRPr="00C06A59" w:rsidRDefault="00C06A59" w:rsidP="00C06A59">
            <w:pPr>
              <w:rPr>
                <w:lang w:val="en-US"/>
              </w:rPr>
            </w:pPr>
            <w:r w:rsidRPr="00C06A59">
              <w:rPr>
                <w:lang w:val="en-US"/>
              </w:rPr>
              <w:t>0.52</w:t>
            </w:r>
          </w:p>
        </w:tc>
        <w:tc>
          <w:tcPr>
            <w:tcW w:w="644" w:type="dxa"/>
            <w:tcBorders>
              <w:top w:val="nil"/>
              <w:left w:val="nil"/>
              <w:bottom w:val="single" w:sz="4" w:space="0" w:color="auto"/>
              <w:right w:val="single" w:sz="4" w:space="0" w:color="auto"/>
            </w:tcBorders>
            <w:shd w:val="clear" w:color="auto" w:fill="auto"/>
            <w:noWrap/>
            <w:vAlign w:val="bottom"/>
            <w:hideMark/>
          </w:tcPr>
          <w:p w14:paraId="644DF7F7" w14:textId="77777777" w:rsidR="00C06A59" w:rsidRPr="00C06A59" w:rsidRDefault="00C06A59" w:rsidP="00C06A59">
            <w:pPr>
              <w:rPr>
                <w:lang w:val="en-US"/>
              </w:rPr>
            </w:pPr>
            <w:r w:rsidRPr="00C06A59">
              <w:rPr>
                <w:lang w:val="en-US"/>
              </w:rPr>
              <w:t>0.60</w:t>
            </w:r>
          </w:p>
        </w:tc>
        <w:tc>
          <w:tcPr>
            <w:tcW w:w="644" w:type="dxa"/>
            <w:tcBorders>
              <w:top w:val="nil"/>
              <w:left w:val="nil"/>
              <w:bottom w:val="single" w:sz="4" w:space="0" w:color="auto"/>
              <w:right w:val="single" w:sz="4" w:space="0" w:color="auto"/>
            </w:tcBorders>
            <w:shd w:val="clear" w:color="auto" w:fill="auto"/>
            <w:noWrap/>
            <w:vAlign w:val="bottom"/>
            <w:hideMark/>
          </w:tcPr>
          <w:p w14:paraId="1E2E9C51" w14:textId="77777777" w:rsidR="00C06A59" w:rsidRPr="00C06A59" w:rsidRDefault="00C06A59" w:rsidP="00C06A59">
            <w:pPr>
              <w:rPr>
                <w:lang w:val="en-US"/>
              </w:rPr>
            </w:pPr>
            <w:r w:rsidRPr="00C06A59">
              <w:rPr>
                <w:lang w:val="en-US"/>
              </w:rPr>
              <w:t>0.50</w:t>
            </w:r>
          </w:p>
        </w:tc>
      </w:tr>
      <w:tr w:rsidR="00C06A59" w:rsidRPr="00C06A59" w14:paraId="0F3E33E5"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27BCD00B" w14:textId="77777777" w:rsidR="00C06A59" w:rsidRPr="00C06A59" w:rsidRDefault="00C06A59" w:rsidP="00C06A59">
            <w:pPr>
              <w:rPr>
                <w:lang w:val="en-US"/>
              </w:rPr>
            </w:pPr>
            <w:r w:rsidRPr="00C06A59">
              <w:rPr>
                <w:lang w:val="en-US"/>
              </w:rPr>
              <w:t> </w:t>
            </w:r>
          </w:p>
        </w:tc>
        <w:tc>
          <w:tcPr>
            <w:tcW w:w="3915" w:type="dxa"/>
            <w:tcBorders>
              <w:top w:val="nil"/>
              <w:left w:val="nil"/>
              <w:bottom w:val="single" w:sz="4" w:space="0" w:color="auto"/>
              <w:right w:val="single" w:sz="4" w:space="0" w:color="auto"/>
            </w:tcBorders>
            <w:shd w:val="clear" w:color="auto" w:fill="auto"/>
            <w:noWrap/>
            <w:vAlign w:val="bottom"/>
            <w:hideMark/>
          </w:tcPr>
          <w:p w14:paraId="1185F0AB"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5A6E8C36"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5E05E761"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238A666E"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0F885CE9"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7D610D0A" w14:textId="77777777" w:rsidR="00C06A59" w:rsidRPr="00C06A59" w:rsidRDefault="00C06A59" w:rsidP="00C06A59">
            <w:pPr>
              <w:rPr>
                <w:lang w:val="en-US"/>
              </w:rPr>
            </w:pPr>
            <w:r w:rsidRPr="00C06A59">
              <w:rPr>
                <w:lang w:val="en-US"/>
              </w:rPr>
              <w:t> </w:t>
            </w:r>
          </w:p>
        </w:tc>
      </w:tr>
      <w:tr w:rsidR="00C06A59" w:rsidRPr="00C06A59" w14:paraId="21ECCB0A"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60598406" w14:textId="77777777" w:rsidR="00C06A59" w:rsidRPr="00C06A59" w:rsidRDefault="00C06A59" w:rsidP="00C06A59">
            <w:pPr>
              <w:rPr>
                <w:lang w:val="en-US"/>
              </w:rPr>
            </w:pPr>
            <w:r w:rsidRPr="00C06A59">
              <w:rPr>
                <w:lang w:val="en-US"/>
              </w:rPr>
              <w:t xml:space="preserve">Efficiency </w:t>
            </w:r>
          </w:p>
        </w:tc>
        <w:tc>
          <w:tcPr>
            <w:tcW w:w="3915" w:type="dxa"/>
            <w:tcBorders>
              <w:top w:val="nil"/>
              <w:left w:val="nil"/>
              <w:bottom w:val="single" w:sz="4" w:space="0" w:color="auto"/>
              <w:right w:val="single" w:sz="4" w:space="0" w:color="auto"/>
            </w:tcBorders>
            <w:shd w:val="clear" w:color="auto" w:fill="auto"/>
            <w:noWrap/>
            <w:vAlign w:val="bottom"/>
            <w:hideMark/>
          </w:tcPr>
          <w:p w14:paraId="652ABDFB" w14:textId="77777777" w:rsidR="00C06A59" w:rsidRPr="00C06A59" w:rsidRDefault="00C06A59" w:rsidP="00C06A59">
            <w:pPr>
              <w:rPr>
                <w:lang w:val="en-US"/>
              </w:rPr>
            </w:pPr>
            <w:r w:rsidRPr="00C06A59">
              <w:rPr>
                <w:lang w:val="en-US"/>
              </w:rPr>
              <w:t>Formula</w:t>
            </w:r>
          </w:p>
        </w:tc>
        <w:tc>
          <w:tcPr>
            <w:tcW w:w="644" w:type="dxa"/>
            <w:tcBorders>
              <w:top w:val="nil"/>
              <w:left w:val="nil"/>
              <w:bottom w:val="single" w:sz="4" w:space="0" w:color="auto"/>
              <w:right w:val="single" w:sz="4" w:space="0" w:color="auto"/>
            </w:tcBorders>
            <w:shd w:val="clear" w:color="auto" w:fill="auto"/>
            <w:noWrap/>
            <w:vAlign w:val="bottom"/>
            <w:hideMark/>
          </w:tcPr>
          <w:p w14:paraId="33C7444A" w14:textId="77777777" w:rsidR="00C06A59" w:rsidRPr="00C06A59" w:rsidRDefault="00C06A59" w:rsidP="00C06A59">
            <w:pPr>
              <w:rPr>
                <w:lang w:val="en-US"/>
              </w:rPr>
            </w:pPr>
            <w:r w:rsidRPr="00C06A59">
              <w:rPr>
                <w:lang w:val="en-US"/>
              </w:rPr>
              <w:t>2023</w:t>
            </w:r>
          </w:p>
        </w:tc>
        <w:tc>
          <w:tcPr>
            <w:tcW w:w="644" w:type="dxa"/>
            <w:tcBorders>
              <w:top w:val="nil"/>
              <w:left w:val="nil"/>
              <w:bottom w:val="single" w:sz="4" w:space="0" w:color="auto"/>
              <w:right w:val="single" w:sz="4" w:space="0" w:color="auto"/>
            </w:tcBorders>
            <w:shd w:val="clear" w:color="auto" w:fill="auto"/>
            <w:noWrap/>
            <w:vAlign w:val="bottom"/>
            <w:hideMark/>
          </w:tcPr>
          <w:p w14:paraId="7E939941" w14:textId="77777777" w:rsidR="00C06A59" w:rsidRPr="00C06A59" w:rsidRDefault="00C06A59" w:rsidP="00C06A59">
            <w:pPr>
              <w:rPr>
                <w:lang w:val="en-US"/>
              </w:rPr>
            </w:pPr>
            <w:r w:rsidRPr="00C06A59">
              <w:rPr>
                <w:lang w:val="en-US"/>
              </w:rPr>
              <w:t>2022</w:t>
            </w:r>
          </w:p>
        </w:tc>
        <w:tc>
          <w:tcPr>
            <w:tcW w:w="644" w:type="dxa"/>
            <w:tcBorders>
              <w:top w:val="nil"/>
              <w:left w:val="nil"/>
              <w:bottom w:val="single" w:sz="4" w:space="0" w:color="auto"/>
              <w:right w:val="single" w:sz="4" w:space="0" w:color="auto"/>
            </w:tcBorders>
            <w:shd w:val="clear" w:color="auto" w:fill="auto"/>
            <w:noWrap/>
            <w:vAlign w:val="bottom"/>
            <w:hideMark/>
          </w:tcPr>
          <w:p w14:paraId="7F6B52AA" w14:textId="77777777" w:rsidR="00C06A59" w:rsidRPr="00C06A59" w:rsidRDefault="00C06A59" w:rsidP="00C06A59">
            <w:pPr>
              <w:rPr>
                <w:lang w:val="en-US"/>
              </w:rPr>
            </w:pPr>
            <w:r w:rsidRPr="00C06A59">
              <w:rPr>
                <w:lang w:val="en-US"/>
              </w:rPr>
              <w:t>2021</w:t>
            </w:r>
          </w:p>
        </w:tc>
        <w:tc>
          <w:tcPr>
            <w:tcW w:w="644" w:type="dxa"/>
            <w:tcBorders>
              <w:top w:val="nil"/>
              <w:left w:val="nil"/>
              <w:bottom w:val="single" w:sz="4" w:space="0" w:color="auto"/>
              <w:right w:val="single" w:sz="4" w:space="0" w:color="auto"/>
            </w:tcBorders>
            <w:shd w:val="clear" w:color="auto" w:fill="auto"/>
            <w:noWrap/>
            <w:vAlign w:val="bottom"/>
            <w:hideMark/>
          </w:tcPr>
          <w:p w14:paraId="534F2DEE" w14:textId="77777777" w:rsidR="00C06A59" w:rsidRPr="00C06A59" w:rsidRDefault="00C06A59" w:rsidP="00C06A59">
            <w:pPr>
              <w:rPr>
                <w:lang w:val="en-US"/>
              </w:rPr>
            </w:pPr>
            <w:r w:rsidRPr="00C06A59">
              <w:rPr>
                <w:lang w:val="en-US"/>
              </w:rPr>
              <w:t>2020</w:t>
            </w:r>
          </w:p>
        </w:tc>
        <w:tc>
          <w:tcPr>
            <w:tcW w:w="644" w:type="dxa"/>
            <w:tcBorders>
              <w:top w:val="nil"/>
              <w:left w:val="nil"/>
              <w:bottom w:val="single" w:sz="4" w:space="0" w:color="auto"/>
              <w:right w:val="single" w:sz="4" w:space="0" w:color="auto"/>
            </w:tcBorders>
            <w:shd w:val="clear" w:color="auto" w:fill="auto"/>
            <w:noWrap/>
            <w:vAlign w:val="bottom"/>
            <w:hideMark/>
          </w:tcPr>
          <w:p w14:paraId="1FA1EC23" w14:textId="77777777" w:rsidR="00C06A59" w:rsidRPr="00C06A59" w:rsidRDefault="00C06A59" w:rsidP="00C06A59">
            <w:pPr>
              <w:rPr>
                <w:lang w:val="en-US"/>
              </w:rPr>
            </w:pPr>
            <w:r w:rsidRPr="00C06A59">
              <w:rPr>
                <w:lang w:val="en-US"/>
              </w:rPr>
              <w:t>2019</w:t>
            </w:r>
          </w:p>
        </w:tc>
      </w:tr>
      <w:tr w:rsidR="00C06A59" w:rsidRPr="00C06A59" w14:paraId="1F3D18C7"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14360DAF" w14:textId="77777777" w:rsidR="00C06A59" w:rsidRPr="00C06A59" w:rsidRDefault="00C06A59" w:rsidP="00C06A59">
            <w:pPr>
              <w:rPr>
                <w:lang w:val="en-US"/>
              </w:rPr>
            </w:pPr>
            <w:r w:rsidRPr="00C06A59">
              <w:rPr>
                <w:lang w:val="en-US"/>
              </w:rPr>
              <w:t>Inventory Turnover Ratio</w:t>
            </w:r>
          </w:p>
        </w:tc>
        <w:tc>
          <w:tcPr>
            <w:tcW w:w="3915" w:type="dxa"/>
            <w:tcBorders>
              <w:top w:val="nil"/>
              <w:left w:val="nil"/>
              <w:bottom w:val="single" w:sz="4" w:space="0" w:color="auto"/>
              <w:right w:val="single" w:sz="4" w:space="0" w:color="auto"/>
            </w:tcBorders>
            <w:shd w:val="clear" w:color="auto" w:fill="auto"/>
            <w:noWrap/>
            <w:vAlign w:val="bottom"/>
            <w:hideMark/>
          </w:tcPr>
          <w:p w14:paraId="78B7BE40" w14:textId="77777777" w:rsidR="00C06A59" w:rsidRPr="00C06A59" w:rsidRDefault="00C06A59" w:rsidP="00C06A59">
            <w:pPr>
              <w:rPr>
                <w:lang w:val="en-US"/>
              </w:rPr>
            </w:pPr>
            <w:proofErr w:type="spellStart"/>
            <w:r w:rsidRPr="00C06A59">
              <w:rPr>
                <w:lang w:val="en-US"/>
              </w:rPr>
              <w:t>CoGS</w:t>
            </w:r>
            <w:proofErr w:type="spellEnd"/>
            <w:r w:rsidRPr="00C06A59">
              <w:rPr>
                <w:lang w:val="en-US"/>
              </w:rPr>
              <w:t>/Average Inventory</w:t>
            </w:r>
          </w:p>
        </w:tc>
        <w:tc>
          <w:tcPr>
            <w:tcW w:w="644" w:type="dxa"/>
            <w:tcBorders>
              <w:top w:val="nil"/>
              <w:left w:val="nil"/>
              <w:bottom w:val="single" w:sz="4" w:space="0" w:color="auto"/>
              <w:right w:val="single" w:sz="4" w:space="0" w:color="auto"/>
            </w:tcBorders>
            <w:shd w:val="clear" w:color="auto" w:fill="auto"/>
            <w:noWrap/>
            <w:vAlign w:val="bottom"/>
            <w:hideMark/>
          </w:tcPr>
          <w:p w14:paraId="3C0A889F" w14:textId="77777777" w:rsidR="00C06A59" w:rsidRPr="00C06A59" w:rsidRDefault="00C06A59" w:rsidP="00C06A59">
            <w:pPr>
              <w:rPr>
                <w:lang w:val="en-US"/>
              </w:rPr>
            </w:pPr>
            <w:r w:rsidRPr="00C06A59">
              <w:rPr>
                <w:lang w:val="en-US"/>
              </w:rPr>
              <w:t>25.59</w:t>
            </w:r>
          </w:p>
        </w:tc>
        <w:tc>
          <w:tcPr>
            <w:tcW w:w="644" w:type="dxa"/>
            <w:tcBorders>
              <w:top w:val="nil"/>
              <w:left w:val="nil"/>
              <w:bottom w:val="single" w:sz="4" w:space="0" w:color="auto"/>
              <w:right w:val="single" w:sz="4" w:space="0" w:color="auto"/>
            </w:tcBorders>
            <w:shd w:val="clear" w:color="auto" w:fill="auto"/>
            <w:noWrap/>
            <w:vAlign w:val="bottom"/>
            <w:hideMark/>
          </w:tcPr>
          <w:p w14:paraId="7B2820D6" w14:textId="77777777" w:rsidR="00C06A59" w:rsidRPr="00C06A59" w:rsidRDefault="00C06A59" w:rsidP="00C06A59">
            <w:pPr>
              <w:rPr>
                <w:lang w:val="en-US"/>
              </w:rPr>
            </w:pPr>
            <w:r w:rsidRPr="00C06A59">
              <w:rPr>
                <w:lang w:val="en-US"/>
              </w:rPr>
              <w:t>25.75</w:t>
            </w:r>
          </w:p>
        </w:tc>
        <w:tc>
          <w:tcPr>
            <w:tcW w:w="644" w:type="dxa"/>
            <w:tcBorders>
              <w:top w:val="nil"/>
              <w:left w:val="nil"/>
              <w:bottom w:val="single" w:sz="4" w:space="0" w:color="auto"/>
              <w:right w:val="single" w:sz="4" w:space="0" w:color="auto"/>
            </w:tcBorders>
            <w:shd w:val="clear" w:color="auto" w:fill="auto"/>
            <w:noWrap/>
            <w:vAlign w:val="bottom"/>
            <w:hideMark/>
          </w:tcPr>
          <w:p w14:paraId="4D80B338" w14:textId="77777777" w:rsidR="00C06A59" w:rsidRPr="00C06A59" w:rsidRDefault="00C06A59" w:rsidP="00C06A59">
            <w:pPr>
              <w:rPr>
                <w:lang w:val="en-US"/>
              </w:rPr>
            </w:pPr>
            <w:r w:rsidRPr="00C06A59">
              <w:rPr>
                <w:lang w:val="en-US"/>
              </w:rPr>
              <w:t>23.78</w:t>
            </w:r>
          </w:p>
        </w:tc>
        <w:tc>
          <w:tcPr>
            <w:tcW w:w="644" w:type="dxa"/>
            <w:tcBorders>
              <w:top w:val="nil"/>
              <w:left w:val="nil"/>
              <w:bottom w:val="single" w:sz="4" w:space="0" w:color="auto"/>
              <w:right w:val="single" w:sz="4" w:space="0" w:color="auto"/>
            </w:tcBorders>
            <w:shd w:val="clear" w:color="auto" w:fill="auto"/>
            <w:noWrap/>
            <w:vAlign w:val="bottom"/>
            <w:hideMark/>
          </w:tcPr>
          <w:p w14:paraId="5D684063" w14:textId="77777777" w:rsidR="00C06A59" w:rsidRPr="00C06A59" w:rsidRDefault="00C06A59" w:rsidP="00C06A59">
            <w:pPr>
              <w:rPr>
                <w:lang w:val="en-US"/>
              </w:rPr>
            </w:pPr>
            <w:r w:rsidRPr="00C06A59">
              <w:rPr>
                <w:lang w:val="en-US"/>
              </w:rPr>
              <w:t>21.31</w:t>
            </w:r>
          </w:p>
        </w:tc>
        <w:tc>
          <w:tcPr>
            <w:tcW w:w="644" w:type="dxa"/>
            <w:tcBorders>
              <w:top w:val="nil"/>
              <w:left w:val="nil"/>
              <w:bottom w:val="single" w:sz="4" w:space="0" w:color="auto"/>
              <w:right w:val="single" w:sz="4" w:space="0" w:color="auto"/>
            </w:tcBorders>
            <w:shd w:val="clear" w:color="auto" w:fill="auto"/>
            <w:noWrap/>
            <w:vAlign w:val="bottom"/>
            <w:hideMark/>
          </w:tcPr>
          <w:p w14:paraId="037AF607" w14:textId="77777777" w:rsidR="00C06A59" w:rsidRPr="00C06A59" w:rsidRDefault="00C06A59" w:rsidP="00C06A59">
            <w:pPr>
              <w:rPr>
                <w:lang w:val="en-US"/>
              </w:rPr>
            </w:pPr>
            <w:r w:rsidRPr="00C06A59">
              <w:rPr>
                <w:lang w:val="en-US"/>
              </w:rPr>
              <w:t>24.49</w:t>
            </w:r>
          </w:p>
        </w:tc>
      </w:tr>
      <w:tr w:rsidR="00C06A59" w:rsidRPr="00C06A59" w14:paraId="062507BA"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05EC408C" w14:textId="77777777" w:rsidR="00C06A59" w:rsidRPr="00C06A59" w:rsidRDefault="00C06A59" w:rsidP="00C06A59">
            <w:pPr>
              <w:rPr>
                <w:lang w:val="en-US"/>
              </w:rPr>
            </w:pPr>
            <w:r w:rsidRPr="00C06A59">
              <w:rPr>
                <w:lang w:val="en-US"/>
              </w:rPr>
              <w:t>Receivable Turnover Ratio</w:t>
            </w:r>
          </w:p>
        </w:tc>
        <w:tc>
          <w:tcPr>
            <w:tcW w:w="3915" w:type="dxa"/>
            <w:tcBorders>
              <w:top w:val="nil"/>
              <w:left w:val="nil"/>
              <w:bottom w:val="single" w:sz="4" w:space="0" w:color="auto"/>
              <w:right w:val="single" w:sz="4" w:space="0" w:color="auto"/>
            </w:tcBorders>
            <w:shd w:val="clear" w:color="auto" w:fill="auto"/>
            <w:noWrap/>
            <w:vAlign w:val="bottom"/>
            <w:hideMark/>
          </w:tcPr>
          <w:p w14:paraId="5374DB74" w14:textId="77777777" w:rsidR="00C06A59" w:rsidRPr="00C06A59" w:rsidRDefault="00C06A59" w:rsidP="00C06A59">
            <w:pPr>
              <w:rPr>
                <w:lang w:val="en-US"/>
              </w:rPr>
            </w:pPr>
            <w:r w:rsidRPr="00C06A59">
              <w:rPr>
                <w:lang w:val="en-US"/>
              </w:rPr>
              <w:t>Net Credit Sales/ Average Accounts Receivable</w:t>
            </w:r>
          </w:p>
        </w:tc>
        <w:tc>
          <w:tcPr>
            <w:tcW w:w="644" w:type="dxa"/>
            <w:tcBorders>
              <w:top w:val="nil"/>
              <w:left w:val="nil"/>
              <w:bottom w:val="single" w:sz="4" w:space="0" w:color="auto"/>
              <w:right w:val="single" w:sz="4" w:space="0" w:color="auto"/>
            </w:tcBorders>
            <w:shd w:val="clear" w:color="auto" w:fill="auto"/>
            <w:noWrap/>
            <w:vAlign w:val="bottom"/>
            <w:hideMark/>
          </w:tcPr>
          <w:p w14:paraId="4513CB81" w14:textId="77777777" w:rsidR="00C06A59" w:rsidRPr="00C06A59" w:rsidRDefault="00C06A59" w:rsidP="00C06A59">
            <w:pPr>
              <w:rPr>
                <w:lang w:val="en-US"/>
              </w:rPr>
            </w:pPr>
            <w:r w:rsidRPr="00C06A59">
              <w:rPr>
                <w:lang w:val="en-US"/>
              </w:rPr>
              <w:t>51.02</w:t>
            </w:r>
          </w:p>
        </w:tc>
        <w:tc>
          <w:tcPr>
            <w:tcW w:w="644" w:type="dxa"/>
            <w:tcBorders>
              <w:top w:val="nil"/>
              <w:left w:val="nil"/>
              <w:bottom w:val="single" w:sz="4" w:space="0" w:color="auto"/>
              <w:right w:val="single" w:sz="4" w:space="0" w:color="auto"/>
            </w:tcBorders>
            <w:shd w:val="clear" w:color="auto" w:fill="auto"/>
            <w:noWrap/>
            <w:vAlign w:val="bottom"/>
            <w:hideMark/>
          </w:tcPr>
          <w:p w14:paraId="2372EFF4" w14:textId="77777777" w:rsidR="00C06A59" w:rsidRPr="00C06A59" w:rsidRDefault="00C06A59" w:rsidP="00C06A59">
            <w:pPr>
              <w:rPr>
                <w:lang w:val="en-US"/>
              </w:rPr>
            </w:pPr>
            <w:r w:rsidRPr="00C06A59">
              <w:rPr>
                <w:lang w:val="en-US"/>
              </w:rPr>
              <w:t>48.57</w:t>
            </w:r>
          </w:p>
        </w:tc>
        <w:tc>
          <w:tcPr>
            <w:tcW w:w="644" w:type="dxa"/>
            <w:tcBorders>
              <w:top w:val="nil"/>
              <w:left w:val="nil"/>
              <w:bottom w:val="single" w:sz="4" w:space="0" w:color="auto"/>
              <w:right w:val="single" w:sz="4" w:space="0" w:color="auto"/>
            </w:tcBorders>
            <w:shd w:val="clear" w:color="auto" w:fill="auto"/>
            <w:noWrap/>
            <w:vAlign w:val="bottom"/>
            <w:hideMark/>
          </w:tcPr>
          <w:p w14:paraId="0B6C2030" w14:textId="77777777" w:rsidR="00C06A59" w:rsidRPr="00C06A59" w:rsidRDefault="00C06A59" w:rsidP="00C06A59">
            <w:pPr>
              <w:rPr>
                <w:lang w:val="en-US"/>
              </w:rPr>
            </w:pPr>
            <w:r w:rsidRPr="00C06A59">
              <w:rPr>
                <w:lang w:val="en-US"/>
              </w:rPr>
              <w:t>43.54</w:t>
            </w:r>
          </w:p>
        </w:tc>
        <w:tc>
          <w:tcPr>
            <w:tcW w:w="644" w:type="dxa"/>
            <w:tcBorders>
              <w:top w:val="nil"/>
              <w:left w:val="nil"/>
              <w:bottom w:val="single" w:sz="4" w:space="0" w:color="auto"/>
              <w:right w:val="single" w:sz="4" w:space="0" w:color="auto"/>
            </w:tcBorders>
            <w:shd w:val="clear" w:color="auto" w:fill="auto"/>
            <w:noWrap/>
            <w:vAlign w:val="bottom"/>
            <w:hideMark/>
          </w:tcPr>
          <w:p w14:paraId="4E1B7BEC" w14:textId="77777777" w:rsidR="00C06A59" w:rsidRPr="00C06A59" w:rsidRDefault="00C06A59" w:rsidP="00C06A59">
            <w:pPr>
              <w:rPr>
                <w:lang w:val="en-US"/>
              </w:rPr>
            </w:pPr>
            <w:r w:rsidRPr="00C06A59">
              <w:rPr>
                <w:lang w:val="en-US"/>
              </w:rPr>
              <w:t>39.44</w:t>
            </w:r>
          </w:p>
        </w:tc>
        <w:tc>
          <w:tcPr>
            <w:tcW w:w="644" w:type="dxa"/>
            <w:tcBorders>
              <w:top w:val="nil"/>
              <w:left w:val="nil"/>
              <w:bottom w:val="single" w:sz="4" w:space="0" w:color="auto"/>
              <w:right w:val="single" w:sz="4" w:space="0" w:color="auto"/>
            </w:tcBorders>
            <w:shd w:val="clear" w:color="auto" w:fill="auto"/>
            <w:noWrap/>
            <w:vAlign w:val="bottom"/>
            <w:hideMark/>
          </w:tcPr>
          <w:p w14:paraId="0F6DE634" w14:textId="77777777" w:rsidR="00C06A59" w:rsidRPr="00C06A59" w:rsidRDefault="00C06A59" w:rsidP="00C06A59">
            <w:pPr>
              <w:rPr>
                <w:lang w:val="en-US"/>
              </w:rPr>
            </w:pPr>
            <w:r w:rsidRPr="00C06A59">
              <w:rPr>
                <w:lang w:val="en-US"/>
              </w:rPr>
              <w:t>41.85</w:t>
            </w:r>
          </w:p>
        </w:tc>
      </w:tr>
      <w:tr w:rsidR="00C06A59" w:rsidRPr="00C06A59" w14:paraId="55F813F2"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55A60BD6" w14:textId="77777777" w:rsidR="00C06A59" w:rsidRPr="00C06A59" w:rsidRDefault="00C06A59" w:rsidP="00C06A59">
            <w:pPr>
              <w:rPr>
                <w:lang w:val="en-US"/>
              </w:rPr>
            </w:pPr>
            <w:r w:rsidRPr="00C06A59">
              <w:rPr>
                <w:lang w:val="en-US"/>
              </w:rPr>
              <w:t> </w:t>
            </w:r>
          </w:p>
        </w:tc>
        <w:tc>
          <w:tcPr>
            <w:tcW w:w="3915" w:type="dxa"/>
            <w:tcBorders>
              <w:top w:val="nil"/>
              <w:left w:val="nil"/>
              <w:bottom w:val="single" w:sz="4" w:space="0" w:color="auto"/>
              <w:right w:val="single" w:sz="4" w:space="0" w:color="auto"/>
            </w:tcBorders>
            <w:shd w:val="clear" w:color="auto" w:fill="auto"/>
            <w:noWrap/>
            <w:vAlign w:val="bottom"/>
            <w:hideMark/>
          </w:tcPr>
          <w:p w14:paraId="5E210375"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338E7CDE"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7C59108F"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7FDD3BD3"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654D13D9" w14:textId="77777777" w:rsidR="00C06A59" w:rsidRPr="00C06A59" w:rsidRDefault="00C06A59" w:rsidP="00C06A59">
            <w:pPr>
              <w:rPr>
                <w:lang w:val="en-US"/>
              </w:rPr>
            </w:pPr>
            <w:r w:rsidRPr="00C06A59">
              <w:rPr>
                <w:lang w:val="en-US"/>
              </w:rPr>
              <w:t> </w:t>
            </w:r>
          </w:p>
        </w:tc>
        <w:tc>
          <w:tcPr>
            <w:tcW w:w="644" w:type="dxa"/>
            <w:tcBorders>
              <w:top w:val="nil"/>
              <w:left w:val="nil"/>
              <w:bottom w:val="single" w:sz="4" w:space="0" w:color="auto"/>
              <w:right w:val="single" w:sz="4" w:space="0" w:color="auto"/>
            </w:tcBorders>
            <w:shd w:val="clear" w:color="auto" w:fill="auto"/>
            <w:noWrap/>
            <w:vAlign w:val="bottom"/>
            <w:hideMark/>
          </w:tcPr>
          <w:p w14:paraId="58FF51F5" w14:textId="77777777" w:rsidR="00C06A59" w:rsidRPr="00C06A59" w:rsidRDefault="00C06A59" w:rsidP="00C06A59">
            <w:pPr>
              <w:rPr>
                <w:lang w:val="en-US"/>
              </w:rPr>
            </w:pPr>
            <w:r w:rsidRPr="00C06A59">
              <w:rPr>
                <w:lang w:val="en-US"/>
              </w:rPr>
              <w:t> </w:t>
            </w:r>
          </w:p>
        </w:tc>
      </w:tr>
      <w:tr w:rsidR="00C06A59" w:rsidRPr="00C06A59" w14:paraId="385477A1"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292212FE" w14:textId="77777777" w:rsidR="00C06A59" w:rsidRPr="00C06A59" w:rsidRDefault="00C06A59" w:rsidP="00C06A59">
            <w:pPr>
              <w:rPr>
                <w:lang w:val="en-US"/>
              </w:rPr>
            </w:pPr>
            <w:r w:rsidRPr="00C06A59">
              <w:rPr>
                <w:lang w:val="en-US"/>
              </w:rPr>
              <w:t xml:space="preserve">Solvency </w:t>
            </w:r>
          </w:p>
        </w:tc>
        <w:tc>
          <w:tcPr>
            <w:tcW w:w="3915" w:type="dxa"/>
            <w:tcBorders>
              <w:top w:val="nil"/>
              <w:left w:val="nil"/>
              <w:bottom w:val="single" w:sz="4" w:space="0" w:color="auto"/>
              <w:right w:val="single" w:sz="4" w:space="0" w:color="auto"/>
            </w:tcBorders>
            <w:shd w:val="clear" w:color="auto" w:fill="auto"/>
            <w:noWrap/>
            <w:vAlign w:val="bottom"/>
            <w:hideMark/>
          </w:tcPr>
          <w:p w14:paraId="1B3F5937" w14:textId="77777777" w:rsidR="00C06A59" w:rsidRPr="00C06A59" w:rsidRDefault="00C06A59" w:rsidP="00C06A59">
            <w:pPr>
              <w:rPr>
                <w:lang w:val="en-US"/>
              </w:rPr>
            </w:pPr>
            <w:r w:rsidRPr="00C06A59">
              <w:rPr>
                <w:lang w:val="en-US"/>
              </w:rPr>
              <w:t>Formula</w:t>
            </w:r>
          </w:p>
        </w:tc>
        <w:tc>
          <w:tcPr>
            <w:tcW w:w="644" w:type="dxa"/>
            <w:tcBorders>
              <w:top w:val="nil"/>
              <w:left w:val="nil"/>
              <w:bottom w:val="single" w:sz="4" w:space="0" w:color="auto"/>
              <w:right w:val="single" w:sz="4" w:space="0" w:color="auto"/>
            </w:tcBorders>
            <w:shd w:val="clear" w:color="auto" w:fill="auto"/>
            <w:noWrap/>
            <w:vAlign w:val="bottom"/>
            <w:hideMark/>
          </w:tcPr>
          <w:p w14:paraId="684E5CA2" w14:textId="77777777" w:rsidR="00C06A59" w:rsidRPr="00C06A59" w:rsidRDefault="00C06A59" w:rsidP="00C06A59">
            <w:pPr>
              <w:rPr>
                <w:lang w:val="en-US"/>
              </w:rPr>
            </w:pPr>
            <w:r w:rsidRPr="00C06A59">
              <w:rPr>
                <w:lang w:val="en-US"/>
              </w:rPr>
              <w:t>2023</w:t>
            </w:r>
          </w:p>
        </w:tc>
        <w:tc>
          <w:tcPr>
            <w:tcW w:w="644" w:type="dxa"/>
            <w:tcBorders>
              <w:top w:val="nil"/>
              <w:left w:val="nil"/>
              <w:bottom w:val="single" w:sz="4" w:space="0" w:color="auto"/>
              <w:right w:val="single" w:sz="4" w:space="0" w:color="auto"/>
            </w:tcBorders>
            <w:shd w:val="clear" w:color="auto" w:fill="auto"/>
            <w:noWrap/>
            <w:vAlign w:val="bottom"/>
            <w:hideMark/>
          </w:tcPr>
          <w:p w14:paraId="2144A1E6" w14:textId="77777777" w:rsidR="00C06A59" w:rsidRPr="00C06A59" w:rsidRDefault="00C06A59" w:rsidP="00C06A59">
            <w:pPr>
              <w:rPr>
                <w:lang w:val="en-US"/>
              </w:rPr>
            </w:pPr>
            <w:r w:rsidRPr="00C06A59">
              <w:rPr>
                <w:lang w:val="en-US"/>
              </w:rPr>
              <w:t>2022</w:t>
            </w:r>
          </w:p>
        </w:tc>
        <w:tc>
          <w:tcPr>
            <w:tcW w:w="644" w:type="dxa"/>
            <w:tcBorders>
              <w:top w:val="nil"/>
              <w:left w:val="nil"/>
              <w:bottom w:val="single" w:sz="4" w:space="0" w:color="auto"/>
              <w:right w:val="single" w:sz="4" w:space="0" w:color="auto"/>
            </w:tcBorders>
            <w:shd w:val="clear" w:color="auto" w:fill="auto"/>
            <w:noWrap/>
            <w:vAlign w:val="bottom"/>
            <w:hideMark/>
          </w:tcPr>
          <w:p w14:paraId="6103AF5F" w14:textId="77777777" w:rsidR="00C06A59" w:rsidRPr="00C06A59" w:rsidRDefault="00C06A59" w:rsidP="00C06A59">
            <w:pPr>
              <w:rPr>
                <w:lang w:val="en-US"/>
              </w:rPr>
            </w:pPr>
            <w:r w:rsidRPr="00C06A59">
              <w:rPr>
                <w:lang w:val="en-US"/>
              </w:rPr>
              <w:t>2021</w:t>
            </w:r>
          </w:p>
        </w:tc>
        <w:tc>
          <w:tcPr>
            <w:tcW w:w="644" w:type="dxa"/>
            <w:tcBorders>
              <w:top w:val="nil"/>
              <w:left w:val="nil"/>
              <w:bottom w:val="single" w:sz="4" w:space="0" w:color="auto"/>
              <w:right w:val="single" w:sz="4" w:space="0" w:color="auto"/>
            </w:tcBorders>
            <w:shd w:val="clear" w:color="auto" w:fill="auto"/>
            <w:noWrap/>
            <w:vAlign w:val="bottom"/>
            <w:hideMark/>
          </w:tcPr>
          <w:p w14:paraId="656BBFE7" w14:textId="77777777" w:rsidR="00C06A59" w:rsidRPr="00C06A59" w:rsidRDefault="00C06A59" w:rsidP="00C06A59">
            <w:pPr>
              <w:rPr>
                <w:lang w:val="en-US"/>
              </w:rPr>
            </w:pPr>
            <w:r w:rsidRPr="00C06A59">
              <w:rPr>
                <w:lang w:val="en-US"/>
              </w:rPr>
              <w:t>2020</w:t>
            </w:r>
          </w:p>
        </w:tc>
        <w:tc>
          <w:tcPr>
            <w:tcW w:w="644" w:type="dxa"/>
            <w:tcBorders>
              <w:top w:val="nil"/>
              <w:left w:val="nil"/>
              <w:bottom w:val="single" w:sz="4" w:space="0" w:color="auto"/>
              <w:right w:val="single" w:sz="4" w:space="0" w:color="auto"/>
            </w:tcBorders>
            <w:shd w:val="clear" w:color="auto" w:fill="auto"/>
            <w:noWrap/>
            <w:vAlign w:val="bottom"/>
            <w:hideMark/>
          </w:tcPr>
          <w:p w14:paraId="71ADEC70" w14:textId="77777777" w:rsidR="00C06A59" w:rsidRPr="00C06A59" w:rsidRDefault="00C06A59" w:rsidP="00C06A59">
            <w:pPr>
              <w:rPr>
                <w:lang w:val="en-US"/>
              </w:rPr>
            </w:pPr>
            <w:r w:rsidRPr="00C06A59">
              <w:rPr>
                <w:lang w:val="en-US"/>
              </w:rPr>
              <w:t>2019</w:t>
            </w:r>
          </w:p>
        </w:tc>
      </w:tr>
      <w:tr w:rsidR="00C06A59" w:rsidRPr="00C06A59" w14:paraId="26C19957"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1B7E278B" w14:textId="77777777" w:rsidR="00C06A59" w:rsidRPr="00C06A59" w:rsidRDefault="00C06A59" w:rsidP="00C06A59">
            <w:pPr>
              <w:rPr>
                <w:lang w:val="en-US"/>
              </w:rPr>
            </w:pPr>
            <w:r w:rsidRPr="00C06A59">
              <w:rPr>
                <w:lang w:val="en-US"/>
              </w:rPr>
              <w:t>Debt to Assets</w:t>
            </w:r>
          </w:p>
        </w:tc>
        <w:tc>
          <w:tcPr>
            <w:tcW w:w="3915" w:type="dxa"/>
            <w:tcBorders>
              <w:top w:val="nil"/>
              <w:left w:val="nil"/>
              <w:bottom w:val="single" w:sz="4" w:space="0" w:color="auto"/>
              <w:right w:val="single" w:sz="4" w:space="0" w:color="auto"/>
            </w:tcBorders>
            <w:shd w:val="clear" w:color="auto" w:fill="auto"/>
            <w:noWrap/>
            <w:vAlign w:val="bottom"/>
            <w:hideMark/>
          </w:tcPr>
          <w:p w14:paraId="51BFC0FC" w14:textId="77777777" w:rsidR="00C06A59" w:rsidRPr="00C06A59" w:rsidRDefault="00C06A59" w:rsidP="00C06A59">
            <w:pPr>
              <w:rPr>
                <w:lang w:val="en-US"/>
              </w:rPr>
            </w:pPr>
            <w:r w:rsidRPr="00C06A59">
              <w:rPr>
                <w:lang w:val="en-US"/>
              </w:rPr>
              <w:t>Total Debt/ Total Assets</w:t>
            </w:r>
          </w:p>
        </w:tc>
        <w:tc>
          <w:tcPr>
            <w:tcW w:w="644" w:type="dxa"/>
            <w:tcBorders>
              <w:top w:val="nil"/>
              <w:left w:val="nil"/>
              <w:bottom w:val="single" w:sz="4" w:space="0" w:color="auto"/>
              <w:right w:val="single" w:sz="4" w:space="0" w:color="auto"/>
            </w:tcBorders>
            <w:shd w:val="clear" w:color="auto" w:fill="auto"/>
            <w:noWrap/>
            <w:vAlign w:val="bottom"/>
            <w:hideMark/>
          </w:tcPr>
          <w:p w14:paraId="445B53F2" w14:textId="77777777" w:rsidR="00C06A59" w:rsidRPr="00C06A59" w:rsidRDefault="00C06A59" w:rsidP="00C06A59">
            <w:pPr>
              <w:rPr>
                <w:lang w:val="en-US"/>
              </w:rPr>
            </w:pPr>
            <w:r w:rsidRPr="00C06A59">
              <w:rPr>
                <w:lang w:val="en-US"/>
              </w:rPr>
              <w:t>16.75</w:t>
            </w:r>
            <w:r w:rsidRPr="00C06A59">
              <w:rPr>
                <w:lang w:val="en-US"/>
              </w:rPr>
              <w:lastRenderedPageBreak/>
              <w:t>%</w:t>
            </w:r>
          </w:p>
        </w:tc>
        <w:tc>
          <w:tcPr>
            <w:tcW w:w="644" w:type="dxa"/>
            <w:tcBorders>
              <w:top w:val="nil"/>
              <w:left w:val="nil"/>
              <w:bottom w:val="single" w:sz="4" w:space="0" w:color="auto"/>
              <w:right w:val="single" w:sz="4" w:space="0" w:color="auto"/>
            </w:tcBorders>
            <w:shd w:val="clear" w:color="auto" w:fill="auto"/>
            <w:noWrap/>
            <w:vAlign w:val="bottom"/>
            <w:hideMark/>
          </w:tcPr>
          <w:p w14:paraId="7EB040EE" w14:textId="77777777" w:rsidR="00C06A59" w:rsidRPr="00C06A59" w:rsidRDefault="00C06A59" w:rsidP="00C06A59">
            <w:pPr>
              <w:rPr>
                <w:lang w:val="en-US"/>
              </w:rPr>
            </w:pPr>
            <w:r w:rsidRPr="00C06A59">
              <w:rPr>
                <w:lang w:val="en-US"/>
              </w:rPr>
              <w:lastRenderedPageBreak/>
              <w:t>16.13</w:t>
            </w:r>
            <w:r w:rsidRPr="00C06A59">
              <w:rPr>
                <w:lang w:val="en-US"/>
              </w:rPr>
              <w:lastRenderedPageBreak/>
              <w:t>%</w:t>
            </w:r>
          </w:p>
        </w:tc>
        <w:tc>
          <w:tcPr>
            <w:tcW w:w="644" w:type="dxa"/>
            <w:tcBorders>
              <w:top w:val="nil"/>
              <w:left w:val="nil"/>
              <w:bottom w:val="single" w:sz="4" w:space="0" w:color="auto"/>
              <w:right w:val="single" w:sz="4" w:space="0" w:color="auto"/>
            </w:tcBorders>
            <w:shd w:val="clear" w:color="auto" w:fill="auto"/>
            <w:noWrap/>
            <w:vAlign w:val="bottom"/>
            <w:hideMark/>
          </w:tcPr>
          <w:p w14:paraId="4AB7D861" w14:textId="77777777" w:rsidR="00C06A59" w:rsidRPr="00C06A59" w:rsidRDefault="00C06A59" w:rsidP="00C06A59">
            <w:pPr>
              <w:rPr>
                <w:lang w:val="en-US"/>
              </w:rPr>
            </w:pPr>
            <w:r w:rsidRPr="00C06A59">
              <w:rPr>
                <w:lang w:val="en-US"/>
              </w:rPr>
              <w:lastRenderedPageBreak/>
              <w:t>16.57</w:t>
            </w:r>
            <w:r w:rsidRPr="00C06A59">
              <w:rPr>
                <w:lang w:val="en-US"/>
              </w:rPr>
              <w:lastRenderedPageBreak/>
              <w:t>%</w:t>
            </w:r>
          </w:p>
        </w:tc>
        <w:tc>
          <w:tcPr>
            <w:tcW w:w="644" w:type="dxa"/>
            <w:tcBorders>
              <w:top w:val="nil"/>
              <w:left w:val="nil"/>
              <w:bottom w:val="single" w:sz="4" w:space="0" w:color="auto"/>
              <w:right w:val="single" w:sz="4" w:space="0" w:color="auto"/>
            </w:tcBorders>
            <w:shd w:val="clear" w:color="auto" w:fill="auto"/>
            <w:noWrap/>
            <w:vAlign w:val="bottom"/>
            <w:hideMark/>
          </w:tcPr>
          <w:p w14:paraId="09F4ED10" w14:textId="77777777" w:rsidR="00C06A59" w:rsidRPr="00C06A59" w:rsidRDefault="00C06A59" w:rsidP="00C06A59">
            <w:pPr>
              <w:rPr>
                <w:lang w:val="en-US"/>
              </w:rPr>
            </w:pPr>
            <w:r w:rsidRPr="00C06A59">
              <w:rPr>
                <w:lang w:val="en-US"/>
              </w:rPr>
              <w:lastRenderedPageBreak/>
              <w:t>16.52</w:t>
            </w:r>
            <w:r w:rsidRPr="00C06A59">
              <w:rPr>
                <w:lang w:val="en-US"/>
              </w:rPr>
              <w:lastRenderedPageBreak/>
              <w:t>%</w:t>
            </w:r>
          </w:p>
        </w:tc>
        <w:tc>
          <w:tcPr>
            <w:tcW w:w="644" w:type="dxa"/>
            <w:tcBorders>
              <w:top w:val="nil"/>
              <w:left w:val="nil"/>
              <w:bottom w:val="single" w:sz="4" w:space="0" w:color="auto"/>
              <w:right w:val="single" w:sz="4" w:space="0" w:color="auto"/>
            </w:tcBorders>
            <w:shd w:val="clear" w:color="auto" w:fill="auto"/>
            <w:noWrap/>
            <w:vAlign w:val="bottom"/>
            <w:hideMark/>
          </w:tcPr>
          <w:p w14:paraId="143740E7" w14:textId="77777777" w:rsidR="00C06A59" w:rsidRPr="00C06A59" w:rsidRDefault="00C06A59" w:rsidP="00C06A59">
            <w:pPr>
              <w:rPr>
                <w:lang w:val="en-US"/>
              </w:rPr>
            </w:pPr>
            <w:r w:rsidRPr="00C06A59">
              <w:rPr>
                <w:lang w:val="en-US"/>
              </w:rPr>
              <w:lastRenderedPageBreak/>
              <w:t>15.74</w:t>
            </w:r>
            <w:r w:rsidRPr="00C06A59">
              <w:rPr>
                <w:lang w:val="en-US"/>
              </w:rPr>
              <w:lastRenderedPageBreak/>
              <w:t>%</w:t>
            </w:r>
          </w:p>
        </w:tc>
      </w:tr>
      <w:tr w:rsidR="00C06A59" w:rsidRPr="00C06A59" w14:paraId="466ED66C" w14:textId="77777777" w:rsidTr="00C06A59">
        <w:trPr>
          <w:trHeight w:val="300"/>
        </w:trPr>
        <w:tc>
          <w:tcPr>
            <w:tcW w:w="2215" w:type="dxa"/>
            <w:tcBorders>
              <w:top w:val="nil"/>
              <w:left w:val="single" w:sz="4" w:space="0" w:color="auto"/>
              <w:bottom w:val="single" w:sz="4" w:space="0" w:color="auto"/>
              <w:right w:val="single" w:sz="4" w:space="0" w:color="auto"/>
            </w:tcBorders>
            <w:shd w:val="clear" w:color="auto" w:fill="auto"/>
            <w:noWrap/>
            <w:vAlign w:val="bottom"/>
            <w:hideMark/>
          </w:tcPr>
          <w:p w14:paraId="6C2453A7" w14:textId="77777777" w:rsidR="00C06A59" w:rsidRPr="00C06A59" w:rsidRDefault="00C06A59" w:rsidP="00C06A59">
            <w:pPr>
              <w:rPr>
                <w:lang w:val="en-US"/>
              </w:rPr>
            </w:pPr>
            <w:r w:rsidRPr="00C06A59">
              <w:rPr>
                <w:lang w:val="en-US"/>
              </w:rPr>
              <w:lastRenderedPageBreak/>
              <w:t xml:space="preserve">Debt to Equity </w:t>
            </w:r>
          </w:p>
        </w:tc>
        <w:tc>
          <w:tcPr>
            <w:tcW w:w="3915" w:type="dxa"/>
            <w:tcBorders>
              <w:top w:val="nil"/>
              <w:left w:val="nil"/>
              <w:bottom w:val="single" w:sz="4" w:space="0" w:color="auto"/>
              <w:right w:val="single" w:sz="4" w:space="0" w:color="auto"/>
            </w:tcBorders>
            <w:shd w:val="clear" w:color="auto" w:fill="auto"/>
            <w:noWrap/>
            <w:vAlign w:val="bottom"/>
            <w:hideMark/>
          </w:tcPr>
          <w:p w14:paraId="48AA1E96" w14:textId="77777777" w:rsidR="00C06A59" w:rsidRPr="00C06A59" w:rsidRDefault="00C06A59" w:rsidP="00C06A59">
            <w:pPr>
              <w:rPr>
                <w:lang w:val="en-US"/>
              </w:rPr>
            </w:pPr>
            <w:r w:rsidRPr="00C06A59">
              <w:rPr>
                <w:lang w:val="en-US"/>
              </w:rPr>
              <w:t>Total Debt/ Total Equity</w:t>
            </w:r>
          </w:p>
        </w:tc>
        <w:tc>
          <w:tcPr>
            <w:tcW w:w="644" w:type="dxa"/>
            <w:tcBorders>
              <w:top w:val="nil"/>
              <w:left w:val="nil"/>
              <w:bottom w:val="single" w:sz="4" w:space="0" w:color="auto"/>
              <w:right w:val="single" w:sz="4" w:space="0" w:color="auto"/>
            </w:tcBorders>
            <w:shd w:val="clear" w:color="auto" w:fill="auto"/>
            <w:noWrap/>
            <w:vAlign w:val="bottom"/>
            <w:hideMark/>
          </w:tcPr>
          <w:p w14:paraId="41643024" w14:textId="77777777" w:rsidR="00C06A59" w:rsidRPr="00C06A59" w:rsidRDefault="00C06A59" w:rsidP="00C06A59">
            <w:pPr>
              <w:rPr>
                <w:lang w:val="en-US"/>
              </w:rPr>
            </w:pPr>
            <w:r w:rsidRPr="00C06A59">
              <w:rPr>
                <w:lang w:val="en-US"/>
              </w:rPr>
              <w:t>63.18%</w:t>
            </w:r>
          </w:p>
        </w:tc>
        <w:tc>
          <w:tcPr>
            <w:tcW w:w="644" w:type="dxa"/>
            <w:tcBorders>
              <w:top w:val="nil"/>
              <w:left w:val="nil"/>
              <w:bottom w:val="single" w:sz="4" w:space="0" w:color="auto"/>
              <w:right w:val="single" w:sz="4" w:space="0" w:color="auto"/>
            </w:tcBorders>
            <w:shd w:val="clear" w:color="auto" w:fill="auto"/>
            <w:noWrap/>
            <w:vAlign w:val="bottom"/>
            <w:hideMark/>
          </w:tcPr>
          <w:p w14:paraId="3B97B224" w14:textId="77777777" w:rsidR="00C06A59" w:rsidRPr="00C06A59" w:rsidRDefault="00C06A59" w:rsidP="00C06A59">
            <w:pPr>
              <w:rPr>
                <w:lang w:val="en-US"/>
              </w:rPr>
            </w:pPr>
            <w:r w:rsidRPr="00C06A59">
              <w:rPr>
                <w:lang w:val="en-US"/>
              </w:rPr>
              <w:t>50.87%</w:t>
            </w:r>
          </w:p>
        </w:tc>
        <w:tc>
          <w:tcPr>
            <w:tcW w:w="644" w:type="dxa"/>
            <w:tcBorders>
              <w:top w:val="nil"/>
              <w:left w:val="nil"/>
              <w:bottom w:val="single" w:sz="4" w:space="0" w:color="auto"/>
              <w:right w:val="single" w:sz="4" w:space="0" w:color="auto"/>
            </w:tcBorders>
            <w:shd w:val="clear" w:color="auto" w:fill="auto"/>
            <w:noWrap/>
            <w:vAlign w:val="bottom"/>
            <w:hideMark/>
          </w:tcPr>
          <w:p w14:paraId="4599D97B" w14:textId="77777777" w:rsidR="00C06A59" w:rsidRPr="00C06A59" w:rsidRDefault="00C06A59" w:rsidP="00C06A59">
            <w:pPr>
              <w:rPr>
                <w:lang w:val="en-US"/>
              </w:rPr>
            </w:pPr>
            <w:r w:rsidRPr="00C06A59">
              <w:rPr>
                <w:lang w:val="en-US"/>
              </w:rPr>
              <w:t>68.17%</w:t>
            </w:r>
          </w:p>
        </w:tc>
        <w:tc>
          <w:tcPr>
            <w:tcW w:w="644" w:type="dxa"/>
            <w:tcBorders>
              <w:top w:val="nil"/>
              <w:left w:val="nil"/>
              <w:bottom w:val="single" w:sz="4" w:space="0" w:color="auto"/>
              <w:right w:val="single" w:sz="4" w:space="0" w:color="auto"/>
            </w:tcBorders>
            <w:shd w:val="clear" w:color="auto" w:fill="auto"/>
            <w:noWrap/>
            <w:vAlign w:val="bottom"/>
            <w:hideMark/>
          </w:tcPr>
          <w:p w14:paraId="3A392BAF" w14:textId="77777777" w:rsidR="00C06A59" w:rsidRPr="00C06A59" w:rsidRDefault="00C06A59" w:rsidP="00C06A59">
            <w:pPr>
              <w:rPr>
                <w:lang w:val="en-US"/>
              </w:rPr>
            </w:pPr>
            <w:r w:rsidRPr="00C06A59">
              <w:rPr>
                <w:lang w:val="en-US"/>
              </w:rPr>
              <w:t>71.55%</w:t>
            </w:r>
          </w:p>
        </w:tc>
        <w:tc>
          <w:tcPr>
            <w:tcW w:w="644" w:type="dxa"/>
            <w:tcBorders>
              <w:top w:val="nil"/>
              <w:left w:val="nil"/>
              <w:bottom w:val="single" w:sz="4" w:space="0" w:color="auto"/>
              <w:right w:val="single" w:sz="4" w:space="0" w:color="auto"/>
            </w:tcBorders>
            <w:shd w:val="clear" w:color="auto" w:fill="auto"/>
            <w:noWrap/>
            <w:vAlign w:val="bottom"/>
            <w:hideMark/>
          </w:tcPr>
          <w:p w14:paraId="3E4DB6E9" w14:textId="77777777" w:rsidR="00C06A59" w:rsidRPr="00C06A59" w:rsidRDefault="00C06A59" w:rsidP="00C06A59">
            <w:pPr>
              <w:rPr>
                <w:lang w:val="en-US"/>
              </w:rPr>
            </w:pPr>
            <w:r w:rsidRPr="00C06A59">
              <w:rPr>
                <w:lang w:val="en-US"/>
              </w:rPr>
              <w:t>77.54%</w:t>
            </w:r>
          </w:p>
        </w:tc>
      </w:tr>
    </w:tbl>
    <w:p w14:paraId="3625CDDD" w14:textId="562A4A63" w:rsidR="00C06A59" w:rsidRDefault="000A3674" w:rsidP="00D9397E">
      <w:pPr>
        <w:rPr>
          <w:rFonts w:cs="Times New Roman"/>
          <w:szCs w:val="24"/>
        </w:rPr>
      </w:pPr>
      <w:r>
        <w:rPr>
          <w:rFonts w:cs="Times New Roman"/>
          <w:szCs w:val="24"/>
          <w:lang w:val="en-US"/>
        </w:rPr>
        <w:t>(</w:t>
      </w:r>
      <w:r>
        <w:rPr>
          <w:rFonts w:cs="Times New Roman"/>
          <w:szCs w:val="24"/>
        </w:rPr>
        <w:t>Tesco Annual Report, 2023) (Tesco Annual Report, 2021) (Tesco Annual Report, 2019)</w:t>
      </w:r>
    </w:p>
    <w:p w14:paraId="3A11F8D0" w14:textId="77777777" w:rsidR="009026F4" w:rsidRDefault="009026F4" w:rsidP="009026F4">
      <w:pPr>
        <w:keepNext/>
        <w:jc w:val="center"/>
      </w:pPr>
      <w:r>
        <w:rPr>
          <w:noProof/>
        </w:rPr>
        <w:drawing>
          <wp:inline distT="0" distB="0" distL="0" distR="0" wp14:anchorId="75DE86E4" wp14:editId="74E9CE76">
            <wp:extent cx="4572000" cy="2743200"/>
            <wp:effectExtent l="0" t="0" r="0" b="0"/>
            <wp:docPr id="614154664" name="Chart 1">
              <a:extLst xmlns:a="http://schemas.openxmlformats.org/drawingml/2006/main">
                <a:ext uri="{FF2B5EF4-FFF2-40B4-BE49-F238E27FC236}">
                  <a16:creationId xmlns:a16="http://schemas.microsoft.com/office/drawing/2014/main" id="{3B3AB414-7C07-CCBB-919D-88A52D772F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431B5F2" w14:textId="478C8F34" w:rsidR="009026F4" w:rsidRDefault="009026F4" w:rsidP="009026F4">
      <w:pPr>
        <w:pStyle w:val="Caption"/>
        <w:jc w:val="center"/>
      </w:pPr>
      <w:bookmarkStart w:id="7" w:name="_Toc181626647"/>
      <w:r>
        <w:t xml:space="preserve">Figure </w:t>
      </w:r>
      <w:r>
        <w:fldChar w:fldCharType="begin"/>
      </w:r>
      <w:r>
        <w:instrText xml:space="preserve"> SEQ Figure \* ARABIC </w:instrText>
      </w:r>
      <w:r>
        <w:fldChar w:fldCharType="separate"/>
      </w:r>
      <w:r>
        <w:rPr>
          <w:noProof/>
        </w:rPr>
        <w:t>3</w:t>
      </w:r>
      <w:r>
        <w:fldChar w:fldCharType="end"/>
      </w:r>
      <w:r>
        <w:t>: Profitability Ratios</w:t>
      </w:r>
      <w:bookmarkEnd w:id="7"/>
    </w:p>
    <w:p w14:paraId="208EB482" w14:textId="77A0944F" w:rsidR="009026F4" w:rsidRPr="009026F4" w:rsidRDefault="009026F4" w:rsidP="009026F4">
      <w:pPr>
        <w:jc w:val="center"/>
      </w:pPr>
      <w:r>
        <w:t>Source: Self-Created</w:t>
      </w:r>
    </w:p>
    <w:p w14:paraId="26FD4274" w14:textId="77777777" w:rsidR="009026F4" w:rsidRDefault="009026F4" w:rsidP="009026F4">
      <w:pPr>
        <w:keepNext/>
        <w:jc w:val="center"/>
      </w:pPr>
      <w:r>
        <w:rPr>
          <w:noProof/>
        </w:rPr>
        <w:drawing>
          <wp:inline distT="0" distB="0" distL="0" distR="0" wp14:anchorId="13D261F2" wp14:editId="0904384A">
            <wp:extent cx="4572000" cy="2743200"/>
            <wp:effectExtent l="0" t="0" r="0" b="0"/>
            <wp:docPr id="1884333188" name="Chart 1">
              <a:extLst xmlns:a="http://schemas.openxmlformats.org/drawingml/2006/main">
                <a:ext uri="{FF2B5EF4-FFF2-40B4-BE49-F238E27FC236}">
                  <a16:creationId xmlns:a16="http://schemas.microsoft.com/office/drawing/2014/main" id="{7967394F-994A-5D23-9976-D67F889412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46718B3" w14:textId="60CC4125" w:rsidR="009026F4" w:rsidRDefault="009026F4" w:rsidP="009026F4">
      <w:pPr>
        <w:pStyle w:val="Caption"/>
        <w:jc w:val="center"/>
      </w:pPr>
      <w:bookmarkStart w:id="8" w:name="_Toc181626648"/>
      <w:r>
        <w:t xml:space="preserve">Figure </w:t>
      </w:r>
      <w:r>
        <w:fldChar w:fldCharType="begin"/>
      </w:r>
      <w:r>
        <w:instrText xml:space="preserve"> SEQ Figure \* ARABIC </w:instrText>
      </w:r>
      <w:r>
        <w:fldChar w:fldCharType="separate"/>
      </w:r>
      <w:r>
        <w:rPr>
          <w:noProof/>
        </w:rPr>
        <w:t>4</w:t>
      </w:r>
      <w:r>
        <w:fldChar w:fldCharType="end"/>
      </w:r>
      <w:r>
        <w:t>:</w:t>
      </w:r>
      <w:r w:rsidRPr="006A273E">
        <w:t>Liquidity Ratio</w:t>
      </w:r>
      <w:bookmarkEnd w:id="8"/>
    </w:p>
    <w:p w14:paraId="20F4A484" w14:textId="2715CAA6" w:rsidR="009026F4" w:rsidRDefault="009026F4" w:rsidP="009026F4">
      <w:pPr>
        <w:jc w:val="center"/>
      </w:pPr>
      <w:r>
        <w:lastRenderedPageBreak/>
        <w:t>Source: Self-created</w:t>
      </w:r>
    </w:p>
    <w:p w14:paraId="55404C18" w14:textId="77777777" w:rsidR="009026F4" w:rsidRDefault="009026F4" w:rsidP="009026F4">
      <w:pPr>
        <w:keepNext/>
        <w:jc w:val="center"/>
      </w:pPr>
      <w:r>
        <w:rPr>
          <w:noProof/>
        </w:rPr>
        <w:drawing>
          <wp:inline distT="0" distB="0" distL="0" distR="0" wp14:anchorId="3DF7EB59" wp14:editId="6B0C9623">
            <wp:extent cx="4572000" cy="2743200"/>
            <wp:effectExtent l="0" t="0" r="0" b="0"/>
            <wp:docPr id="393067825" name="Chart 1">
              <a:extLst xmlns:a="http://schemas.openxmlformats.org/drawingml/2006/main">
                <a:ext uri="{FF2B5EF4-FFF2-40B4-BE49-F238E27FC236}">
                  <a16:creationId xmlns:a16="http://schemas.microsoft.com/office/drawing/2014/main" id="{5545976D-9DB1-AE46-297B-33935FEA4B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59035F" w14:textId="627995B7" w:rsidR="009026F4" w:rsidRDefault="009026F4" w:rsidP="009026F4">
      <w:pPr>
        <w:pStyle w:val="Caption"/>
        <w:jc w:val="center"/>
        <w:rPr>
          <w:lang w:val="en-US"/>
        </w:rPr>
      </w:pPr>
      <w:bookmarkStart w:id="9" w:name="_Toc181626649"/>
      <w:r>
        <w:t xml:space="preserve">Figure </w:t>
      </w:r>
      <w:r>
        <w:fldChar w:fldCharType="begin"/>
      </w:r>
      <w:r>
        <w:instrText xml:space="preserve"> SEQ Figure \* ARABIC </w:instrText>
      </w:r>
      <w:r>
        <w:fldChar w:fldCharType="separate"/>
      </w:r>
      <w:r>
        <w:rPr>
          <w:noProof/>
        </w:rPr>
        <w:t>5</w:t>
      </w:r>
      <w:r>
        <w:fldChar w:fldCharType="end"/>
      </w:r>
      <w:r>
        <w:rPr>
          <w:lang w:val="en-US"/>
        </w:rPr>
        <w:t>: Efficiency Ratio</w:t>
      </w:r>
      <w:bookmarkEnd w:id="9"/>
    </w:p>
    <w:p w14:paraId="522DDADD" w14:textId="1D583458" w:rsidR="009026F4" w:rsidRDefault="009026F4" w:rsidP="009026F4">
      <w:pPr>
        <w:jc w:val="center"/>
        <w:rPr>
          <w:lang w:val="en-US"/>
        </w:rPr>
      </w:pPr>
      <w:r>
        <w:rPr>
          <w:lang w:val="en-US"/>
        </w:rPr>
        <w:t>Source: Self-created</w:t>
      </w:r>
    </w:p>
    <w:p w14:paraId="731C7687" w14:textId="77777777" w:rsidR="009026F4" w:rsidRDefault="009026F4" w:rsidP="009026F4">
      <w:pPr>
        <w:keepNext/>
        <w:jc w:val="center"/>
      </w:pPr>
      <w:r>
        <w:rPr>
          <w:noProof/>
        </w:rPr>
        <w:drawing>
          <wp:inline distT="0" distB="0" distL="0" distR="0" wp14:anchorId="72DB3148" wp14:editId="5DFE7FD4">
            <wp:extent cx="4572000" cy="2743200"/>
            <wp:effectExtent l="0" t="0" r="0" b="0"/>
            <wp:docPr id="455059712" name="Chart 1">
              <a:extLst xmlns:a="http://schemas.openxmlformats.org/drawingml/2006/main">
                <a:ext uri="{FF2B5EF4-FFF2-40B4-BE49-F238E27FC236}">
                  <a16:creationId xmlns:a16="http://schemas.microsoft.com/office/drawing/2014/main" id="{893D1FCF-6D20-1150-6963-7A8FEEB9D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22697B4" w14:textId="32B9A8DE" w:rsidR="009026F4" w:rsidRDefault="009026F4" w:rsidP="009026F4">
      <w:pPr>
        <w:pStyle w:val="Caption"/>
        <w:jc w:val="center"/>
        <w:rPr>
          <w:lang w:val="en-US"/>
        </w:rPr>
      </w:pPr>
      <w:bookmarkStart w:id="10" w:name="_Toc181626650"/>
      <w:r>
        <w:t xml:space="preserve">Figure </w:t>
      </w:r>
      <w:r>
        <w:fldChar w:fldCharType="begin"/>
      </w:r>
      <w:r>
        <w:instrText xml:space="preserve"> SEQ Figure \* ARABIC </w:instrText>
      </w:r>
      <w:r>
        <w:fldChar w:fldCharType="separate"/>
      </w:r>
      <w:r>
        <w:rPr>
          <w:noProof/>
        </w:rPr>
        <w:t>6</w:t>
      </w:r>
      <w:r>
        <w:fldChar w:fldCharType="end"/>
      </w:r>
      <w:r>
        <w:rPr>
          <w:lang w:val="en-US"/>
        </w:rPr>
        <w:t>:Solvency Ratio</w:t>
      </w:r>
      <w:bookmarkEnd w:id="10"/>
    </w:p>
    <w:p w14:paraId="0DA8F789" w14:textId="2314588F" w:rsidR="009026F4" w:rsidRPr="009026F4" w:rsidRDefault="009026F4" w:rsidP="009026F4">
      <w:pPr>
        <w:jc w:val="center"/>
        <w:rPr>
          <w:lang w:val="en-US"/>
        </w:rPr>
      </w:pPr>
      <w:r>
        <w:rPr>
          <w:lang w:val="en-US"/>
        </w:rPr>
        <w:t>Source: Self-created</w:t>
      </w:r>
    </w:p>
    <w:p w14:paraId="5A7FA15F" w14:textId="17D2F550" w:rsidR="00C06A59" w:rsidRDefault="00B920A0" w:rsidP="00B920A0">
      <w:pPr>
        <w:pStyle w:val="Heading2"/>
        <w:rPr>
          <w:lang w:val="en-US"/>
        </w:rPr>
      </w:pPr>
      <w:bookmarkStart w:id="11" w:name="_Toc181625487"/>
      <w:r>
        <w:rPr>
          <w:lang w:val="en-US"/>
        </w:rPr>
        <w:t>4.1 Discussion on the</w:t>
      </w:r>
      <w:r w:rsidR="00C06A59" w:rsidRPr="00C06A59">
        <w:rPr>
          <w:lang w:val="en-US"/>
        </w:rPr>
        <w:t xml:space="preserve"> Corporate Governance Practices and Financial Performance</w:t>
      </w:r>
      <w:bookmarkEnd w:id="11"/>
    </w:p>
    <w:p w14:paraId="2A6487F0" w14:textId="00DB6CEB" w:rsidR="000A3674" w:rsidRPr="00054AC6" w:rsidRDefault="000A3674" w:rsidP="00054AC6">
      <w:pPr>
        <w:rPr>
          <w:rFonts w:cs="Times New Roman"/>
          <w:szCs w:val="24"/>
          <w:lang w:val="en-US"/>
        </w:rPr>
      </w:pPr>
      <w:r w:rsidRPr="000A3674">
        <w:rPr>
          <w:lang w:val="en-US"/>
        </w:rPr>
        <w:t>Th</w:t>
      </w:r>
      <w:r>
        <w:rPr>
          <w:lang w:val="en-US"/>
        </w:rPr>
        <w:t>e</w:t>
      </w:r>
      <w:r w:rsidRPr="000A3674">
        <w:rPr>
          <w:lang w:val="en-US"/>
        </w:rPr>
        <w:t xml:space="preserve"> upright governance influences Tesco's financial performance in many ways: providing transparency, especially through strategic review and oversight; embedding effective risk </w:t>
      </w:r>
      <w:r w:rsidRPr="000A3674">
        <w:rPr>
          <w:lang w:val="en-US"/>
        </w:rPr>
        <w:lastRenderedPageBreak/>
        <w:t>management within the organization; escalating investor confidence; ensuring that day-to-day operations are resilient</w:t>
      </w:r>
      <w:r>
        <w:rPr>
          <w:lang w:val="en-US"/>
        </w:rPr>
        <w:t xml:space="preserve"> </w:t>
      </w:r>
      <w:r>
        <w:rPr>
          <w:rFonts w:cs="Times New Roman"/>
          <w:szCs w:val="24"/>
          <w:lang w:val="en-US"/>
        </w:rPr>
        <w:t>(</w:t>
      </w:r>
      <w:r>
        <w:rPr>
          <w:rFonts w:cs="Times New Roman"/>
          <w:szCs w:val="24"/>
        </w:rPr>
        <w:t>Tesco Annual Report, 2023) (Tesco Annual Report, 2021) (Tesco Annual Report, 2019) (Tesco Corporate Governance, 2024</w:t>
      </w:r>
      <w:r>
        <w:rPr>
          <w:rFonts w:cs="Times New Roman"/>
          <w:szCs w:val="24"/>
          <w:lang w:val="en-US"/>
        </w:rPr>
        <w:t>)</w:t>
      </w:r>
      <w:r w:rsidRPr="000A3674">
        <w:rPr>
          <w:lang w:val="en-US"/>
        </w:rPr>
        <w:t xml:space="preserve">. </w:t>
      </w:r>
      <w:r>
        <w:rPr>
          <w:lang w:val="en-US"/>
        </w:rPr>
        <w:t>However, t</w:t>
      </w:r>
      <w:r w:rsidRPr="000A3674">
        <w:rPr>
          <w:lang w:val="en-US"/>
        </w:rPr>
        <w:t>he main underpinning governance would include the Audit Committee and the Sustainability Committee, both put in place to ensure close oversight with regard to the integrity of the financial outputs and attainment of sustainability goals, respectively. It finally aligns Tesco's strategy with the interest of all stakeholders and encourages sustained investment and top-line growth</w:t>
      </w:r>
      <w:r w:rsidR="00054AC6">
        <w:rPr>
          <w:lang w:val="en-US"/>
        </w:rPr>
        <w:t xml:space="preserve"> </w:t>
      </w:r>
      <w:r w:rsidR="00054AC6" w:rsidRPr="00054AC6">
        <w:rPr>
          <w:rFonts w:cs="Times New Roman"/>
          <w:szCs w:val="24"/>
          <w:lang w:val="en-US"/>
        </w:rPr>
        <w:t>(Adel and Anis, 2022)</w:t>
      </w:r>
      <w:r w:rsidRPr="000A3674">
        <w:rPr>
          <w:lang w:val="en-US"/>
        </w:rPr>
        <w:t xml:space="preserve">. In light of such business practices, during the last five years, profitability measures of Tesco- gross and operating profit have shown a stable trend </w:t>
      </w:r>
      <w:r>
        <w:rPr>
          <w:rFonts w:cs="Times New Roman"/>
          <w:szCs w:val="24"/>
          <w:lang w:val="en-US"/>
        </w:rPr>
        <w:t>(</w:t>
      </w:r>
      <w:r>
        <w:rPr>
          <w:rFonts w:cs="Times New Roman"/>
          <w:szCs w:val="24"/>
        </w:rPr>
        <w:t>Tesco Annual Report, 2023) (Tesco Annual Report, 2021) (Tesco Annual Report, 2019) (Tesco Corporate Governance, 2024</w:t>
      </w:r>
      <w:r>
        <w:rPr>
          <w:rFonts w:cs="Times New Roman"/>
          <w:szCs w:val="24"/>
          <w:lang w:val="en-US"/>
        </w:rPr>
        <w:t xml:space="preserve">). </w:t>
      </w:r>
      <w:r w:rsidRPr="000A3674">
        <w:rPr>
          <w:lang w:val="en-US"/>
        </w:rPr>
        <w:t>Similarly, an appropriate composition of the board and expertise-based committees further extended Tesco to cope with the dynamics of the market which enhances efficiency ratio, inventory, and receivable turnover depicts sufficient operational performance; its liquidity ratios though at a comparatively low level are compensated by Tesco debt management policy that is governed by its corporate governance mechanism</w:t>
      </w:r>
      <w:r>
        <w:rPr>
          <w:lang w:val="en-US"/>
        </w:rPr>
        <w:t xml:space="preserve"> </w:t>
      </w:r>
      <w:r>
        <w:rPr>
          <w:rFonts w:cs="Times New Roman"/>
          <w:szCs w:val="24"/>
          <w:lang w:val="en-US"/>
        </w:rPr>
        <w:t>(</w:t>
      </w:r>
      <w:r>
        <w:rPr>
          <w:rFonts w:cs="Times New Roman"/>
          <w:szCs w:val="24"/>
        </w:rPr>
        <w:t>Tesco Annual Report, 2023) (Tesco Annual Report, 2021) (Tesco Annual Report, 2019) (Tesco Corporate Governance, 2024</w:t>
      </w:r>
      <w:r>
        <w:rPr>
          <w:rFonts w:cs="Times New Roman"/>
          <w:szCs w:val="24"/>
          <w:lang w:val="en-US"/>
        </w:rPr>
        <w:t>)</w:t>
      </w:r>
      <w:r w:rsidRPr="000A3674">
        <w:rPr>
          <w:lang w:val="en-US"/>
        </w:rPr>
        <w:t>.</w:t>
      </w:r>
      <w:r>
        <w:rPr>
          <w:lang w:val="en-US"/>
        </w:rPr>
        <w:t xml:space="preserve"> Furthermore, t</w:t>
      </w:r>
      <w:r w:rsidRPr="000A3674">
        <w:rPr>
          <w:lang w:val="en-US"/>
        </w:rPr>
        <w:t>he governance structure at Tesco is supportive of strategic growth in that it underlines long-term shareholder value by aligning its financial and sustainability goals and purports that strong governance with clear mechanisms of accountability will directly lead to the company's financial stability and market competitiveness</w:t>
      </w:r>
      <w:r>
        <w:rPr>
          <w:lang w:val="en-US"/>
        </w:rPr>
        <w:t xml:space="preserve"> </w:t>
      </w:r>
      <w:r>
        <w:rPr>
          <w:rFonts w:cs="Times New Roman"/>
          <w:szCs w:val="24"/>
          <w:lang w:val="en-US"/>
        </w:rPr>
        <w:t>(</w:t>
      </w:r>
      <w:r>
        <w:rPr>
          <w:rFonts w:cs="Times New Roman"/>
          <w:szCs w:val="24"/>
        </w:rPr>
        <w:t>Tesco Annual Report, 2023) (Tesco Annual Report, 2021) (Tesco Annual Report, 2019) (Tesco Corporate Governance, 2024</w:t>
      </w:r>
      <w:r>
        <w:rPr>
          <w:rFonts w:cs="Times New Roman"/>
          <w:szCs w:val="24"/>
          <w:lang w:val="en-US"/>
        </w:rPr>
        <w:t>)</w:t>
      </w:r>
      <w:r w:rsidRPr="000A3674">
        <w:rPr>
          <w:lang w:val="en-US"/>
        </w:rPr>
        <w:t>.</w:t>
      </w:r>
    </w:p>
    <w:p w14:paraId="243755A9" w14:textId="1A214290" w:rsidR="00782062" w:rsidRDefault="00B920A0" w:rsidP="00782062">
      <w:pPr>
        <w:pStyle w:val="Heading1"/>
      </w:pPr>
      <w:bookmarkStart w:id="12" w:name="_Toc181625488"/>
      <w:r>
        <w:t xml:space="preserve">5.0 </w:t>
      </w:r>
      <w:r w:rsidR="00782062">
        <w:t>Conclusion</w:t>
      </w:r>
      <w:bookmarkEnd w:id="12"/>
      <w:r w:rsidR="00782062">
        <w:t xml:space="preserve"> </w:t>
      </w:r>
    </w:p>
    <w:p w14:paraId="40BEAB05" w14:textId="7F90702A" w:rsidR="000A3674" w:rsidRPr="006B3583" w:rsidRDefault="000A3674" w:rsidP="000A3674">
      <w:pPr>
        <w:rPr>
          <w:lang w:val="en-US"/>
        </w:rPr>
      </w:pPr>
      <w:r>
        <w:rPr>
          <w:lang w:val="en-US"/>
        </w:rPr>
        <w:t>From all of the above discussion, it has been concluded that</w:t>
      </w:r>
      <w:r w:rsidRPr="000A3674">
        <w:rPr>
          <w:lang w:val="en-US"/>
        </w:rPr>
        <w:t xml:space="preserve"> Tesco's corporate governance practices directly </w:t>
      </w:r>
      <w:r>
        <w:rPr>
          <w:lang w:val="en-US"/>
        </w:rPr>
        <w:t>depend</w:t>
      </w:r>
      <w:r w:rsidRPr="000A3674">
        <w:rPr>
          <w:lang w:val="en-US"/>
        </w:rPr>
        <w:t xml:space="preserve"> at the center of its financial performance and health at the corporate level. As a matter of fact, the report </w:t>
      </w:r>
      <w:r>
        <w:rPr>
          <w:lang w:val="en-US"/>
        </w:rPr>
        <w:t>discussed</w:t>
      </w:r>
      <w:r w:rsidRPr="000A3674">
        <w:rPr>
          <w:lang w:val="en-US"/>
        </w:rPr>
        <w:t xml:space="preserve"> that it is the robust governance framework of the company that takes the prime leading edge, the sharp-definition functions, the specialist committees, and the resolve for sustainability that enhance transparency and risk management. Conversely, key findings are that </w:t>
      </w:r>
      <w:r>
        <w:rPr>
          <w:lang w:val="en-US"/>
        </w:rPr>
        <w:t xml:space="preserve">the </w:t>
      </w:r>
      <w:r w:rsidRPr="000A3674">
        <w:rPr>
          <w:lang w:val="en-US"/>
        </w:rPr>
        <w:t xml:space="preserve">governance in Tesco has been suitably directed to establish investor confidence, in line with the company's long-term strategic focus underpinned by stable profitability ratios and effective operational metrics. Through focus on ethical decision-making </w:t>
      </w:r>
      <w:r w:rsidRPr="000A3674">
        <w:rPr>
          <w:lang w:val="en-US"/>
        </w:rPr>
        <w:lastRenderedPageBreak/>
        <w:t>and prioritizing the stakeholder, Tesco regains its market position for sustaining growth while clearly depicting the significant connection between good governance and financial stability.</w:t>
      </w:r>
    </w:p>
    <w:p w14:paraId="6D5F323C" w14:textId="77777777" w:rsidR="00782062" w:rsidRPr="000A3674" w:rsidRDefault="00782062" w:rsidP="00247FBD">
      <w:pPr>
        <w:rPr>
          <w:rFonts w:cs="Times New Roman"/>
          <w:szCs w:val="24"/>
          <w:lang w:val="en-US"/>
        </w:rPr>
      </w:pPr>
    </w:p>
    <w:p w14:paraId="52279260" w14:textId="77777777" w:rsidR="00247FBD" w:rsidRPr="00FD7556" w:rsidRDefault="00247FBD" w:rsidP="00247FBD"/>
    <w:p w14:paraId="2941AE0B" w14:textId="77777777" w:rsidR="00C30DBF" w:rsidRDefault="00C30DBF">
      <w:pPr>
        <w:spacing w:line="259" w:lineRule="auto"/>
        <w:jc w:val="left"/>
        <w:rPr>
          <w:rFonts w:eastAsiaTheme="majorEastAsia" w:cstheme="majorBidi"/>
          <w:b/>
          <w:color w:val="auto"/>
          <w:sz w:val="28"/>
          <w:szCs w:val="32"/>
        </w:rPr>
      </w:pPr>
      <w:r>
        <w:br w:type="page"/>
      </w:r>
    </w:p>
    <w:p w14:paraId="53275925" w14:textId="15CB09BF" w:rsidR="00247FBD" w:rsidRPr="00FD7556" w:rsidRDefault="00247FBD" w:rsidP="00247FBD">
      <w:pPr>
        <w:pStyle w:val="Heading1"/>
      </w:pPr>
      <w:bookmarkStart w:id="13" w:name="_Toc181625489"/>
      <w:r w:rsidRPr="00FD7556">
        <w:lastRenderedPageBreak/>
        <w:t>References</w:t>
      </w:r>
      <w:bookmarkEnd w:id="13"/>
      <w:r w:rsidRPr="00FD7556">
        <w:t xml:space="preserve"> </w:t>
      </w:r>
    </w:p>
    <w:p w14:paraId="55F168F5" w14:textId="77777777" w:rsidR="00054AC6" w:rsidRDefault="00054AC6" w:rsidP="00054AC6">
      <w:pPr>
        <w:rPr>
          <w:rFonts w:cs="Times New Roman"/>
          <w:szCs w:val="24"/>
        </w:rPr>
      </w:pPr>
      <w:r w:rsidRPr="00054AC6">
        <w:rPr>
          <w:rFonts w:cs="Times New Roman"/>
          <w:szCs w:val="24"/>
        </w:rPr>
        <w:t>Adel, N. and Anis, J., 2022. The Impact of Corporate Social Responsibility on Financial Performance: The Case of United Kingdom’s Companies. </w:t>
      </w:r>
      <w:r w:rsidRPr="00054AC6">
        <w:rPr>
          <w:rFonts w:cs="Times New Roman"/>
          <w:i/>
          <w:iCs/>
          <w:szCs w:val="24"/>
        </w:rPr>
        <w:t>International Journal of Economics &amp; Business Administration (IJEBA)</w:t>
      </w:r>
      <w:r w:rsidRPr="00054AC6">
        <w:rPr>
          <w:rFonts w:cs="Times New Roman"/>
          <w:szCs w:val="24"/>
        </w:rPr>
        <w:t>, </w:t>
      </w:r>
      <w:r w:rsidRPr="00054AC6">
        <w:rPr>
          <w:rFonts w:cs="Times New Roman"/>
          <w:i/>
          <w:iCs/>
          <w:szCs w:val="24"/>
        </w:rPr>
        <w:t>10</w:t>
      </w:r>
      <w:r w:rsidRPr="00054AC6">
        <w:rPr>
          <w:rFonts w:cs="Times New Roman"/>
          <w:szCs w:val="24"/>
        </w:rPr>
        <w:t>(4), pp.41-54.</w:t>
      </w:r>
    </w:p>
    <w:p w14:paraId="29545147" w14:textId="77777777" w:rsidR="00054AC6" w:rsidRDefault="00054AC6" w:rsidP="00247FBD">
      <w:pPr>
        <w:rPr>
          <w:rFonts w:cs="Times New Roman"/>
          <w:szCs w:val="24"/>
        </w:rPr>
      </w:pPr>
      <w:proofErr w:type="spellStart"/>
      <w:r w:rsidRPr="00C30DBF">
        <w:rPr>
          <w:rFonts w:cs="Times New Roman"/>
          <w:szCs w:val="24"/>
        </w:rPr>
        <w:t>Almashhadani</w:t>
      </w:r>
      <w:proofErr w:type="spellEnd"/>
      <w:r w:rsidRPr="00C30DBF">
        <w:rPr>
          <w:rFonts w:cs="Times New Roman"/>
          <w:szCs w:val="24"/>
        </w:rPr>
        <w:t xml:space="preserve">, M. and </w:t>
      </w:r>
      <w:proofErr w:type="spellStart"/>
      <w:r w:rsidRPr="00C30DBF">
        <w:rPr>
          <w:rFonts w:cs="Times New Roman"/>
          <w:szCs w:val="24"/>
        </w:rPr>
        <w:t>Almashhadani</w:t>
      </w:r>
      <w:proofErr w:type="spellEnd"/>
      <w:r w:rsidRPr="00C30DBF">
        <w:rPr>
          <w:rFonts w:cs="Times New Roman"/>
          <w:szCs w:val="24"/>
        </w:rPr>
        <w:t>, A.A., 2023. Corporate Governance Science, Culture and Financial Performance. </w:t>
      </w:r>
      <w:r w:rsidRPr="00C30DBF">
        <w:rPr>
          <w:rFonts w:cs="Times New Roman"/>
          <w:i/>
          <w:iCs/>
          <w:szCs w:val="24"/>
        </w:rPr>
        <w:t>International Journal of Business and Management Invention</w:t>
      </w:r>
      <w:r w:rsidRPr="00C30DBF">
        <w:rPr>
          <w:rFonts w:cs="Times New Roman"/>
          <w:szCs w:val="24"/>
        </w:rPr>
        <w:t>, </w:t>
      </w:r>
      <w:r w:rsidRPr="00C30DBF">
        <w:rPr>
          <w:rFonts w:cs="Times New Roman"/>
          <w:i/>
          <w:iCs/>
          <w:szCs w:val="24"/>
        </w:rPr>
        <w:t>11</w:t>
      </w:r>
      <w:r w:rsidRPr="00C30DBF">
        <w:rPr>
          <w:rFonts w:cs="Times New Roman"/>
          <w:szCs w:val="24"/>
        </w:rPr>
        <w:t>(2), pp.55-60.</w:t>
      </w:r>
    </w:p>
    <w:p w14:paraId="22BED534" w14:textId="77777777" w:rsidR="00054AC6" w:rsidRDefault="00054AC6" w:rsidP="006E3FC1">
      <w:pPr>
        <w:rPr>
          <w:rFonts w:cs="Times New Roman"/>
          <w:szCs w:val="24"/>
        </w:rPr>
      </w:pPr>
      <w:proofErr w:type="spellStart"/>
      <w:r w:rsidRPr="00DB351B">
        <w:rPr>
          <w:rFonts w:cs="Times New Roman"/>
          <w:szCs w:val="24"/>
        </w:rPr>
        <w:t>Burinskienė</w:t>
      </w:r>
      <w:proofErr w:type="spellEnd"/>
      <w:r w:rsidRPr="00DB351B">
        <w:rPr>
          <w:rFonts w:cs="Times New Roman"/>
          <w:szCs w:val="24"/>
        </w:rPr>
        <w:t xml:space="preserve">, A. and </w:t>
      </w:r>
      <w:proofErr w:type="spellStart"/>
      <w:r w:rsidRPr="00DB351B">
        <w:rPr>
          <w:rFonts w:cs="Times New Roman"/>
          <w:szCs w:val="24"/>
        </w:rPr>
        <w:t>Leonavičienė</w:t>
      </w:r>
      <w:proofErr w:type="spellEnd"/>
      <w:r w:rsidRPr="00DB351B">
        <w:rPr>
          <w:rFonts w:cs="Times New Roman"/>
          <w:szCs w:val="24"/>
        </w:rPr>
        <w:t>, E., 2022. Risk Management in International Business Development Projects. </w:t>
      </w:r>
      <w:r w:rsidRPr="00DB351B">
        <w:rPr>
          <w:rFonts w:cs="Times New Roman"/>
          <w:i/>
          <w:iCs/>
          <w:szCs w:val="24"/>
        </w:rPr>
        <w:t>Journal of Service, Innovation and Sustainable Development, 3 (2022)</w:t>
      </w:r>
      <w:r w:rsidRPr="00DB351B">
        <w:rPr>
          <w:rFonts w:cs="Times New Roman"/>
          <w:szCs w:val="24"/>
        </w:rPr>
        <w:t>, pp.51-64.</w:t>
      </w:r>
    </w:p>
    <w:p w14:paraId="0E05FF84" w14:textId="77777777" w:rsidR="00054AC6" w:rsidRDefault="00054AC6" w:rsidP="00054AC6">
      <w:pPr>
        <w:rPr>
          <w:rFonts w:cs="Times New Roman"/>
          <w:szCs w:val="24"/>
        </w:rPr>
      </w:pPr>
      <w:r w:rsidRPr="00054AC6">
        <w:rPr>
          <w:rFonts w:cs="Times New Roman"/>
          <w:szCs w:val="24"/>
        </w:rPr>
        <w:t xml:space="preserve">Garnett, P., Mollan, S. and Richards, B., 2024. Counter-hostility as defensive strategy in a hostile takeover: The acquisition of </w:t>
      </w:r>
      <w:proofErr w:type="spellStart"/>
      <w:r w:rsidRPr="00054AC6">
        <w:rPr>
          <w:rFonts w:cs="Times New Roman"/>
          <w:szCs w:val="24"/>
        </w:rPr>
        <w:t>Hillards</w:t>
      </w:r>
      <w:proofErr w:type="spellEnd"/>
      <w:r w:rsidRPr="00054AC6">
        <w:rPr>
          <w:rFonts w:cs="Times New Roman"/>
          <w:szCs w:val="24"/>
        </w:rPr>
        <w:t xml:space="preserve"> supermarket chain by Tesco. </w:t>
      </w:r>
      <w:r w:rsidRPr="00054AC6">
        <w:rPr>
          <w:rFonts w:cs="Times New Roman"/>
          <w:i/>
          <w:iCs/>
          <w:szCs w:val="24"/>
        </w:rPr>
        <w:t>Business History</w:t>
      </w:r>
      <w:r w:rsidRPr="00054AC6">
        <w:rPr>
          <w:rFonts w:cs="Times New Roman"/>
          <w:szCs w:val="24"/>
        </w:rPr>
        <w:t>, pp.1-23.</w:t>
      </w:r>
    </w:p>
    <w:p w14:paraId="17281358" w14:textId="77777777" w:rsidR="00054AC6" w:rsidRDefault="00054AC6" w:rsidP="00054AC6">
      <w:pPr>
        <w:rPr>
          <w:rFonts w:cs="Times New Roman"/>
          <w:szCs w:val="24"/>
        </w:rPr>
      </w:pPr>
      <w:r w:rsidRPr="00054AC6">
        <w:rPr>
          <w:rFonts w:cs="Times New Roman"/>
          <w:szCs w:val="24"/>
        </w:rPr>
        <w:t>Jones, P., 2023. Corporate social responsibility and the sustainable development goals: the UK’s four largest retailers. In </w:t>
      </w:r>
      <w:r w:rsidRPr="00054AC6">
        <w:rPr>
          <w:rFonts w:cs="Times New Roman"/>
          <w:i/>
          <w:iCs/>
          <w:szCs w:val="24"/>
        </w:rPr>
        <w:t>BEYOND THE DARK ARTS: Advancing Marketing and Communication Theory and Practice</w:t>
      </w:r>
      <w:r w:rsidRPr="00054AC6">
        <w:rPr>
          <w:rFonts w:cs="Times New Roman"/>
          <w:szCs w:val="24"/>
        </w:rPr>
        <w:t> (pp. 97-121).</w:t>
      </w:r>
    </w:p>
    <w:p w14:paraId="777AC6C5" w14:textId="77777777" w:rsidR="00054AC6" w:rsidRDefault="00054AC6" w:rsidP="00054AC6">
      <w:pPr>
        <w:rPr>
          <w:rFonts w:cs="Times New Roman"/>
          <w:szCs w:val="24"/>
        </w:rPr>
      </w:pPr>
      <w:r w:rsidRPr="00054AC6">
        <w:rPr>
          <w:rFonts w:cs="Times New Roman"/>
          <w:szCs w:val="24"/>
        </w:rPr>
        <w:t>Jung, C., 2022. </w:t>
      </w:r>
      <w:r w:rsidRPr="00054AC6">
        <w:rPr>
          <w:rFonts w:cs="Times New Roman"/>
          <w:i/>
          <w:iCs/>
          <w:szCs w:val="24"/>
        </w:rPr>
        <w:t>Sustainable Corporate Governance in the United Kingdom: Environmental Sustainability in Directors’ Decision-Making</w:t>
      </w:r>
      <w:r w:rsidRPr="00054AC6">
        <w:rPr>
          <w:rFonts w:cs="Times New Roman"/>
          <w:szCs w:val="24"/>
        </w:rPr>
        <w:t>. Frankfurt University of Applied Sciences.</w:t>
      </w:r>
    </w:p>
    <w:p w14:paraId="3C286F6C" w14:textId="77777777" w:rsidR="00054AC6" w:rsidRPr="003B533D" w:rsidRDefault="00054AC6" w:rsidP="00054AC6">
      <w:pPr>
        <w:rPr>
          <w:rFonts w:cs="Times New Roman"/>
          <w:szCs w:val="24"/>
        </w:rPr>
      </w:pPr>
      <w:r w:rsidRPr="00054AC6">
        <w:rPr>
          <w:rFonts w:cs="Times New Roman"/>
          <w:szCs w:val="24"/>
        </w:rPr>
        <w:t>Solomon, J., 2020. </w:t>
      </w:r>
      <w:r w:rsidRPr="00054AC6">
        <w:rPr>
          <w:rFonts w:cs="Times New Roman"/>
          <w:i/>
          <w:iCs/>
          <w:szCs w:val="24"/>
        </w:rPr>
        <w:t>Corporate governance and accountability</w:t>
      </w:r>
      <w:r w:rsidRPr="00054AC6">
        <w:rPr>
          <w:rFonts w:cs="Times New Roman"/>
          <w:szCs w:val="24"/>
        </w:rPr>
        <w:t>. John Wiley &amp; Sons.</w:t>
      </w:r>
    </w:p>
    <w:p w14:paraId="764765D0" w14:textId="77777777" w:rsidR="00054AC6" w:rsidRDefault="00054AC6" w:rsidP="00054AC6">
      <w:pPr>
        <w:rPr>
          <w:rFonts w:cs="Times New Roman"/>
          <w:szCs w:val="24"/>
        </w:rPr>
      </w:pPr>
      <w:r w:rsidRPr="00054AC6">
        <w:rPr>
          <w:rFonts w:cs="Times New Roman"/>
          <w:szCs w:val="24"/>
        </w:rPr>
        <w:t>Student, A., 2021. </w:t>
      </w:r>
      <w:r w:rsidRPr="00054AC6">
        <w:rPr>
          <w:rFonts w:cs="Times New Roman"/>
          <w:i/>
          <w:iCs/>
          <w:szCs w:val="24"/>
        </w:rPr>
        <w:t>To examine the added value of implementing Corporate Social Responsibility practices on the UK supermarket industry, a case study of Tesco PLC 2015-2020</w:t>
      </w:r>
      <w:r w:rsidRPr="00054AC6">
        <w:rPr>
          <w:rFonts w:cs="Times New Roman"/>
          <w:szCs w:val="24"/>
        </w:rPr>
        <w:t> (Doctoral dissertation, University of Chichester).</w:t>
      </w:r>
    </w:p>
    <w:p w14:paraId="2C19C5C3" w14:textId="77777777" w:rsidR="00054AC6" w:rsidRDefault="00054AC6" w:rsidP="00247FBD">
      <w:pPr>
        <w:rPr>
          <w:rFonts w:cs="Times New Roman"/>
          <w:szCs w:val="24"/>
        </w:rPr>
      </w:pPr>
      <w:r>
        <w:rPr>
          <w:rFonts w:cs="Times New Roman"/>
          <w:szCs w:val="24"/>
        </w:rPr>
        <w:t>Tesco Annual Report, 2019, available at:</w:t>
      </w:r>
      <w:r w:rsidRPr="00BD29ED">
        <w:t xml:space="preserve"> </w:t>
      </w:r>
      <w:hyperlink r:id="rId16" w:history="1">
        <w:r w:rsidRPr="00CC730A">
          <w:rPr>
            <w:rStyle w:val="Hyperlink"/>
            <w:rFonts w:cs="Times New Roman"/>
            <w:szCs w:val="24"/>
          </w:rPr>
          <w:t>https://www.tescoplc.com/media/0billlmb/tesco_ara2019_full_report_web.pdf</w:t>
        </w:r>
      </w:hyperlink>
      <w:r>
        <w:rPr>
          <w:rStyle w:val="Hyperlink"/>
          <w:rFonts w:cs="Times New Roman"/>
          <w:szCs w:val="24"/>
        </w:rPr>
        <w:t xml:space="preserve"> </w:t>
      </w:r>
      <w:r>
        <w:t xml:space="preserve">, </w:t>
      </w:r>
      <w:r w:rsidRPr="00B920A0">
        <w:t>Accessed on 4th November, 2024</w:t>
      </w:r>
    </w:p>
    <w:p w14:paraId="73C4A493" w14:textId="77777777" w:rsidR="00054AC6" w:rsidRDefault="00054AC6" w:rsidP="00B920A0">
      <w:pPr>
        <w:rPr>
          <w:rFonts w:cs="Times New Roman"/>
          <w:szCs w:val="24"/>
        </w:rPr>
      </w:pPr>
      <w:r>
        <w:rPr>
          <w:rFonts w:cs="Times New Roman"/>
          <w:szCs w:val="24"/>
        </w:rPr>
        <w:t xml:space="preserve">Tesco Annual Report, 2021, available at: </w:t>
      </w:r>
      <w:hyperlink r:id="rId17" w:history="1">
        <w:r w:rsidRPr="00CC730A">
          <w:rPr>
            <w:rStyle w:val="Hyperlink"/>
            <w:rFonts w:cs="Times New Roman"/>
            <w:szCs w:val="24"/>
          </w:rPr>
          <w:t>https://www.tescoplc.com/media/lfhl0lg4/tesco_annual_report_2021-2.pdf</w:t>
        </w:r>
      </w:hyperlink>
      <w:r>
        <w:t xml:space="preserve">, </w:t>
      </w:r>
      <w:r w:rsidRPr="00B920A0">
        <w:t>Accessed on 4th November, 2024</w:t>
      </w:r>
    </w:p>
    <w:p w14:paraId="59EA9A54" w14:textId="77777777" w:rsidR="00054AC6" w:rsidRDefault="00054AC6" w:rsidP="006E3FC1">
      <w:pPr>
        <w:rPr>
          <w:rFonts w:cs="Times New Roman"/>
          <w:szCs w:val="24"/>
        </w:rPr>
      </w:pPr>
      <w:r>
        <w:rPr>
          <w:rFonts w:cs="Times New Roman"/>
          <w:szCs w:val="24"/>
        </w:rPr>
        <w:lastRenderedPageBreak/>
        <w:t xml:space="preserve">Tesco Annual Report, 2023, available at: </w:t>
      </w:r>
      <w:hyperlink r:id="rId18" w:history="1">
        <w:r w:rsidRPr="00CC730A">
          <w:rPr>
            <w:rStyle w:val="Hyperlink"/>
            <w:rFonts w:cs="Times New Roman"/>
            <w:szCs w:val="24"/>
          </w:rPr>
          <w:t>https://www.tescoplc.com/investors/reports-results-and-presentations/annual-report-2023</w:t>
        </w:r>
      </w:hyperlink>
      <w:r>
        <w:t xml:space="preserve">, </w:t>
      </w:r>
      <w:r w:rsidRPr="00B920A0">
        <w:t>Accessed on 4th November, 2024</w:t>
      </w:r>
    </w:p>
    <w:p w14:paraId="182F7D55" w14:textId="77777777" w:rsidR="00054AC6" w:rsidRDefault="00054AC6" w:rsidP="006E3FC1">
      <w:pPr>
        <w:rPr>
          <w:rFonts w:cs="Times New Roman"/>
          <w:szCs w:val="24"/>
        </w:rPr>
      </w:pPr>
      <w:r>
        <w:rPr>
          <w:rFonts w:cs="Times New Roman"/>
          <w:szCs w:val="24"/>
        </w:rPr>
        <w:t xml:space="preserve">Tesco Corporate Governance, 2024, available at: </w:t>
      </w:r>
      <w:hyperlink r:id="rId19" w:history="1">
        <w:r w:rsidRPr="00351DD0">
          <w:rPr>
            <w:rStyle w:val="Hyperlink"/>
            <w:rFonts w:cs="Times New Roman"/>
            <w:szCs w:val="24"/>
          </w:rPr>
          <w:t>https://www.tescoplc.com/investors/corporate-governance</w:t>
        </w:r>
      </w:hyperlink>
      <w:r>
        <w:t xml:space="preserve">, </w:t>
      </w:r>
      <w:r w:rsidRPr="00B920A0">
        <w:t>Accessed on 4th November, 2024</w:t>
      </w:r>
    </w:p>
    <w:p w14:paraId="70E7E02C" w14:textId="77777777" w:rsidR="00054AC6" w:rsidRDefault="00054AC6" w:rsidP="006E3FC1">
      <w:r>
        <w:rPr>
          <w:rFonts w:cs="Times New Roman"/>
          <w:szCs w:val="24"/>
        </w:rPr>
        <w:t>Tesco plc, 2024, available at:</w:t>
      </w:r>
      <w:r w:rsidRPr="00DB351B">
        <w:t xml:space="preserve"> </w:t>
      </w:r>
      <w:hyperlink r:id="rId20" w:history="1">
        <w:r w:rsidRPr="00351DD0">
          <w:rPr>
            <w:rStyle w:val="Hyperlink"/>
            <w:rFonts w:cs="Times New Roman"/>
            <w:szCs w:val="24"/>
          </w:rPr>
          <w:t>https://www.tesco.com/</w:t>
        </w:r>
      </w:hyperlink>
      <w:r>
        <w:t xml:space="preserve">, </w:t>
      </w:r>
      <w:r w:rsidRPr="00B920A0">
        <w:t>Accessed on 4th November, 2024</w:t>
      </w:r>
    </w:p>
    <w:p w14:paraId="0A8FDDF7" w14:textId="77777777" w:rsidR="00054AC6" w:rsidRDefault="00054AC6" w:rsidP="00054AC6">
      <w:pPr>
        <w:rPr>
          <w:rFonts w:cs="Times New Roman"/>
          <w:szCs w:val="24"/>
        </w:rPr>
      </w:pPr>
      <w:r w:rsidRPr="00054AC6">
        <w:rPr>
          <w:rFonts w:cs="Times New Roman"/>
          <w:szCs w:val="24"/>
        </w:rPr>
        <w:t>und Recht, F.W., 2022. Sustainable Corporate Governance in the United Kingdom.</w:t>
      </w:r>
    </w:p>
    <w:p w14:paraId="0DFC9A0B" w14:textId="42A7F4B3" w:rsidR="00054AC6" w:rsidRPr="00054AC6" w:rsidRDefault="00054AC6" w:rsidP="006E3FC1">
      <w:pPr>
        <w:rPr>
          <w:rFonts w:cs="Times New Roman"/>
          <w:szCs w:val="24"/>
        </w:rPr>
      </w:pPr>
      <w:r w:rsidRPr="00054AC6">
        <w:rPr>
          <w:rFonts w:cs="Times New Roman"/>
          <w:szCs w:val="24"/>
        </w:rPr>
        <w:t xml:space="preserve">Zandi, G., Singh, D. and Shahzad, I.A., 2021. Corporate governance impact on significant aspect of firms’ performance: </w:t>
      </w:r>
      <w:proofErr w:type="gramStart"/>
      <w:r w:rsidRPr="00054AC6">
        <w:rPr>
          <w:rFonts w:cs="Times New Roman"/>
          <w:szCs w:val="24"/>
        </w:rPr>
        <w:t>An evidence</w:t>
      </w:r>
      <w:proofErr w:type="gramEnd"/>
      <w:r w:rsidRPr="00054AC6">
        <w:rPr>
          <w:rFonts w:cs="Times New Roman"/>
          <w:szCs w:val="24"/>
        </w:rPr>
        <w:t xml:space="preserve"> from top 100 global public companies.</w:t>
      </w:r>
    </w:p>
    <w:p w14:paraId="6998B197" w14:textId="0388C272" w:rsidR="003B533D" w:rsidRPr="003B533D" w:rsidRDefault="003B533D" w:rsidP="006E3FC1">
      <w:pPr>
        <w:rPr>
          <w:b/>
          <w:bCs/>
        </w:rPr>
      </w:pPr>
      <w:r w:rsidRPr="003B533D">
        <w:rPr>
          <w:b/>
          <w:bCs/>
        </w:rPr>
        <w:t xml:space="preserve">Sources of Figures </w:t>
      </w:r>
    </w:p>
    <w:p w14:paraId="12A20781" w14:textId="1602197E" w:rsidR="003B533D" w:rsidRDefault="003B533D" w:rsidP="006E3FC1">
      <w:r>
        <w:t xml:space="preserve">Tesco PLC, </w:t>
      </w:r>
      <w:hyperlink r:id="rId21" w:history="1">
        <w:r w:rsidRPr="00351DD0">
          <w:rPr>
            <w:rStyle w:val="Hyperlink"/>
          </w:rPr>
          <w:t>https://www.tescoplc.com/media/xi2hsune/tesco-store.jpg?rxy=0.6615110153467145,0.046246300295976324&amp;width=414&amp;height=366&amp;format=webp&amp;quality=100&amp;v=1dabb66112a63e0</w:t>
        </w:r>
      </w:hyperlink>
    </w:p>
    <w:p w14:paraId="40F85163" w14:textId="77777777" w:rsidR="003B533D" w:rsidRDefault="003B533D" w:rsidP="003B533D">
      <w:r>
        <w:t xml:space="preserve">Tesco PLC, </w:t>
      </w:r>
      <w:hyperlink r:id="rId22" w:history="1">
        <w:r w:rsidRPr="00351DD0">
          <w:rPr>
            <w:rStyle w:val="Hyperlink"/>
          </w:rPr>
          <w:t>https://www.tescoplc.com/media/g10ju3yv/corporate-framework-1-2.png?rmode=max&amp;width=1315&amp;height=563</w:t>
        </w:r>
      </w:hyperlink>
    </w:p>
    <w:sectPr w:rsidR="003B533D" w:rsidSect="00247FBD">
      <w:head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3AC6D" w14:textId="77777777" w:rsidR="008D0B3D" w:rsidRPr="002B79BC" w:rsidRDefault="008D0B3D" w:rsidP="00D57563">
      <w:pPr>
        <w:spacing w:after="0" w:line="240" w:lineRule="auto"/>
      </w:pPr>
      <w:r w:rsidRPr="002B79BC">
        <w:separator/>
      </w:r>
    </w:p>
  </w:endnote>
  <w:endnote w:type="continuationSeparator" w:id="0">
    <w:p w14:paraId="5E149B4C" w14:textId="77777777" w:rsidR="008D0B3D" w:rsidRPr="002B79BC" w:rsidRDefault="008D0B3D" w:rsidP="00D57563">
      <w:pPr>
        <w:spacing w:after="0" w:line="240" w:lineRule="auto"/>
      </w:pPr>
      <w:r w:rsidRPr="002B79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C9EE8" w14:textId="77777777" w:rsidR="008D0B3D" w:rsidRPr="002B79BC" w:rsidRDefault="008D0B3D" w:rsidP="00D57563">
      <w:pPr>
        <w:spacing w:after="0" w:line="240" w:lineRule="auto"/>
      </w:pPr>
      <w:r w:rsidRPr="002B79BC">
        <w:separator/>
      </w:r>
    </w:p>
  </w:footnote>
  <w:footnote w:type="continuationSeparator" w:id="0">
    <w:p w14:paraId="2FCF424E" w14:textId="77777777" w:rsidR="008D0B3D" w:rsidRPr="002B79BC" w:rsidRDefault="008D0B3D" w:rsidP="00D57563">
      <w:pPr>
        <w:spacing w:after="0" w:line="240" w:lineRule="auto"/>
      </w:pPr>
      <w:r w:rsidRPr="002B79B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213247"/>
      <w:docPartObj>
        <w:docPartGallery w:val="Page Numbers (Top of Page)"/>
        <w:docPartUnique/>
      </w:docPartObj>
    </w:sdtPr>
    <w:sdtEndPr/>
    <w:sdtContent>
      <w:p w14:paraId="1F7FAA51" w14:textId="760AD854" w:rsidR="00D57563" w:rsidRPr="002B79BC" w:rsidRDefault="00D57563">
        <w:pPr>
          <w:pStyle w:val="Header"/>
          <w:jc w:val="center"/>
        </w:pPr>
        <w:r w:rsidRPr="002B79BC">
          <w:fldChar w:fldCharType="begin"/>
        </w:r>
        <w:r w:rsidRPr="002B79BC">
          <w:instrText xml:space="preserve"> PAGE   \* MERGEFORMAT </w:instrText>
        </w:r>
        <w:r w:rsidRPr="002B79BC">
          <w:fldChar w:fldCharType="separate"/>
        </w:r>
        <w:r w:rsidRPr="002B79BC">
          <w:t>2</w:t>
        </w:r>
        <w:r w:rsidRPr="002B79BC">
          <w:fldChar w:fldCharType="end"/>
        </w:r>
      </w:p>
    </w:sdtContent>
  </w:sdt>
  <w:p w14:paraId="0073295E" w14:textId="77777777" w:rsidR="00D57563" w:rsidRPr="002B79BC" w:rsidRDefault="00D575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102F8"/>
    <w:multiLevelType w:val="hybridMultilevel"/>
    <w:tmpl w:val="0DF8643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F166FBA"/>
    <w:multiLevelType w:val="hybridMultilevel"/>
    <w:tmpl w:val="000C4CE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73E5E4F"/>
    <w:multiLevelType w:val="hybridMultilevel"/>
    <w:tmpl w:val="397E16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71B68FE"/>
    <w:multiLevelType w:val="multilevel"/>
    <w:tmpl w:val="42D68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841B46"/>
    <w:multiLevelType w:val="multilevel"/>
    <w:tmpl w:val="27265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AB50A6"/>
    <w:multiLevelType w:val="multilevel"/>
    <w:tmpl w:val="86D08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9D10DC"/>
    <w:multiLevelType w:val="hybridMultilevel"/>
    <w:tmpl w:val="DCB22E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14723EA"/>
    <w:multiLevelType w:val="multilevel"/>
    <w:tmpl w:val="09D46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524295"/>
    <w:multiLevelType w:val="hybridMultilevel"/>
    <w:tmpl w:val="09BA6DF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32261184"/>
    <w:multiLevelType w:val="multilevel"/>
    <w:tmpl w:val="3FBEB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F74020"/>
    <w:multiLevelType w:val="hybridMultilevel"/>
    <w:tmpl w:val="BA3067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9563ABF"/>
    <w:multiLevelType w:val="hybridMultilevel"/>
    <w:tmpl w:val="D8C8027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2" w15:restartNumberingAfterBreak="0">
    <w:nsid w:val="4B193AEC"/>
    <w:multiLevelType w:val="hybridMultilevel"/>
    <w:tmpl w:val="405C7C3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3" w15:restartNumberingAfterBreak="0">
    <w:nsid w:val="66C4427D"/>
    <w:multiLevelType w:val="hybridMultilevel"/>
    <w:tmpl w:val="12AEE99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4" w15:restartNumberingAfterBreak="0">
    <w:nsid w:val="69A05EBB"/>
    <w:multiLevelType w:val="hybridMultilevel"/>
    <w:tmpl w:val="DA98A4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EAC1067"/>
    <w:multiLevelType w:val="hybridMultilevel"/>
    <w:tmpl w:val="DF4C19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776487A"/>
    <w:multiLevelType w:val="multilevel"/>
    <w:tmpl w:val="5FC8E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1506132">
    <w:abstractNumId w:val="2"/>
  </w:num>
  <w:num w:numId="2" w16cid:durableId="33427387">
    <w:abstractNumId w:val="10"/>
  </w:num>
  <w:num w:numId="3" w16cid:durableId="1114592178">
    <w:abstractNumId w:val="1"/>
  </w:num>
  <w:num w:numId="4" w16cid:durableId="149833898">
    <w:abstractNumId w:val="14"/>
  </w:num>
  <w:num w:numId="5" w16cid:durableId="376978907">
    <w:abstractNumId w:val="6"/>
  </w:num>
  <w:num w:numId="6" w16cid:durableId="1094984174">
    <w:abstractNumId w:val="15"/>
  </w:num>
  <w:num w:numId="7" w16cid:durableId="1415398407">
    <w:abstractNumId w:val="0"/>
  </w:num>
  <w:num w:numId="8" w16cid:durableId="779492908">
    <w:abstractNumId w:val="8"/>
  </w:num>
  <w:num w:numId="9" w16cid:durableId="295723546">
    <w:abstractNumId w:val="11"/>
  </w:num>
  <w:num w:numId="10" w16cid:durableId="808673635">
    <w:abstractNumId w:val="13"/>
  </w:num>
  <w:num w:numId="11" w16cid:durableId="141391327">
    <w:abstractNumId w:val="12"/>
  </w:num>
  <w:num w:numId="12" w16cid:durableId="1214196495">
    <w:abstractNumId w:val="9"/>
  </w:num>
  <w:num w:numId="13" w16cid:durableId="1752309429">
    <w:abstractNumId w:val="3"/>
  </w:num>
  <w:num w:numId="14" w16cid:durableId="1672442187">
    <w:abstractNumId w:val="7"/>
  </w:num>
  <w:num w:numId="15" w16cid:durableId="2039117852">
    <w:abstractNumId w:val="5"/>
  </w:num>
  <w:num w:numId="16" w16cid:durableId="1825774388">
    <w:abstractNumId w:val="4"/>
  </w:num>
  <w:num w:numId="17" w16cid:durableId="10447209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4F1D"/>
    <w:rsid w:val="00020F78"/>
    <w:rsid w:val="00042CD1"/>
    <w:rsid w:val="00054AC6"/>
    <w:rsid w:val="00063E13"/>
    <w:rsid w:val="00094764"/>
    <w:rsid w:val="00094ED3"/>
    <w:rsid w:val="000A2602"/>
    <w:rsid w:val="000A3674"/>
    <w:rsid w:val="000D0991"/>
    <w:rsid w:val="000D304C"/>
    <w:rsid w:val="00100062"/>
    <w:rsid w:val="001157AF"/>
    <w:rsid w:val="00115AB1"/>
    <w:rsid w:val="00157CB1"/>
    <w:rsid w:val="00187E68"/>
    <w:rsid w:val="00194155"/>
    <w:rsid w:val="001B77FE"/>
    <w:rsid w:val="001C2A92"/>
    <w:rsid w:val="001C6242"/>
    <w:rsid w:val="001E27B4"/>
    <w:rsid w:val="002232AE"/>
    <w:rsid w:val="00240355"/>
    <w:rsid w:val="00247FBD"/>
    <w:rsid w:val="00260FD8"/>
    <w:rsid w:val="002A5296"/>
    <w:rsid w:val="002A6BBC"/>
    <w:rsid w:val="002B79BC"/>
    <w:rsid w:val="002C6363"/>
    <w:rsid w:val="002E0289"/>
    <w:rsid w:val="002E5E2F"/>
    <w:rsid w:val="002F02DC"/>
    <w:rsid w:val="002F1D19"/>
    <w:rsid w:val="00310610"/>
    <w:rsid w:val="0032562C"/>
    <w:rsid w:val="003317CE"/>
    <w:rsid w:val="00332D9C"/>
    <w:rsid w:val="003620D5"/>
    <w:rsid w:val="00362790"/>
    <w:rsid w:val="00397B6E"/>
    <w:rsid w:val="003B533D"/>
    <w:rsid w:val="003B7702"/>
    <w:rsid w:val="003C1DF1"/>
    <w:rsid w:val="003E119E"/>
    <w:rsid w:val="00415B39"/>
    <w:rsid w:val="00446ECC"/>
    <w:rsid w:val="00454442"/>
    <w:rsid w:val="00454F83"/>
    <w:rsid w:val="004701D5"/>
    <w:rsid w:val="00477FC4"/>
    <w:rsid w:val="00482A08"/>
    <w:rsid w:val="00526F49"/>
    <w:rsid w:val="005343CE"/>
    <w:rsid w:val="005476A1"/>
    <w:rsid w:val="005869CB"/>
    <w:rsid w:val="005A31DE"/>
    <w:rsid w:val="005D3620"/>
    <w:rsid w:val="00601D04"/>
    <w:rsid w:val="0062052E"/>
    <w:rsid w:val="0063129F"/>
    <w:rsid w:val="00633568"/>
    <w:rsid w:val="00641CF3"/>
    <w:rsid w:val="006B3583"/>
    <w:rsid w:val="006E3FC1"/>
    <w:rsid w:val="006E6CF7"/>
    <w:rsid w:val="00706EED"/>
    <w:rsid w:val="007143AA"/>
    <w:rsid w:val="0072395B"/>
    <w:rsid w:val="0073198B"/>
    <w:rsid w:val="0074725C"/>
    <w:rsid w:val="00754F1D"/>
    <w:rsid w:val="00756FF6"/>
    <w:rsid w:val="0076012F"/>
    <w:rsid w:val="00782062"/>
    <w:rsid w:val="00787037"/>
    <w:rsid w:val="00790DA5"/>
    <w:rsid w:val="007B5478"/>
    <w:rsid w:val="007B6733"/>
    <w:rsid w:val="007C0F87"/>
    <w:rsid w:val="007D2ECC"/>
    <w:rsid w:val="008161F6"/>
    <w:rsid w:val="00824F79"/>
    <w:rsid w:val="00854C61"/>
    <w:rsid w:val="00880B51"/>
    <w:rsid w:val="008D0B3D"/>
    <w:rsid w:val="008E3F88"/>
    <w:rsid w:val="008E6B81"/>
    <w:rsid w:val="008F5ECA"/>
    <w:rsid w:val="009026F4"/>
    <w:rsid w:val="009249BB"/>
    <w:rsid w:val="0094200A"/>
    <w:rsid w:val="009426A1"/>
    <w:rsid w:val="00950CBA"/>
    <w:rsid w:val="009578FD"/>
    <w:rsid w:val="009670B7"/>
    <w:rsid w:val="00973E49"/>
    <w:rsid w:val="00985647"/>
    <w:rsid w:val="009E3E08"/>
    <w:rsid w:val="009F06D4"/>
    <w:rsid w:val="009F6113"/>
    <w:rsid w:val="00A22B86"/>
    <w:rsid w:val="00A37FD8"/>
    <w:rsid w:val="00A43CD0"/>
    <w:rsid w:val="00A5714E"/>
    <w:rsid w:val="00A60F3C"/>
    <w:rsid w:val="00AA0B16"/>
    <w:rsid w:val="00AA7E56"/>
    <w:rsid w:val="00AB2C21"/>
    <w:rsid w:val="00AB2F13"/>
    <w:rsid w:val="00AB4E96"/>
    <w:rsid w:val="00AE3C35"/>
    <w:rsid w:val="00AF1D84"/>
    <w:rsid w:val="00AF51C2"/>
    <w:rsid w:val="00B14772"/>
    <w:rsid w:val="00B25923"/>
    <w:rsid w:val="00B55154"/>
    <w:rsid w:val="00B6628A"/>
    <w:rsid w:val="00B907DE"/>
    <w:rsid w:val="00B920A0"/>
    <w:rsid w:val="00B97B55"/>
    <w:rsid w:val="00BA67C7"/>
    <w:rsid w:val="00BC59CD"/>
    <w:rsid w:val="00BC7B57"/>
    <w:rsid w:val="00BD29ED"/>
    <w:rsid w:val="00BE0706"/>
    <w:rsid w:val="00BE26EB"/>
    <w:rsid w:val="00BF07C5"/>
    <w:rsid w:val="00BF42B4"/>
    <w:rsid w:val="00C01736"/>
    <w:rsid w:val="00C06A59"/>
    <w:rsid w:val="00C30DBF"/>
    <w:rsid w:val="00C43FE5"/>
    <w:rsid w:val="00C47C10"/>
    <w:rsid w:val="00C80504"/>
    <w:rsid w:val="00CB56E8"/>
    <w:rsid w:val="00CC753A"/>
    <w:rsid w:val="00CE31B4"/>
    <w:rsid w:val="00CE686F"/>
    <w:rsid w:val="00D35AE3"/>
    <w:rsid w:val="00D55DA1"/>
    <w:rsid w:val="00D57563"/>
    <w:rsid w:val="00D73C40"/>
    <w:rsid w:val="00D90BB3"/>
    <w:rsid w:val="00D9397E"/>
    <w:rsid w:val="00DA1F29"/>
    <w:rsid w:val="00DB351B"/>
    <w:rsid w:val="00DB4B04"/>
    <w:rsid w:val="00DB64AF"/>
    <w:rsid w:val="00DB66B7"/>
    <w:rsid w:val="00DC1D48"/>
    <w:rsid w:val="00DD57BF"/>
    <w:rsid w:val="00E30DBF"/>
    <w:rsid w:val="00E559FA"/>
    <w:rsid w:val="00E97F3A"/>
    <w:rsid w:val="00EA35F5"/>
    <w:rsid w:val="00EC25E2"/>
    <w:rsid w:val="00EC46C3"/>
    <w:rsid w:val="00EE325D"/>
    <w:rsid w:val="00F04930"/>
    <w:rsid w:val="00F32DEC"/>
    <w:rsid w:val="00F402DA"/>
    <w:rsid w:val="00F62E77"/>
    <w:rsid w:val="00F63380"/>
    <w:rsid w:val="00F74CBB"/>
    <w:rsid w:val="00F87B8E"/>
    <w:rsid w:val="00F9349D"/>
    <w:rsid w:val="00FA25D0"/>
    <w:rsid w:val="00FA38F4"/>
    <w:rsid w:val="00FF022C"/>
    <w:rsid w:val="00FF4A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3FB0F"/>
  <w15:docId w15:val="{E6CF9F96-8314-489A-BE6D-2E64B91F2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98B"/>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73198B"/>
    <w:pPr>
      <w:keepNext/>
      <w:keepLines/>
      <w:spacing w:before="240" w:after="0"/>
      <w:outlineLvl w:val="0"/>
    </w:pPr>
    <w:rPr>
      <w:rFonts w:eastAsiaTheme="majorEastAsia" w:cstheme="majorBidi"/>
      <w:b/>
      <w:color w:val="auto"/>
      <w:sz w:val="28"/>
      <w:szCs w:val="32"/>
    </w:rPr>
  </w:style>
  <w:style w:type="paragraph" w:styleId="Heading2">
    <w:name w:val="heading 2"/>
    <w:basedOn w:val="Normal"/>
    <w:next w:val="Normal"/>
    <w:link w:val="Heading2Char"/>
    <w:autoRedefine/>
    <w:uiPriority w:val="9"/>
    <w:unhideWhenUsed/>
    <w:qFormat/>
    <w:rsid w:val="00B920A0"/>
    <w:pPr>
      <w:keepNext/>
      <w:keepLines/>
      <w:spacing w:before="40" w:after="0"/>
      <w:outlineLvl w:val="1"/>
    </w:pPr>
    <w:rPr>
      <w:rFonts w:eastAsiaTheme="majorEastAsia" w:cs="Arial"/>
      <w:b/>
      <w:i/>
    </w:rPr>
  </w:style>
  <w:style w:type="paragraph" w:styleId="Heading3">
    <w:name w:val="heading 3"/>
    <w:basedOn w:val="Normal"/>
    <w:next w:val="Normal"/>
    <w:link w:val="Heading3Char"/>
    <w:uiPriority w:val="9"/>
    <w:semiHidden/>
    <w:unhideWhenUsed/>
    <w:qFormat/>
    <w:rsid w:val="00D9397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7D2EC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98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920A0"/>
    <w:rPr>
      <w:rFonts w:ascii="Times New Roman" w:eastAsiaTheme="majorEastAsia" w:hAnsi="Times New Roman" w:cs="Arial"/>
      <w:b/>
      <w:i/>
      <w:color w:val="000000" w:themeColor="text1"/>
      <w:sz w:val="24"/>
      <w:lang w:val="en-GB"/>
    </w:rPr>
  </w:style>
  <w:style w:type="paragraph" w:styleId="Header">
    <w:name w:val="header"/>
    <w:basedOn w:val="Normal"/>
    <w:link w:val="HeaderChar"/>
    <w:uiPriority w:val="99"/>
    <w:unhideWhenUsed/>
    <w:rsid w:val="00D575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7563"/>
    <w:rPr>
      <w:rFonts w:ascii="Times New Roman" w:hAnsi="Times New Roman"/>
      <w:color w:val="000000" w:themeColor="text1"/>
      <w:sz w:val="24"/>
    </w:rPr>
  </w:style>
  <w:style w:type="paragraph" w:styleId="Footer">
    <w:name w:val="footer"/>
    <w:basedOn w:val="Normal"/>
    <w:link w:val="FooterChar"/>
    <w:uiPriority w:val="99"/>
    <w:unhideWhenUsed/>
    <w:rsid w:val="00D575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7563"/>
    <w:rPr>
      <w:rFonts w:ascii="Times New Roman" w:hAnsi="Times New Roman"/>
      <w:color w:val="000000" w:themeColor="text1"/>
      <w:sz w:val="24"/>
    </w:rPr>
  </w:style>
  <w:style w:type="paragraph" w:styleId="ListParagraph">
    <w:name w:val="List Paragraph"/>
    <w:basedOn w:val="Normal"/>
    <w:uiPriority w:val="34"/>
    <w:qFormat/>
    <w:rsid w:val="00FF022C"/>
    <w:pPr>
      <w:ind w:left="720"/>
      <w:contextualSpacing/>
    </w:pPr>
  </w:style>
  <w:style w:type="paragraph" w:styleId="TOCHeading">
    <w:name w:val="TOC Heading"/>
    <w:basedOn w:val="Heading1"/>
    <w:next w:val="Normal"/>
    <w:uiPriority w:val="39"/>
    <w:unhideWhenUsed/>
    <w:qFormat/>
    <w:rsid w:val="00E30DBF"/>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E30DBF"/>
    <w:pPr>
      <w:spacing w:after="100"/>
    </w:pPr>
  </w:style>
  <w:style w:type="paragraph" w:styleId="TOC2">
    <w:name w:val="toc 2"/>
    <w:basedOn w:val="Normal"/>
    <w:next w:val="Normal"/>
    <w:autoRedefine/>
    <w:uiPriority w:val="39"/>
    <w:unhideWhenUsed/>
    <w:rsid w:val="00E30DBF"/>
    <w:pPr>
      <w:spacing w:after="100"/>
      <w:ind w:left="240"/>
    </w:pPr>
  </w:style>
  <w:style w:type="character" w:styleId="Hyperlink">
    <w:name w:val="Hyperlink"/>
    <w:basedOn w:val="DefaultParagraphFont"/>
    <w:uiPriority w:val="99"/>
    <w:unhideWhenUsed/>
    <w:rsid w:val="00E30DBF"/>
    <w:rPr>
      <w:color w:val="0563C1" w:themeColor="hyperlink"/>
      <w:u w:val="single"/>
    </w:rPr>
  </w:style>
  <w:style w:type="character" w:customStyle="1" w:styleId="Heading4Char">
    <w:name w:val="Heading 4 Char"/>
    <w:basedOn w:val="DefaultParagraphFont"/>
    <w:link w:val="Heading4"/>
    <w:uiPriority w:val="9"/>
    <w:semiHidden/>
    <w:rsid w:val="007D2ECC"/>
    <w:rPr>
      <w:rFonts w:asciiTheme="majorHAnsi" w:eastAsiaTheme="majorEastAsia" w:hAnsiTheme="majorHAnsi" w:cstheme="majorBidi"/>
      <w:i/>
      <w:iCs/>
      <w:color w:val="2F5496" w:themeColor="accent1" w:themeShade="BF"/>
      <w:sz w:val="24"/>
      <w:lang w:val="en-GB"/>
    </w:rPr>
  </w:style>
  <w:style w:type="paragraph" w:styleId="NormalWeb">
    <w:name w:val="Normal (Web)"/>
    <w:basedOn w:val="Normal"/>
    <w:uiPriority w:val="99"/>
    <w:unhideWhenUsed/>
    <w:rsid w:val="007D2ECC"/>
    <w:pPr>
      <w:spacing w:before="100" w:beforeAutospacing="1" w:after="100" w:afterAutospacing="1" w:line="240" w:lineRule="auto"/>
      <w:jc w:val="left"/>
    </w:pPr>
    <w:rPr>
      <w:rFonts w:eastAsia="Times New Roman" w:cs="Times New Roman"/>
      <w:color w:val="auto"/>
      <w:kern w:val="0"/>
      <w:szCs w:val="24"/>
      <w:lang w:val="en-US"/>
    </w:rPr>
  </w:style>
  <w:style w:type="character" w:styleId="Strong">
    <w:name w:val="Strong"/>
    <w:basedOn w:val="DefaultParagraphFont"/>
    <w:uiPriority w:val="22"/>
    <w:qFormat/>
    <w:rsid w:val="007D2ECC"/>
    <w:rPr>
      <w:b/>
      <w:bCs/>
    </w:rPr>
  </w:style>
  <w:style w:type="table" w:styleId="TableGrid">
    <w:name w:val="Table Grid"/>
    <w:basedOn w:val="TableNormal"/>
    <w:uiPriority w:val="39"/>
    <w:rsid w:val="00F87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247FBD"/>
  </w:style>
  <w:style w:type="character" w:styleId="UnresolvedMention">
    <w:name w:val="Unresolved Mention"/>
    <w:basedOn w:val="DefaultParagraphFont"/>
    <w:uiPriority w:val="99"/>
    <w:semiHidden/>
    <w:unhideWhenUsed/>
    <w:rsid w:val="00BD29ED"/>
    <w:rPr>
      <w:color w:val="605E5C"/>
      <w:shd w:val="clear" w:color="auto" w:fill="E1DFDD"/>
    </w:rPr>
  </w:style>
  <w:style w:type="character" w:styleId="FollowedHyperlink">
    <w:name w:val="FollowedHyperlink"/>
    <w:basedOn w:val="DefaultParagraphFont"/>
    <w:uiPriority w:val="99"/>
    <w:semiHidden/>
    <w:unhideWhenUsed/>
    <w:rsid w:val="00BD29ED"/>
    <w:rPr>
      <w:color w:val="954F72" w:themeColor="followedHyperlink"/>
      <w:u w:val="single"/>
    </w:rPr>
  </w:style>
  <w:style w:type="character" w:customStyle="1" w:styleId="Heading3Char">
    <w:name w:val="Heading 3 Char"/>
    <w:basedOn w:val="DefaultParagraphFont"/>
    <w:link w:val="Heading3"/>
    <w:uiPriority w:val="9"/>
    <w:semiHidden/>
    <w:rsid w:val="00D9397E"/>
    <w:rPr>
      <w:rFonts w:asciiTheme="majorHAnsi" w:eastAsiaTheme="majorEastAsia" w:hAnsiTheme="majorHAnsi" w:cstheme="majorBidi"/>
      <w:color w:val="1F3763" w:themeColor="accent1" w:themeShade="7F"/>
      <w:sz w:val="24"/>
      <w:szCs w:val="24"/>
      <w:lang w:val="en-GB"/>
    </w:rPr>
  </w:style>
  <w:style w:type="paragraph" w:styleId="Caption">
    <w:name w:val="caption"/>
    <w:basedOn w:val="Normal"/>
    <w:next w:val="Normal"/>
    <w:uiPriority w:val="35"/>
    <w:unhideWhenUsed/>
    <w:qFormat/>
    <w:rsid w:val="003B533D"/>
    <w:pPr>
      <w:spacing w:after="200" w:line="240" w:lineRule="auto"/>
    </w:pPr>
    <w:rPr>
      <w:i/>
      <w:iCs/>
      <w:color w:val="44546A" w:themeColor="text2"/>
      <w:sz w:val="18"/>
      <w:szCs w:val="18"/>
    </w:rPr>
  </w:style>
  <w:style w:type="paragraph" w:customStyle="1" w:styleId="TableParagraph">
    <w:name w:val="Table Paragraph"/>
    <w:basedOn w:val="Normal"/>
    <w:uiPriority w:val="1"/>
    <w:qFormat/>
    <w:rsid w:val="00DB64AF"/>
    <w:pPr>
      <w:widowControl w:val="0"/>
      <w:autoSpaceDE w:val="0"/>
      <w:autoSpaceDN w:val="0"/>
      <w:spacing w:after="0" w:line="240" w:lineRule="auto"/>
      <w:jc w:val="left"/>
    </w:pPr>
    <w:rPr>
      <w:rFonts w:ascii="Arial" w:eastAsia="Arial" w:hAnsi="Arial" w:cs="Arial"/>
      <w:color w:val="auto"/>
      <w:kern w:val="0"/>
      <w:sz w:val="22"/>
      <w:lang w:val="en-US"/>
    </w:rPr>
  </w:style>
  <w:style w:type="paragraph" w:styleId="TableofFigures">
    <w:name w:val="table of figures"/>
    <w:basedOn w:val="Normal"/>
    <w:next w:val="Normal"/>
    <w:uiPriority w:val="99"/>
    <w:unhideWhenUsed/>
    <w:rsid w:val="00187E6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229749">
      <w:bodyDiv w:val="1"/>
      <w:marLeft w:val="0"/>
      <w:marRight w:val="0"/>
      <w:marTop w:val="0"/>
      <w:marBottom w:val="0"/>
      <w:divBdr>
        <w:top w:val="none" w:sz="0" w:space="0" w:color="auto"/>
        <w:left w:val="none" w:sz="0" w:space="0" w:color="auto"/>
        <w:bottom w:val="none" w:sz="0" w:space="0" w:color="auto"/>
        <w:right w:val="none" w:sz="0" w:space="0" w:color="auto"/>
      </w:divBdr>
    </w:div>
    <w:div w:id="501547194">
      <w:bodyDiv w:val="1"/>
      <w:marLeft w:val="0"/>
      <w:marRight w:val="0"/>
      <w:marTop w:val="0"/>
      <w:marBottom w:val="0"/>
      <w:divBdr>
        <w:top w:val="none" w:sz="0" w:space="0" w:color="auto"/>
        <w:left w:val="none" w:sz="0" w:space="0" w:color="auto"/>
        <w:bottom w:val="none" w:sz="0" w:space="0" w:color="auto"/>
        <w:right w:val="none" w:sz="0" w:space="0" w:color="auto"/>
      </w:divBdr>
    </w:div>
    <w:div w:id="528028744">
      <w:bodyDiv w:val="1"/>
      <w:marLeft w:val="0"/>
      <w:marRight w:val="0"/>
      <w:marTop w:val="0"/>
      <w:marBottom w:val="0"/>
      <w:divBdr>
        <w:top w:val="none" w:sz="0" w:space="0" w:color="auto"/>
        <w:left w:val="none" w:sz="0" w:space="0" w:color="auto"/>
        <w:bottom w:val="none" w:sz="0" w:space="0" w:color="auto"/>
        <w:right w:val="none" w:sz="0" w:space="0" w:color="auto"/>
      </w:divBdr>
    </w:div>
    <w:div w:id="587809082">
      <w:bodyDiv w:val="1"/>
      <w:marLeft w:val="0"/>
      <w:marRight w:val="0"/>
      <w:marTop w:val="0"/>
      <w:marBottom w:val="0"/>
      <w:divBdr>
        <w:top w:val="none" w:sz="0" w:space="0" w:color="auto"/>
        <w:left w:val="none" w:sz="0" w:space="0" w:color="auto"/>
        <w:bottom w:val="none" w:sz="0" w:space="0" w:color="auto"/>
        <w:right w:val="none" w:sz="0" w:space="0" w:color="auto"/>
      </w:divBdr>
    </w:div>
    <w:div w:id="643238407">
      <w:bodyDiv w:val="1"/>
      <w:marLeft w:val="0"/>
      <w:marRight w:val="0"/>
      <w:marTop w:val="0"/>
      <w:marBottom w:val="0"/>
      <w:divBdr>
        <w:top w:val="none" w:sz="0" w:space="0" w:color="auto"/>
        <w:left w:val="none" w:sz="0" w:space="0" w:color="auto"/>
        <w:bottom w:val="none" w:sz="0" w:space="0" w:color="auto"/>
        <w:right w:val="none" w:sz="0" w:space="0" w:color="auto"/>
      </w:divBdr>
    </w:div>
    <w:div w:id="680737125">
      <w:bodyDiv w:val="1"/>
      <w:marLeft w:val="0"/>
      <w:marRight w:val="0"/>
      <w:marTop w:val="0"/>
      <w:marBottom w:val="0"/>
      <w:divBdr>
        <w:top w:val="none" w:sz="0" w:space="0" w:color="auto"/>
        <w:left w:val="none" w:sz="0" w:space="0" w:color="auto"/>
        <w:bottom w:val="none" w:sz="0" w:space="0" w:color="auto"/>
        <w:right w:val="none" w:sz="0" w:space="0" w:color="auto"/>
      </w:divBdr>
    </w:div>
    <w:div w:id="928198595">
      <w:bodyDiv w:val="1"/>
      <w:marLeft w:val="0"/>
      <w:marRight w:val="0"/>
      <w:marTop w:val="0"/>
      <w:marBottom w:val="0"/>
      <w:divBdr>
        <w:top w:val="none" w:sz="0" w:space="0" w:color="auto"/>
        <w:left w:val="none" w:sz="0" w:space="0" w:color="auto"/>
        <w:bottom w:val="none" w:sz="0" w:space="0" w:color="auto"/>
        <w:right w:val="none" w:sz="0" w:space="0" w:color="auto"/>
      </w:divBdr>
    </w:div>
    <w:div w:id="970011904">
      <w:bodyDiv w:val="1"/>
      <w:marLeft w:val="0"/>
      <w:marRight w:val="0"/>
      <w:marTop w:val="0"/>
      <w:marBottom w:val="0"/>
      <w:divBdr>
        <w:top w:val="none" w:sz="0" w:space="0" w:color="auto"/>
        <w:left w:val="none" w:sz="0" w:space="0" w:color="auto"/>
        <w:bottom w:val="none" w:sz="0" w:space="0" w:color="auto"/>
        <w:right w:val="none" w:sz="0" w:space="0" w:color="auto"/>
      </w:divBdr>
    </w:div>
    <w:div w:id="980697118">
      <w:bodyDiv w:val="1"/>
      <w:marLeft w:val="0"/>
      <w:marRight w:val="0"/>
      <w:marTop w:val="0"/>
      <w:marBottom w:val="0"/>
      <w:divBdr>
        <w:top w:val="none" w:sz="0" w:space="0" w:color="auto"/>
        <w:left w:val="none" w:sz="0" w:space="0" w:color="auto"/>
        <w:bottom w:val="none" w:sz="0" w:space="0" w:color="auto"/>
        <w:right w:val="none" w:sz="0" w:space="0" w:color="auto"/>
      </w:divBdr>
    </w:div>
    <w:div w:id="1083990703">
      <w:bodyDiv w:val="1"/>
      <w:marLeft w:val="0"/>
      <w:marRight w:val="0"/>
      <w:marTop w:val="0"/>
      <w:marBottom w:val="0"/>
      <w:divBdr>
        <w:top w:val="none" w:sz="0" w:space="0" w:color="auto"/>
        <w:left w:val="none" w:sz="0" w:space="0" w:color="auto"/>
        <w:bottom w:val="none" w:sz="0" w:space="0" w:color="auto"/>
        <w:right w:val="none" w:sz="0" w:space="0" w:color="auto"/>
      </w:divBdr>
    </w:div>
    <w:div w:id="1178888909">
      <w:bodyDiv w:val="1"/>
      <w:marLeft w:val="0"/>
      <w:marRight w:val="0"/>
      <w:marTop w:val="0"/>
      <w:marBottom w:val="0"/>
      <w:divBdr>
        <w:top w:val="none" w:sz="0" w:space="0" w:color="auto"/>
        <w:left w:val="none" w:sz="0" w:space="0" w:color="auto"/>
        <w:bottom w:val="none" w:sz="0" w:space="0" w:color="auto"/>
        <w:right w:val="none" w:sz="0" w:space="0" w:color="auto"/>
      </w:divBdr>
    </w:div>
    <w:div w:id="1428885597">
      <w:bodyDiv w:val="1"/>
      <w:marLeft w:val="0"/>
      <w:marRight w:val="0"/>
      <w:marTop w:val="0"/>
      <w:marBottom w:val="0"/>
      <w:divBdr>
        <w:top w:val="none" w:sz="0" w:space="0" w:color="auto"/>
        <w:left w:val="none" w:sz="0" w:space="0" w:color="auto"/>
        <w:bottom w:val="none" w:sz="0" w:space="0" w:color="auto"/>
        <w:right w:val="none" w:sz="0" w:space="0" w:color="auto"/>
      </w:divBdr>
    </w:div>
    <w:div w:id="1441879120">
      <w:bodyDiv w:val="1"/>
      <w:marLeft w:val="0"/>
      <w:marRight w:val="0"/>
      <w:marTop w:val="0"/>
      <w:marBottom w:val="0"/>
      <w:divBdr>
        <w:top w:val="none" w:sz="0" w:space="0" w:color="auto"/>
        <w:left w:val="none" w:sz="0" w:space="0" w:color="auto"/>
        <w:bottom w:val="none" w:sz="0" w:space="0" w:color="auto"/>
        <w:right w:val="none" w:sz="0" w:space="0" w:color="auto"/>
      </w:divBdr>
    </w:div>
    <w:div w:id="1595549545">
      <w:bodyDiv w:val="1"/>
      <w:marLeft w:val="0"/>
      <w:marRight w:val="0"/>
      <w:marTop w:val="0"/>
      <w:marBottom w:val="0"/>
      <w:divBdr>
        <w:top w:val="none" w:sz="0" w:space="0" w:color="auto"/>
        <w:left w:val="none" w:sz="0" w:space="0" w:color="auto"/>
        <w:bottom w:val="none" w:sz="0" w:space="0" w:color="auto"/>
        <w:right w:val="none" w:sz="0" w:space="0" w:color="auto"/>
      </w:divBdr>
    </w:div>
    <w:div w:id="1648975363">
      <w:bodyDiv w:val="1"/>
      <w:marLeft w:val="0"/>
      <w:marRight w:val="0"/>
      <w:marTop w:val="0"/>
      <w:marBottom w:val="0"/>
      <w:divBdr>
        <w:top w:val="none" w:sz="0" w:space="0" w:color="auto"/>
        <w:left w:val="none" w:sz="0" w:space="0" w:color="auto"/>
        <w:bottom w:val="none" w:sz="0" w:space="0" w:color="auto"/>
        <w:right w:val="none" w:sz="0" w:space="0" w:color="auto"/>
      </w:divBdr>
    </w:div>
    <w:div w:id="17291886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hyperlink" Target="https://www.tescoplc.com/investors/reports-results-and-presentations/annual-report-2023" TargetMode="External"/><Relationship Id="rId3" Type="http://schemas.openxmlformats.org/officeDocument/2006/relationships/styles" Target="styles.xml"/><Relationship Id="rId21" Type="http://schemas.openxmlformats.org/officeDocument/2006/relationships/hyperlink" Target="https://www.tescoplc.com/media/xi2hsune/tesco-store.jpg?rxy=0.6615110153467145,0.046246300295976324&amp;width=414&amp;height=366&amp;format=webp&amp;quality=100&amp;v=1dabb66112a63e0"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tescoplc.com/media/lfhl0lg4/tesco_annual_report_2021-2.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escoplc.com/media/0billlmb/tesco_ara2019_full_report_web.pdf" TargetMode="External"/><Relationship Id="rId20" Type="http://schemas.openxmlformats.org/officeDocument/2006/relationships/hyperlink" Target="https://www.tesco.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tescoplc.com/investors/corporate-governanc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3.xml"/><Relationship Id="rId22" Type="http://schemas.openxmlformats.org/officeDocument/2006/relationships/hyperlink" Target="https://www.tescoplc.com/media/g10ju3yv/corporate-framework-1-2.png?rmode=max&amp;width=1315&amp;height=56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esktop\BS031124-04\International%20Financial%20Manage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ll\Desktop\BS031124-04\International%20Financial%20Manage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ll\Desktop\BS031124-04\International%20Financial%20Manage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ll\Desktop\BS031124-04\International%20Financial%20Managemen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Profitability</a:t>
            </a:r>
            <a:r>
              <a:rPr lang="en-US" sz="1400" b="0" i="0" u="none" strike="noStrike" baseline="0"/>
              <a:t> Ratio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c:f>
              <c:strCache>
                <c:ptCount val="1"/>
                <c:pt idx="0">
                  <c:v>Gross Profit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Sheet1!$C$2:$G$2</c:f>
              <c:numCache>
                <c:formatCode>General</c:formatCode>
                <c:ptCount val="5"/>
                <c:pt idx="0">
                  <c:v>2023</c:v>
                </c:pt>
                <c:pt idx="1">
                  <c:v>2022</c:v>
                </c:pt>
                <c:pt idx="2">
                  <c:v>2021</c:v>
                </c:pt>
                <c:pt idx="3">
                  <c:v>2020</c:v>
                </c:pt>
                <c:pt idx="4">
                  <c:v>2019</c:v>
                </c:pt>
              </c:numCache>
            </c:numRef>
          </c:cat>
          <c:val>
            <c:numRef>
              <c:f>Sheet1!$C$3:$G$3</c:f>
              <c:numCache>
                <c:formatCode>0.00%</c:formatCode>
                <c:ptCount val="5"/>
                <c:pt idx="0">
                  <c:v>5.5670447979076061E-2</c:v>
                </c:pt>
                <c:pt idx="1">
                  <c:v>7.5524908711528435E-2</c:v>
                </c:pt>
                <c:pt idx="2">
                  <c:v>6.8495517128198041E-2</c:v>
                </c:pt>
                <c:pt idx="3">
                  <c:v>7.0544490540703372E-2</c:v>
                </c:pt>
                <c:pt idx="4">
                  <c:v>6.48401683591244E-2</c:v>
                </c:pt>
              </c:numCache>
            </c:numRef>
          </c:val>
          <c:extLst>
            <c:ext xmlns:c16="http://schemas.microsoft.com/office/drawing/2014/chart" uri="{C3380CC4-5D6E-409C-BE32-E72D297353CC}">
              <c16:uniqueId val="{00000000-00E7-4B31-95F8-E30A09F267F7}"/>
            </c:ext>
          </c:extLst>
        </c:ser>
        <c:ser>
          <c:idx val="1"/>
          <c:order val="1"/>
          <c:tx>
            <c:strRef>
              <c:f>Sheet1!$A$4</c:f>
              <c:strCache>
                <c:ptCount val="1"/>
                <c:pt idx="0">
                  <c:v>Operating Profit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Sheet1!$C$2:$G$2</c:f>
              <c:numCache>
                <c:formatCode>General</c:formatCode>
                <c:ptCount val="5"/>
                <c:pt idx="0">
                  <c:v>2023</c:v>
                </c:pt>
                <c:pt idx="1">
                  <c:v>2022</c:v>
                </c:pt>
                <c:pt idx="2">
                  <c:v>2021</c:v>
                </c:pt>
                <c:pt idx="3">
                  <c:v>2020</c:v>
                </c:pt>
                <c:pt idx="4">
                  <c:v>2019</c:v>
                </c:pt>
              </c:numCache>
            </c:numRef>
          </c:cat>
          <c:val>
            <c:numRef>
              <c:f>Sheet1!$C$4:$G$4</c:f>
              <c:numCache>
                <c:formatCode>0.00%</c:formatCode>
                <c:ptCount val="5"/>
                <c:pt idx="0">
                  <c:v>2.3189684012043431E-2</c:v>
                </c:pt>
                <c:pt idx="1">
                  <c:v>4.1731872717788214E-2</c:v>
                </c:pt>
                <c:pt idx="2">
                  <c:v>2.9989462228134124E-2</c:v>
                </c:pt>
                <c:pt idx="3">
                  <c:v>3.7974901447728561E-2</c:v>
                </c:pt>
                <c:pt idx="4">
                  <c:v>3.3687471640249725E-2</c:v>
                </c:pt>
              </c:numCache>
            </c:numRef>
          </c:val>
          <c:extLst>
            <c:ext xmlns:c16="http://schemas.microsoft.com/office/drawing/2014/chart" uri="{C3380CC4-5D6E-409C-BE32-E72D297353CC}">
              <c16:uniqueId val="{00000001-00E7-4B31-95F8-E30A09F267F7}"/>
            </c:ext>
          </c:extLst>
        </c:ser>
        <c:dLbls>
          <c:dLblPos val="outEnd"/>
          <c:showLegendKey val="0"/>
          <c:showVal val="1"/>
          <c:showCatName val="0"/>
          <c:showSerName val="0"/>
          <c:showPercent val="0"/>
          <c:showBubbleSize val="0"/>
        </c:dLbls>
        <c:gapWidth val="219"/>
        <c:overlap val="-27"/>
        <c:axId val="1608540992"/>
        <c:axId val="1608545792"/>
      </c:barChart>
      <c:catAx>
        <c:axId val="1608540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8545792"/>
        <c:crosses val="autoZero"/>
        <c:auto val="1"/>
        <c:lblAlgn val="ctr"/>
        <c:lblOffset val="100"/>
        <c:noMultiLvlLbl val="0"/>
      </c:catAx>
      <c:valAx>
        <c:axId val="16085457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8540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Liquidity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Sheet1!$A$7</c:f>
              <c:strCache>
                <c:ptCount val="1"/>
                <c:pt idx="0">
                  <c:v>Current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Sheet1!$C$6:$G$6</c:f>
              <c:numCache>
                <c:formatCode>General</c:formatCode>
                <c:ptCount val="5"/>
                <c:pt idx="0">
                  <c:v>2023</c:v>
                </c:pt>
                <c:pt idx="1">
                  <c:v>2022</c:v>
                </c:pt>
                <c:pt idx="2">
                  <c:v>2021</c:v>
                </c:pt>
                <c:pt idx="3">
                  <c:v>2020</c:v>
                </c:pt>
                <c:pt idx="4">
                  <c:v>2019</c:v>
                </c:pt>
              </c:numCache>
            </c:numRef>
          </c:cat>
          <c:val>
            <c:numRef>
              <c:f>Sheet1!$C$7:$G$7</c:f>
              <c:numCache>
                <c:formatCode>0.00</c:formatCode>
                <c:ptCount val="5"/>
                <c:pt idx="0">
                  <c:v>0.70622425371028719</c:v>
                </c:pt>
                <c:pt idx="1">
                  <c:v>0.73308527131782941</c:v>
                </c:pt>
                <c:pt idx="2">
                  <c:v>0.64894090706698049</c:v>
                </c:pt>
                <c:pt idx="3">
                  <c:v>0.72941680960548883</c:v>
                </c:pt>
                <c:pt idx="4">
                  <c:v>0.61887452880990845</c:v>
                </c:pt>
              </c:numCache>
            </c:numRef>
          </c:val>
          <c:smooth val="0"/>
          <c:extLst>
            <c:ext xmlns:c16="http://schemas.microsoft.com/office/drawing/2014/chart" uri="{C3380CC4-5D6E-409C-BE32-E72D297353CC}">
              <c16:uniqueId val="{00000000-079B-4A7C-9861-F4CF7914FDA3}"/>
            </c:ext>
          </c:extLst>
        </c:ser>
        <c:ser>
          <c:idx val="1"/>
          <c:order val="1"/>
          <c:tx>
            <c:strRef>
              <c:f>Sheet1!$A$8</c:f>
              <c:strCache>
                <c:ptCount val="1"/>
                <c:pt idx="0">
                  <c:v>Quick Ratio</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Sheet1!$C$6:$G$6</c:f>
              <c:numCache>
                <c:formatCode>General</c:formatCode>
                <c:ptCount val="5"/>
                <c:pt idx="0">
                  <c:v>2023</c:v>
                </c:pt>
                <c:pt idx="1">
                  <c:v>2022</c:v>
                </c:pt>
                <c:pt idx="2">
                  <c:v>2021</c:v>
                </c:pt>
                <c:pt idx="3">
                  <c:v>2020</c:v>
                </c:pt>
                <c:pt idx="4">
                  <c:v>2019</c:v>
                </c:pt>
              </c:numCache>
            </c:numRef>
          </c:cat>
          <c:val>
            <c:numRef>
              <c:f>Sheet1!$C$8:$G$8</c:f>
              <c:numCache>
                <c:formatCode>0.00</c:formatCode>
                <c:ptCount val="5"/>
                <c:pt idx="0">
                  <c:v>0.56458439140003391</c:v>
                </c:pt>
                <c:pt idx="1">
                  <c:v>0.58803100775193795</c:v>
                </c:pt>
                <c:pt idx="2">
                  <c:v>0.5173335029578271</c:v>
                </c:pt>
                <c:pt idx="3">
                  <c:v>0.59900300171526588</c:v>
                </c:pt>
                <c:pt idx="4">
                  <c:v>0.50143600789804343</c:v>
                </c:pt>
              </c:numCache>
            </c:numRef>
          </c:val>
          <c:smooth val="0"/>
          <c:extLst>
            <c:ext xmlns:c16="http://schemas.microsoft.com/office/drawing/2014/chart" uri="{C3380CC4-5D6E-409C-BE32-E72D297353CC}">
              <c16:uniqueId val="{00000001-079B-4A7C-9861-F4CF7914FDA3}"/>
            </c:ext>
          </c:extLst>
        </c:ser>
        <c:dLbls>
          <c:dLblPos val="t"/>
          <c:showLegendKey val="0"/>
          <c:showVal val="1"/>
          <c:showCatName val="0"/>
          <c:showSerName val="0"/>
          <c:showPercent val="0"/>
          <c:showBubbleSize val="0"/>
        </c:dLbls>
        <c:marker val="1"/>
        <c:smooth val="0"/>
        <c:axId val="1612650592"/>
        <c:axId val="1700504800"/>
      </c:lineChart>
      <c:catAx>
        <c:axId val="1612650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504800"/>
        <c:crosses val="autoZero"/>
        <c:auto val="1"/>
        <c:lblAlgn val="ctr"/>
        <c:lblOffset val="100"/>
        <c:noMultiLvlLbl val="0"/>
      </c:catAx>
      <c:valAx>
        <c:axId val="170050480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2650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Efficiency Ratio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Sheet1!$A$11</c:f>
              <c:strCache>
                <c:ptCount val="1"/>
                <c:pt idx="0">
                  <c:v>Inventory Turnover Ratio</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Sheet1!$C$2:$G$2</c:f>
              <c:numCache>
                <c:formatCode>General</c:formatCode>
                <c:ptCount val="5"/>
                <c:pt idx="0">
                  <c:v>2023</c:v>
                </c:pt>
                <c:pt idx="1">
                  <c:v>2022</c:v>
                </c:pt>
                <c:pt idx="2">
                  <c:v>2021</c:v>
                </c:pt>
                <c:pt idx="3">
                  <c:v>2020</c:v>
                </c:pt>
                <c:pt idx="4">
                  <c:v>2019</c:v>
                </c:pt>
              </c:numCache>
            </c:numRef>
          </c:cat>
          <c:val>
            <c:numRef>
              <c:f>Sheet1!$C$11:$G$11</c:f>
              <c:numCache>
                <c:formatCode>0.00</c:formatCode>
                <c:ptCount val="5"/>
                <c:pt idx="0">
                  <c:v>25.586306454939162</c:v>
                </c:pt>
                <c:pt idx="1">
                  <c:v>25.7486388384755</c:v>
                </c:pt>
                <c:pt idx="2">
                  <c:v>23.784095957352289</c:v>
                </c:pt>
                <c:pt idx="3">
                  <c:v>21.31089108910891</c:v>
                </c:pt>
                <c:pt idx="4">
                  <c:v>24.489653759475516</c:v>
                </c:pt>
              </c:numCache>
            </c:numRef>
          </c:val>
          <c:smooth val="0"/>
          <c:extLst>
            <c:ext xmlns:c16="http://schemas.microsoft.com/office/drawing/2014/chart" uri="{C3380CC4-5D6E-409C-BE32-E72D297353CC}">
              <c16:uniqueId val="{00000000-94AE-4838-ADFF-0378C8A8A45C}"/>
            </c:ext>
          </c:extLst>
        </c:ser>
        <c:ser>
          <c:idx val="1"/>
          <c:order val="1"/>
          <c:tx>
            <c:strRef>
              <c:f>Sheet1!$A$12</c:f>
              <c:strCache>
                <c:ptCount val="1"/>
                <c:pt idx="0">
                  <c:v>Receivable Turnover Ratio</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Sheet1!$C$2:$G$2</c:f>
              <c:numCache>
                <c:formatCode>General</c:formatCode>
                <c:ptCount val="5"/>
                <c:pt idx="0">
                  <c:v>2023</c:v>
                </c:pt>
                <c:pt idx="1">
                  <c:v>2022</c:v>
                </c:pt>
                <c:pt idx="2">
                  <c:v>2021</c:v>
                </c:pt>
                <c:pt idx="3">
                  <c:v>2020</c:v>
                </c:pt>
                <c:pt idx="4">
                  <c:v>2019</c:v>
                </c:pt>
              </c:numCache>
            </c:numRef>
          </c:cat>
          <c:val>
            <c:numRef>
              <c:f>Sheet1!$C$12:$G$12</c:f>
              <c:numCache>
                <c:formatCode>0.00</c:formatCode>
                <c:ptCount val="5"/>
                <c:pt idx="0">
                  <c:v>51.017843289371605</c:v>
                </c:pt>
                <c:pt idx="1">
                  <c:v>48.570071258907362</c:v>
                </c:pt>
                <c:pt idx="2">
                  <c:v>43.540428732606244</c:v>
                </c:pt>
                <c:pt idx="3">
                  <c:v>39.437202987101152</c:v>
                </c:pt>
                <c:pt idx="4">
                  <c:v>41.853962017026852</c:v>
                </c:pt>
              </c:numCache>
            </c:numRef>
          </c:val>
          <c:smooth val="0"/>
          <c:extLst>
            <c:ext xmlns:c16="http://schemas.microsoft.com/office/drawing/2014/chart" uri="{C3380CC4-5D6E-409C-BE32-E72D297353CC}">
              <c16:uniqueId val="{00000001-94AE-4838-ADFF-0378C8A8A45C}"/>
            </c:ext>
          </c:extLst>
        </c:ser>
        <c:dLbls>
          <c:dLblPos val="t"/>
          <c:showLegendKey val="0"/>
          <c:showVal val="1"/>
          <c:showCatName val="0"/>
          <c:showSerName val="0"/>
          <c:showPercent val="0"/>
          <c:showBubbleSize val="0"/>
        </c:dLbls>
        <c:marker val="1"/>
        <c:smooth val="0"/>
        <c:axId val="1723361584"/>
        <c:axId val="1723354864"/>
      </c:lineChart>
      <c:catAx>
        <c:axId val="1723361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723354864"/>
        <c:crosses val="autoZero"/>
        <c:auto val="1"/>
        <c:lblAlgn val="ctr"/>
        <c:lblOffset val="100"/>
        <c:noMultiLvlLbl val="0"/>
      </c:catAx>
      <c:valAx>
        <c:axId val="1723354864"/>
        <c:scaling>
          <c:orientation val="minMax"/>
        </c:scaling>
        <c:delete val="0"/>
        <c:axPos val="l"/>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33615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Solvency</a:t>
            </a:r>
            <a:r>
              <a:rPr lang="en-US" baseline="0"/>
              <a:t> Ratio</a:t>
            </a:r>
            <a:endParaRPr lang="en-US"/>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cked"/>
        <c:varyColors val="0"/>
        <c:ser>
          <c:idx val="0"/>
          <c:order val="0"/>
          <c:tx>
            <c:strRef>
              <c:f>Sheet1!$A$15</c:f>
              <c:strCache>
                <c:ptCount val="1"/>
                <c:pt idx="0">
                  <c:v>Debt to Assets</c:v>
                </c:pt>
              </c:strCache>
            </c:strRef>
          </c:tx>
          <c:spPr>
            <a:ln w="38100" cap="flat" cmpd="dbl" algn="ctr">
              <a:solidFill>
                <a:schemeClr val="accent1"/>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Sheet1!$C$2:$G$2</c:f>
              <c:numCache>
                <c:formatCode>General</c:formatCode>
                <c:ptCount val="5"/>
                <c:pt idx="0">
                  <c:v>2023</c:v>
                </c:pt>
                <c:pt idx="1">
                  <c:v>2022</c:v>
                </c:pt>
                <c:pt idx="2">
                  <c:v>2021</c:v>
                </c:pt>
                <c:pt idx="3">
                  <c:v>2020</c:v>
                </c:pt>
                <c:pt idx="4">
                  <c:v>2019</c:v>
                </c:pt>
              </c:numCache>
            </c:numRef>
          </c:cat>
          <c:val>
            <c:numRef>
              <c:f>Sheet1!$C$15:$G$15</c:f>
              <c:numCache>
                <c:formatCode>0.00%</c:formatCode>
                <c:ptCount val="5"/>
                <c:pt idx="0">
                  <c:v>0.16749761553802134</c:v>
                </c:pt>
                <c:pt idx="1">
                  <c:v>0.16125306478085549</c:v>
                </c:pt>
                <c:pt idx="2">
                  <c:v>0.16574607433125543</c:v>
                </c:pt>
                <c:pt idx="3">
                  <c:v>0.16518735969608012</c:v>
                </c:pt>
                <c:pt idx="4">
                  <c:v>0.15744904076738608</c:v>
                </c:pt>
              </c:numCache>
            </c:numRef>
          </c:val>
          <c:smooth val="0"/>
          <c:extLst>
            <c:ext xmlns:c16="http://schemas.microsoft.com/office/drawing/2014/chart" uri="{C3380CC4-5D6E-409C-BE32-E72D297353CC}">
              <c16:uniqueId val="{00000000-80CD-45E1-B715-F95D7B24A780}"/>
            </c:ext>
          </c:extLst>
        </c:ser>
        <c:ser>
          <c:idx val="1"/>
          <c:order val="1"/>
          <c:tx>
            <c:strRef>
              <c:f>Sheet1!$A$16</c:f>
              <c:strCache>
                <c:ptCount val="1"/>
                <c:pt idx="0">
                  <c:v>Debt to Equity </c:v>
                </c:pt>
              </c:strCache>
            </c:strRef>
          </c:tx>
          <c:spPr>
            <a:ln w="38100" cap="flat" cmpd="dbl" algn="ctr">
              <a:solidFill>
                <a:schemeClr val="accent2"/>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Sheet1!$C$2:$G$2</c:f>
              <c:numCache>
                <c:formatCode>General</c:formatCode>
                <c:ptCount val="5"/>
                <c:pt idx="0">
                  <c:v>2023</c:v>
                </c:pt>
                <c:pt idx="1">
                  <c:v>2022</c:v>
                </c:pt>
                <c:pt idx="2">
                  <c:v>2021</c:v>
                </c:pt>
                <c:pt idx="3">
                  <c:v>2020</c:v>
                </c:pt>
                <c:pt idx="4">
                  <c:v>2019</c:v>
                </c:pt>
              </c:numCache>
            </c:numRef>
          </c:cat>
          <c:val>
            <c:numRef>
              <c:f>Sheet1!$C$16:$G$16</c:f>
              <c:numCache>
                <c:formatCode>0.00%</c:formatCode>
                <c:ptCount val="5"/>
                <c:pt idx="0">
                  <c:v>0.63180703188879805</c:v>
                </c:pt>
                <c:pt idx="1">
                  <c:v>0.50869342879059065</c:v>
                </c:pt>
                <c:pt idx="2">
                  <c:v>0.68170385395537525</c:v>
                </c:pt>
                <c:pt idx="3">
                  <c:v>0.71553594135687038</c:v>
                </c:pt>
                <c:pt idx="4">
                  <c:v>0.7753912016533806</c:v>
                </c:pt>
              </c:numCache>
            </c:numRef>
          </c:val>
          <c:smooth val="0"/>
          <c:extLst>
            <c:ext xmlns:c16="http://schemas.microsoft.com/office/drawing/2014/chart" uri="{C3380CC4-5D6E-409C-BE32-E72D297353CC}">
              <c16:uniqueId val="{00000001-80CD-45E1-B715-F95D7B24A780}"/>
            </c:ext>
          </c:extLst>
        </c:ser>
        <c:dLbls>
          <c:dLblPos val="t"/>
          <c:showLegendKey val="0"/>
          <c:showVal val="1"/>
          <c:showCatName val="0"/>
          <c:showSerName val="0"/>
          <c:showPercent val="0"/>
          <c:showBubbleSize val="0"/>
        </c:dLbls>
        <c:smooth val="0"/>
        <c:axId val="1736821872"/>
        <c:axId val="1736812752"/>
      </c:lineChart>
      <c:catAx>
        <c:axId val="1736821872"/>
        <c:scaling>
          <c:orientation val="minMax"/>
        </c:scaling>
        <c:delete val="0"/>
        <c:axPos val="b"/>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6812752"/>
        <c:crosses val="autoZero"/>
        <c:auto val="1"/>
        <c:lblAlgn val="ctr"/>
        <c:lblOffset val="100"/>
        <c:noMultiLvlLbl val="0"/>
      </c:catAx>
      <c:valAx>
        <c:axId val="1736812752"/>
        <c:scaling>
          <c:orientation val="minMax"/>
        </c:scaling>
        <c:delete val="0"/>
        <c:axPos val="l"/>
        <c:majorGridlines>
          <c:spPr>
            <a:ln w="9525" cap="flat" cmpd="sng" algn="ctr">
              <a:solidFill>
                <a:schemeClr val="tx1">
                  <a:lumMod val="15000"/>
                  <a:lumOff val="85000"/>
                  <a:alpha val="32000"/>
                </a:schemeClr>
              </a:solidFill>
              <a:round/>
            </a:ln>
            <a:effectLst/>
          </c:spPr>
        </c:majorGridlines>
        <c:numFmt formatCode="0.00%"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68218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7130F-5C16-4441-B6BF-A987C4EF6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764</TotalTime>
  <Pages>16</Pages>
  <Words>3120</Words>
  <Characters>17786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Sergiu</cp:lastModifiedBy>
  <cp:revision>66</cp:revision>
  <dcterms:created xsi:type="dcterms:W3CDTF">2024-04-05T15:45:00Z</dcterms:created>
  <dcterms:modified xsi:type="dcterms:W3CDTF">2024-11-12T21:30:00Z</dcterms:modified>
</cp:coreProperties>
</file>