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3C71" w:rsidRDefault="00C83C71" w:rsidP="00B8187D">
      <w:pPr>
        <w:ind w:firstLine="0"/>
      </w:pPr>
    </w:p>
    <w:p w:rsidR="00C202B0" w:rsidRDefault="00C202B0" w:rsidP="00B8187D">
      <w:pPr>
        <w:ind w:firstLine="0"/>
      </w:pPr>
    </w:p>
    <w:p w:rsidR="00C202B0" w:rsidRDefault="00C202B0" w:rsidP="00B8187D">
      <w:pPr>
        <w:ind w:firstLine="0"/>
      </w:pPr>
    </w:p>
    <w:p w:rsidR="00B36814" w:rsidRDefault="00B36814" w:rsidP="00B8187D">
      <w:pPr>
        <w:ind w:firstLine="0"/>
      </w:pPr>
    </w:p>
    <w:p w:rsidR="00124BED" w:rsidRDefault="00124BED" w:rsidP="00B8187D">
      <w:pPr>
        <w:ind w:firstLine="0"/>
        <w:jc w:val="center"/>
      </w:pPr>
    </w:p>
    <w:p w:rsidR="00124BED" w:rsidRDefault="00124BED" w:rsidP="00B8187D">
      <w:pPr>
        <w:ind w:firstLine="0"/>
        <w:jc w:val="center"/>
      </w:pPr>
    </w:p>
    <w:p w:rsidR="00124BED" w:rsidRDefault="00124BED" w:rsidP="00B8187D">
      <w:pPr>
        <w:ind w:firstLine="0"/>
        <w:jc w:val="center"/>
      </w:pPr>
    </w:p>
    <w:p w:rsidR="00567B8E" w:rsidRPr="00047D05" w:rsidRDefault="00567B8E" w:rsidP="00567B8E">
      <w:pPr>
        <w:ind w:firstLine="0"/>
        <w:jc w:val="center"/>
        <w:rPr>
          <w:sz w:val="32"/>
          <w:szCs w:val="32"/>
        </w:rPr>
      </w:pPr>
      <w:r>
        <w:rPr>
          <w:sz w:val="32"/>
          <w:szCs w:val="32"/>
        </w:rPr>
        <w:t>Assignment 1</w:t>
      </w:r>
    </w:p>
    <w:p w:rsidR="00C202B0" w:rsidRDefault="00A1182F" w:rsidP="00B8187D">
      <w:pPr>
        <w:ind w:firstLine="0"/>
        <w:jc w:val="center"/>
        <w:rPr>
          <w:sz w:val="32"/>
          <w:szCs w:val="32"/>
        </w:rPr>
      </w:pPr>
      <w:r w:rsidRPr="00047D05">
        <w:rPr>
          <w:sz w:val="32"/>
          <w:szCs w:val="32"/>
        </w:rPr>
        <w:t>JUDICIAL INDEPENDENCE IN UK</w:t>
      </w:r>
      <w:bookmarkStart w:id="0" w:name="_GoBack"/>
      <w:bookmarkEnd w:id="0"/>
    </w:p>
    <w:p w:rsidR="00C202B0" w:rsidRPr="00567B8E" w:rsidRDefault="007A5132" w:rsidP="00B8187D">
      <w:pPr>
        <w:ind w:firstLine="0"/>
        <w:jc w:val="center"/>
        <w:rPr>
          <w:lang w:val="es-ES"/>
        </w:rPr>
      </w:pPr>
      <w:r w:rsidRPr="00567B8E">
        <w:rPr>
          <w:lang w:val="es-ES"/>
        </w:rPr>
        <w:t xml:space="preserve">Daniela </w:t>
      </w:r>
      <w:proofErr w:type="spellStart"/>
      <w:r w:rsidRPr="00567B8E">
        <w:rPr>
          <w:lang w:val="es-ES"/>
        </w:rPr>
        <w:t>Aux</w:t>
      </w:r>
      <w:proofErr w:type="spellEnd"/>
      <w:r w:rsidRPr="00567B8E">
        <w:rPr>
          <w:lang w:val="es-ES"/>
        </w:rPr>
        <w:t xml:space="preserve">. </w:t>
      </w:r>
      <w:proofErr w:type="gramStart"/>
      <w:r w:rsidRPr="00567B8E">
        <w:rPr>
          <w:lang w:val="es-ES"/>
        </w:rPr>
        <w:t>de</w:t>
      </w:r>
      <w:proofErr w:type="gramEnd"/>
      <w:r w:rsidRPr="00567B8E">
        <w:rPr>
          <w:lang w:val="es-ES"/>
        </w:rPr>
        <w:t xml:space="preserve"> Souza </w:t>
      </w:r>
      <w:proofErr w:type="spellStart"/>
      <w:r w:rsidRPr="00567B8E">
        <w:rPr>
          <w:lang w:val="es-ES"/>
        </w:rPr>
        <w:t>Neves</w:t>
      </w:r>
      <w:proofErr w:type="spellEnd"/>
      <w:r w:rsidRPr="00567B8E">
        <w:rPr>
          <w:lang w:val="es-ES"/>
        </w:rPr>
        <w:t xml:space="preserve"> Pardo</w:t>
      </w:r>
    </w:p>
    <w:p w:rsidR="00BF01F6" w:rsidRDefault="007A5132" w:rsidP="00B8187D">
      <w:pPr>
        <w:ind w:firstLine="0"/>
        <w:jc w:val="center"/>
      </w:pPr>
      <w:r>
        <w:t>2017271</w:t>
      </w:r>
    </w:p>
    <w:p w:rsidR="00BF01F6" w:rsidRDefault="00BF01F6" w:rsidP="00B8187D">
      <w:pPr>
        <w:ind w:firstLine="0"/>
        <w:jc w:val="center"/>
      </w:pPr>
    </w:p>
    <w:p w:rsidR="00BF01F6" w:rsidRDefault="00BF01F6" w:rsidP="00B8187D">
      <w:pPr>
        <w:ind w:firstLine="0"/>
        <w:jc w:val="center"/>
      </w:pPr>
    </w:p>
    <w:p w:rsidR="00BF01F6" w:rsidRDefault="00BF01F6" w:rsidP="00B8187D">
      <w:pPr>
        <w:ind w:firstLine="0"/>
        <w:jc w:val="center"/>
      </w:pPr>
    </w:p>
    <w:p w:rsidR="00BF01F6" w:rsidRDefault="00BF01F6" w:rsidP="00B8187D">
      <w:pPr>
        <w:ind w:firstLine="0"/>
        <w:jc w:val="center"/>
      </w:pPr>
    </w:p>
    <w:p w:rsidR="00BF01F6" w:rsidRDefault="007A5132" w:rsidP="00B8187D">
      <w:pPr>
        <w:ind w:firstLine="0"/>
        <w:jc w:val="center"/>
      </w:pPr>
      <w:r>
        <w:t>Public Law</w:t>
      </w:r>
    </w:p>
    <w:p w:rsidR="00BF01F6" w:rsidRDefault="007A5132" w:rsidP="00B8187D">
      <w:pPr>
        <w:ind w:firstLine="0"/>
        <w:jc w:val="center"/>
      </w:pPr>
      <w:r>
        <w:t>Laura Knight</w:t>
      </w:r>
    </w:p>
    <w:p w:rsidR="00B8187D" w:rsidRDefault="007A5132" w:rsidP="00B8187D">
      <w:pPr>
        <w:ind w:firstLine="0"/>
        <w:jc w:val="center"/>
      </w:pPr>
      <w:r>
        <w:t>University of Wales Trinity Saint David</w:t>
      </w:r>
    </w:p>
    <w:p w:rsidR="00BF01F6" w:rsidRDefault="007A5132" w:rsidP="00B8187D">
      <w:pPr>
        <w:ind w:firstLine="0"/>
        <w:jc w:val="center"/>
      </w:pPr>
      <w:r>
        <w:t>Swansea</w:t>
      </w:r>
      <w:r w:rsidR="00BF01F6">
        <w:t xml:space="preserve"> (</w:t>
      </w:r>
      <w:r>
        <w:t>South Wales</w:t>
      </w:r>
      <w:r w:rsidR="00BF01F6">
        <w:t>)</w:t>
      </w:r>
    </w:p>
    <w:p w:rsidR="00BF01F6" w:rsidRDefault="007A5132" w:rsidP="00B8187D">
      <w:pPr>
        <w:ind w:firstLine="0"/>
        <w:jc w:val="center"/>
      </w:pPr>
      <w:r>
        <w:t>27/11/2020</w:t>
      </w:r>
    </w:p>
    <w:p w:rsidR="00A1182F" w:rsidRDefault="00B8187D" w:rsidP="00A1182F">
      <w:pPr>
        <w:pStyle w:val="Ttulo1"/>
      </w:pPr>
      <w:r>
        <w:br w:type="page"/>
      </w:r>
      <w:r w:rsidR="00A1182F">
        <w:lastRenderedPageBreak/>
        <w:t>Introduction</w:t>
      </w:r>
    </w:p>
    <w:p w:rsidR="00F408B8" w:rsidRPr="00F408B8" w:rsidRDefault="00F408B8" w:rsidP="00370E34">
      <w:r>
        <w:t>The independence of judges</w:t>
      </w:r>
      <w:r w:rsidR="00B42FB7">
        <w:t xml:space="preserve"> in UK</w:t>
      </w:r>
      <w:r>
        <w:t xml:space="preserve"> has a long history. In </w:t>
      </w:r>
      <w:r w:rsidR="00370E34">
        <w:t>UK</w:t>
      </w:r>
      <w:r>
        <w:t xml:space="preserve"> this is not only an important constitutional principle, but also an unquestioned legal tradition.</w:t>
      </w:r>
      <w:r w:rsidR="009A75B0">
        <w:t xml:space="preserve"> The purpose of this essay is to evaluate how the constitution of the UK protects the independence of the Judiciary and how the Judiciary benefits from being a constitutionally free organi</w:t>
      </w:r>
      <w:r w:rsidR="00D61F4A">
        <w:t>s</w:t>
      </w:r>
      <w:r w:rsidR="009A75B0">
        <w:t>ation and an important pillar of the country.</w:t>
      </w:r>
    </w:p>
    <w:p w:rsidR="00A1182F" w:rsidRDefault="00A1182F" w:rsidP="00A1182F">
      <w:pPr>
        <w:pStyle w:val="Ttulo1"/>
      </w:pPr>
      <w:r>
        <w:t>Discussion</w:t>
      </w:r>
    </w:p>
    <w:p w:rsidR="00F408B8" w:rsidRDefault="00F408B8" w:rsidP="00B42FB7">
      <w:r>
        <w:t xml:space="preserve">The independence of the judiciary in </w:t>
      </w:r>
      <w:r w:rsidR="00B42FB7">
        <w:t>UK</w:t>
      </w:r>
      <w:r>
        <w:t xml:space="preserve"> has a centuries-old history, rooted in the formation of common law: “The activities of the Westminster courts (courts of common law) were decisively involved in constitutional construction. The judges, the entire community of lawyers, formed a closed caste and, relatively independently of the political institutions of the state, ordered legal material. Referring to the "ancient custom of the kingdom", referring to their own "wisdom" and the law, they expressed "common law" in judicial precedents</w:t>
      </w:r>
      <w:r w:rsidR="002174E0">
        <w:t xml:space="preserve"> </w:t>
      </w:r>
      <w:r w:rsidR="002174E0">
        <w:rPr>
          <w:rFonts w:asciiTheme="majorBidi" w:hAnsiTheme="majorBidi" w:cstheme="majorBidi"/>
          <w:color w:val="222222"/>
          <w:shd w:val="clear" w:color="auto" w:fill="FFFFFF"/>
        </w:rPr>
        <w:t>(</w:t>
      </w:r>
      <w:proofErr w:type="spellStart"/>
      <w:r w:rsidR="002174E0">
        <w:rPr>
          <w:rFonts w:asciiTheme="majorBidi" w:hAnsiTheme="majorBidi" w:cstheme="majorBidi"/>
          <w:color w:val="222222"/>
          <w:shd w:val="clear" w:color="auto" w:fill="FFFFFF"/>
        </w:rPr>
        <w:t>Tridimas</w:t>
      </w:r>
      <w:proofErr w:type="spellEnd"/>
      <w:r w:rsidR="002174E0">
        <w:rPr>
          <w:rFonts w:asciiTheme="majorBidi" w:hAnsiTheme="majorBidi" w:cstheme="majorBidi"/>
          <w:color w:val="222222"/>
          <w:shd w:val="clear" w:color="auto" w:fill="FFFFFF"/>
        </w:rPr>
        <w:t xml:space="preserve"> and </w:t>
      </w:r>
      <w:proofErr w:type="spellStart"/>
      <w:r w:rsidR="002174E0">
        <w:rPr>
          <w:rFonts w:asciiTheme="majorBidi" w:hAnsiTheme="majorBidi" w:cstheme="majorBidi"/>
          <w:color w:val="222222"/>
          <w:shd w:val="clear" w:color="auto" w:fill="FFFFFF"/>
        </w:rPr>
        <w:t>Tridimas</w:t>
      </w:r>
      <w:proofErr w:type="spellEnd"/>
      <w:r w:rsidR="002174E0">
        <w:rPr>
          <w:rFonts w:asciiTheme="majorBidi" w:hAnsiTheme="majorBidi" w:cstheme="majorBidi"/>
          <w:color w:val="222222"/>
          <w:shd w:val="clear" w:color="auto" w:fill="FFFFFF"/>
        </w:rPr>
        <w:t>, 2020)</w:t>
      </w:r>
      <w:r>
        <w:t>. They are used to seeing the law not so much as the creation of the king or parliament, but as a supranational law. The complexity of common law and the segregation of judges made possible the relative freedom of the common law courts from direct political pressure. Inadvertently, the independence of the judiciary helped to establish the notions of law above the state. The opinion was growing in society that the law obliges everyone - both an individual person, an official, and the government</w:t>
      </w:r>
      <w:r w:rsidR="002174E0">
        <w:t xml:space="preserve"> </w:t>
      </w:r>
      <w:r w:rsidR="002174E0">
        <w:rPr>
          <w:rFonts w:asciiTheme="majorBidi" w:hAnsiTheme="majorBidi" w:cstheme="majorBidi"/>
          <w:color w:val="222222"/>
          <w:shd w:val="clear" w:color="auto" w:fill="FFFFFF"/>
        </w:rPr>
        <w:t>(Islam, 2018)</w:t>
      </w:r>
      <w:r>
        <w:t>.</w:t>
      </w:r>
    </w:p>
    <w:p w:rsidR="00F408B8" w:rsidRDefault="00F408B8" w:rsidP="00370E34">
      <w:r>
        <w:t>It is observed that the independence of the judiciary in UK is precisely connected with the independence of the Lord Chancellor's Court from the legislative and executive branches: “The now considered</w:t>
      </w:r>
      <w:proofErr w:type="gramStart"/>
      <w:r>
        <w:t>“ classical</w:t>
      </w:r>
      <w:proofErr w:type="gramEnd"/>
      <w:r>
        <w:t xml:space="preserve"> ”division of power into legislative, executive and judicial powers historically goes back to English theory and practice of law. This division was predetermined by </w:t>
      </w:r>
      <w:r>
        <w:lastRenderedPageBreak/>
        <w:t xml:space="preserve">the special role in the political system of </w:t>
      </w:r>
      <w:r w:rsidR="00370E34">
        <w:t>UK</w:t>
      </w:r>
      <w:r>
        <w:t xml:space="preserve"> of the court, or rather, the Court of the Lord Chancellor, who competed with the royal court. The singling out of the Court of the Lord Chancellor as an independent legal institution and its socio-political significance as one of the pillars of the “British order” led to the formation of the theory of an independent judiciary, separate from the power of the legislative (parliament) and executive (royal administration)</w:t>
      </w:r>
      <w:r w:rsidR="002174E0">
        <w:t xml:space="preserve"> </w:t>
      </w:r>
      <w:r w:rsidR="002174E0">
        <w:rPr>
          <w:rFonts w:asciiTheme="majorBidi" w:hAnsiTheme="majorBidi" w:cstheme="majorBidi"/>
          <w:color w:val="222222"/>
          <w:shd w:val="clear" w:color="auto" w:fill="FFFFFF"/>
        </w:rPr>
        <w:t>(Aikens, 2020)</w:t>
      </w:r>
      <w:r>
        <w:t>.</w:t>
      </w:r>
    </w:p>
    <w:p w:rsidR="00F408B8" w:rsidRDefault="00F408B8" w:rsidP="00370E34">
      <w:r>
        <w:t xml:space="preserve">Judicial independence at the present stage is understood in </w:t>
      </w:r>
      <w:r w:rsidR="00370E34">
        <w:t>UK</w:t>
      </w:r>
      <w:r>
        <w:t xml:space="preserve"> as the real political power of English judges in the legal field, which historically formed as a result of a compromise reached between judges and parliament in the 17th-18th centuries. The real independence of English judges puts the judiciary in </w:t>
      </w:r>
      <w:r w:rsidR="00370E34">
        <w:t>UK</w:t>
      </w:r>
      <w:r>
        <w:t xml:space="preserve"> on a par with the legislative and executive branches, and this statement is confirmed by the nature of the interaction of the judiciary with the legislative and executive branches of Great Britain. According to the constitutional agreement, the executive bodies have no right to </w:t>
      </w:r>
      <w:proofErr w:type="spellStart"/>
      <w:r>
        <w:t>critici</w:t>
      </w:r>
      <w:r w:rsidR="00D61F4A">
        <w:t>s</w:t>
      </w:r>
      <w:r>
        <w:t>e</w:t>
      </w:r>
      <w:proofErr w:type="spellEnd"/>
      <w:r>
        <w:t xml:space="preserve"> certain court decisions; ministers and civil servants do not have the right to indicate that these or those court decisions are based on an erroneous idea of ​​judges about the right or incompetence of judges</w:t>
      </w:r>
      <w:r w:rsidR="002174E0">
        <w:t xml:space="preserve"> </w:t>
      </w:r>
      <w:r w:rsidR="002174E0">
        <w:rPr>
          <w:rFonts w:asciiTheme="majorBidi" w:hAnsiTheme="majorBidi" w:cstheme="majorBidi"/>
          <w:color w:val="222222"/>
          <w:shd w:val="clear" w:color="auto" w:fill="FFFFFF"/>
        </w:rPr>
        <w:t>(</w:t>
      </w:r>
      <w:proofErr w:type="spellStart"/>
      <w:r w:rsidR="002174E0">
        <w:rPr>
          <w:rFonts w:asciiTheme="majorBidi" w:hAnsiTheme="majorBidi" w:cstheme="majorBidi"/>
          <w:color w:val="222222"/>
          <w:shd w:val="clear" w:color="auto" w:fill="FFFFFF"/>
        </w:rPr>
        <w:t>Masterman</w:t>
      </w:r>
      <w:proofErr w:type="spellEnd"/>
      <w:r w:rsidR="002174E0">
        <w:rPr>
          <w:rFonts w:asciiTheme="majorBidi" w:hAnsiTheme="majorBidi" w:cstheme="majorBidi"/>
          <w:color w:val="222222"/>
          <w:shd w:val="clear" w:color="auto" w:fill="FFFFFF"/>
        </w:rPr>
        <w:t xml:space="preserve"> and </w:t>
      </w:r>
      <w:proofErr w:type="spellStart"/>
      <w:r w:rsidR="002174E0">
        <w:rPr>
          <w:rFonts w:asciiTheme="majorBidi" w:hAnsiTheme="majorBidi" w:cstheme="majorBidi"/>
          <w:color w:val="222222"/>
          <w:shd w:val="clear" w:color="auto" w:fill="FFFFFF"/>
        </w:rPr>
        <w:t>Wheatle</w:t>
      </w:r>
      <w:proofErr w:type="spellEnd"/>
      <w:r w:rsidR="002174E0">
        <w:rPr>
          <w:rFonts w:asciiTheme="majorBidi" w:hAnsiTheme="majorBidi" w:cstheme="majorBidi"/>
          <w:color w:val="222222"/>
          <w:shd w:val="clear" w:color="auto" w:fill="FFFFFF"/>
        </w:rPr>
        <w:t>, 2017)</w:t>
      </w:r>
      <w:r>
        <w:t>.</w:t>
      </w:r>
    </w:p>
    <w:p w:rsidR="000C42DA" w:rsidRDefault="000C42DA" w:rsidP="000C42DA">
      <w:r>
        <w:t>In relation to the legislative body, a slightly different provision is in force, enshrined in the rules of parliamentary proceedings: in parliamentary debates, justifications for one or another criticism of the judiciary may be presented, but it is not allowed to discuss the personal qualities of a particular judge and hypothetical motives of the judicial decisions (except in cases of impeachment of a judge)</w:t>
      </w:r>
      <w:r w:rsidR="002174E0">
        <w:t xml:space="preserve"> </w:t>
      </w:r>
      <w:r w:rsidR="002174E0">
        <w:rPr>
          <w:rFonts w:asciiTheme="majorBidi" w:hAnsiTheme="majorBidi" w:cstheme="majorBidi"/>
          <w:color w:val="222222"/>
          <w:shd w:val="clear" w:color="auto" w:fill="FFFFFF"/>
        </w:rPr>
        <w:t>(</w:t>
      </w:r>
      <w:proofErr w:type="spellStart"/>
      <w:r w:rsidR="002174E0">
        <w:rPr>
          <w:rFonts w:asciiTheme="majorBidi" w:hAnsiTheme="majorBidi" w:cstheme="majorBidi"/>
          <w:color w:val="222222"/>
          <w:shd w:val="clear" w:color="auto" w:fill="FFFFFF"/>
        </w:rPr>
        <w:t>Kime</w:t>
      </w:r>
      <w:proofErr w:type="spellEnd"/>
      <w:r w:rsidR="002174E0">
        <w:rPr>
          <w:rFonts w:asciiTheme="majorBidi" w:hAnsiTheme="majorBidi" w:cstheme="majorBidi"/>
          <w:color w:val="222222"/>
          <w:shd w:val="clear" w:color="auto" w:fill="FFFFFF"/>
        </w:rPr>
        <w:t xml:space="preserve"> and </w:t>
      </w:r>
      <w:proofErr w:type="spellStart"/>
      <w:r w:rsidR="002174E0">
        <w:rPr>
          <w:rFonts w:asciiTheme="majorBidi" w:hAnsiTheme="majorBidi" w:cstheme="majorBidi"/>
          <w:color w:val="222222"/>
          <w:shd w:val="clear" w:color="auto" w:fill="FFFFFF"/>
        </w:rPr>
        <w:t>Yacine</w:t>
      </w:r>
      <w:proofErr w:type="spellEnd"/>
      <w:r w:rsidR="002174E0">
        <w:rPr>
          <w:rFonts w:asciiTheme="majorBidi" w:hAnsiTheme="majorBidi" w:cstheme="majorBidi"/>
          <w:color w:val="222222"/>
          <w:shd w:val="clear" w:color="auto" w:fill="FFFFFF"/>
        </w:rPr>
        <w:t>, 2019)</w:t>
      </w:r>
      <w:r>
        <w:t>.</w:t>
      </w:r>
    </w:p>
    <w:p w:rsidR="000C42DA" w:rsidRDefault="000C42DA" w:rsidP="00F408B8">
      <w:r>
        <w:t xml:space="preserve">As a general rule, issues that are the subject of present or future litigation cannot be discussed in parliament, as otherwise the administration of justice will be affected. As an exception to this rule, the Speaker of the House of Commons may, at his discretion, </w:t>
      </w:r>
      <w:proofErr w:type="spellStart"/>
      <w:r>
        <w:t>authori</w:t>
      </w:r>
      <w:r w:rsidR="00D61F4A">
        <w:t>s</w:t>
      </w:r>
      <w:r>
        <w:t>e</w:t>
      </w:r>
      <w:proofErr w:type="spellEnd"/>
      <w:r>
        <w:t xml:space="preserve"> </w:t>
      </w:r>
      <w:r>
        <w:lastRenderedPageBreak/>
        <w:t>reference to pending cases, which in any event must refer to ministerial decisions that may be challenged in court solely on the grounds that they were taken as a result of improper leadership or bad faith, or if they relate to issues of serious public importance. This exception allows parliamentarians to discuss ministerial decisions or other major issues of public interest even if they are being prosecuted and are being prosecuted</w:t>
      </w:r>
      <w:r w:rsidR="002174E0">
        <w:t xml:space="preserve"> </w:t>
      </w:r>
      <w:r w:rsidR="002174E0">
        <w:rPr>
          <w:rFonts w:asciiTheme="majorBidi" w:hAnsiTheme="majorBidi" w:cstheme="majorBidi"/>
          <w:color w:val="222222"/>
          <w:shd w:val="clear" w:color="auto" w:fill="FFFFFF"/>
        </w:rPr>
        <w:t>(</w:t>
      </w:r>
      <w:proofErr w:type="spellStart"/>
      <w:r w:rsidR="002174E0">
        <w:rPr>
          <w:rFonts w:asciiTheme="majorBidi" w:hAnsiTheme="majorBidi" w:cstheme="majorBidi"/>
          <w:color w:val="222222"/>
          <w:shd w:val="clear" w:color="auto" w:fill="FFFFFF"/>
        </w:rPr>
        <w:t>Neudorf</w:t>
      </w:r>
      <w:proofErr w:type="spellEnd"/>
      <w:r w:rsidR="002174E0">
        <w:rPr>
          <w:rFonts w:asciiTheme="majorBidi" w:hAnsiTheme="majorBidi" w:cstheme="majorBidi"/>
          <w:color w:val="222222"/>
          <w:shd w:val="clear" w:color="auto" w:fill="FFFFFF"/>
        </w:rPr>
        <w:t xml:space="preserve"> and </w:t>
      </w:r>
      <w:proofErr w:type="spellStart"/>
      <w:r w:rsidR="002174E0">
        <w:rPr>
          <w:rFonts w:asciiTheme="majorBidi" w:hAnsiTheme="majorBidi" w:cstheme="majorBidi"/>
          <w:color w:val="222222"/>
          <w:shd w:val="clear" w:color="auto" w:fill="FFFFFF"/>
        </w:rPr>
        <w:t>Seyfried</w:t>
      </w:r>
      <w:proofErr w:type="spellEnd"/>
      <w:r w:rsidR="002174E0">
        <w:rPr>
          <w:rFonts w:asciiTheme="majorBidi" w:hAnsiTheme="majorBidi" w:cstheme="majorBidi"/>
          <w:color w:val="222222"/>
          <w:shd w:val="clear" w:color="auto" w:fill="FFFFFF"/>
        </w:rPr>
        <w:t>, 2017)</w:t>
      </w:r>
      <w:r>
        <w:t>.</w:t>
      </w:r>
    </w:p>
    <w:p w:rsidR="000C42DA" w:rsidRDefault="000C42DA" w:rsidP="00C7786B">
      <w:r>
        <w:t xml:space="preserve">The independence of judges </w:t>
      </w:r>
      <w:r w:rsidR="00C7786B">
        <w:t xml:space="preserve">in UK </w:t>
      </w:r>
      <w:r>
        <w:t xml:space="preserve">also presupposes the political neutrality of the judiciary in making decisions. English judges do not belong to any political party, do not express opinions of a political nature, judges of the Appeals Committees of the House of Lords do not participate in parliamentary debates in the legislative process on political issues, but they take part in the discussion of bills related to the </w:t>
      </w:r>
      <w:proofErr w:type="spellStart"/>
      <w:r>
        <w:t>systemati</w:t>
      </w:r>
      <w:r w:rsidR="00D61F4A">
        <w:t>s</w:t>
      </w:r>
      <w:r>
        <w:t>ation</w:t>
      </w:r>
      <w:proofErr w:type="spellEnd"/>
      <w:r>
        <w:t xml:space="preserve"> of legislation, changes in criminal, treaty or tort law, with the reform of the judicial system, etc</w:t>
      </w:r>
      <w:r w:rsidR="002174E0">
        <w:t xml:space="preserve"> </w:t>
      </w:r>
      <w:r w:rsidR="002174E0">
        <w:rPr>
          <w:rFonts w:asciiTheme="majorBidi" w:hAnsiTheme="majorBidi" w:cstheme="majorBidi"/>
          <w:color w:val="222222"/>
          <w:shd w:val="clear" w:color="auto" w:fill="FFFFFF"/>
        </w:rPr>
        <w:t>(Islam, 2018)</w:t>
      </w:r>
      <w:r>
        <w:t>.</w:t>
      </w:r>
    </w:p>
    <w:p w:rsidR="00D84D38" w:rsidRDefault="000C42DA" w:rsidP="00370E34">
      <w:r>
        <w:t xml:space="preserve">English judges (with the exception of the Lord Chancellor, who is a minister of government) are also obliged to refrain from participating in any political and party disputes. Nevertheless, it should be stated that the judiciary in </w:t>
      </w:r>
      <w:r w:rsidR="00370E34">
        <w:t>UK</w:t>
      </w:r>
      <w:r>
        <w:t xml:space="preserve"> is not and, in principle, cannot be absolutely independent from politics for a number of reasons. Firstly, judges of the highest English courts are appointed on the proposal of the Prime Minister, who is the central figure in the political life of the state, and therefore his political preferences inevitably influence the final decision on the appointment of a particular candidate for the highest judicial office</w:t>
      </w:r>
      <w:r w:rsidR="002174E0">
        <w:t xml:space="preserve"> </w:t>
      </w:r>
      <w:r w:rsidR="002174E0">
        <w:rPr>
          <w:rFonts w:asciiTheme="majorBidi" w:hAnsiTheme="majorBidi" w:cstheme="majorBidi"/>
          <w:color w:val="222222"/>
          <w:shd w:val="clear" w:color="auto" w:fill="FFFFFF"/>
        </w:rPr>
        <w:t>(Douglas-Scott, 2020)</w:t>
      </w:r>
      <w:r>
        <w:t>.</w:t>
      </w:r>
      <w:r w:rsidR="00D84D38">
        <w:t xml:space="preserve"> Secondly, the Lord Chancellor, actually heading the House of Lords, including the highest court of appeal in Great Britain - the Court of Lords, and also being the central figure in the appointment of judges to office, is also a member of the Cabinet ministers and therefore is also not a politically neutral figure. Thirdly, practice clearly shows that judges can be involved by government ministries in resolving purely political issues - for example, in conducting so-</w:t>
      </w:r>
      <w:r w:rsidR="00D84D38">
        <w:lastRenderedPageBreak/>
        <w:t>called impartial investigations into the reasons for the failure of intelligence services, unjustified wiretapping of trade union representatives, in the preparation of political documents, etc</w:t>
      </w:r>
      <w:r w:rsidR="002174E0">
        <w:t xml:space="preserve"> </w:t>
      </w:r>
      <w:r w:rsidR="002174E0">
        <w:rPr>
          <w:rFonts w:asciiTheme="majorBidi" w:hAnsiTheme="majorBidi" w:cstheme="majorBidi"/>
          <w:color w:val="222222"/>
          <w:shd w:val="clear" w:color="auto" w:fill="FFFFFF"/>
        </w:rPr>
        <w:t>(</w:t>
      </w:r>
      <w:proofErr w:type="spellStart"/>
      <w:r w:rsidR="002174E0">
        <w:rPr>
          <w:rFonts w:asciiTheme="majorBidi" w:hAnsiTheme="majorBidi" w:cstheme="majorBidi"/>
          <w:color w:val="222222"/>
          <w:shd w:val="clear" w:color="auto" w:fill="FFFFFF"/>
        </w:rPr>
        <w:t>Tridimas</w:t>
      </w:r>
      <w:proofErr w:type="spellEnd"/>
      <w:r w:rsidR="002174E0">
        <w:rPr>
          <w:rFonts w:asciiTheme="majorBidi" w:hAnsiTheme="majorBidi" w:cstheme="majorBidi"/>
          <w:color w:val="222222"/>
          <w:shd w:val="clear" w:color="auto" w:fill="FFFFFF"/>
        </w:rPr>
        <w:t xml:space="preserve"> and </w:t>
      </w:r>
      <w:proofErr w:type="spellStart"/>
      <w:r w:rsidR="002174E0">
        <w:rPr>
          <w:rFonts w:asciiTheme="majorBidi" w:hAnsiTheme="majorBidi" w:cstheme="majorBidi"/>
          <w:color w:val="222222"/>
          <w:shd w:val="clear" w:color="auto" w:fill="FFFFFF"/>
        </w:rPr>
        <w:t>Tridimas</w:t>
      </w:r>
      <w:proofErr w:type="spellEnd"/>
      <w:r w:rsidR="002174E0">
        <w:rPr>
          <w:rFonts w:asciiTheme="majorBidi" w:hAnsiTheme="majorBidi" w:cstheme="majorBidi"/>
          <w:color w:val="222222"/>
          <w:shd w:val="clear" w:color="auto" w:fill="FFFFFF"/>
        </w:rPr>
        <w:t>, 2020)</w:t>
      </w:r>
      <w:r w:rsidR="00D84D38">
        <w:t>.</w:t>
      </w:r>
    </w:p>
    <w:p w:rsidR="003E3F61" w:rsidRDefault="003E3F61" w:rsidP="00370E34">
      <w:r>
        <w:t xml:space="preserve">Judges of the highest courts enjoy, under the common law of </w:t>
      </w:r>
      <w:r w:rsidR="00370E34">
        <w:t>UK</w:t>
      </w:r>
      <w:r>
        <w:t>, absolute immunity from civil liability. The civil immunity of English judges is based on legal policy considerations. It is believed that a judge, when deciding cases, should not think about what legal consequences for him personally will entail the adoption of this or that decision, because otherwise the judge will cease to be independent and objective. Civil immunity applies to all opinions expressed by a judge in the course of his professional duties (i.e., a defamation claim cannot be brought). However, civil immunity does not apply to cases of actions of a judge in a personal and not professional capacity. Judges of lower courts, according to Art. 108 of the Courts and Legal Services Act (1990</w:t>
      </w:r>
      <w:proofErr w:type="gramStart"/>
      <w:r>
        <w:t>),</w:t>
      </w:r>
      <w:proofErr w:type="gramEnd"/>
      <w:r>
        <w:t xml:space="preserve"> are immune from civil liability if they act without exceeding their authority. However, even if the powers are exceeded, civil liability arises only in the case of proven bad faith in the actions of judges</w:t>
      </w:r>
      <w:r w:rsidR="002174E0">
        <w:t xml:space="preserve"> </w:t>
      </w:r>
      <w:r w:rsidR="002174E0">
        <w:rPr>
          <w:rFonts w:asciiTheme="majorBidi" w:hAnsiTheme="majorBidi" w:cstheme="majorBidi"/>
          <w:color w:val="222222"/>
          <w:shd w:val="clear" w:color="auto" w:fill="FFFFFF"/>
        </w:rPr>
        <w:t>(Gallagher, 2017)</w:t>
      </w:r>
      <w:r>
        <w:t>.</w:t>
      </w:r>
    </w:p>
    <w:p w:rsidR="003E3F61" w:rsidRDefault="003E3F61" w:rsidP="00370E34">
      <w:r>
        <w:t xml:space="preserve">There are also restrictions associated with holding judicial office - judges cannot be members of the House of Commons, they are prohibited from engaging in advocacy, political and other paid and professional activities. These restrictions are not legally enshrined anywhere, but are based on constitutional, customary legal (conventional) norms, which is again very typical for </w:t>
      </w:r>
      <w:r w:rsidR="00370E34">
        <w:t>UK</w:t>
      </w:r>
      <w:r>
        <w:t xml:space="preserve"> and is strikingly different from the legislative regulation of the legal status of judges in the states of the Romano-Germanic legal family</w:t>
      </w:r>
      <w:r w:rsidR="002174E0">
        <w:t xml:space="preserve"> </w:t>
      </w:r>
      <w:r w:rsidR="002174E0">
        <w:rPr>
          <w:rFonts w:asciiTheme="majorBidi" w:hAnsiTheme="majorBidi" w:cstheme="majorBidi"/>
          <w:color w:val="222222"/>
          <w:shd w:val="clear" w:color="auto" w:fill="FFFFFF"/>
        </w:rPr>
        <w:t>(</w:t>
      </w:r>
      <w:proofErr w:type="spellStart"/>
      <w:r w:rsidR="002174E0">
        <w:rPr>
          <w:rFonts w:asciiTheme="majorBidi" w:hAnsiTheme="majorBidi" w:cstheme="majorBidi"/>
          <w:color w:val="222222"/>
          <w:shd w:val="clear" w:color="auto" w:fill="FFFFFF"/>
        </w:rPr>
        <w:t>Masood</w:t>
      </w:r>
      <w:proofErr w:type="spellEnd"/>
      <w:r w:rsidR="002174E0">
        <w:rPr>
          <w:rFonts w:asciiTheme="majorBidi" w:hAnsiTheme="majorBidi" w:cstheme="majorBidi"/>
          <w:color w:val="222222"/>
          <w:shd w:val="clear" w:color="auto" w:fill="FFFFFF"/>
        </w:rPr>
        <w:t xml:space="preserve"> and </w:t>
      </w:r>
      <w:proofErr w:type="spellStart"/>
      <w:r w:rsidR="002174E0">
        <w:rPr>
          <w:rFonts w:asciiTheme="majorBidi" w:hAnsiTheme="majorBidi" w:cstheme="majorBidi"/>
          <w:color w:val="222222"/>
          <w:shd w:val="clear" w:color="auto" w:fill="FFFFFF"/>
        </w:rPr>
        <w:t>Lineberger</w:t>
      </w:r>
      <w:proofErr w:type="spellEnd"/>
      <w:r w:rsidR="002174E0">
        <w:rPr>
          <w:rFonts w:asciiTheme="majorBidi" w:hAnsiTheme="majorBidi" w:cstheme="majorBidi"/>
          <w:color w:val="222222"/>
          <w:shd w:val="clear" w:color="auto" w:fill="FFFFFF"/>
        </w:rPr>
        <w:t>, 2020)</w:t>
      </w:r>
      <w:r>
        <w:t>.</w:t>
      </w:r>
    </w:p>
    <w:p w:rsidR="003E3F61" w:rsidRDefault="003E3F61" w:rsidP="003E3F61">
      <w:r>
        <w:t xml:space="preserve">For the commission of a crime, judges of the highest English courts can be removed from office by impeachment and can be criminally liable, and judges of lower courts can be removed from office directly by the Lord Chancellor. The most illustrative compounds in this case are </w:t>
      </w:r>
      <w:r>
        <w:lastRenderedPageBreak/>
        <w:t xml:space="preserve">receiving bribes (Bribe </w:t>
      </w:r>
      <w:proofErr w:type="gramStart"/>
      <w:r>
        <w:t>taking ,</w:t>
      </w:r>
      <w:proofErr w:type="gramEnd"/>
      <w:r>
        <w:t xml:space="preserve"> bribery ), illegal arrest, detention and detention (Unlawful Detention ) (Act of Habeas Corpus (1679) p</w:t>
      </w:r>
      <w:r w:rsidR="002174E0">
        <w:t xml:space="preserve">rovided for a fine of £ 500 </w:t>
      </w:r>
      <w:r w:rsidR="002174E0">
        <w:rPr>
          <w:rFonts w:asciiTheme="majorBidi" w:hAnsiTheme="majorBidi" w:cstheme="majorBidi"/>
          <w:color w:val="222222"/>
          <w:shd w:val="clear" w:color="auto" w:fill="FFFFFF"/>
        </w:rPr>
        <w:t>(Douglas-Scott, 2020)</w:t>
      </w:r>
      <w:r>
        <w:t xml:space="preserve">. </w:t>
      </w:r>
    </w:p>
    <w:p w:rsidR="003E3F61" w:rsidRDefault="003E3F61" w:rsidP="00370E34">
      <w:r>
        <w:t xml:space="preserve">One of the most significant guarantees of the independence of English judges is the principle of liability for contempt of court. It was developed by the judiciary as a means to prevent any form of contempt of court and to punish those whose </w:t>
      </w:r>
      <w:r w:rsidR="00D61F4A">
        <w:t>behaviour</w:t>
      </w:r>
      <w:r>
        <w:t xml:space="preserve"> prejudices the administration of justice. The principle was established primarily in the interests not only of the judiciary as such, but also in order to protect the interests of the litigants, because many forms of contempt of court, which are prosecuted on the basis of this principle, can negatively affect the outcome of the trial and thereby infringe on the </w:t>
      </w:r>
      <w:proofErr w:type="spellStart"/>
      <w:r>
        <w:t>recogni</w:t>
      </w:r>
      <w:r w:rsidR="00D61F4A">
        <w:t>s</w:t>
      </w:r>
      <w:r>
        <w:t>ed</w:t>
      </w:r>
      <w:proofErr w:type="spellEnd"/>
      <w:r>
        <w:t xml:space="preserve"> the common law of </w:t>
      </w:r>
      <w:r w:rsidR="00370E34">
        <w:t>UK</w:t>
      </w:r>
      <w:r>
        <w:t xml:space="preserve"> is the right of citizens to judicial protection</w:t>
      </w:r>
      <w:r w:rsidR="002174E0">
        <w:t xml:space="preserve"> </w:t>
      </w:r>
      <w:r w:rsidR="002174E0">
        <w:rPr>
          <w:rFonts w:asciiTheme="majorBidi" w:hAnsiTheme="majorBidi" w:cstheme="majorBidi"/>
          <w:color w:val="222222"/>
          <w:shd w:val="clear" w:color="auto" w:fill="FFFFFF"/>
        </w:rPr>
        <w:t>(</w:t>
      </w:r>
      <w:proofErr w:type="spellStart"/>
      <w:r w:rsidR="002174E0">
        <w:rPr>
          <w:rFonts w:asciiTheme="majorBidi" w:hAnsiTheme="majorBidi" w:cstheme="majorBidi"/>
          <w:color w:val="222222"/>
          <w:shd w:val="clear" w:color="auto" w:fill="FFFFFF"/>
        </w:rPr>
        <w:t>Chandrachud</w:t>
      </w:r>
      <w:proofErr w:type="spellEnd"/>
      <w:r w:rsidR="002174E0">
        <w:rPr>
          <w:rFonts w:asciiTheme="majorBidi" w:hAnsiTheme="majorBidi" w:cstheme="majorBidi"/>
          <w:color w:val="222222"/>
          <w:shd w:val="clear" w:color="auto" w:fill="FFFFFF"/>
        </w:rPr>
        <w:t>, 2018)</w:t>
      </w:r>
      <w:r>
        <w:t xml:space="preserve">. They distinguish contempt of court, which is punishable in the civil and criminal legal order. The first type includes non-compliance with the orders of the English courts, which relate to the </w:t>
      </w:r>
      <w:r w:rsidR="00D61F4A">
        <w:t>behaviour</w:t>
      </w:r>
      <w:r>
        <w:t xml:space="preserve"> of the litigant in the civil process. The means of judicial response to civil contempt of court are imprisonment, confiscation of the offender's property, a fine, a restraining order, a court order for actual execution</w:t>
      </w:r>
      <w:r w:rsidR="002174E0">
        <w:t xml:space="preserve"> </w:t>
      </w:r>
      <w:r w:rsidR="002174E0">
        <w:rPr>
          <w:rFonts w:asciiTheme="majorBidi" w:hAnsiTheme="majorBidi" w:cstheme="majorBidi"/>
          <w:color w:val="222222"/>
          <w:shd w:val="clear" w:color="auto" w:fill="FFFFFF"/>
        </w:rPr>
        <w:t>(Hope, 2016)</w:t>
      </w:r>
      <w:r>
        <w:t>.</w:t>
      </w:r>
    </w:p>
    <w:p w:rsidR="00024AB5" w:rsidRDefault="00024AB5" w:rsidP="00024AB5">
      <w:r>
        <w:t>The salary of judges is established by separate acts of parliament. He gave the government the authority to increase the wages of judges taking into account the growth of inflation, but the government has no right to reduce wages. Until April 1994, the salaries of English judges were:</w:t>
      </w:r>
    </w:p>
    <w:p w:rsidR="00DD02C8" w:rsidRDefault="00024AB5" w:rsidP="00DD02C8">
      <w:pPr>
        <w:pStyle w:val="Prrafodelista"/>
        <w:numPr>
          <w:ilvl w:val="0"/>
          <w:numId w:val="22"/>
        </w:numPr>
      </w:pPr>
      <w:r>
        <w:t>62 621 p. Art. - for paid magistrates (fellows);</w:t>
      </w:r>
    </w:p>
    <w:p w:rsidR="00DD02C8" w:rsidRDefault="00024AB5" w:rsidP="00DD02C8">
      <w:pPr>
        <w:pStyle w:val="Prrafodelista"/>
        <w:numPr>
          <w:ilvl w:val="0"/>
          <w:numId w:val="22"/>
        </w:numPr>
      </w:pPr>
      <w:r>
        <w:t>69 497 p. Art. - for district judges and the main metropolitan scholar;</w:t>
      </w:r>
    </w:p>
    <w:p w:rsidR="00DD02C8" w:rsidRDefault="00024AB5" w:rsidP="00DD02C8">
      <w:pPr>
        <w:pStyle w:val="Prrafodelista"/>
        <w:numPr>
          <w:ilvl w:val="0"/>
          <w:numId w:val="22"/>
        </w:numPr>
      </w:pPr>
      <w:r>
        <w:t>82 641 f. Art. - for senior district judges;</w:t>
      </w:r>
    </w:p>
    <w:p w:rsidR="00024AB5" w:rsidRDefault="00024AB5" w:rsidP="00DD02C8">
      <w:pPr>
        <w:pStyle w:val="Prrafodelista"/>
        <w:numPr>
          <w:ilvl w:val="0"/>
          <w:numId w:val="22"/>
        </w:numPr>
      </w:pPr>
      <w:r>
        <w:t>95 051 f. Art. - for judges of the High Court;</w:t>
      </w:r>
    </w:p>
    <w:p w:rsidR="00024AB5" w:rsidRDefault="00024AB5" w:rsidP="00DD02C8">
      <w:pPr>
        <w:pStyle w:val="Prrafodelista"/>
        <w:numPr>
          <w:ilvl w:val="0"/>
          <w:numId w:val="21"/>
        </w:numPr>
      </w:pPr>
      <w:r>
        <w:lastRenderedPageBreak/>
        <w:t>104,922 p. Art. - for judges of the Court of Appeal, President of the Family Division of the High Court and Vice Chancellor</w:t>
      </w:r>
    </w:p>
    <w:p w:rsidR="00024AB5" w:rsidRDefault="00024AB5" w:rsidP="00DD02C8">
      <w:pPr>
        <w:pStyle w:val="Prrafodelista"/>
        <w:numPr>
          <w:ilvl w:val="0"/>
          <w:numId w:val="21"/>
        </w:numPr>
      </w:pPr>
      <w:r>
        <w:t xml:space="preserve">109 435 p. Art. - </w:t>
      </w:r>
      <w:proofErr w:type="gramStart"/>
      <w:r>
        <w:t>for</w:t>
      </w:r>
      <w:proofErr w:type="gramEnd"/>
      <w:r>
        <w:t xml:space="preserve"> judges of the court of the House of Lords and the Chief Custodian of the Court Archives; 118,179 lbs. Art. - </w:t>
      </w:r>
      <w:proofErr w:type="gramStart"/>
      <w:r>
        <w:t>for</w:t>
      </w:r>
      <w:proofErr w:type="gramEnd"/>
      <w:r>
        <w:t xml:space="preserve"> the lord - the chief judge</w:t>
      </w:r>
      <w:r w:rsidR="002174E0">
        <w:t xml:space="preserve"> </w:t>
      </w:r>
      <w:r w:rsidR="002174E0">
        <w:rPr>
          <w:rFonts w:asciiTheme="majorBidi" w:hAnsiTheme="majorBidi" w:cstheme="majorBidi"/>
          <w:color w:val="222222"/>
          <w:shd w:val="clear" w:color="auto" w:fill="FFFFFF"/>
        </w:rPr>
        <w:t>(</w:t>
      </w:r>
      <w:proofErr w:type="spellStart"/>
      <w:r w:rsidR="002174E0">
        <w:rPr>
          <w:rFonts w:asciiTheme="majorBidi" w:hAnsiTheme="majorBidi" w:cstheme="majorBidi"/>
          <w:color w:val="222222"/>
          <w:shd w:val="clear" w:color="auto" w:fill="FFFFFF"/>
        </w:rPr>
        <w:t>Masood</w:t>
      </w:r>
      <w:proofErr w:type="spellEnd"/>
      <w:r w:rsidR="002174E0">
        <w:rPr>
          <w:rFonts w:asciiTheme="majorBidi" w:hAnsiTheme="majorBidi" w:cstheme="majorBidi"/>
          <w:color w:val="222222"/>
          <w:shd w:val="clear" w:color="auto" w:fill="FFFFFF"/>
        </w:rPr>
        <w:t xml:space="preserve"> and </w:t>
      </w:r>
      <w:proofErr w:type="spellStart"/>
      <w:r w:rsidR="002174E0">
        <w:rPr>
          <w:rFonts w:asciiTheme="majorBidi" w:hAnsiTheme="majorBidi" w:cstheme="majorBidi"/>
          <w:color w:val="222222"/>
          <w:shd w:val="clear" w:color="auto" w:fill="FFFFFF"/>
        </w:rPr>
        <w:t>Lineberger</w:t>
      </w:r>
      <w:proofErr w:type="spellEnd"/>
      <w:r w:rsidR="002174E0">
        <w:rPr>
          <w:rFonts w:asciiTheme="majorBidi" w:hAnsiTheme="majorBidi" w:cstheme="majorBidi"/>
          <w:color w:val="222222"/>
          <w:shd w:val="clear" w:color="auto" w:fill="FFFFFF"/>
        </w:rPr>
        <w:t>, 2020)</w:t>
      </w:r>
      <w:r>
        <w:t>.</w:t>
      </w:r>
    </w:p>
    <w:p w:rsidR="00024AB5" w:rsidRDefault="00024AB5" w:rsidP="00370E34">
      <w:r>
        <w:t xml:space="preserve">Researchers see the reason for the high salaries of judges in the fact that the judiciary in </w:t>
      </w:r>
      <w:r w:rsidR="00370E34">
        <w:t>UK</w:t>
      </w:r>
      <w:r>
        <w:t xml:space="preserve"> is relatively small (compared to France or Germany). A high level of remuneration for judges reduces the likelihood of biased decisions due to bribes being received by judges, which in itself is very important for increasing the objectivity of the justice system and high public confidence in it. At the same time, high salaries in themselves are not an effective guarantee of the independence of judges from those bodies and persons who have the right to increase it. This right is possessed in </w:t>
      </w:r>
      <w:r w:rsidR="00370E34">
        <w:t>UK</w:t>
      </w:r>
      <w:r>
        <w:t xml:space="preserve"> by the acting Lord Chancellor, who, as already noted, is not a politically impartial person, and therefore it can be argued that politically "correct" views of judges, their desire to make a politically correct decision are often factors that contribute to an increase in their salaries fees, as well as the chance to move up the judicial ladder</w:t>
      </w:r>
      <w:r w:rsidR="002174E0">
        <w:t xml:space="preserve"> </w:t>
      </w:r>
      <w:r w:rsidR="002174E0">
        <w:rPr>
          <w:rFonts w:asciiTheme="majorBidi" w:hAnsiTheme="majorBidi" w:cstheme="majorBidi"/>
          <w:color w:val="222222"/>
          <w:shd w:val="clear" w:color="auto" w:fill="FFFFFF"/>
        </w:rPr>
        <w:t>(</w:t>
      </w:r>
      <w:proofErr w:type="spellStart"/>
      <w:r w:rsidR="002174E0">
        <w:rPr>
          <w:rFonts w:asciiTheme="majorBidi" w:hAnsiTheme="majorBidi" w:cstheme="majorBidi"/>
          <w:color w:val="222222"/>
          <w:shd w:val="clear" w:color="auto" w:fill="FFFFFF"/>
        </w:rPr>
        <w:t>Neudorf</w:t>
      </w:r>
      <w:proofErr w:type="spellEnd"/>
      <w:r w:rsidR="002174E0">
        <w:rPr>
          <w:rFonts w:asciiTheme="majorBidi" w:hAnsiTheme="majorBidi" w:cstheme="majorBidi"/>
          <w:color w:val="222222"/>
          <w:shd w:val="clear" w:color="auto" w:fill="FFFFFF"/>
        </w:rPr>
        <w:t xml:space="preserve"> and </w:t>
      </w:r>
      <w:proofErr w:type="spellStart"/>
      <w:r w:rsidR="002174E0">
        <w:rPr>
          <w:rFonts w:asciiTheme="majorBidi" w:hAnsiTheme="majorBidi" w:cstheme="majorBidi"/>
          <w:color w:val="222222"/>
          <w:shd w:val="clear" w:color="auto" w:fill="FFFFFF"/>
        </w:rPr>
        <w:t>Seyfried</w:t>
      </w:r>
      <w:proofErr w:type="spellEnd"/>
      <w:r w:rsidR="002174E0">
        <w:rPr>
          <w:rFonts w:asciiTheme="majorBidi" w:hAnsiTheme="majorBidi" w:cstheme="majorBidi"/>
          <w:color w:val="222222"/>
          <w:shd w:val="clear" w:color="auto" w:fill="FFFFFF"/>
        </w:rPr>
        <w:t>, 2017)</w:t>
      </w:r>
      <w:r>
        <w:t>.</w:t>
      </w:r>
    </w:p>
    <w:p w:rsidR="00024AB5" w:rsidRDefault="00024AB5" w:rsidP="00024AB5">
      <w:r>
        <w:t>Corporate organi</w:t>
      </w:r>
      <w:r w:rsidR="00D61F4A">
        <w:t>s</w:t>
      </w:r>
      <w:r>
        <w:t xml:space="preserve">ation and solidarity in actions are traditionally viewed as a guarantee of the independence of the courts from state bodies. Corporate judicial solidarity is manifested in the fact that when a precedent was overruling by a higher court due to the fact that when it was created, the precedents or statutes related to the merits of the case were not taken into account, i.e. such a precedent was formed through negligence (per </w:t>
      </w:r>
      <w:proofErr w:type="spellStart"/>
      <w:r>
        <w:t>incuriam</w:t>
      </w:r>
      <w:proofErr w:type="spellEnd"/>
      <w:r>
        <w:t xml:space="preserve">), such an error of the lower court is formulated as “incorrect statement of the law in force”. In other words, English judges try to use all available opportunities in order not to directly and openly admit the erroneousness </w:t>
      </w:r>
      <w:r>
        <w:lastRenderedPageBreak/>
        <w:t>of this or that judicial decision. On the one hand, indeed, this practice allows maintaining at a sufficiently high level the prestige of the judicial profession, public confidence in professional judges and, as a consequence, increases the independence of the courts from other parts of the state machinery</w:t>
      </w:r>
      <w:r w:rsidR="002174E0">
        <w:t xml:space="preserve"> </w:t>
      </w:r>
      <w:r w:rsidR="002174E0">
        <w:rPr>
          <w:rFonts w:asciiTheme="majorBidi" w:hAnsiTheme="majorBidi" w:cstheme="majorBidi"/>
          <w:color w:val="222222"/>
          <w:shd w:val="clear" w:color="auto" w:fill="FFFFFF"/>
        </w:rPr>
        <w:t>(</w:t>
      </w:r>
      <w:proofErr w:type="spellStart"/>
      <w:r w:rsidR="002174E0">
        <w:rPr>
          <w:rFonts w:asciiTheme="majorBidi" w:hAnsiTheme="majorBidi" w:cstheme="majorBidi"/>
          <w:color w:val="222222"/>
          <w:shd w:val="clear" w:color="auto" w:fill="FFFFFF"/>
        </w:rPr>
        <w:t>Kime</w:t>
      </w:r>
      <w:proofErr w:type="spellEnd"/>
      <w:r w:rsidR="002174E0">
        <w:rPr>
          <w:rFonts w:asciiTheme="majorBidi" w:hAnsiTheme="majorBidi" w:cstheme="majorBidi"/>
          <w:color w:val="222222"/>
          <w:shd w:val="clear" w:color="auto" w:fill="FFFFFF"/>
        </w:rPr>
        <w:t xml:space="preserve"> and </w:t>
      </w:r>
      <w:proofErr w:type="spellStart"/>
      <w:r w:rsidR="002174E0">
        <w:rPr>
          <w:rFonts w:asciiTheme="majorBidi" w:hAnsiTheme="majorBidi" w:cstheme="majorBidi"/>
          <w:color w:val="222222"/>
          <w:shd w:val="clear" w:color="auto" w:fill="FFFFFF"/>
        </w:rPr>
        <w:t>Yacine</w:t>
      </w:r>
      <w:proofErr w:type="spellEnd"/>
      <w:r w:rsidR="002174E0">
        <w:rPr>
          <w:rFonts w:asciiTheme="majorBidi" w:hAnsiTheme="majorBidi" w:cstheme="majorBidi"/>
          <w:color w:val="222222"/>
          <w:shd w:val="clear" w:color="auto" w:fill="FFFFFF"/>
        </w:rPr>
        <w:t>, 2019)</w:t>
      </w:r>
      <w:r>
        <w:t>.</w:t>
      </w:r>
    </w:p>
    <w:p w:rsidR="00AA0E4C" w:rsidRDefault="00A1182F" w:rsidP="00A1182F">
      <w:pPr>
        <w:pStyle w:val="Ttulo1"/>
      </w:pPr>
      <w:r>
        <w:t>Conclusion</w:t>
      </w:r>
    </w:p>
    <w:p w:rsidR="00EE12D8" w:rsidRDefault="009A75B0" w:rsidP="00370E34">
      <w:r>
        <w:t xml:space="preserve">High confidence in the representatives of the judiciary in </w:t>
      </w:r>
      <w:r w:rsidR="00370E34">
        <w:t>UK</w:t>
      </w:r>
      <w:r>
        <w:t xml:space="preserve"> is, of course, traditional. Throughout the history of the formation and development of British justice, judges</w:t>
      </w:r>
      <w:r w:rsidR="00C7786B">
        <w:t xml:space="preserve"> in UK</w:t>
      </w:r>
      <w:r>
        <w:t xml:space="preserve"> have never merged with the current political regime at one time or another, as it often happened in countries with a revolutionary type of development of the state and legal system (political revolutions in France or Russia invariably brought with them a cardinal changes in all foundations of the legal system, legal vacuum - fertile ground for lynching and other forms of anarchy and arbitrariness). Judicial case law has never been formally </w:t>
      </w:r>
      <w:proofErr w:type="spellStart"/>
      <w:r>
        <w:t>formali</w:t>
      </w:r>
      <w:r w:rsidR="00D61F4A">
        <w:t>s</w:t>
      </w:r>
      <w:r>
        <w:t>ed</w:t>
      </w:r>
      <w:proofErr w:type="spellEnd"/>
      <w:r>
        <w:t xml:space="preserve">, proclaimed as part of the officially valid positive law. Moreover, the result of the activities of the royal courts and the Court of the Lord Chancellor brought continuity, stability and certainty to the legal system of </w:t>
      </w:r>
      <w:r w:rsidR="00370E34">
        <w:t>UK</w:t>
      </w:r>
      <w:r>
        <w:t xml:space="preserve">, which was also the reason for public confidence in judicial law, its higher legitimacy in comparison with parliamentary legislation. Public confidence in judges in </w:t>
      </w:r>
      <w:r w:rsidR="00370E34">
        <w:t>UK</w:t>
      </w:r>
      <w:r>
        <w:t xml:space="preserve"> was also enhanced by the historically formed image of the judge as an honest, highly moral, devoid of pathological attachments. The current methodology for selecting English judges is aimed at preserving this public perception.</w:t>
      </w:r>
    </w:p>
    <w:p w:rsidR="00EE12D8" w:rsidRDefault="00EE12D8">
      <w:pPr>
        <w:spacing w:after="200" w:line="276" w:lineRule="auto"/>
        <w:ind w:firstLine="0"/>
      </w:pPr>
      <w:r>
        <w:br w:type="page"/>
      </w:r>
    </w:p>
    <w:p w:rsidR="009A75B0" w:rsidRDefault="00EE12D8" w:rsidP="00EE12D8">
      <w:pPr>
        <w:ind w:firstLine="0"/>
        <w:jc w:val="center"/>
      </w:pPr>
      <w:r>
        <w:lastRenderedPageBreak/>
        <w:t>References</w:t>
      </w:r>
    </w:p>
    <w:p w:rsidR="00DD02C8" w:rsidRPr="00DD02C8" w:rsidRDefault="00DD02C8" w:rsidP="00DD02C8">
      <w:pPr>
        <w:ind w:left="720" w:hanging="720"/>
        <w:rPr>
          <w:rFonts w:asciiTheme="majorBidi" w:hAnsiTheme="majorBidi" w:cstheme="majorBidi"/>
          <w:color w:val="222222"/>
          <w:shd w:val="clear" w:color="auto" w:fill="FFFFFF"/>
        </w:rPr>
      </w:pPr>
      <w:r w:rsidRPr="00DD02C8">
        <w:rPr>
          <w:rFonts w:asciiTheme="majorBidi" w:hAnsiTheme="majorBidi" w:cstheme="majorBidi"/>
          <w:color w:val="222222"/>
          <w:shd w:val="clear" w:color="auto" w:fill="FFFFFF"/>
        </w:rPr>
        <w:t xml:space="preserve">Aikens, R.H.S.R., 2020. </w:t>
      </w:r>
      <w:proofErr w:type="gramStart"/>
      <w:r w:rsidRPr="00DD02C8">
        <w:rPr>
          <w:rFonts w:asciiTheme="majorBidi" w:hAnsiTheme="majorBidi" w:cstheme="majorBidi"/>
          <w:color w:val="222222"/>
          <w:shd w:val="clear" w:color="auto" w:fill="FFFFFF"/>
        </w:rPr>
        <w:t>UK–England and Wales.</w:t>
      </w:r>
      <w:proofErr w:type="gramEnd"/>
      <w:r w:rsidRPr="00DD02C8">
        <w:rPr>
          <w:rFonts w:asciiTheme="majorBidi" w:hAnsiTheme="majorBidi" w:cstheme="majorBidi"/>
          <w:color w:val="222222"/>
          <w:shd w:val="clear" w:color="auto" w:fill="FFFFFF"/>
        </w:rPr>
        <w:t xml:space="preserve"> </w:t>
      </w:r>
      <w:proofErr w:type="gramStart"/>
      <w:r w:rsidRPr="00DD02C8">
        <w:rPr>
          <w:rFonts w:asciiTheme="majorBidi" w:hAnsiTheme="majorBidi" w:cstheme="majorBidi"/>
          <w:color w:val="222222"/>
          <w:shd w:val="clear" w:color="auto" w:fill="FFFFFF"/>
        </w:rPr>
        <w:t>In </w:t>
      </w:r>
      <w:r w:rsidRPr="00DD02C8">
        <w:rPr>
          <w:rFonts w:asciiTheme="majorBidi" w:hAnsiTheme="majorBidi" w:cstheme="majorBidi"/>
          <w:i/>
          <w:iCs/>
          <w:color w:val="222222"/>
          <w:shd w:val="clear" w:color="auto" w:fill="FFFFFF"/>
        </w:rPr>
        <w:t>Courts in Evolving Societies</w:t>
      </w:r>
      <w:r w:rsidRPr="00DD02C8">
        <w:rPr>
          <w:rFonts w:asciiTheme="majorBidi" w:hAnsiTheme="majorBidi" w:cstheme="majorBidi"/>
          <w:color w:val="222222"/>
          <w:shd w:val="clear" w:color="auto" w:fill="FFFFFF"/>
        </w:rPr>
        <w:t> (pp. 59-70).</w:t>
      </w:r>
      <w:proofErr w:type="gramEnd"/>
      <w:r w:rsidRPr="00DD02C8">
        <w:rPr>
          <w:rFonts w:asciiTheme="majorBidi" w:hAnsiTheme="majorBidi" w:cstheme="majorBidi"/>
          <w:color w:val="222222"/>
          <w:shd w:val="clear" w:color="auto" w:fill="FFFFFF"/>
        </w:rPr>
        <w:t xml:space="preserve"> </w:t>
      </w:r>
      <w:proofErr w:type="gramStart"/>
      <w:r w:rsidRPr="00DD02C8">
        <w:rPr>
          <w:rFonts w:asciiTheme="majorBidi" w:hAnsiTheme="majorBidi" w:cstheme="majorBidi"/>
          <w:color w:val="222222"/>
          <w:shd w:val="clear" w:color="auto" w:fill="FFFFFF"/>
        </w:rPr>
        <w:t xml:space="preserve">Brill </w:t>
      </w:r>
      <w:proofErr w:type="spellStart"/>
      <w:r w:rsidRPr="00DD02C8">
        <w:rPr>
          <w:rFonts w:asciiTheme="majorBidi" w:hAnsiTheme="majorBidi" w:cstheme="majorBidi"/>
          <w:color w:val="222222"/>
          <w:shd w:val="clear" w:color="auto" w:fill="FFFFFF"/>
        </w:rPr>
        <w:t>Nijhoff</w:t>
      </w:r>
      <w:proofErr w:type="spellEnd"/>
      <w:r w:rsidRPr="00DD02C8">
        <w:rPr>
          <w:rFonts w:asciiTheme="majorBidi" w:hAnsiTheme="majorBidi" w:cstheme="majorBidi"/>
          <w:color w:val="222222"/>
          <w:shd w:val="clear" w:color="auto" w:fill="FFFFFF"/>
        </w:rPr>
        <w:t>.</w:t>
      </w:r>
      <w:proofErr w:type="gramEnd"/>
    </w:p>
    <w:p w:rsidR="00DD02C8" w:rsidRPr="00EE12D8" w:rsidRDefault="00DD02C8" w:rsidP="00EE12D8">
      <w:pPr>
        <w:ind w:left="720" w:hanging="720"/>
        <w:rPr>
          <w:rFonts w:asciiTheme="majorBidi" w:hAnsiTheme="majorBidi" w:cstheme="majorBidi"/>
          <w:color w:val="222222"/>
          <w:shd w:val="clear" w:color="auto" w:fill="FFFFFF"/>
        </w:rPr>
      </w:pPr>
      <w:proofErr w:type="spellStart"/>
      <w:r w:rsidRPr="00EE12D8">
        <w:rPr>
          <w:rFonts w:asciiTheme="majorBidi" w:hAnsiTheme="majorBidi" w:cstheme="majorBidi"/>
          <w:color w:val="222222"/>
          <w:shd w:val="clear" w:color="auto" w:fill="FFFFFF"/>
        </w:rPr>
        <w:t>Chandrachud</w:t>
      </w:r>
      <w:proofErr w:type="spellEnd"/>
      <w:r w:rsidRPr="00EE12D8">
        <w:rPr>
          <w:rFonts w:asciiTheme="majorBidi" w:hAnsiTheme="majorBidi" w:cstheme="majorBidi"/>
          <w:color w:val="222222"/>
          <w:shd w:val="clear" w:color="auto" w:fill="FFFFFF"/>
        </w:rPr>
        <w:t xml:space="preserve">, C., 2018. </w:t>
      </w:r>
      <w:proofErr w:type="spellStart"/>
      <w:proofErr w:type="gramStart"/>
      <w:r w:rsidRPr="00EE12D8">
        <w:rPr>
          <w:rFonts w:asciiTheme="majorBidi" w:hAnsiTheme="majorBidi" w:cstheme="majorBidi"/>
          <w:color w:val="222222"/>
          <w:shd w:val="clear" w:color="auto" w:fill="FFFFFF"/>
        </w:rPr>
        <w:t>Judicialisation</w:t>
      </w:r>
      <w:proofErr w:type="spellEnd"/>
      <w:r w:rsidRPr="00EE12D8">
        <w:rPr>
          <w:rFonts w:asciiTheme="majorBidi" w:hAnsiTheme="majorBidi" w:cstheme="majorBidi"/>
          <w:color w:val="222222"/>
          <w:shd w:val="clear" w:color="auto" w:fill="FFFFFF"/>
        </w:rPr>
        <w:t xml:space="preserve"> of Judicial Appointments?</w:t>
      </w:r>
      <w:proofErr w:type="gramEnd"/>
      <w:r w:rsidRPr="00EE12D8">
        <w:rPr>
          <w:rFonts w:asciiTheme="majorBidi" w:hAnsiTheme="majorBidi" w:cstheme="majorBidi"/>
          <w:color w:val="222222"/>
          <w:shd w:val="clear" w:color="auto" w:fill="FFFFFF"/>
        </w:rPr>
        <w:t xml:space="preserve"> </w:t>
      </w:r>
      <w:proofErr w:type="gramStart"/>
      <w:r w:rsidRPr="00EE12D8">
        <w:rPr>
          <w:rFonts w:asciiTheme="majorBidi" w:hAnsiTheme="majorBidi" w:cstheme="majorBidi"/>
          <w:color w:val="222222"/>
          <w:shd w:val="clear" w:color="auto" w:fill="FFFFFF"/>
        </w:rPr>
        <w:t>A Response from the United Kingdom.</w:t>
      </w:r>
      <w:proofErr w:type="gramEnd"/>
      <w:r w:rsidRPr="00EE12D8">
        <w:rPr>
          <w:rFonts w:asciiTheme="majorBidi" w:hAnsiTheme="majorBidi" w:cstheme="majorBidi"/>
          <w:color w:val="222222"/>
          <w:shd w:val="clear" w:color="auto" w:fill="FFFFFF"/>
        </w:rPr>
        <w:t> </w:t>
      </w:r>
      <w:r w:rsidRPr="00EE12D8">
        <w:rPr>
          <w:rFonts w:asciiTheme="majorBidi" w:hAnsiTheme="majorBidi" w:cstheme="majorBidi"/>
          <w:i/>
          <w:iCs/>
          <w:color w:val="222222"/>
          <w:shd w:val="clear" w:color="auto" w:fill="FFFFFF"/>
        </w:rPr>
        <w:t xml:space="preserve">A Response from the United Kingdom (April 18, 2018). A </w:t>
      </w:r>
      <w:proofErr w:type="spellStart"/>
      <w:r w:rsidRPr="00EE12D8">
        <w:rPr>
          <w:rFonts w:asciiTheme="majorBidi" w:hAnsiTheme="majorBidi" w:cstheme="majorBidi"/>
          <w:i/>
          <w:iCs/>
          <w:color w:val="222222"/>
          <w:shd w:val="clear" w:color="auto" w:fill="FFFFFF"/>
        </w:rPr>
        <w:t>Sengupta</w:t>
      </w:r>
      <w:proofErr w:type="spellEnd"/>
      <w:r w:rsidRPr="00EE12D8">
        <w:rPr>
          <w:rFonts w:asciiTheme="majorBidi" w:hAnsiTheme="majorBidi" w:cstheme="majorBidi"/>
          <w:i/>
          <w:iCs/>
          <w:color w:val="222222"/>
          <w:shd w:val="clear" w:color="auto" w:fill="FFFFFF"/>
        </w:rPr>
        <w:t xml:space="preserve"> and R Sharma (</w:t>
      </w:r>
      <w:proofErr w:type="spellStart"/>
      <w:proofErr w:type="gramStart"/>
      <w:r w:rsidRPr="00EE12D8">
        <w:rPr>
          <w:rFonts w:asciiTheme="majorBidi" w:hAnsiTheme="majorBidi" w:cstheme="majorBidi"/>
          <w:i/>
          <w:iCs/>
          <w:color w:val="222222"/>
          <w:shd w:val="clear" w:color="auto" w:fill="FFFFFF"/>
        </w:rPr>
        <w:t>eds</w:t>
      </w:r>
      <w:proofErr w:type="spellEnd"/>
      <w:proofErr w:type="gramEnd"/>
      <w:r w:rsidRPr="00EE12D8">
        <w:rPr>
          <w:rFonts w:asciiTheme="majorBidi" w:hAnsiTheme="majorBidi" w:cstheme="majorBidi"/>
          <w:i/>
          <w:iCs/>
          <w:color w:val="222222"/>
          <w:shd w:val="clear" w:color="auto" w:fill="FFFFFF"/>
        </w:rPr>
        <w:t>), Appointment of Judges to the Supreme Court of India (OUP 2018)</w:t>
      </w:r>
      <w:r w:rsidRPr="00EE12D8">
        <w:rPr>
          <w:rFonts w:asciiTheme="majorBidi" w:hAnsiTheme="majorBidi" w:cstheme="majorBidi"/>
          <w:color w:val="222222"/>
          <w:shd w:val="clear" w:color="auto" w:fill="FFFFFF"/>
        </w:rPr>
        <w:t>.</w:t>
      </w:r>
    </w:p>
    <w:p w:rsidR="00DD02C8" w:rsidRDefault="00DD02C8" w:rsidP="00EE12D8">
      <w:pPr>
        <w:ind w:left="720" w:hanging="720"/>
        <w:rPr>
          <w:rFonts w:asciiTheme="majorBidi" w:hAnsiTheme="majorBidi" w:cstheme="majorBidi"/>
          <w:color w:val="222222"/>
          <w:shd w:val="clear" w:color="auto" w:fill="FFFFFF"/>
        </w:rPr>
      </w:pPr>
      <w:r w:rsidRPr="00EE12D8">
        <w:rPr>
          <w:rFonts w:asciiTheme="majorBidi" w:hAnsiTheme="majorBidi" w:cstheme="majorBidi"/>
          <w:color w:val="222222"/>
          <w:shd w:val="clear" w:color="auto" w:fill="FFFFFF"/>
        </w:rPr>
        <w:t xml:space="preserve">Daly, P., 2020. </w:t>
      </w:r>
      <w:proofErr w:type="gramStart"/>
      <w:r w:rsidRPr="00EE12D8">
        <w:rPr>
          <w:rFonts w:asciiTheme="majorBidi" w:hAnsiTheme="majorBidi" w:cstheme="majorBidi"/>
          <w:color w:val="222222"/>
          <w:shd w:val="clear" w:color="auto" w:fill="FFFFFF"/>
        </w:rPr>
        <w:t>Judicial Independence and Accountability in the British Constitution.</w:t>
      </w:r>
      <w:proofErr w:type="gramEnd"/>
      <w:r w:rsidRPr="00EE12D8">
        <w:rPr>
          <w:rFonts w:asciiTheme="majorBidi" w:hAnsiTheme="majorBidi" w:cstheme="majorBidi"/>
          <w:color w:val="222222"/>
          <w:shd w:val="clear" w:color="auto" w:fill="FFFFFF"/>
        </w:rPr>
        <w:t xml:space="preserve"> </w:t>
      </w:r>
      <w:proofErr w:type="gramStart"/>
      <w:r w:rsidRPr="00EE12D8">
        <w:rPr>
          <w:rFonts w:asciiTheme="majorBidi" w:hAnsiTheme="majorBidi" w:cstheme="majorBidi"/>
          <w:color w:val="222222"/>
          <w:shd w:val="clear" w:color="auto" w:fill="FFFFFF"/>
        </w:rPr>
        <w:t>In </w:t>
      </w:r>
      <w:r w:rsidRPr="00EE12D8">
        <w:rPr>
          <w:rFonts w:asciiTheme="majorBidi" w:hAnsiTheme="majorBidi" w:cstheme="majorBidi"/>
          <w:i/>
          <w:iCs/>
          <w:color w:val="222222"/>
          <w:shd w:val="clear" w:color="auto" w:fill="FFFFFF"/>
        </w:rPr>
        <w:t>European Yearbook of Constitutional Law 2019</w:t>
      </w:r>
      <w:r w:rsidRPr="00EE12D8">
        <w:rPr>
          <w:rFonts w:asciiTheme="majorBidi" w:hAnsiTheme="majorBidi" w:cstheme="majorBidi"/>
          <w:color w:val="222222"/>
          <w:shd w:val="clear" w:color="auto" w:fill="FFFFFF"/>
        </w:rPr>
        <w:t> (pp. 143-170).</w:t>
      </w:r>
      <w:proofErr w:type="gramEnd"/>
      <w:r w:rsidRPr="00EE12D8">
        <w:rPr>
          <w:rFonts w:asciiTheme="majorBidi" w:hAnsiTheme="majorBidi" w:cstheme="majorBidi"/>
          <w:color w:val="222222"/>
          <w:shd w:val="clear" w:color="auto" w:fill="FFFFFF"/>
        </w:rPr>
        <w:t xml:space="preserve"> TMC Asser Press, The Hague.</w:t>
      </w:r>
    </w:p>
    <w:p w:rsidR="00DD02C8" w:rsidRPr="00EE12D8" w:rsidRDefault="00DD02C8" w:rsidP="00EE12D8">
      <w:pPr>
        <w:ind w:left="720" w:hanging="720"/>
        <w:rPr>
          <w:rFonts w:asciiTheme="majorBidi" w:hAnsiTheme="majorBidi" w:cstheme="majorBidi"/>
          <w:color w:val="222222"/>
          <w:shd w:val="clear" w:color="auto" w:fill="FFFFFF"/>
        </w:rPr>
      </w:pPr>
      <w:proofErr w:type="gramStart"/>
      <w:r w:rsidRPr="00EE12D8">
        <w:rPr>
          <w:rFonts w:asciiTheme="majorBidi" w:hAnsiTheme="majorBidi" w:cstheme="majorBidi"/>
          <w:color w:val="222222"/>
          <w:shd w:val="clear" w:color="auto" w:fill="FFFFFF"/>
        </w:rPr>
        <w:t>Douglas-Scott, S., 2020.</w:t>
      </w:r>
      <w:proofErr w:type="gramEnd"/>
      <w:r w:rsidRPr="00EE12D8">
        <w:rPr>
          <w:rFonts w:asciiTheme="majorBidi" w:hAnsiTheme="majorBidi" w:cstheme="majorBidi"/>
          <w:color w:val="222222"/>
          <w:shd w:val="clear" w:color="auto" w:fill="FFFFFF"/>
        </w:rPr>
        <w:t xml:space="preserve"> The United Kingdom: Lurching toward Illiberal Constitutionalism in 3 Episodes. </w:t>
      </w:r>
      <w:proofErr w:type="gramStart"/>
      <w:r w:rsidRPr="00EE12D8">
        <w:rPr>
          <w:rFonts w:asciiTheme="majorBidi" w:hAnsiTheme="majorBidi" w:cstheme="majorBidi"/>
          <w:i/>
          <w:iCs/>
          <w:color w:val="222222"/>
          <w:shd w:val="clear" w:color="auto" w:fill="FFFFFF"/>
        </w:rPr>
        <w:t>Available at SSRN 3554855</w:t>
      </w:r>
      <w:r w:rsidRPr="00EE12D8">
        <w:rPr>
          <w:rFonts w:asciiTheme="majorBidi" w:hAnsiTheme="majorBidi" w:cstheme="majorBidi"/>
          <w:color w:val="222222"/>
          <w:shd w:val="clear" w:color="auto" w:fill="FFFFFF"/>
        </w:rPr>
        <w:t>.</w:t>
      </w:r>
      <w:proofErr w:type="gramEnd"/>
    </w:p>
    <w:p w:rsidR="00DD02C8" w:rsidRPr="00EE12D8" w:rsidRDefault="00DD02C8" w:rsidP="00EE12D8">
      <w:pPr>
        <w:ind w:left="720" w:hanging="720"/>
        <w:rPr>
          <w:rFonts w:asciiTheme="majorBidi" w:hAnsiTheme="majorBidi" w:cstheme="majorBidi"/>
          <w:color w:val="222222"/>
          <w:shd w:val="clear" w:color="auto" w:fill="FFFFFF"/>
        </w:rPr>
      </w:pPr>
      <w:proofErr w:type="gramStart"/>
      <w:r w:rsidRPr="00EE12D8">
        <w:rPr>
          <w:rFonts w:asciiTheme="majorBidi" w:hAnsiTheme="majorBidi" w:cstheme="majorBidi"/>
          <w:color w:val="222222"/>
          <w:shd w:val="clear" w:color="auto" w:fill="FFFFFF"/>
        </w:rPr>
        <w:t>Gallagher, M., 2017.</w:t>
      </w:r>
      <w:proofErr w:type="gramEnd"/>
      <w:r w:rsidRPr="00EE12D8">
        <w:rPr>
          <w:rFonts w:asciiTheme="majorBidi" w:hAnsiTheme="majorBidi" w:cstheme="majorBidi"/>
          <w:color w:val="222222"/>
          <w:shd w:val="clear" w:color="auto" w:fill="FFFFFF"/>
        </w:rPr>
        <w:t xml:space="preserve"> </w:t>
      </w:r>
      <w:proofErr w:type="gramStart"/>
      <w:r w:rsidRPr="00EE12D8">
        <w:rPr>
          <w:rFonts w:asciiTheme="majorBidi" w:hAnsiTheme="majorBidi" w:cstheme="majorBidi"/>
          <w:color w:val="222222"/>
          <w:shd w:val="clear" w:color="auto" w:fill="FFFFFF"/>
        </w:rPr>
        <w:t>Politics, the constitution and the judiciary.</w:t>
      </w:r>
      <w:proofErr w:type="gramEnd"/>
      <w:r w:rsidRPr="00EE12D8">
        <w:rPr>
          <w:rFonts w:asciiTheme="majorBidi" w:hAnsiTheme="majorBidi" w:cstheme="majorBidi"/>
          <w:color w:val="222222"/>
          <w:shd w:val="clear" w:color="auto" w:fill="FFFFFF"/>
        </w:rPr>
        <w:t xml:space="preserve"> </w:t>
      </w:r>
      <w:proofErr w:type="gramStart"/>
      <w:r w:rsidRPr="00EE12D8">
        <w:rPr>
          <w:rFonts w:asciiTheme="majorBidi" w:hAnsiTheme="majorBidi" w:cstheme="majorBidi"/>
          <w:color w:val="222222"/>
          <w:shd w:val="clear" w:color="auto" w:fill="FFFFFF"/>
        </w:rPr>
        <w:t>In </w:t>
      </w:r>
      <w:r w:rsidRPr="00EE12D8">
        <w:rPr>
          <w:rFonts w:asciiTheme="majorBidi" w:hAnsiTheme="majorBidi" w:cstheme="majorBidi"/>
          <w:i/>
          <w:iCs/>
          <w:color w:val="222222"/>
          <w:shd w:val="clear" w:color="auto" w:fill="FFFFFF"/>
        </w:rPr>
        <w:t>Politics in the Republic of Ireland</w:t>
      </w:r>
      <w:r w:rsidRPr="00EE12D8">
        <w:rPr>
          <w:rFonts w:asciiTheme="majorBidi" w:hAnsiTheme="majorBidi" w:cstheme="majorBidi"/>
          <w:color w:val="222222"/>
          <w:shd w:val="clear" w:color="auto" w:fill="FFFFFF"/>
        </w:rPr>
        <w:t> (pp. 77-106).</w:t>
      </w:r>
      <w:proofErr w:type="gramEnd"/>
      <w:r w:rsidRPr="00EE12D8">
        <w:rPr>
          <w:rFonts w:asciiTheme="majorBidi" w:hAnsiTheme="majorBidi" w:cstheme="majorBidi"/>
          <w:color w:val="222222"/>
          <w:shd w:val="clear" w:color="auto" w:fill="FFFFFF"/>
        </w:rPr>
        <w:t xml:space="preserve"> </w:t>
      </w:r>
      <w:proofErr w:type="gramStart"/>
      <w:r w:rsidRPr="00EE12D8">
        <w:rPr>
          <w:rFonts w:asciiTheme="majorBidi" w:hAnsiTheme="majorBidi" w:cstheme="majorBidi"/>
          <w:color w:val="222222"/>
          <w:shd w:val="clear" w:color="auto" w:fill="FFFFFF"/>
        </w:rPr>
        <w:t>Routledge.</w:t>
      </w:r>
      <w:proofErr w:type="gramEnd"/>
    </w:p>
    <w:p w:rsidR="00DD02C8" w:rsidRPr="00EE12D8" w:rsidRDefault="00DD02C8" w:rsidP="00EE12D8">
      <w:pPr>
        <w:ind w:left="720" w:hanging="720"/>
        <w:rPr>
          <w:rFonts w:asciiTheme="majorBidi" w:hAnsiTheme="majorBidi" w:cstheme="majorBidi"/>
          <w:color w:val="222222"/>
          <w:shd w:val="clear" w:color="auto" w:fill="FFFFFF"/>
        </w:rPr>
      </w:pPr>
      <w:r w:rsidRPr="00EE12D8">
        <w:rPr>
          <w:rFonts w:asciiTheme="majorBidi" w:hAnsiTheme="majorBidi" w:cstheme="majorBidi"/>
          <w:color w:val="222222"/>
          <w:shd w:val="clear" w:color="auto" w:fill="FFFFFF"/>
        </w:rPr>
        <w:t xml:space="preserve">Hope, D., 2016. Judges as guardians of constitutionalism and human rights: the judiciary and counter-terrorism in the United Kingdom. </w:t>
      </w:r>
      <w:proofErr w:type="gramStart"/>
      <w:r w:rsidRPr="00EE12D8">
        <w:rPr>
          <w:rFonts w:asciiTheme="majorBidi" w:hAnsiTheme="majorBidi" w:cstheme="majorBidi"/>
          <w:color w:val="222222"/>
          <w:shd w:val="clear" w:color="auto" w:fill="FFFFFF"/>
        </w:rPr>
        <w:t>In </w:t>
      </w:r>
      <w:r w:rsidRPr="00EE12D8">
        <w:rPr>
          <w:rFonts w:asciiTheme="majorBidi" w:hAnsiTheme="majorBidi" w:cstheme="majorBidi"/>
          <w:i/>
          <w:iCs/>
          <w:color w:val="222222"/>
          <w:shd w:val="clear" w:color="auto" w:fill="FFFFFF"/>
        </w:rPr>
        <w:t>Judges as Guardians of Constitutionalism and Human Rights</w:t>
      </w:r>
      <w:r w:rsidRPr="00EE12D8">
        <w:rPr>
          <w:rFonts w:asciiTheme="majorBidi" w:hAnsiTheme="majorBidi" w:cstheme="majorBidi"/>
          <w:color w:val="222222"/>
          <w:shd w:val="clear" w:color="auto" w:fill="FFFFFF"/>
        </w:rPr>
        <w:t>.</w:t>
      </w:r>
      <w:proofErr w:type="gramEnd"/>
      <w:r w:rsidRPr="00EE12D8">
        <w:rPr>
          <w:rFonts w:asciiTheme="majorBidi" w:hAnsiTheme="majorBidi" w:cstheme="majorBidi"/>
          <w:color w:val="222222"/>
          <w:shd w:val="clear" w:color="auto" w:fill="FFFFFF"/>
        </w:rPr>
        <w:t xml:space="preserve"> </w:t>
      </w:r>
      <w:proofErr w:type="gramStart"/>
      <w:r w:rsidRPr="00EE12D8">
        <w:rPr>
          <w:rFonts w:asciiTheme="majorBidi" w:hAnsiTheme="majorBidi" w:cstheme="majorBidi"/>
          <w:color w:val="222222"/>
          <w:shd w:val="clear" w:color="auto" w:fill="FFFFFF"/>
        </w:rPr>
        <w:t>Edward Elgar Publishing.</w:t>
      </w:r>
      <w:proofErr w:type="gramEnd"/>
    </w:p>
    <w:p w:rsidR="00DD02C8" w:rsidRPr="00EE12D8" w:rsidRDefault="00DD02C8" w:rsidP="00EE12D8">
      <w:pPr>
        <w:ind w:left="720" w:hanging="720"/>
        <w:rPr>
          <w:rFonts w:asciiTheme="majorBidi" w:hAnsiTheme="majorBidi" w:cstheme="majorBidi"/>
          <w:color w:val="222222"/>
          <w:shd w:val="clear" w:color="auto" w:fill="FFFFFF"/>
        </w:rPr>
      </w:pPr>
      <w:r w:rsidRPr="00EE12D8">
        <w:rPr>
          <w:rFonts w:asciiTheme="majorBidi" w:hAnsiTheme="majorBidi" w:cstheme="majorBidi"/>
          <w:color w:val="222222"/>
          <w:shd w:val="clear" w:color="auto" w:fill="FFFFFF"/>
        </w:rPr>
        <w:t>Islam, M.S., 2018. Independent Judiciary: Nature and Facets from the International Context. </w:t>
      </w:r>
      <w:proofErr w:type="gramStart"/>
      <w:r w:rsidRPr="00EE12D8">
        <w:rPr>
          <w:rFonts w:asciiTheme="majorBidi" w:hAnsiTheme="majorBidi" w:cstheme="majorBidi"/>
          <w:i/>
          <w:iCs/>
          <w:color w:val="222222"/>
          <w:shd w:val="clear" w:color="auto" w:fill="FFFFFF"/>
        </w:rPr>
        <w:t>International Journal of Ethics in Social Sciences</w:t>
      </w:r>
      <w:r w:rsidRPr="00EE12D8">
        <w:rPr>
          <w:rFonts w:asciiTheme="majorBidi" w:hAnsiTheme="majorBidi" w:cstheme="majorBidi"/>
          <w:color w:val="222222"/>
          <w:shd w:val="clear" w:color="auto" w:fill="FFFFFF"/>
        </w:rPr>
        <w:t>, </w:t>
      </w:r>
      <w:r w:rsidRPr="00EE12D8">
        <w:rPr>
          <w:rFonts w:asciiTheme="majorBidi" w:hAnsiTheme="majorBidi" w:cstheme="majorBidi"/>
          <w:i/>
          <w:iCs/>
          <w:color w:val="222222"/>
          <w:shd w:val="clear" w:color="auto" w:fill="FFFFFF"/>
        </w:rPr>
        <w:t>6</w:t>
      </w:r>
      <w:r w:rsidRPr="00EE12D8">
        <w:rPr>
          <w:rFonts w:asciiTheme="majorBidi" w:hAnsiTheme="majorBidi" w:cstheme="majorBidi"/>
          <w:color w:val="222222"/>
          <w:shd w:val="clear" w:color="auto" w:fill="FFFFFF"/>
        </w:rPr>
        <w:t>(2).</w:t>
      </w:r>
      <w:proofErr w:type="gramEnd"/>
    </w:p>
    <w:p w:rsidR="00DD02C8" w:rsidRPr="00EE12D8" w:rsidRDefault="00DD02C8" w:rsidP="00DD02C8">
      <w:pPr>
        <w:ind w:left="720" w:hanging="720"/>
        <w:rPr>
          <w:rFonts w:asciiTheme="majorBidi" w:hAnsiTheme="majorBidi" w:cstheme="majorBidi"/>
          <w:color w:val="222222"/>
          <w:shd w:val="clear" w:color="auto" w:fill="FFFFFF"/>
        </w:rPr>
      </w:pPr>
      <w:proofErr w:type="spellStart"/>
      <w:r w:rsidRPr="00EE12D8">
        <w:rPr>
          <w:rFonts w:asciiTheme="majorBidi" w:hAnsiTheme="majorBidi" w:cstheme="majorBidi"/>
          <w:color w:val="222222"/>
          <w:shd w:val="clear" w:color="auto" w:fill="FFFFFF"/>
        </w:rPr>
        <w:t>Kime</w:t>
      </w:r>
      <w:proofErr w:type="spellEnd"/>
      <w:r w:rsidRPr="00EE12D8">
        <w:rPr>
          <w:rFonts w:asciiTheme="majorBidi" w:hAnsiTheme="majorBidi" w:cstheme="majorBidi"/>
          <w:color w:val="222222"/>
          <w:shd w:val="clear" w:color="auto" w:fill="FFFFFF"/>
        </w:rPr>
        <w:t xml:space="preserve">, R. and </w:t>
      </w:r>
      <w:proofErr w:type="spellStart"/>
      <w:r w:rsidRPr="00EE12D8">
        <w:rPr>
          <w:rFonts w:asciiTheme="majorBidi" w:hAnsiTheme="majorBidi" w:cstheme="majorBidi"/>
          <w:color w:val="222222"/>
          <w:shd w:val="clear" w:color="auto" w:fill="FFFFFF"/>
        </w:rPr>
        <w:t>Yacine</w:t>
      </w:r>
      <w:proofErr w:type="spellEnd"/>
      <w:r w:rsidRPr="00EE12D8">
        <w:rPr>
          <w:rFonts w:asciiTheme="majorBidi" w:hAnsiTheme="majorBidi" w:cstheme="majorBidi"/>
          <w:color w:val="222222"/>
          <w:shd w:val="clear" w:color="auto" w:fill="FFFFFF"/>
        </w:rPr>
        <w:t>, L., 2019. </w:t>
      </w:r>
      <w:proofErr w:type="gramStart"/>
      <w:r w:rsidRPr="00EE12D8">
        <w:rPr>
          <w:rFonts w:asciiTheme="majorBidi" w:hAnsiTheme="majorBidi" w:cstheme="majorBidi"/>
          <w:i/>
          <w:iCs/>
          <w:color w:val="222222"/>
          <w:shd w:val="clear" w:color="auto" w:fill="FFFFFF"/>
        </w:rPr>
        <w:t>The Role of Constitutional Reform Act 2005 in Reinforcing the Divisions of Power in the UK</w:t>
      </w:r>
      <w:r w:rsidRPr="00EE12D8">
        <w:rPr>
          <w:rFonts w:asciiTheme="majorBidi" w:hAnsiTheme="majorBidi" w:cstheme="majorBidi"/>
          <w:color w:val="222222"/>
          <w:shd w:val="clear" w:color="auto" w:fill="FFFFFF"/>
        </w:rPr>
        <w:t xml:space="preserve"> (Doctoral dissertation, </w:t>
      </w:r>
      <w:r w:rsidRPr="00EE12D8">
        <w:rPr>
          <w:rFonts w:asciiTheme="majorBidi" w:hAnsiTheme="majorBidi" w:cstheme="majorBidi"/>
          <w:color w:val="222222"/>
          <w:shd w:val="clear" w:color="auto" w:fill="FFFFFF"/>
          <w:rtl/>
        </w:rPr>
        <w:t>جامعة الوادي</w:t>
      </w:r>
      <w:r w:rsidRPr="00EE12D8">
        <w:rPr>
          <w:rFonts w:asciiTheme="majorBidi" w:hAnsiTheme="majorBidi" w:cstheme="majorBidi"/>
          <w:color w:val="222222"/>
          <w:shd w:val="clear" w:color="auto" w:fill="FFFFFF"/>
        </w:rPr>
        <w:t xml:space="preserve"> University of </w:t>
      </w:r>
      <w:proofErr w:type="spellStart"/>
      <w:r w:rsidRPr="00EE12D8">
        <w:rPr>
          <w:rFonts w:asciiTheme="majorBidi" w:hAnsiTheme="majorBidi" w:cstheme="majorBidi"/>
          <w:color w:val="222222"/>
          <w:shd w:val="clear" w:color="auto" w:fill="FFFFFF"/>
        </w:rPr>
        <w:t>Eloued</w:t>
      </w:r>
      <w:proofErr w:type="spellEnd"/>
      <w:r w:rsidRPr="00EE12D8">
        <w:rPr>
          <w:rFonts w:asciiTheme="majorBidi" w:hAnsiTheme="majorBidi" w:cstheme="majorBidi"/>
          <w:color w:val="222222"/>
          <w:shd w:val="clear" w:color="auto" w:fill="FFFFFF"/>
        </w:rPr>
        <w:t>).</w:t>
      </w:r>
      <w:proofErr w:type="gramEnd"/>
    </w:p>
    <w:p w:rsidR="00DD02C8" w:rsidRPr="00EE12D8" w:rsidRDefault="00DD02C8" w:rsidP="00EE12D8">
      <w:pPr>
        <w:ind w:left="720" w:hanging="720"/>
        <w:rPr>
          <w:rFonts w:asciiTheme="majorBidi" w:hAnsiTheme="majorBidi" w:cstheme="majorBidi"/>
          <w:color w:val="222222"/>
          <w:shd w:val="clear" w:color="auto" w:fill="FFFFFF"/>
        </w:rPr>
      </w:pPr>
      <w:proofErr w:type="gramStart"/>
      <w:r w:rsidRPr="00EE12D8">
        <w:rPr>
          <w:rFonts w:asciiTheme="majorBidi" w:hAnsiTheme="majorBidi" w:cstheme="majorBidi"/>
          <w:color w:val="222222"/>
          <w:shd w:val="clear" w:color="auto" w:fill="FFFFFF"/>
        </w:rPr>
        <w:t xml:space="preserve">Masood, A.S. and </w:t>
      </w:r>
      <w:proofErr w:type="spellStart"/>
      <w:r w:rsidRPr="00EE12D8">
        <w:rPr>
          <w:rFonts w:asciiTheme="majorBidi" w:hAnsiTheme="majorBidi" w:cstheme="majorBidi"/>
          <w:color w:val="222222"/>
          <w:shd w:val="clear" w:color="auto" w:fill="FFFFFF"/>
        </w:rPr>
        <w:t>Lineberger</w:t>
      </w:r>
      <w:proofErr w:type="spellEnd"/>
      <w:r w:rsidRPr="00EE12D8">
        <w:rPr>
          <w:rFonts w:asciiTheme="majorBidi" w:hAnsiTheme="majorBidi" w:cstheme="majorBidi"/>
          <w:color w:val="222222"/>
          <w:shd w:val="clear" w:color="auto" w:fill="FFFFFF"/>
        </w:rPr>
        <w:t>, M.E., 2020.</w:t>
      </w:r>
      <w:proofErr w:type="gramEnd"/>
      <w:r w:rsidRPr="00EE12D8">
        <w:rPr>
          <w:rFonts w:asciiTheme="majorBidi" w:hAnsiTheme="majorBidi" w:cstheme="majorBidi"/>
          <w:color w:val="222222"/>
          <w:shd w:val="clear" w:color="auto" w:fill="FFFFFF"/>
        </w:rPr>
        <w:t xml:space="preserve"> United Kingdom, United Courts? </w:t>
      </w:r>
      <w:proofErr w:type="gramStart"/>
      <w:r w:rsidRPr="00EE12D8">
        <w:rPr>
          <w:rFonts w:asciiTheme="majorBidi" w:hAnsiTheme="majorBidi" w:cstheme="majorBidi"/>
          <w:color w:val="222222"/>
          <w:shd w:val="clear" w:color="auto" w:fill="FFFFFF"/>
        </w:rPr>
        <w:t>Hierarchical Interactions and Attention to Precedent in the British Judiciary.</w:t>
      </w:r>
      <w:proofErr w:type="gramEnd"/>
      <w:r w:rsidRPr="00EE12D8">
        <w:rPr>
          <w:rFonts w:asciiTheme="majorBidi" w:hAnsiTheme="majorBidi" w:cstheme="majorBidi"/>
          <w:color w:val="222222"/>
          <w:shd w:val="clear" w:color="auto" w:fill="FFFFFF"/>
        </w:rPr>
        <w:t> </w:t>
      </w:r>
      <w:proofErr w:type="gramStart"/>
      <w:r w:rsidRPr="00EE12D8">
        <w:rPr>
          <w:rFonts w:asciiTheme="majorBidi" w:hAnsiTheme="majorBidi" w:cstheme="majorBidi"/>
          <w:i/>
          <w:iCs/>
          <w:color w:val="222222"/>
          <w:shd w:val="clear" w:color="auto" w:fill="FFFFFF"/>
        </w:rPr>
        <w:t>Political Research Quarterly</w:t>
      </w:r>
      <w:r w:rsidRPr="00EE12D8">
        <w:rPr>
          <w:rFonts w:asciiTheme="majorBidi" w:hAnsiTheme="majorBidi" w:cstheme="majorBidi"/>
          <w:color w:val="222222"/>
          <w:shd w:val="clear" w:color="auto" w:fill="FFFFFF"/>
        </w:rPr>
        <w:t>, </w:t>
      </w:r>
      <w:r w:rsidRPr="00EE12D8">
        <w:rPr>
          <w:rFonts w:asciiTheme="majorBidi" w:hAnsiTheme="majorBidi" w:cstheme="majorBidi"/>
          <w:i/>
          <w:iCs/>
          <w:color w:val="222222"/>
          <w:shd w:val="clear" w:color="auto" w:fill="FFFFFF"/>
        </w:rPr>
        <w:t>73</w:t>
      </w:r>
      <w:r w:rsidRPr="00EE12D8">
        <w:rPr>
          <w:rFonts w:asciiTheme="majorBidi" w:hAnsiTheme="majorBidi" w:cstheme="majorBidi"/>
          <w:color w:val="222222"/>
          <w:shd w:val="clear" w:color="auto" w:fill="FFFFFF"/>
        </w:rPr>
        <w:t>(3), pp.714-726.</w:t>
      </w:r>
      <w:proofErr w:type="gramEnd"/>
    </w:p>
    <w:p w:rsidR="00DD02C8" w:rsidRPr="00EE12D8" w:rsidRDefault="00DD02C8" w:rsidP="00DD02C8">
      <w:pPr>
        <w:ind w:left="720" w:hanging="720"/>
        <w:rPr>
          <w:rFonts w:asciiTheme="majorBidi" w:hAnsiTheme="majorBidi" w:cstheme="majorBidi"/>
          <w:color w:val="222222"/>
          <w:shd w:val="clear" w:color="auto" w:fill="FFFFFF"/>
        </w:rPr>
      </w:pPr>
      <w:proofErr w:type="spellStart"/>
      <w:r w:rsidRPr="00EE12D8">
        <w:rPr>
          <w:rFonts w:asciiTheme="majorBidi" w:hAnsiTheme="majorBidi" w:cstheme="majorBidi"/>
          <w:color w:val="222222"/>
          <w:shd w:val="clear" w:color="auto" w:fill="FFFFFF"/>
        </w:rPr>
        <w:lastRenderedPageBreak/>
        <w:t>Masterman</w:t>
      </w:r>
      <w:proofErr w:type="spellEnd"/>
      <w:r w:rsidRPr="00EE12D8">
        <w:rPr>
          <w:rFonts w:asciiTheme="majorBidi" w:hAnsiTheme="majorBidi" w:cstheme="majorBidi"/>
          <w:color w:val="222222"/>
          <w:shd w:val="clear" w:color="auto" w:fill="FFFFFF"/>
        </w:rPr>
        <w:t xml:space="preserve">, R. and </w:t>
      </w:r>
      <w:proofErr w:type="spellStart"/>
      <w:r w:rsidRPr="00EE12D8">
        <w:rPr>
          <w:rFonts w:asciiTheme="majorBidi" w:hAnsiTheme="majorBidi" w:cstheme="majorBidi"/>
          <w:color w:val="222222"/>
          <w:shd w:val="clear" w:color="auto" w:fill="FFFFFF"/>
        </w:rPr>
        <w:t>Wheatle</w:t>
      </w:r>
      <w:proofErr w:type="spellEnd"/>
      <w:r w:rsidRPr="00EE12D8">
        <w:rPr>
          <w:rFonts w:asciiTheme="majorBidi" w:hAnsiTheme="majorBidi" w:cstheme="majorBidi"/>
          <w:color w:val="222222"/>
          <w:shd w:val="clear" w:color="auto" w:fill="FFFFFF"/>
        </w:rPr>
        <w:t>, S.S., 2017. Unpacking separation of powers: judicial independence, sovereignty and conceptual flexibility in the UK constitution. </w:t>
      </w:r>
      <w:proofErr w:type="gramStart"/>
      <w:r w:rsidRPr="00EE12D8">
        <w:rPr>
          <w:rFonts w:asciiTheme="majorBidi" w:hAnsiTheme="majorBidi" w:cstheme="majorBidi"/>
          <w:i/>
          <w:iCs/>
          <w:color w:val="222222"/>
          <w:shd w:val="clear" w:color="auto" w:fill="FFFFFF"/>
        </w:rPr>
        <w:t>Public law.</w:t>
      </w:r>
      <w:r w:rsidRPr="00EE12D8">
        <w:rPr>
          <w:rFonts w:asciiTheme="majorBidi" w:hAnsiTheme="majorBidi" w:cstheme="majorBidi"/>
          <w:color w:val="222222"/>
          <w:shd w:val="clear" w:color="auto" w:fill="FFFFFF"/>
        </w:rPr>
        <w:t>, </w:t>
      </w:r>
      <w:r w:rsidRPr="00EE12D8">
        <w:rPr>
          <w:rFonts w:asciiTheme="majorBidi" w:hAnsiTheme="majorBidi" w:cstheme="majorBidi"/>
          <w:i/>
          <w:iCs/>
          <w:color w:val="222222"/>
          <w:shd w:val="clear" w:color="auto" w:fill="FFFFFF"/>
        </w:rPr>
        <w:t>2017</w:t>
      </w:r>
      <w:r w:rsidRPr="00EE12D8">
        <w:rPr>
          <w:rFonts w:asciiTheme="majorBidi" w:hAnsiTheme="majorBidi" w:cstheme="majorBidi"/>
          <w:color w:val="222222"/>
          <w:shd w:val="clear" w:color="auto" w:fill="FFFFFF"/>
        </w:rPr>
        <w:t>(Jul), pp.469-487.</w:t>
      </w:r>
      <w:proofErr w:type="gramEnd"/>
    </w:p>
    <w:p w:rsidR="00DD02C8" w:rsidRPr="00EE12D8" w:rsidRDefault="00DD02C8" w:rsidP="00DD02C8">
      <w:pPr>
        <w:ind w:left="720" w:hanging="720"/>
        <w:rPr>
          <w:rFonts w:asciiTheme="majorBidi" w:hAnsiTheme="majorBidi" w:cstheme="majorBidi"/>
          <w:color w:val="222222"/>
          <w:shd w:val="clear" w:color="auto" w:fill="FFFFFF"/>
        </w:rPr>
      </w:pPr>
      <w:proofErr w:type="gramStart"/>
      <w:r w:rsidRPr="00EE12D8">
        <w:rPr>
          <w:rFonts w:asciiTheme="majorBidi" w:hAnsiTheme="majorBidi" w:cstheme="majorBidi"/>
          <w:color w:val="222222"/>
          <w:shd w:val="clear" w:color="auto" w:fill="FFFFFF"/>
        </w:rPr>
        <w:t xml:space="preserve">Neudorf, L., </w:t>
      </w:r>
      <w:proofErr w:type="spellStart"/>
      <w:r w:rsidRPr="00EE12D8">
        <w:rPr>
          <w:rFonts w:asciiTheme="majorBidi" w:hAnsiTheme="majorBidi" w:cstheme="majorBidi"/>
          <w:color w:val="222222"/>
          <w:shd w:val="clear" w:color="auto" w:fill="FFFFFF"/>
        </w:rPr>
        <w:t>Neudorf</w:t>
      </w:r>
      <w:proofErr w:type="spellEnd"/>
      <w:r w:rsidRPr="00EE12D8">
        <w:rPr>
          <w:rFonts w:asciiTheme="majorBidi" w:hAnsiTheme="majorBidi" w:cstheme="majorBidi"/>
          <w:color w:val="222222"/>
          <w:shd w:val="clear" w:color="auto" w:fill="FFFFFF"/>
        </w:rPr>
        <w:t xml:space="preserve"> and </w:t>
      </w:r>
      <w:proofErr w:type="spellStart"/>
      <w:r w:rsidRPr="00EE12D8">
        <w:rPr>
          <w:rFonts w:asciiTheme="majorBidi" w:hAnsiTheme="majorBidi" w:cstheme="majorBidi"/>
          <w:color w:val="222222"/>
          <w:shd w:val="clear" w:color="auto" w:fill="FFFFFF"/>
        </w:rPr>
        <w:t>Seyfried</w:t>
      </w:r>
      <w:proofErr w:type="spellEnd"/>
      <w:r w:rsidRPr="00EE12D8">
        <w:rPr>
          <w:rFonts w:asciiTheme="majorBidi" w:hAnsiTheme="majorBidi" w:cstheme="majorBidi"/>
          <w:color w:val="222222"/>
          <w:shd w:val="clear" w:color="auto" w:fill="FFFFFF"/>
        </w:rPr>
        <w:t>, 2017.</w:t>
      </w:r>
      <w:proofErr w:type="gramEnd"/>
      <w:r w:rsidRPr="00EE12D8">
        <w:rPr>
          <w:rFonts w:asciiTheme="majorBidi" w:hAnsiTheme="majorBidi" w:cstheme="majorBidi"/>
          <w:color w:val="222222"/>
          <w:shd w:val="clear" w:color="auto" w:fill="FFFFFF"/>
        </w:rPr>
        <w:t> </w:t>
      </w:r>
      <w:proofErr w:type="gramStart"/>
      <w:r w:rsidRPr="00EE12D8">
        <w:rPr>
          <w:rFonts w:asciiTheme="majorBidi" w:hAnsiTheme="majorBidi" w:cstheme="majorBidi"/>
          <w:i/>
          <w:iCs/>
          <w:color w:val="222222"/>
          <w:shd w:val="clear" w:color="auto" w:fill="FFFFFF"/>
        </w:rPr>
        <w:t>Dynamics of Judicial Independence</w:t>
      </w:r>
      <w:r w:rsidRPr="00EE12D8">
        <w:rPr>
          <w:rFonts w:asciiTheme="majorBidi" w:hAnsiTheme="majorBidi" w:cstheme="majorBidi"/>
          <w:color w:val="222222"/>
          <w:shd w:val="clear" w:color="auto" w:fill="FFFFFF"/>
        </w:rPr>
        <w:t>.</w:t>
      </w:r>
      <w:proofErr w:type="gramEnd"/>
      <w:r w:rsidRPr="00EE12D8">
        <w:rPr>
          <w:rFonts w:asciiTheme="majorBidi" w:hAnsiTheme="majorBidi" w:cstheme="majorBidi"/>
          <w:color w:val="222222"/>
          <w:shd w:val="clear" w:color="auto" w:fill="FFFFFF"/>
        </w:rPr>
        <w:t xml:space="preserve"> </w:t>
      </w:r>
      <w:proofErr w:type="gramStart"/>
      <w:r w:rsidRPr="00EE12D8">
        <w:rPr>
          <w:rFonts w:asciiTheme="majorBidi" w:hAnsiTheme="majorBidi" w:cstheme="majorBidi"/>
          <w:color w:val="222222"/>
          <w:shd w:val="clear" w:color="auto" w:fill="FFFFFF"/>
        </w:rPr>
        <w:t>Springer.</w:t>
      </w:r>
      <w:proofErr w:type="gramEnd"/>
    </w:p>
    <w:p w:rsidR="00DD02C8" w:rsidRPr="00DD02C8" w:rsidRDefault="00DD02C8" w:rsidP="00DD02C8">
      <w:pPr>
        <w:ind w:left="720" w:hanging="720"/>
        <w:rPr>
          <w:rFonts w:asciiTheme="majorBidi" w:hAnsiTheme="majorBidi" w:cstheme="majorBidi"/>
          <w:color w:val="222222"/>
          <w:shd w:val="clear" w:color="auto" w:fill="FFFFFF"/>
        </w:rPr>
      </w:pPr>
      <w:proofErr w:type="spellStart"/>
      <w:r w:rsidRPr="00DD02C8">
        <w:rPr>
          <w:rFonts w:asciiTheme="majorBidi" w:hAnsiTheme="majorBidi" w:cstheme="majorBidi"/>
          <w:color w:val="222222"/>
          <w:shd w:val="clear" w:color="auto" w:fill="FFFFFF"/>
        </w:rPr>
        <w:t>Tridimas</w:t>
      </w:r>
      <w:proofErr w:type="spellEnd"/>
      <w:r w:rsidRPr="00DD02C8">
        <w:rPr>
          <w:rFonts w:asciiTheme="majorBidi" w:hAnsiTheme="majorBidi" w:cstheme="majorBidi"/>
          <w:color w:val="222222"/>
          <w:shd w:val="clear" w:color="auto" w:fill="FFFFFF"/>
        </w:rPr>
        <w:t xml:space="preserve">, G. and </w:t>
      </w:r>
      <w:proofErr w:type="spellStart"/>
      <w:r w:rsidRPr="00DD02C8">
        <w:rPr>
          <w:rFonts w:asciiTheme="majorBidi" w:hAnsiTheme="majorBidi" w:cstheme="majorBidi"/>
          <w:color w:val="222222"/>
          <w:shd w:val="clear" w:color="auto" w:fill="FFFFFF"/>
        </w:rPr>
        <w:t>Tridimas</w:t>
      </w:r>
      <w:proofErr w:type="spellEnd"/>
      <w:r w:rsidRPr="00DD02C8">
        <w:rPr>
          <w:rFonts w:asciiTheme="majorBidi" w:hAnsiTheme="majorBidi" w:cstheme="majorBidi"/>
          <w:color w:val="222222"/>
          <w:shd w:val="clear" w:color="auto" w:fill="FFFFFF"/>
        </w:rPr>
        <w:t>, C.P., 2020. Is the UK Supreme Court rogue to un-prorogue Parliament</w:t>
      </w:r>
      <w:proofErr w:type="gramStart"/>
      <w:r w:rsidRPr="00DD02C8">
        <w:rPr>
          <w:rFonts w:asciiTheme="majorBidi" w:hAnsiTheme="majorBidi" w:cstheme="majorBidi"/>
          <w:color w:val="222222"/>
          <w:shd w:val="clear" w:color="auto" w:fill="FFFFFF"/>
        </w:rPr>
        <w:t>?.</w:t>
      </w:r>
      <w:proofErr w:type="gramEnd"/>
      <w:r w:rsidRPr="00DD02C8">
        <w:rPr>
          <w:rFonts w:asciiTheme="majorBidi" w:hAnsiTheme="majorBidi" w:cstheme="majorBidi"/>
          <w:color w:val="222222"/>
          <w:shd w:val="clear" w:color="auto" w:fill="FFFFFF"/>
        </w:rPr>
        <w:t> </w:t>
      </w:r>
      <w:proofErr w:type="gramStart"/>
      <w:r w:rsidRPr="00DD02C8">
        <w:rPr>
          <w:rFonts w:asciiTheme="majorBidi" w:hAnsiTheme="majorBidi" w:cstheme="majorBidi"/>
          <w:i/>
          <w:iCs/>
          <w:color w:val="222222"/>
          <w:shd w:val="clear" w:color="auto" w:fill="FFFFFF"/>
        </w:rPr>
        <w:t>European Journal of Law and Economics</w:t>
      </w:r>
      <w:r w:rsidRPr="00DD02C8">
        <w:rPr>
          <w:rFonts w:asciiTheme="majorBidi" w:hAnsiTheme="majorBidi" w:cstheme="majorBidi"/>
          <w:color w:val="222222"/>
          <w:shd w:val="clear" w:color="auto" w:fill="FFFFFF"/>
        </w:rPr>
        <w:t>, </w:t>
      </w:r>
      <w:r w:rsidRPr="00DD02C8">
        <w:rPr>
          <w:rFonts w:asciiTheme="majorBidi" w:hAnsiTheme="majorBidi" w:cstheme="majorBidi"/>
          <w:i/>
          <w:iCs/>
          <w:color w:val="222222"/>
          <w:shd w:val="clear" w:color="auto" w:fill="FFFFFF"/>
        </w:rPr>
        <w:t>49</w:t>
      </w:r>
      <w:r w:rsidRPr="00DD02C8">
        <w:rPr>
          <w:rFonts w:asciiTheme="majorBidi" w:hAnsiTheme="majorBidi" w:cstheme="majorBidi"/>
          <w:color w:val="222222"/>
          <w:shd w:val="clear" w:color="auto" w:fill="FFFFFF"/>
        </w:rPr>
        <w:t>(2), pp.205-225.</w:t>
      </w:r>
      <w:proofErr w:type="gramEnd"/>
    </w:p>
    <w:p w:rsidR="00DD02C8" w:rsidRPr="00DD02C8" w:rsidRDefault="00DD02C8" w:rsidP="00DD02C8">
      <w:pPr>
        <w:ind w:left="720" w:hanging="720"/>
        <w:rPr>
          <w:rFonts w:asciiTheme="majorBidi" w:hAnsiTheme="majorBidi" w:cstheme="majorBidi"/>
          <w:sz w:val="40"/>
          <w:szCs w:val="40"/>
        </w:rPr>
      </w:pPr>
      <w:proofErr w:type="spellStart"/>
      <w:r w:rsidRPr="00DD02C8">
        <w:rPr>
          <w:rFonts w:asciiTheme="majorBidi" w:hAnsiTheme="majorBidi" w:cstheme="majorBidi"/>
          <w:color w:val="222222"/>
          <w:shd w:val="clear" w:color="auto" w:fill="FFFFFF"/>
        </w:rPr>
        <w:t>Tsebelis</w:t>
      </w:r>
      <w:proofErr w:type="spellEnd"/>
      <w:r w:rsidRPr="00DD02C8">
        <w:rPr>
          <w:rFonts w:asciiTheme="majorBidi" w:hAnsiTheme="majorBidi" w:cstheme="majorBidi"/>
          <w:color w:val="222222"/>
          <w:shd w:val="clear" w:color="auto" w:fill="FFFFFF"/>
        </w:rPr>
        <w:t>, G., 2020. Constitutional Rigidity Matters: A Veto Players Approach. </w:t>
      </w:r>
      <w:proofErr w:type="gramStart"/>
      <w:r w:rsidRPr="00DD02C8">
        <w:rPr>
          <w:rFonts w:asciiTheme="majorBidi" w:hAnsiTheme="majorBidi" w:cstheme="majorBidi"/>
          <w:i/>
          <w:iCs/>
          <w:color w:val="222222"/>
          <w:shd w:val="clear" w:color="auto" w:fill="FFFFFF"/>
        </w:rPr>
        <w:t>British Journal of Political Science</w:t>
      </w:r>
      <w:r w:rsidRPr="00DD02C8">
        <w:rPr>
          <w:rFonts w:asciiTheme="majorBidi" w:hAnsiTheme="majorBidi" w:cstheme="majorBidi"/>
          <w:color w:val="222222"/>
          <w:shd w:val="clear" w:color="auto" w:fill="FFFFFF"/>
        </w:rPr>
        <w:t>.</w:t>
      </w:r>
      <w:proofErr w:type="gramEnd"/>
    </w:p>
    <w:p w:rsidR="009A75B0" w:rsidRPr="009A75B0" w:rsidRDefault="009A75B0" w:rsidP="009A75B0"/>
    <w:sectPr w:rsidR="009A75B0" w:rsidRPr="009A75B0" w:rsidSect="00D958E4">
      <w:headerReference w:type="default" r:id="rId8"/>
      <w:footerReference w:type="default" r:id="rId9"/>
      <w:headerReference w:type="first" r:id="rId10"/>
      <w:pgSz w:w="12240" w:h="15840" w:code="1"/>
      <w:pgMar w:top="1440" w:right="1440" w:bottom="1440" w:left="1440" w:header="720" w:footer="720" w:gutter="0"/>
      <w:cols w:space="720"/>
      <w:titlePg/>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62C1CB8" w15:done="0"/>
  <w15:commentEx w15:paraId="2A7B94C4" w15:done="0"/>
  <w15:commentEx w15:paraId="05E746B0" w15:done="0"/>
  <w15:commentEx w15:paraId="6BF601A7" w15:done="0"/>
  <w15:commentEx w15:paraId="345F2ECF" w15:done="0"/>
  <w15:commentEx w15:paraId="4F33E9CF" w15:done="0"/>
  <w15:commentEx w15:paraId="10DDE2FC" w15:done="0"/>
  <w15:commentEx w15:paraId="59BD4CD3" w15:done="0"/>
  <w15:commentEx w15:paraId="0E19CFAB" w15:done="0"/>
  <w15:commentEx w15:paraId="26AE6B71" w15:done="0"/>
  <w15:commentEx w15:paraId="093AAA61" w15:done="0"/>
  <w15:commentEx w15:paraId="07683606" w15:done="0"/>
  <w15:commentEx w15:paraId="689BC0D6" w15:done="0"/>
  <w15:commentEx w15:paraId="40FD8006" w15:done="0"/>
  <w15:commentEx w15:paraId="640F2751" w15:done="0"/>
  <w15:commentEx w15:paraId="343008CE" w15:done="0"/>
  <w15:commentEx w15:paraId="5B442B12" w15:done="0"/>
  <w15:commentEx w15:paraId="1CD9B02B" w15:done="0"/>
  <w15:commentEx w15:paraId="3E6A6145" w15:done="0"/>
</w15:commentsEx>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63D17" w:rsidRDefault="00863D17" w:rsidP="00642C34">
      <w:r>
        <w:separator/>
      </w:r>
    </w:p>
  </w:endnote>
  <w:endnote w:type="continuationSeparator" w:id="0">
    <w:p w:rsidR="00863D17" w:rsidRDefault="00863D17" w:rsidP="00642C34">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02B0" w:rsidRDefault="00C202B0" w:rsidP="00642C34">
    <w:pPr>
      <w:pStyle w:val="Piedepgina"/>
    </w:pPr>
  </w:p>
  <w:p w:rsidR="00C202B0" w:rsidRDefault="00C202B0" w:rsidP="00642C34">
    <w:pPr>
      <w:pStyle w:val="Piedepgin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63D17" w:rsidRDefault="00863D17" w:rsidP="00642C34">
      <w:r>
        <w:separator/>
      </w:r>
    </w:p>
  </w:footnote>
  <w:footnote w:type="continuationSeparator" w:id="0">
    <w:p w:rsidR="00863D17" w:rsidRDefault="00863D17" w:rsidP="00642C34">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02B0" w:rsidRPr="00C202B0" w:rsidRDefault="00056B3A" w:rsidP="00A1182F">
    <w:pPr>
      <w:ind w:left="720" w:firstLine="0"/>
    </w:pPr>
    <w:r>
      <w:t xml:space="preserve">   </w:t>
    </w:r>
    <w:r w:rsidR="00EF708D">
      <w:t xml:space="preserve">                                                      </w:t>
    </w:r>
    <w:r w:rsidR="008F5FB9">
      <w:t xml:space="preserve">                             </w:t>
    </w:r>
    <w:r w:rsidR="00AA0E4C">
      <w:tab/>
    </w:r>
    <w:r w:rsidR="00AA0E4C">
      <w:tab/>
    </w:r>
    <w:r w:rsidR="00AA0E4C">
      <w:tab/>
      <w:t xml:space="preserve">      </w:t>
    </w:r>
    <w:r w:rsidR="00A1182F">
      <w:t>Law</w:t>
    </w:r>
    <w:r w:rsidR="00AA0E4C">
      <w:t xml:space="preserve"> </w:t>
    </w:r>
    <w:r w:rsidR="00041893" w:rsidRPr="00C202B0">
      <w:fldChar w:fldCharType="begin"/>
    </w:r>
    <w:r w:rsidR="00C202B0" w:rsidRPr="00C202B0">
      <w:instrText xml:space="preserve"> PAGE   \* MERGEFORMAT </w:instrText>
    </w:r>
    <w:r w:rsidR="00041893" w:rsidRPr="00C202B0">
      <w:fldChar w:fldCharType="separate"/>
    </w:r>
    <w:r w:rsidR="00567B8E">
      <w:rPr>
        <w:noProof/>
      </w:rPr>
      <w:t>2</w:t>
    </w:r>
    <w:r w:rsidR="00041893" w:rsidRPr="00C202B0">
      <w:rPr>
        <w:noProof/>
      </w:rPr>
      <w:fldChar w:fldCharType="end"/>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02B0" w:rsidRDefault="00205061" w:rsidP="00A1182F">
    <w:pPr>
      <w:pStyle w:val="Encabezado"/>
      <w:ind w:firstLine="0"/>
      <w:jc w:val="right"/>
    </w:pPr>
    <w:r>
      <w:tab/>
      <w:t xml:space="preserve">                                                                                           </w:t>
    </w:r>
    <w:r w:rsidR="00A1182F">
      <w:t xml:space="preserve">Law </w:t>
    </w:r>
    <w:r w:rsidR="00041893" w:rsidRPr="009C72E4">
      <w:fldChar w:fldCharType="begin"/>
    </w:r>
    <w:r w:rsidR="009C72E4" w:rsidRPr="009C72E4">
      <w:instrText xml:space="preserve"> PAGE   \* MERGEFORMAT </w:instrText>
    </w:r>
    <w:r w:rsidR="00041893" w:rsidRPr="009C72E4">
      <w:fldChar w:fldCharType="separate"/>
    </w:r>
    <w:r w:rsidR="00567B8E">
      <w:rPr>
        <w:noProof/>
      </w:rPr>
      <w:t>1</w:t>
    </w:r>
    <w:r w:rsidR="00041893" w:rsidRPr="009C72E4">
      <w:rPr>
        <w:noProof/>
      </w:rPr>
      <w:fldChar w:fldCharType="end"/>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7C18F4"/>
    <w:multiLevelType w:val="hybridMultilevel"/>
    <w:tmpl w:val="875C5512"/>
    <w:lvl w:ilvl="0" w:tplc="F9B64C60">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14553DB4"/>
    <w:multiLevelType w:val="hybridMultilevel"/>
    <w:tmpl w:val="E38C0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4761E7E"/>
    <w:multiLevelType w:val="hybridMultilevel"/>
    <w:tmpl w:val="58C6FA22"/>
    <w:lvl w:ilvl="0" w:tplc="B9C657F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15631C22"/>
    <w:multiLevelType w:val="hybridMultilevel"/>
    <w:tmpl w:val="00C496C2"/>
    <w:lvl w:ilvl="0" w:tplc="72B63358">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2DEF5AA5"/>
    <w:multiLevelType w:val="hybridMultilevel"/>
    <w:tmpl w:val="9554292C"/>
    <w:lvl w:ilvl="0" w:tplc="4E7A276A">
      <w:start w:val="1"/>
      <w:numFmt w:val="decimal"/>
      <w:lvlText w:val="%1."/>
      <w:lvlJc w:val="left"/>
      <w:pPr>
        <w:ind w:left="1080" w:hanging="360"/>
      </w:pPr>
      <w:rPr>
        <w:rFonts w:ascii="Segoe UI Symbol" w:hAnsi="Segoe UI Symbol" w:cs="Segoe UI 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36B86A8E"/>
    <w:multiLevelType w:val="hybridMultilevel"/>
    <w:tmpl w:val="35E85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A756369"/>
    <w:multiLevelType w:val="hybridMultilevel"/>
    <w:tmpl w:val="2D06B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B6434FA"/>
    <w:multiLevelType w:val="hybridMultilevel"/>
    <w:tmpl w:val="0302C3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FB70A71"/>
    <w:multiLevelType w:val="multilevel"/>
    <w:tmpl w:val="93B85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21E000C"/>
    <w:multiLevelType w:val="hybridMultilevel"/>
    <w:tmpl w:val="3A5891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32319B3"/>
    <w:multiLevelType w:val="hybridMultilevel"/>
    <w:tmpl w:val="52841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3CB5D2F"/>
    <w:multiLevelType w:val="hybridMultilevel"/>
    <w:tmpl w:val="48041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6B80FEC"/>
    <w:multiLevelType w:val="hybridMultilevel"/>
    <w:tmpl w:val="EE98D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78673AA"/>
    <w:multiLevelType w:val="hybridMultilevel"/>
    <w:tmpl w:val="19120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CBD0CF4"/>
    <w:multiLevelType w:val="hybridMultilevel"/>
    <w:tmpl w:val="CCB03480"/>
    <w:lvl w:ilvl="0" w:tplc="9B06A3E2">
      <w:start w:val="1"/>
      <w:numFmt w:val="decimal"/>
      <w:lvlText w:val="%1."/>
      <w:lvlJc w:val="left"/>
      <w:pPr>
        <w:ind w:left="360" w:hanging="360"/>
      </w:pPr>
      <w:rPr>
        <w:rFonts w:ascii="Times New Roman" w:eastAsiaTheme="minorHAnsi" w:hAnsi="Times New Roman" w:cs="Times New Roman"/>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73A7211B"/>
    <w:multiLevelType w:val="hybridMultilevel"/>
    <w:tmpl w:val="A5A4F42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96749BD"/>
    <w:multiLevelType w:val="multilevel"/>
    <w:tmpl w:val="37EE0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A7E0077"/>
    <w:multiLevelType w:val="hybridMultilevel"/>
    <w:tmpl w:val="9D6A7298"/>
    <w:lvl w:ilvl="0" w:tplc="B1E067F4">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nsid w:val="7BA53974"/>
    <w:multiLevelType w:val="hybridMultilevel"/>
    <w:tmpl w:val="C6D46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BA95FAA"/>
    <w:multiLevelType w:val="multilevel"/>
    <w:tmpl w:val="670A74DA"/>
    <w:lvl w:ilvl="0">
      <w:start w:val="1"/>
      <w:numFmt w:val="decimal"/>
      <w:pStyle w:val="Ttulo1"/>
      <w:lvlText w:val="%1."/>
      <w:lvlJc w:val="left"/>
      <w:pPr>
        <w:ind w:left="360" w:hanging="360"/>
      </w:pPr>
      <w:rPr>
        <w:rFonts w:hint="default"/>
      </w:rPr>
    </w:lvl>
    <w:lvl w:ilvl="1">
      <w:start w:val="1"/>
      <w:numFmt w:val="decimal"/>
      <w:pStyle w:val="Ttulo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nsid w:val="7D11562E"/>
    <w:multiLevelType w:val="multilevel"/>
    <w:tmpl w:val="B1C8F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EF4279F"/>
    <w:multiLevelType w:val="hybridMultilevel"/>
    <w:tmpl w:val="C0ACFEE8"/>
    <w:lvl w:ilvl="0" w:tplc="E910CE30">
      <w:start w:val="1"/>
      <w:numFmt w:val="decimal"/>
      <w:lvlText w:val="%1."/>
      <w:lvlJc w:val="left"/>
      <w:pPr>
        <w:ind w:left="360" w:hanging="360"/>
      </w:pPr>
      <w:rPr>
        <w:rFonts w:ascii="Segoe UI Symbol" w:hAnsi="Segoe UI Symbol" w:cs="Segoe UI 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8"/>
  </w:num>
  <w:num w:numId="2">
    <w:abstractNumId w:val="10"/>
  </w:num>
  <w:num w:numId="3">
    <w:abstractNumId w:val="12"/>
  </w:num>
  <w:num w:numId="4">
    <w:abstractNumId w:val="5"/>
  </w:num>
  <w:num w:numId="5">
    <w:abstractNumId w:val="11"/>
  </w:num>
  <w:num w:numId="6">
    <w:abstractNumId w:val="2"/>
  </w:num>
  <w:num w:numId="7">
    <w:abstractNumId w:val="8"/>
  </w:num>
  <w:num w:numId="8">
    <w:abstractNumId w:val="14"/>
  </w:num>
  <w:num w:numId="9">
    <w:abstractNumId w:val="4"/>
  </w:num>
  <w:num w:numId="10">
    <w:abstractNumId w:val="21"/>
  </w:num>
  <w:num w:numId="11">
    <w:abstractNumId w:val="0"/>
  </w:num>
  <w:num w:numId="12">
    <w:abstractNumId w:val="17"/>
  </w:num>
  <w:num w:numId="13">
    <w:abstractNumId w:val="1"/>
  </w:num>
  <w:num w:numId="14">
    <w:abstractNumId w:val="3"/>
  </w:num>
  <w:num w:numId="15">
    <w:abstractNumId w:val="16"/>
  </w:num>
  <w:num w:numId="16">
    <w:abstractNumId w:val="7"/>
  </w:num>
  <w:num w:numId="17">
    <w:abstractNumId w:val="9"/>
  </w:num>
  <w:num w:numId="18">
    <w:abstractNumId w:val="20"/>
  </w:num>
  <w:num w:numId="19">
    <w:abstractNumId w:val="19"/>
  </w:num>
  <w:num w:numId="20">
    <w:abstractNumId w:val="15"/>
  </w:num>
  <w:num w:numId="21">
    <w:abstractNumId w:val="6"/>
  </w:num>
  <w:num w:numId="22">
    <w:abstractNumId w:val="1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Home">
    <w15:presenceInfo w15:providerId="None" w15:userId="Home"/>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NDIysDQ1MDAzt7A0tLBU0lEKTi0uzszPAykwNKsFAAT1c8UtAAAA"/>
  </w:docVars>
  <w:rsids>
    <w:rsidRoot w:val="00C202B0"/>
    <w:rsid w:val="00002406"/>
    <w:rsid w:val="00024AB5"/>
    <w:rsid w:val="00041893"/>
    <w:rsid w:val="00044BBA"/>
    <w:rsid w:val="00047D05"/>
    <w:rsid w:val="00054882"/>
    <w:rsid w:val="00056B3A"/>
    <w:rsid w:val="00063647"/>
    <w:rsid w:val="00070ECE"/>
    <w:rsid w:val="00072AD1"/>
    <w:rsid w:val="000746CB"/>
    <w:rsid w:val="00091D0A"/>
    <w:rsid w:val="00095B23"/>
    <w:rsid w:val="000B40B4"/>
    <w:rsid w:val="000B632E"/>
    <w:rsid w:val="000C42DA"/>
    <w:rsid w:val="00101329"/>
    <w:rsid w:val="00116977"/>
    <w:rsid w:val="00121000"/>
    <w:rsid w:val="00124BED"/>
    <w:rsid w:val="0013083A"/>
    <w:rsid w:val="00141BDA"/>
    <w:rsid w:val="00146B07"/>
    <w:rsid w:val="001500A6"/>
    <w:rsid w:val="00151674"/>
    <w:rsid w:val="00177BEE"/>
    <w:rsid w:val="00182336"/>
    <w:rsid w:val="001A0EBF"/>
    <w:rsid w:val="001A7E86"/>
    <w:rsid w:val="001D6520"/>
    <w:rsid w:val="001E7CB3"/>
    <w:rsid w:val="00205061"/>
    <w:rsid w:val="00206929"/>
    <w:rsid w:val="002174E0"/>
    <w:rsid w:val="0023185C"/>
    <w:rsid w:val="00232B20"/>
    <w:rsid w:val="00275096"/>
    <w:rsid w:val="002A031E"/>
    <w:rsid w:val="002A574E"/>
    <w:rsid w:val="002C79FB"/>
    <w:rsid w:val="002F4E1F"/>
    <w:rsid w:val="00304EFB"/>
    <w:rsid w:val="00323C4D"/>
    <w:rsid w:val="0034410B"/>
    <w:rsid w:val="00356C4E"/>
    <w:rsid w:val="00370E34"/>
    <w:rsid w:val="00386EC8"/>
    <w:rsid w:val="003A7E0D"/>
    <w:rsid w:val="003B3244"/>
    <w:rsid w:val="003B5F67"/>
    <w:rsid w:val="003B7D75"/>
    <w:rsid w:val="003D6230"/>
    <w:rsid w:val="003E2D7F"/>
    <w:rsid w:val="003E3F61"/>
    <w:rsid w:val="003F586A"/>
    <w:rsid w:val="004173F6"/>
    <w:rsid w:val="004217A9"/>
    <w:rsid w:val="00435158"/>
    <w:rsid w:val="00447383"/>
    <w:rsid w:val="00447412"/>
    <w:rsid w:val="00464A12"/>
    <w:rsid w:val="00465A44"/>
    <w:rsid w:val="004736B0"/>
    <w:rsid w:val="00496D59"/>
    <w:rsid w:val="004A65EB"/>
    <w:rsid w:val="004B0A84"/>
    <w:rsid w:val="004D0519"/>
    <w:rsid w:val="00502947"/>
    <w:rsid w:val="00516129"/>
    <w:rsid w:val="00567B8E"/>
    <w:rsid w:val="005839E0"/>
    <w:rsid w:val="005A3BE4"/>
    <w:rsid w:val="005C01CE"/>
    <w:rsid w:val="005C315B"/>
    <w:rsid w:val="005E15FE"/>
    <w:rsid w:val="005F7FFA"/>
    <w:rsid w:val="00627B95"/>
    <w:rsid w:val="006340C1"/>
    <w:rsid w:val="00642C34"/>
    <w:rsid w:val="00642D68"/>
    <w:rsid w:val="00660102"/>
    <w:rsid w:val="006609DA"/>
    <w:rsid w:val="006864F0"/>
    <w:rsid w:val="00691A0F"/>
    <w:rsid w:val="00697CBA"/>
    <w:rsid w:val="006C3ADB"/>
    <w:rsid w:val="0071596D"/>
    <w:rsid w:val="00721C69"/>
    <w:rsid w:val="00721EB1"/>
    <w:rsid w:val="00736A22"/>
    <w:rsid w:val="0076208B"/>
    <w:rsid w:val="00762222"/>
    <w:rsid w:val="00774F64"/>
    <w:rsid w:val="00791A42"/>
    <w:rsid w:val="007A5132"/>
    <w:rsid w:val="007D4425"/>
    <w:rsid w:val="007E4492"/>
    <w:rsid w:val="007F472C"/>
    <w:rsid w:val="007F5076"/>
    <w:rsid w:val="0080663E"/>
    <w:rsid w:val="00840B4F"/>
    <w:rsid w:val="008445EF"/>
    <w:rsid w:val="008452F2"/>
    <w:rsid w:val="008628B3"/>
    <w:rsid w:val="00863D17"/>
    <w:rsid w:val="008747B7"/>
    <w:rsid w:val="008C303E"/>
    <w:rsid w:val="008D30CC"/>
    <w:rsid w:val="008F1005"/>
    <w:rsid w:val="008F5FB9"/>
    <w:rsid w:val="009031A0"/>
    <w:rsid w:val="009137DB"/>
    <w:rsid w:val="009332EC"/>
    <w:rsid w:val="009407B1"/>
    <w:rsid w:val="00950174"/>
    <w:rsid w:val="00951531"/>
    <w:rsid w:val="00956B6C"/>
    <w:rsid w:val="009611AC"/>
    <w:rsid w:val="00974AAD"/>
    <w:rsid w:val="009A2FA2"/>
    <w:rsid w:val="009A75B0"/>
    <w:rsid w:val="009C1537"/>
    <w:rsid w:val="009C1F0A"/>
    <w:rsid w:val="009C72E4"/>
    <w:rsid w:val="009D0F68"/>
    <w:rsid w:val="009D5CD2"/>
    <w:rsid w:val="009E0183"/>
    <w:rsid w:val="00A113E9"/>
    <w:rsid w:val="00A1182F"/>
    <w:rsid w:val="00A15EEA"/>
    <w:rsid w:val="00A16D45"/>
    <w:rsid w:val="00A42723"/>
    <w:rsid w:val="00A44DCF"/>
    <w:rsid w:val="00A52CF8"/>
    <w:rsid w:val="00A53B08"/>
    <w:rsid w:val="00A827A4"/>
    <w:rsid w:val="00AA0E4C"/>
    <w:rsid w:val="00AB3F69"/>
    <w:rsid w:val="00AC20E6"/>
    <w:rsid w:val="00AC43FE"/>
    <w:rsid w:val="00AD46BE"/>
    <w:rsid w:val="00B11206"/>
    <w:rsid w:val="00B304A6"/>
    <w:rsid w:val="00B36814"/>
    <w:rsid w:val="00B42FB7"/>
    <w:rsid w:val="00B54A1B"/>
    <w:rsid w:val="00B713A4"/>
    <w:rsid w:val="00B8187D"/>
    <w:rsid w:val="00B8373E"/>
    <w:rsid w:val="00B85BB2"/>
    <w:rsid w:val="00B87EFF"/>
    <w:rsid w:val="00B96A3D"/>
    <w:rsid w:val="00BC3E28"/>
    <w:rsid w:val="00BC70B4"/>
    <w:rsid w:val="00BC7F6E"/>
    <w:rsid w:val="00BE50CF"/>
    <w:rsid w:val="00BF01F6"/>
    <w:rsid w:val="00C04391"/>
    <w:rsid w:val="00C0575E"/>
    <w:rsid w:val="00C202B0"/>
    <w:rsid w:val="00C2231B"/>
    <w:rsid w:val="00C56AE8"/>
    <w:rsid w:val="00C6243D"/>
    <w:rsid w:val="00C6456E"/>
    <w:rsid w:val="00C7786B"/>
    <w:rsid w:val="00C83C71"/>
    <w:rsid w:val="00C90D14"/>
    <w:rsid w:val="00CA7058"/>
    <w:rsid w:val="00CC5FF6"/>
    <w:rsid w:val="00CF1162"/>
    <w:rsid w:val="00CF5964"/>
    <w:rsid w:val="00D070EC"/>
    <w:rsid w:val="00D11112"/>
    <w:rsid w:val="00D30FDA"/>
    <w:rsid w:val="00D37C49"/>
    <w:rsid w:val="00D52463"/>
    <w:rsid w:val="00D56E31"/>
    <w:rsid w:val="00D61F4A"/>
    <w:rsid w:val="00D84D38"/>
    <w:rsid w:val="00D85252"/>
    <w:rsid w:val="00D879A1"/>
    <w:rsid w:val="00D958E4"/>
    <w:rsid w:val="00DA502D"/>
    <w:rsid w:val="00DB5CD7"/>
    <w:rsid w:val="00DD02C8"/>
    <w:rsid w:val="00DD0D1A"/>
    <w:rsid w:val="00DE5498"/>
    <w:rsid w:val="00E013A7"/>
    <w:rsid w:val="00E040CD"/>
    <w:rsid w:val="00E20B4B"/>
    <w:rsid w:val="00E20BD1"/>
    <w:rsid w:val="00E318E8"/>
    <w:rsid w:val="00E421AC"/>
    <w:rsid w:val="00E458BE"/>
    <w:rsid w:val="00E465EF"/>
    <w:rsid w:val="00E52271"/>
    <w:rsid w:val="00E60120"/>
    <w:rsid w:val="00E638F0"/>
    <w:rsid w:val="00E663A0"/>
    <w:rsid w:val="00E92551"/>
    <w:rsid w:val="00EA7D1F"/>
    <w:rsid w:val="00EC683C"/>
    <w:rsid w:val="00EE12D8"/>
    <w:rsid w:val="00EE44A6"/>
    <w:rsid w:val="00EF708D"/>
    <w:rsid w:val="00F07430"/>
    <w:rsid w:val="00F23002"/>
    <w:rsid w:val="00F408B8"/>
    <w:rsid w:val="00F633EB"/>
    <w:rsid w:val="00F75687"/>
    <w:rsid w:val="00F77F96"/>
    <w:rsid w:val="00F84D9A"/>
    <w:rsid w:val="00F858AE"/>
    <w:rsid w:val="00FB1938"/>
    <w:rsid w:val="00FB5C24"/>
    <w:rsid w:val="00FC091B"/>
    <w:rsid w:val="00FC1B19"/>
    <w:rsid w:val="00FC4268"/>
    <w:rsid w:val="00FD5702"/>
    <w:rsid w:val="00FF44ED"/>
    <w:rsid w:val="00FF545D"/>
    <w:rsid w:val="00FF723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2C34"/>
    <w:pPr>
      <w:spacing w:after="0" w:line="480" w:lineRule="auto"/>
      <w:ind w:firstLine="720"/>
    </w:pPr>
    <w:rPr>
      <w:rFonts w:ascii="Times New Roman" w:hAnsi="Times New Roman" w:cs="Times New Roman"/>
      <w:sz w:val="24"/>
      <w:szCs w:val="24"/>
    </w:rPr>
  </w:style>
  <w:style w:type="paragraph" w:styleId="Ttulo1">
    <w:name w:val="heading 1"/>
    <w:basedOn w:val="Normal"/>
    <w:next w:val="Normal"/>
    <w:link w:val="Ttulo1Car"/>
    <w:uiPriority w:val="9"/>
    <w:qFormat/>
    <w:rsid w:val="00974AAD"/>
    <w:pPr>
      <w:numPr>
        <w:numId w:val="19"/>
      </w:numPr>
      <w:ind w:left="180" w:hanging="180"/>
      <w:jc w:val="center"/>
      <w:outlineLvl w:val="0"/>
    </w:pPr>
    <w:rPr>
      <w:b/>
    </w:rPr>
  </w:style>
  <w:style w:type="paragraph" w:styleId="Ttulo2">
    <w:name w:val="heading 2"/>
    <w:basedOn w:val="Normal"/>
    <w:next w:val="Normal"/>
    <w:link w:val="Ttulo2Car"/>
    <w:uiPriority w:val="9"/>
    <w:unhideWhenUsed/>
    <w:qFormat/>
    <w:rsid w:val="00AA0E4C"/>
    <w:pPr>
      <w:numPr>
        <w:ilvl w:val="1"/>
        <w:numId w:val="19"/>
      </w:numPr>
      <w:spacing w:after="120"/>
      <w:outlineLvl w:val="1"/>
    </w:pPr>
    <w:rPr>
      <w:b/>
    </w:rPr>
  </w:style>
  <w:style w:type="paragraph" w:styleId="Ttulo3">
    <w:name w:val="heading 3"/>
    <w:basedOn w:val="Normal"/>
    <w:next w:val="Normal"/>
    <w:link w:val="Ttulo3Car"/>
    <w:uiPriority w:val="9"/>
    <w:unhideWhenUsed/>
    <w:qFormat/>
    <w:rsid w:val="00642C34"/>
    <w:pPr>
      <w:outlineLvl w:val="2"/>
    </w:pPr>
    <w:rPr>
      <w:b/>
      <w:iCs/>
    </w:rPr>
  </w:style>
  <w:style w:type="paragraph" w:styleId="Ttulo4">
    <w:name w:val="heading 4"/>
    <w:basedOn w:val="Normal"/>
    <w:next w:val="Normal"/>
    <w:link w:val="Ttulo4Car"/>
    <w:uiPriority w:val="9"/>
    <w:unhideWhenUsed/>
    <w:qFormat/>
    <w:rsid w:val="00642C34"/>
    <w:pPr>
      <w:outlineLvl w:val="3"/>
    </w:pPr>
    <w:rPr>
      <w:b/>
      <w:i/>
    </w:rPr>
  </w:style>
  <w:style w:type="paragraph" w:styleId="Ttulo5">
    <w:name w:val="heading 5"/>
    <w:basedOn w:val="Normal"/>
    <w:next w:val="Normal"/>
    <w:link w:val="Ttulo5Car"/>
    <w:uiPriority w:val="9"/>
    <w:unhideWhenUsed/>
    <w:qFormat/>
    <w:rsid w:val="00642C34"/>
    <w:pPr>
      <w:outlineLvl w:val="4"/>
    </w:pPr>
    <w:rPr>
      <w:i/>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C202B0"/>
    <w:pPr>
      <w:tabs>
        <w:tab w:val="center" w:pos="4680"/>
        <w:tab w:val="right" w:pos="9360"/>
      </w:tabs>
      <w:spacing w:line="240" w:lineRule="auto"/>
    </w:pPr>
  </w:style>
  <w:style w:type="character" w:customStyle="1" w:styleId="EncabezadoCar">
    <w:name w:val="Encabezado Car"/>
    <w:basedOn w:val="Fuentedeprrafopredeter"/>
    <w:link w:val="Encabezado"/>
    <w:uiPriority w:val="99"/>
    <w:rsid w:val="00C202B0"/>
  </w:style>
  <w:style w:type="paragraph" w:styleId="Piedepgina">
    <w:name w:val="footer"/>
    <w:basedOn w:val="Normal"/>
    <w:link w:val="PiedepginaCar"/>
    <w:uiPriority w:val="99"/>
    <w:unhideWhenUsed/>
    <w:rsid w:val="00C202B0"/>
    <w:pPr>
      <w:tabs>
        <w:tab w:val="center" w:pos="4680"/>
        <w:tab w:val="right" w:pos="9360"/>
      </w:tabs>
      <w:spacing w:line="240" w:lineRule="auto"/>
    </w:pPr>
  </w:style>
  <w:style w:type="character" w:customStyle="1" w:styleId="PiedepginaCar">
    <w:name w:val="Pie de página Car"/>
    <w:basedOn w:val="Fuentedeprrafopredeter"/>
    <w:link w:val="Piedepgina"/>
    <w:uiPriority w:val="99"/>
    <w:rsid w:val="00C202B0"/>
  </w:style>
  <w:style w:type="paragraph" w:styleId="Textodeglobo">
    <w:name w:val="Balloon Text"/>
    <w:basedOn w:val="Normal"/>
    <w:link w:val="TextodegloboCar"/>
    <w:uiPriority w:val="99"/>
    <w:semiHidden/>
    <w:unhideWhenUsed/>
    <w:rsid w:val="00C202B0"/>
    <w:pPr>
      <w:spacing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C202B0"/>
    <w:rPr>
      <w:rFonts w:ascii="Tahoma" w:hAnsi="Tahoma" w:cs="Tahoma"/>
      <w:sz w:val="16"/>
      <w:szCs w:val="16"/>
    </w:rPr>
  </w:style>
  <w:style w:type="character" w:styleId="Hipervnculo">
    <w:name w:val="Hyperlink"/>
    <w:basedOn w:val="Fuentedeprrafopredeter"/>
    <w:uiPriority w:val="99"/>
    <w:unhideWhenUsed/>
    <w:rsid w:val="003D6230"/>
    <w:rPr>
      <w:color w:val="0000FF" w:themeColor="hyperlink"/>
      <w:u w:val="single"/>
    </w:rPr>
  </w:style>
  <w:style w:type="character" w:customStyle="1" w:styleId="Ttulo1Car">
    <w:name w:val="Título 1 Car"/>
    <w:basedOn w:val="Fuentedeprrafopredeter"/>
    <w:link w:val="Ttulo1"/>
    <w:uiPriority w:val="9"/>
    <w:rsid w:val="00974AAD"/>
    <w:rPr>
      <w:rFonts w:ascii="Times New Roman" w:hAnsi="Times New Roman" w:cs="Times New Roman"/>
      <w:b/>
      <w:sz w:val="24"/>
      <w:szCs w:val="24"/>
    </w:rPr>
  </w:style>
  <w:style w:type="character" w:customStyle="1" w:styleId="Ttulo2Car">
    <w:name w:val="Título 2 Car"/>
    <w:basedOn w:val="Fuentedeprrafopredeter"/>
    <w:link w:val="Ttulo2"/>
    <w:uiPriority w:val="9"/>
    <w:rsid w:val="00AA0E4C"/>
    <w:rPr>
      <w:rFonts w:ascii="Times New Roman" w:hAnsi="Times New Roman" w:cs="Times New Roman"/>
      <w:b/>
      <w:sz w:val="24"/>
      <w:szCs w:val="24"/>
    </w:rPr>
  </w:style>
  <w:style w:type="character" w:customStyle="1" w:styleId="Ttulo3Car">
    <w:name w:val="Título 3 Car"/>
    <w:basedOn w:val="Fuentedeprrafopredeter"/>
    <w:link w:val="Ttulo3"/>
    <w:uiPriority w:val="9"/>
    <w:rsid w:val="00642C34"/>
    <w:rPr>
      <w:rFonts w:ascii="Times New Roman" w:hAnsi="Times New Roman" w:cs="Times New Roman"/>
      <w:b/>
      <w:iCs/>
      <w:sz w:val="24"/>
      <w:szCs w:val="24"/>
    </w:rPr>
  </w:style>
  <w:style w:type="character" w:customStyle="1" w:styleId="Ttulo4Car">
    <w:name w:val="Título 4 Car"/>
    <w:basedOn w:val="Fuentedeprrafopredeter"/>
    <w:link w:val="Ttulo4"/>
    <w:uiPriority w:val="9"/>
    <w:rsid w:val="00642C34"/>
    <w:rPr>
      <w:rFonts w:ascii="Times New Roman" w:hAnsi="Times New Roman" w:cs="Times New Roman"/>
      <w:b/>
      <w:i/>
      <w:sz w:val="24"/>
      <w:szCs w:val="24"/>
    </w:rPr>
  </w:style>
  <w:style w:type="character" w:customStyle="1" w:styleId="Ttulo5Car">
    <w:name w:val="Título 5 Car"/>
    <w:basedOn w:val="Fuentedeprrafopredeter"/>
    <w:link w:val="Ttulo5"/>
    <w:uiPriority w:val="9"/>
    <w:rsid w:val="00642C34"/>
    <w:rPr>
      <w:rFonts w:ascii="Times New Roman" w:hAnsi="Times New Roman" w:cs="Times New Roman"/>
      <w:i/>
      <w:sz w:val="24"/>
      <w:szCs w:val="24"/>
    </w:rPr>
  </w:style>
  <w:style w:type="character" w:styleId="Refdecomentario">
    <w:name w:val="annotation reference"/>
    <w:basedOn w:val="Fuentedeprrafopredeter"/>
    <w:uiPriority w:val="99"/>
    <w:semiHidden/>
    <w:unhideWhenUsed/>
    <w:rsid w:val="009D0F68"/>
    <w:rPr>
      <w:sz w:val="16"/>
      <w:szCs w:val="16"/>
    </w:rPr>
  </w:style>
  <w:style w:type="paragraph" w:styleId="Textocomentario">
    <w:name w:val="annotation text"/>
    <w:basedOn w:val="Normal"/>
    <w:link w:val="TextocomentarioCar"/>
    <w:uiPriority w:val="99"/>
    <w:unhideWhenUsed/>
    <w:rsid w:val="009D0F68"/>
    <w:pPr>
      <w:spacing w:line="240" w:lineRule="auto"/>
    </w:pPr>
    <w:rPr>
      <w:sz w:val="20"/>
      <w:szCs w:val="20"/>
    </w:rPr>
  </w:style>
  <w:style w:type="character" w:customStyle="1" w:styleId="TextocomentarioCar">
    <w:name w:val="Texto comentario Car"/>
    <w:basedOn w:val="Fuentedeprrafopredeter"/>
    <w:link w:val="Textocomentario"/>
    <w:uiPriority w:val="99"/>
    <w:rsid w:val="009D0F68"/>
    <w:rPr>
      <w:rFonts w:ascii="Times New Roman" w:hAnsi="Times New Roman" w:cs="Times New Roman"/>
      <w:sz w:val="20"/>
      <w:szCs w:val="20"/>
    </w:rPr>
  </w:style>
  <w:style w:type="paragraph" w:styleId="Asuntodelcomentario">
    <w:name w:val="annotation subject"/>
    <w:basedOn w:val="Textocomentario"/>
    <w:next w:val="Textocomentario"/>
    <w:link w:val="AsuntodelcomentarioCar"/>
    <w:uiPriority w:val="99"/>
    <w:semiHidden/>
    <w:unhideWhenUsed/>
    <w:rsid w:val="009D0F68"/>
    <w:rPr>
      <w:b/>
      <w:bCs/>
    </w:rPr>
  </w:style>
  <w:style w:type="character" w:customStyle="1" w:styleId="AsuntodelcomentarioCar">
    <w:name w:val="Asunto del comentario Car"/>
    <w:basedOn w:val="TextocomentarioCar"/>
    <w:link w:val="Asuntodelcomentario"/>
    <w:uiPriority w:val="99"/>
    <w:semiHidden/>
    <w:rsid w:val="009D0F68"/>
    <w:rPr>
      <w:rFonts w:ascii="Times New Roman" w:hAnsi="Times New Roman" w:cs="Times New Roman"/>
      <w:b/>
      <w:bCs/>
      <w:sz w:val="20"/>
      <w:szCs w:val="20"/>
    </w:rPr>
  </w:style>
  <w:style w:type="paragraph" w:styleId="Revisin">
    <w:name w:val="Revision"/>
    <w:hidden/>
    <w:uiPriority w:val="99"/>
    <w:semiHidden/>
    <w:rsid w:val="009D0F68"/>
    <w:pPr>
      <w:spacing w:after="0" w:line="240" w:lineRule="auto"/>
    </w:pPr>
    <w:rPr>
      <w:rFonts w:ascii="Times New Roman" w:hAnsi="Times New Roman" w:cs="Times New Roman"/>
      <w:sz w:val="24"/>
      <w:szCs w:val="24"/>
    </w:rPr>
  </w:style>
  <w:style w:type="table" w:styleId="Tablaconcuadrcula">
    <w:name w:val="Table Grid"/>
    <w:basedOn w:val="Tablanormal"/>
    <w:uiPriority w:val="59"/>
    <w:rsid w:val="00177BE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Prrafodelista">
    <w:name w:val="List Paragraph"/>
    <w:basedOn w:val="Normal"/>
    <w:uiPriority w:val="34"/>
    <w:qFormat/>
    <w:rsid w:val="00177BEE"/>
    <w:pPr>
      <w:ind w:left="720"/>
      <w:contextualSpacing/>
    </w:pPr>
  </w:style>
  <w:style w:type="paragraph" w:styleId="NormalWeb">
    <w:name w:val="Normal (Web)"/>
    <w:basedOn w:val="Normal"/>
    <w:uiPriority w:val="99"/>
    <w:semiHidden/>
    <w:unhideWhenUsed/>
    <w:rsid w:val="00B8187D"/>
    <w:pPr>
      <w:spacing w:before="100" w:beforeAutospacing="1" w:after="100" w:afterAutospacing="1" w:line="240" w:lineRule="auto"/>
      <w:ind w:firstLine="0"/>
    </w:pPr>
    <w:rPr>
      <w:rFonts w:eastAsia="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2C34"/>
    <w:pPr>
      <w:spacing w:after="0" w:line="480" w:lineRule="auto"/>
      <w:ind w:firstLine="720"/>
    </w:pPr>
    <w:rPr>
      <w:rFonts w:ascii="Times New Roman" w:hAnsi="Times New Roman" w:cs="Times New Roman"/>
      <w:sz w:val="24"/>
      <w:szCs w:val="24"/>
    </w:rPr>
  </w:style>
  <w:style w:type="paragraph" w:styleId="Heading1">
    <w:name w:val="heading 1"/>
    <w:basedOn w:val="Normal"/>
    <w:next w:val="Normal"/>
    <w:link w:val="Heading1Char"/>
    <w:uiPriority w:val="9"/>
    <w:qFormat/>
    <w:rsid w:val="00974AAD"/>
    <w:pPr>
      <w:numPr>
        <w:numId w:val="19"/>
      </w:numPr>
      <w:ind w:left="180" w:hanging="180"/>
      <w:jc w:val="center"/>
      <w:outlineLvl w:val="0"/>
    </w:pPr>
    <w:rPr>
      <w:b/>
    </w:rPr>
  </w:style>
  <w:style w:type="paragraph" w:styleId="Heading2">
    <w:name w:val="heading 2"/>
    <w:basedOn w:val="Normal"/>
    <w:next w:val="Normal"/>
    <w:link w:val="Heading2Char"/>
    <w:uiPriority w:val="9"/>
    <w:unhideWhenUsed/>
    <w:qFormat/>
    <w:rsid w:val="00AA0E4C"/>
    <w:pPr>
      <w:numPr>
        <w:ilvl w:val="1"/>
        <w:numId w:val="19"/>
      </w:numPr>
      <w:spacing w:after="120"/>
      <w:outlineLvl w:val="1"/>
    </w:pPr>
    <w:rPr>
      <w:b/>
    </w:rPr>
  </w:style>
  <w:style w:type="paragraph" w:styleId="Heading3">
    <w:name w:val="heading 3"/>
    <w:basedOn w:val="Normal"/>
    <w:next w:val="Normal"/>
    <w:link w:val="Heading3Char"/>
    <w:uiPriority w:val="9"/>
    <w:unhideWhenUsed/>
    <w:qFormat/>
    <w:rsid w:val="00642C34"/>
    <w:pPr>
      <w:outlineLvl w:val="2"/>
    </w:pPr>
    <w:rPr>
      <w:b/>
      <w:iCs/>
    </w:rPr>
  </w:style>
  <w:style w:type="paragraph" w:styleId="Heading4">
    <w:name w:val="heading 4"/>
    <w:basedOn w:val="Normal"/>
    <w:next w:val="Normal"/>
    <w:link w:val="Heading4Char"/>
    <w:uiPriority w:val="9"/>
    <w:unhideWhenUsed/>
    <w:qFormat/>
    <w:rsid w:val="00642C34"/>
    <w:pPr>
      <w:outlineLvl w:val="3"/>
    </w:pPr>
    <w:rPr>
      <w:b/>
      <w:i/>
    </w:rPr>
  </w:style>
  <w:style w:type="paragraph" w:styleId="Heading5">
    <w:name w:val="heading 5"/>
    <w:basedOn w:val="Normal"/>
    <w:next w:val="Normal"/>
    <w:link w:val="Heading5Char"/>
    <w:uiPriority w:val="9"/>
    <w:unhideWhenUsed/>
    <w:qFormat/>
    <w:rsid w:val="00642C34"/>
    <w:pPr>
      <w:outlineLvl w:val="4"/>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02B0"/>
    <w:pPr>
      <w:tabs>
        <w:tab w:val="center" w:pos="4680"/>
        <w:tab w:val="right" w:pos="9360"/>
      </w:tabs>
      <w:spacing w:line="240" w:lineRule="auto"/>
    </w:pPr>
  </w:style>
  <w:style w:type="character" w:customStyle="1" w:styleId="HeaderChar">
    <w:name w:val="Header Char"/>
    <w:basedOn w:val="DefaultParagraphFont"/>
    <w:link w:val="Header"/>
    <w:uiPriority w:val="99"/>
    <w:rsid w:val="00C202B0"/>
  </w:style>
  <w:style w:type="paragraph" w:styleId="Footer">
    <w:name w:val="footer"/>
    <w:basedOn w:val="Normal"/>
    <w:link w:val="FooterChar"/>
    <w:uiPriority w:val="99"/>
    <w:unhideWhenUsed/>
    <w:rsid w:val="00C202B0"/>
    <w:pPr>
      <w:tabs>
        <w:tab w:val="center" w:pos="4680"/>
        <w:tab w:val="right" w:pos="9360"/>
      </w:tabs>
      <w:spacing w:line="240" w:lineRule="auto"/>
    </w:pPr>
  </w:style>
  <w:style w:type="character" w:customStyle="1" w:styleId="FooterChar">
    <w:name w:val="Footer Char"/>
    <w:basedOn w:val="DefaultParagraphFont"/>
    <w:link w:val="Footer"/>
    <w:uiPriority w:val="99"/>
    <w:rsid w:val="00C202B0"/>
  </w:style>
  <w:style w:type="paragraph" w:styleId="BalloonText">
    <w:name w:val="Balloon Text"/>
    <w:basedOn w:val="Normal"/>
    <w:link w:val="BalloonTextChar"/>
    <w:uiPriority w:val="99"/>
    <w:semiHidden/>
    <w:unhideWhenUsed/>
    <w:rsid w:val="00C202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02B0"/>
    <w:rPr>
      <w:rFonts w:ascii="Tahoma" w:hAnsi="Tahoma" w:cs="Tahoma"/>
      <w:sz w:val="16"/>
      <w:szCs w:val="16"/>
    </w:rPr>
  </w:style>
  <w:style w:type="character" w:styleId="Hyperlink">
    <w:name w:val="Hyperlink"/>
    <w:basedOn w:val="DefaultParagraphFont"/>
    <w:uiPriority w:val="99"/>
    <w:unhideWhenUsed/>
    <w:rsid w:val="003D6230"/>
    <w:rPr>
      <w:color w:val="0000FF" w:themeColor="hyperlink"/>
      <w:u w:val="single"/>
    </w:rPr>
  </w:style>
  <w:style w:type="character" w:customStyle="1" w:styleId="Heading1Char">
    <w:name w:val="Heading 1 Char"/>
    <w:basedOn w:val="DefaultParagraphFont"/>
    <w:link w:val="Heading1"/>
    <w:uiPriority w:val="9"/>
    <w:rsid w:val="00974AAD"/>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AA0E4C"/>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642C34"/>
    <w:rPr>
      <w:rFonts w:ascii="Times New Roman" w:hAnsi="Times New Roman" w:cs="Times New Roman"/>
      <w:b/>
      <w:iCs/>
      <w:sz w:val="24"/>
      <w:szCs w:val="24"/>
    </w:rPr>
  </w:style>
  <w:style w:type="character" w:customStyle="1" w:styleId="Heading4Char">
    <w:name w:val="Heading 4 Char"/>
    <w:basedOn w:val="DefaultParagraphFont"/>
    <w:link w:val="Heading4"/>
    <w:uiPriority w:val="9"/>
    <w:rsid w:val="00642C34"/>
    <w:rPr>
      <w:rFonts w:ascii="Times New Roman" w:hAnsi="Times New Roman" w:cs="Times New Roman"/>
      <w:b/>
      <w:i/>
      <w:sz w:val="24"/>
      <w:szCs w:val="24"/>
    </w:rPr>
  </w:style>
  <w:style w:type="character" w:customStyle="1" w:styleId="Heading5Char">
    <w:name w:val="Heading 5 Char"/>
    <w:basedOn w:val="DefaultParagraphFont"/>
    <w:link w:val="Heading5"/>
    <w:uiPriority w:val="9"/>
    <w:rsid w:val="00642C34"/>
    <w:rPr>
      <w:rFonts w:ascii="Times New Roman" w:hAnsi="Times New Roman" w:cs="Times New Roman"/>
      <w:i/>
      <w:sz w:val="24"/>
      <w:szCs w:val="24"/>
    </w:rPr>
  </w:style>
  <w:style w:type="character" w:styleId="CommentReference">
    <w:name w:val="annotation reference"/>
    <w:basedOn w:val="DefaultParagraphFont"/>
    <w:uiPriority w:val="99"/>
    <w:semiHidden/>
    <w:unhideWhenUsed/>
    <w:rsid w:val="009D0F68"/>
    <w:rPr>
      <w:sz w:val="16"/>
      <w:szCs w:val="16"/>
    </w:rPr>
  </w:style>
  <w:style w:type="paragraph" w:styleId="CommentText">
    <w:name w:val="annotation text"/>
    <w:basedOn w:val="Normal"/>
    <w:link w:val="CommentTextChar"/>
    <w:uiPriority w:val="99"/>
    <w:unhideWhenUsed/>
    <w:rsid w:val="009D0F68"/>
    <w:pPr>
      <w:spacing w:line="240" w:lineRule="auto"/>
    </w:pPr>
    <w:rPr>
      <w:sz w:val="20"/>
      <w:szCs w:val="20"/>
    </w:rPr>
  </w:style>
  <w:style w:type="character" w:customStyle="1" w:styleId="CommentTextChar">
    <w:name w:val="Comment Text Char"/>
    <w:basedOn w:val="DefaultParagraphFont"/>
    <w:link w:val="CommentText"/>
    <w:uiPriority w:val="99"/>
    <w:rsid w:val="009D0F68"/>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D0F68"/>
    <w:rPr>
      <w:b/>
      <w:bCs/>
    </w:rPr>
  </w:style>
  <w:style w:type="character" w:customStyle="1" w:styleId="CommentSubjectChar">
    <w:name w:val="Comment Subject Char"/>
    <w:basedOn w:val="CommentTextChar"/>
    <w:link w:val="CommentSubject"/>
    <w:uiPriority w:val="99"/>
    <w:semiHidden/>
    <w:rsid w:val="009D0F68"/>
    <w:rPr>
      <w:rFonts w:ascii="Times New Roman" w:hAnsi="Times New Roman" w:cs="Times New Roman"/>
      <w:b/>
      <w:bCs/>
      <w:sz w:val="20"/>
      <w:szCs w:val="20"/>
    </w:rPr>
  </w:style>
  <w:style w:type="paragraph" w:styleId="Revision">
    <w:name w:val="Revision"/>
    <w:hidden/>
    <w:uiPriority w:val="99"/>
    <w:semiHidden/>
    <w:rsid w:val="009D0F68"/>
    <w:pPr>
      <w:spacing w:after="0" w:line="240" w:lineRule="auto"/>
    </w:pPr>
    <w:rPr>
      <w:rFonts w:ascii="Times New Roman" w:hAnsi="Times New Roman" w:cs="Times New Roman"/>
      <w:sz w:val="24"/>
      <w:szCs w:val="24"/>
    </w:rPr>
  </w:style>
  <w:style w:type="table" w:styleId="TableGrid">
    <w:name w:val="Table Grid"/>
    <w:basedOn w:val="TableNormal"/>
    <w:uiPriority w:val="59"/>
    <w:rsid w:val="00177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7BEE"/>
    <w:pPr>
      <w:ind w:left="720"/>
      <w:contextualSpacing/>
    </w:pPr>
  </w:style>
  <w:style w:type="paragraph" w:styleId="NormalWeb">
    <w:name w:val="Normal (Web)"/>
    <w:basedOn w:val="Normal"/>
    <w:uiPriority w:val="99"/>
    <w:semiHidden/>
    <w:unhideWhenUsed/>
    <w:rsid w:val="00B8187D"/>
    <w:pPr>
      <w:spacing w:before="100" w:beforeAutospacing="1" w:after="100" w:afterAutospacing="1" w:line="240" w:lineRule="auto"/>
      <w:ind w:firstLine="0"/>
    </w:pPr>
    <w:rPr>
      <w:rFonts w:eastAsia="Times New Roman"/>
    </w:rPr>
  </w:style>
</w:styles>
</file>

<file path=word/webSettings.xml><?xml version="1.0" encoding="utf-8"?>
<w:webSettings xmlns:r="http://schemas.openxmlformats.org/officeDocument/2006/relationships" xmlns:w="http://schemas.openxmlformats.org/wordprocessingml/2006/main">
  <w:divs>
    <w:div w:id="76951771">
      <w:bodyDiv w:val="1"/>
      <w:marLeft w:val="0"/>
      <w:marRight w:val="0"/>
      <w:marTop w:val="0"/>
      <w:marBottom w:val="0"/>
      <w:divBdr>
        <w:top w:val="none" w:sz="0" w:space="0" w:color="auto"/>
        <w:left w:val="none" w:sz="0" w:space="0" w:color="auto"/>
        <w:bottom w:val="none" w:sz="0" w:space="0" w:color="auto"/>
        <w:right w:val="none" w:sz="0" w:space="0" w:color="auto"/>
      </w:divBdr>
    </w:div>
    <w:div w:id="110244233">
      <w:bodyDiv w:val="1"/>
      <w:marLeft w:val="0"/>
      <w:marRight w:val="0"/>
      <w:marTop w:val="0"/>
      <w:marBottom w:val="0"/>
      <w:divBdr>
        <w:top w:val="none" w:sz="0" w:space="0" w:color="auto"/>
        <w:left w:val="none" w:sz="0" w:space="0" w:color="auto"/>
        <w:bottom w:val="none" w:sz="0" w:space="0" w:color="auto"/>
        <w:right w:val="none" w:sz="0" w:space="0" w:color="auto"/>
      </w:divBdr>
    </w:div>
    <w:div w:id="228615847">
      <w:bodyDiv w:val="1"/>
      <w:marLeft w:val="0"/>
      <w:marRight w:val="0"/>
      <w:marTop w:val="0"/>
      <w:marBottom w:val="0"/>
      <w:divBdr>
        <w:top w:val="none" w:sz="0" w:space="0" w:color="auto"/>
        <w:left w:val="none" w:sz="0" w:space="0" w:color="auto"/>
        <w:bottom w:val="none" w:sz="0" w:space="0" w:color="auto"/>
        <w:right w:val="none" w:sz="0" w:space="0" w:color="auto"/>
      </w:divBdr>
      <w:divsChild>
        <w:div w:id="1954941196">
          <w:marLeft w:val="0"/>
          <w:marRight w:val="0"/>
          <w:marTop w:val="0"/>
          <w:marBottom w:val="0"/>
          <w:divBdr>
            <w:top w:val="none" w:sz="0" w:space="0" w:color="auto"/>
            <w:left w:val="none" w:sz="0" w:space="0" w:color="auto"/>
            <w:bottom w:val="none" w:sz="0" w:space="0" w:color="auto"/>
            <w:right w:val="none" w:sz="0" w:space="0" w:color="auto"/>
          </w:divBdr>
        </w:div>
      </w:divsChild>
    </w:div>
    <w:div w:id="368994130">
      <w:bodyDiv w:val="1"/>
      <w:marLeft w:val="0"/>
      <w:marRight w:val="0"/>
      <w:marTop w:val="0"/>
      <w:marBottom w:val="0"/>
      <w:divBdr>
        <w:top w:val="none" w:sz="0" w:space="0" w:color="auto"/>
        <w:left w:val="none" w:sz="0" w:space="0" w:color="auto"/>
        <w:bottom w:val="none" w:sz="0" w:space="0" w:color="auto"/>
        <w:right w:val="none" w:sz="0" w:space="0" w:color="auto"/>
      </w:divBdr>
    </w:div>
    <w:div w:id="432015514">
      <w:bodyDiv w:val="1"/>
      <w:marLeft w:val="0"/>
      <w:marRight w:val="0"/>
      <w:marTop w:val="0"/>
      <w:marBottom w:val="0"/>
      <w:divBdr>
        <w:top w:val="none" w:sz="0" w:space="0" w:color="auto"/>
        <w:left w:val="none" w:sz="0" w:space="0" w:color="auto"/>
        <w:bottom w:val="none" w:sz="0" w:space="0" w:color="auto"/>
        <w:right w:val="none" w:sz="0" w:space="0" w:color="auto"/>
      </w:divBdr>
    </w:div>
    <w:div w:id="554270681">
      <w:bodyDiv w:val="1"/>
      <w:marLeft w:val="0"/>
      <w:marRight w:val="0"/>
      <w:marTop w:val="0"/>
      <w:marBottom w:val="0"/>
      <w:divBdr>
        <w:top w:val="none" w:sz="0" w:space="0" w:color="auto"/>
        <w:left w:val="none" w:sz="0" w:space="0" w:color="auto"/>
        <w:bottom w:val="none" w:sz="0" w:space="0" w:color="auto"/>
        <w:right w:val="none" w:sz="0" w:space="0" w:color="auto"/>
      </w:divBdr>
    </w:div>
    <w:div w:id="573516029">
      <w:bodyDiv w:val="1"/>
      <w:marLeft w:val="0"/>
      <w:marRight w:val="0"/>
      <w:marTop w:val="0"/>
      <w:marBottom w:val="0"/>
      <w:divBdr>
        <w:top w:val="none" w:sz="0" w:space="0" w:color="auto"/>
        <w:left w:val="none" w:sz="0" w:space="0" w:color="auto"/>
        <w:bottom w:val="none" w:sz="0" w:space="0" w:color="auto"/>
        <w:right w:val="none" w:sz="0" w:space="0" w:color="auto"/>
      </w:divBdr>
    </w:div>
    <w:div w:id="581259808">
      <w:bodyDiv w:val="1"/>
      <w:marLeft w:val="0"/>
      <w:marRight w:val="0"/>
      <w:marTop w:val="0"/>
      <w:marBottom w:val="0"/>
      <w:divBdr>
        <w:top w:val="none" w:sz="0" w:space="0" w:color="auto"/>
        <w:left w:val="none" w:sz="0" w:space="0" w:color="auto"/>
        <w:bottom w:val="none" w:sz="0" w:space="0" w:color="auto"/>
        <w:right w:val="none" w:sz="0" w:space="0" w:color="auto"/>
      </w:divBdr>
    </w:div>
    <w:div w:id="842668164">
      <w:bodyDiv w:val="1"/>
      <w:marLeft w:val="0"/>
      <w:marRight w:val="0"/>
      <w:marTop w:val="0"/>
      <w:marBottom w:val="0"/>
      <w:divBdr>
        <w:top w:val="none" w:sz="0" w:space="0" w:color="auto"/>
        <w:left w:val="none" w:sz="0" w:space="0" w:color="auto"/>
        <w:bottom w:val="none" w:sz="0" w:space="0" w:color="auto"/>
        <w:right w:val="none" w:sz="0" w:space="0" w:color="auto"/>
      </w:divBdr>
    </w:div>
    <w:div w:id="999776152">
      <w:bodyDiv w:val="1"/>
      <w:marLeft w:val="0"/>
      <w:marRight w:val="0"/>
      <w:marTop w:val="0"/>
      <w:marBottom w:val="0"/>
      <w:divBdr>
        <w:top w:val="none" w:sz="0" w:space="0" w:color="auto"/>
        <w:left w:val="none" w:sz="0" w:space="0" w:color="auto"/>
        <w:bottom w:val="none" w:sz="0" w:space="0" w:color="auto"/>
        <w:right w:val="none" w:sz="0" w:space="0" w:color="auto"/>
      </w:divBdr>
    </w:div>
    <w:div w:id="1145858445">
      <w:bodyDiv w:val="1"/>
      <w:marLeft w:val="0"/>
      <w:marRight w:val="0"/>
      <w:marTop w:val="0"/>
      <w:marBottom w:val="0"/>
      <w:divBdr>
        <w:top w:val="none" w:sz="0" w:space="0" w:color="auto"/>
        <w:left w:val="none" w:sz="0" w:space="0" w:color="auto"/>
        <w:bottom w:val="none" w:sz="0" w:space="0" w:color="auto"/>
        <w:right w:val="none" w:sz="0" w:space="0" w:color="auto"/>
      </w:divBdr>
    </w:div>
    <w:div w:id="1349983543">
      <w:bodyDiv w:val="1"/>
      <w:marLeft w:val="0"/>
      <w:marRight w:val="0"/>
      <w:marTop w:val="0"/>
      <w:marBottom w:val="0"/>
      <w:divBdr>
        <w:top w:val="none" w:sz="0" w:space="0" w:color="auto"/>
        <w:left w:val="none" w:sz="0" w:space="0" w:color="auto"/>
        <w:bottom w:val="none" w:sz="0" w:space="0" w:color="auto"/>
        <w:right w:val="none" w:sz="0" w:space="0" w:color="auto"/>
      </w:divBdr>
    </w:div>
    <w:div w:id="1569922968">
      <w:bodyDiv w:val="1"/>
      <w:marLeft w:val="0"/>
      <w:marRight w:val="0"/>
      <w:marTop w:val="0"/>
      <w:marBottom w:val="0"/>
      <w:divBdr>
        <w:top w:val="none" w:sz="0" w:space="0" w:color="auto"/>
        <w:left w:val="none" w:sz="0" w:space="0" w:color="auto"/>
        <w:bottom w:val="none" w:sz="0" w:space="0" w:color="auto"/>
        <w:right w:val="none" w:sz="0" w:space="0" w:color="auto"/>
      </w:divBdr>
    </w:div>
    <w:div w:id="1793666921">
      <w:bodyDiv w:val="1"/>
      <w:marLeft w:val="0"/>
      <w:marRight w:val="0"/>
      <w:marTop w:val="0"/>
      <w:marBottom w:val="0"/>
      <w:divBdr>
        <w:top w:val="none" w:sz="0" w:space="0" w:color="auto"/>
        <w:left w:val="none" w:sz="0" w:space="0" w:color="auto"/>
        <w:bottom w:val="none" w:sz="0" w:space="0" w:color="auto"/>
        <w:right w:val="none" w:sz="0" w:space="0" w:color="auto"/>
      </w:divBdr>
    </w:div>
    <w:div w:id="1816138673">
      <w:bodyDiv w:val="1"/>
      <w:marLeft w:val="0"/>
      <w:marRight w:val="0"/>
      <w:marTop w:val="0"/>
      <w:marBottom w:val="0"/>
      <w:divBdr>
        <w:top w:val="none" w:sz="0" w:space="0" w:color="auto"/>
        <w:left w:val="none" w:sz="0" w:space="0" w:color="auto"/>
        <w:bottom w:val="none" w:sz="0" w:space="0" w:color="auto"/>
        <w:right w:val="none" w:sz="0" w:space="0" w:color="auto"/>
      </w:divBdr>
    </w:div>
    <w:div w:id="196438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8" Type="http://schemas.microsoft.com/office/2011/relationships/commentsExtended" Target="commentsExtended.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17"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19" Type="http://schemas.microsoft.com/office/2007/relationships/stylesWithEffects" Target="stylesWithEffects.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C27E60-3427-4E79-859D-07E3DF444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2363</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cp:revision>
  <cp:lastPrinted>2012-03-30T16:25:00Z</cp:lastPrinted>
  <dcterms:created xsi:type="dcterms:W3CDTF">2020-11-24T21:57:00Z</dcterms:created>
  <dcterms:modified xsi:type="dcterms:W3CDTF">2020-11-24T22:10:00Z</dcterms:modified>
</cp:coreProperties>
</file>