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D21D82" w14:textId="77777777" w:rsidR="00082FBE" w:rsidRDefault="00082FBE" w:rsidP="00082FBE"/>
    <w:p w14:paraId="46C30241" w14:textId="77777777" w:rsidR="00F34635" w:rsidRDefault="00F34635" w:rsidP="00F34635">
      <w:pPr>
        <w:jc w:val="center"/>
        <w:rPr>
          <w:sz w:val="32"/>
        </w:rPr>
      </w:pPr>
    </w:p>
    <w:p w14:paraId="423A6562" w14:textId="77777777" w:rsidR="00082FBE" w:rsidRDefault="00695080" w:rsidP="00F34635">
      <w:pPr>
        <w:jc w:val="center"/>
        <w:rPr>
          <w:sz w:val="32"/>
        </w:rPr>
      </w:pPr>
      <w:r w:rsidRPr="00F34635">
        <w:rPr>
          <w:sz w:val="32"/>
        </w:rPr>
        <w:t>PPT Notes</w:t>
      </w:r>
    </w:p>
    <w:p w14:paraId="55503E69" w14:textId="77777777" w:rsidR="00F34635" w:rsidRPr="00F34635" w:rsidRDefault="00F34635" w:rsidP="00F34635">
      <w:pPr>
        <w:jc w:val="center"/>
        <w:rPr>
          <w:sz w:val="32"/>
        </w:rPr>
      </w:pPr>
    </w:p>
    <w:p w14:paraId="02772BDF" w14:textId="77777777" w:rsidR="00082FBE" w:rsidRPr="00F34635" w:rsidRDefault="00082FBE" w:rsidP="00F34635">
      <w:pPr>
        <w:jc w:val="center"/>
        <w:rPr>
          <w:sz w:val="32"/>
        </w:rPr>
      </w:pPr>
      <w:r w:rsidRPr="00F34635">
        <w:rPr>
          <w:sz w:val="32"/>
        </w:rPr>
        <w:t>BMIH6007</w:t>
      </w:r>
    </w:p>
    <w:p w14:paraId="30DAC8CE" w14:textId="77777777" w:rsidR="00082FBE" w:rsidRDefault="00082FBE" w:rsidP="00F34635">
      <w:pPr>
        <w:jc w:val="center"/>
        <w:rPr>
          <w:sz w:val="32"/>
        </w:rPr>
      </w:pPr>
      <w:r w:rsidRPr="00F34635">
        <w:rPr>
          <w:sz w:val="32"/>
        </w:rPr>
        <w:t>International Meetings Management for the Hotel Industry</w:t>
      </w:r>
    </w:p>
    <w:p w14:paraId="5456428E" w14:textId="77777777" w:rsidR="00D4303A" w:rsidRDefault="00D4303A" w:rsidP="00F34635">
      <w:pPr>
        <w:jc w:val="center"/>
        <w:rPr>
          <w:sz w:val="32"/>
        </w:rPr>
      </w:pPr>
    </w:p>
    <w:p w14:paraId="0C442984" w14:textId="77777777" w:rsidR="00771DCA" w:rsidRDefault="00D4303A" w:rsidP="00F34635">
      <w:pPr>
        <w:jc w:val="center"/>
        <w:rPr>
          <w:sz w:val="32"/>
        </w:rPr>
      </w:pPr>
      <w:r w:rsidRPr="00D4303A">
        <w:rPr>
          <w:sz w:val="32"/>
        </w:rPr>
        <w:t>Assessment</w:t>
      </w:r>
      <w:r>
        <w:rPr>
          <w:sz w:val="32"/>
        </w:rPr>
        <w:t xml:space="preserve"> 1</w:t>
      </w:r>
    </w:p>
    <w:p w14:paraId="2DF95DF5" w14:textId="77777777" w:rsidR="00D4303A" w:rsidRDefault="00D4303A" w:rsidP="00F34635">
      <w:pPr>
        <w:jc w:val="center"/>
        <w:rPr>
          <w:sz w:val="32"/>
        </w:rPr>
      </w:pPr>
    </w:p>
    <w:p w14:paraId="529651E6" w14:textId="77777777" w:rsidR="00771DCA" w:rsidRDefault="00771DCA" w:rsidP="00F34635">
      <w:pPr>
        <w:jc w:val="center"/>
        <w:rPr>
          <w:sz w:val="28"/>
        </w:rPr>
      </w:pPr>
      <w:r w:rsidRPr="00AD3196">
        <w:rPr>
          <w:sz w:val="28"/>
        </w:rPr>
        <w:t>Module Lead: Kathryn Flynn</w:t>
      </w:r>
    </w:p>
    <w:p w14:paraId="6BD0D2D9" w14:textId="1BD18BE0" w:rsidR="00D74C8A" w:rsidRDefault="00B325F8" w:rsidP="00F34635">
      <w:pPr>
        <w:jc w:val="center"/>
        <w:rPr>
          <w:sz w:val="28"/>
        </w:rPr>
      </w:pPr>
      <w:r>
        <w:rPr>
          <w:sz w:val="28"/>
        </w:rPr>
        <w:t>Student name: Adrian Marian Oprea</w:t>
      </w:r>
    </w:p>
    <w:p w14:paraId="4535B70F" w14:textId="406B983E" w:rsidR="00D74C8A" w:rsidRDefault="00B325F8" w:rsidP="00F34635">
      <w:pPr>
        <w:jc w:val="center"/>
        <w:rPr>
          <w:sz w:val="28"/>
        </w:rPr>
      </w:pPr>
      <w:r>
        <w:rPr>
          <w:sz w:val="28"/>
        </w:rPr>
        <w:t>Student Id:1714749</w:t>
      </w:r>
    </w:p>
    <w:p w14:paraId="26053AE9" w14:textId="77777777" w:rsidR="00B325F8" w:rsidRDefault="00B325F8" w:rsidP="00F34635">
      <w:pPr>
        <w:jc w:val="center"/>
        <w:rPr>
          <w:sz w:val="28"/>
        </w:rPr>
      </w:pPr>
    </w:p>
    <w:p w14:paraId="38BC8767" w14:textId="77777777" w:rsidR="00D74C8A" w:rsidRPr="002408B4" w:rsidRDefault="00D74C8A" w:rsidP="00CE4E9B">
      <w:pPr>
        <w:jc w:val="center"/>
      </w:pPr>
      <w:r w:rsidRPr="002408B4">
        <w:t>Event name- Promoting Equality, Diversity, and Inclusion: A Feasibility Study for a MICE Industry Event</w:t>
      </w:r>
    </w:p>
    <w:p w14:paraId="33A342CD" w14:textId="77777777" w:rsidR="00D74C8A" w:rsidRPr="00AD3196" w:rsidRDefault="00D74C8A" w:rsidP="00F34635">
      <w:pPr>
        <w:jc w:val="center"/>
        <w:rPr>
          <w:sz w:val="28"/>
        </w:rPr>
      </w:pPr>
    </w:p>
    <w:p w14:paraId="194677C9" w14:textId="77777777" w:rsidR="00771DCA" w:rsidRPr="00F34635" w:rsidRDefault="00771DCA" w:rsidP="00F34635">
      <w:pPr>
        <w:jc w:val="center"/>
        <w:rPr>
          <w:sz w:val="32"/>
        </w:rPr>
      </w:pPr>
    </w:p>
    <w:p w14:paraId="3F6E0E2C" w14:textId="77777777" w:rsidR="00082FBE" w:rsidRDefault="00082FBE" w:rsidP="00082FBE"/>
    <w:p w14:paraId="7C2271A4" w14:textId="77777777" w:rsidR="00082FBE" w:rsidRDefault="00082FBE" w:rsidP="00082FBE"/>
    <w:p w14:paraId="506EA19B" w14:textId="77777777" w:rsidR="00082FBE" w:rsidRDefault="00082FBE" w:rsidP="00082FBE"/>
    <w:p w14:paraId="3F3A88E8" w14:textId="77777777" w:rsidR="00082FBE" w:rsidRDefault="00082FBE" w:rsidP="00082FBE"/>
    <w:p w14:paraId="4BF5925F" w14:textId="77777777" w:rsidR="00C3413F" w:rsidRPr="00A5503E" w:rsidRDefault="00C3413F" w:rsidP="00C3413F">
      <w:pPr>
        <w:rPr>
          <w:rFonts w:cs="Times New Roman"/>
          <w:b/>
          <w:bCs/>
          <w:szCs w:val="24"/>
        </w:rPr>
      </w:pPr>
      <w:r w:rsidRPr="00A5503E">
        <w:rPr>
          <w:rFonts w:cs="Times New Roman"/>
          <w:b/>
          <w:bCs/>
          <w:szCs w:val="24"/>
        </w:rPr>
        <w:t>Acknowledgement</w:t>
      </w:r>
    </w:p>
    <w:p w14:paraId="26FD1F3B" w14:textId="77777777" w:rsidR="00C3413F" w:rsidRPr="00A5503E" w:rsidRDefault="00C3413F" w:rsidP="00C3413F">
      <w:pPr>
        <w:rPr>
          <w:rFonts w:cs="Times New Roman"/>
          <w:szCs w:val="24"/>
        </w:rPr>
      </w:pPr>
    </w:p>
    <w:p w14:paraId="57A3D04E" w14:textId="77777777" w:rsidR="00C3413F" w:rsidRPr="00A5503E" w:rsidRDefault="00C3413F" w:rsidP="00C3413F">
      <w:pPr>
        <w:rPr>
          <w:rFonts w:cs="Times New Roman"/>
          <w:szCs w:val="24"/>
        </w:rPr>
      </w:pPr>
      <w:r w:rsidRPr="00A5503E">
        <w:rPr>
          <w:rFonts w:cs="Times New Roman"/>
          <w:szCs w:val="24"/>
        </w:rPr>
        <w:t>I confirm that I have not used any Al tools in the research and creation of this assignment. I confirm that I have not presented any Al generated materials as my own work. I confirm I have copies of my drafts, notes, and other resources I used, which I may be asked to provide in evidence.</w:t>
      </w:r>
    </w:p>
    <w:p w14:paraId="66F479E7" w14:textId="77777777" w:rsidR="00C3413F" w:rsidRDefault="00C3413F" w:rsidP="00082FBE"/>
    <w:p w14:paraId="43A2FEB4" w14:textId="77777777" w:rsidR="00082FBE" w:rsidRDefault="00082FBE" w:rsidP="00082FBE"/>
    <w:p w14:paraId="5F1211BC" w14:textId="77777777" w:rsidR="00082FBE" w:rsidRDefault="00427B53" w:rsidP="00082FBE">
      <w:pPr>
        <w:pStyle w:val="Heading1"/>
        <w:jc w:val="both"/>
      </w:pPr>
      <w:r>
        <w:rPr>
          <w:noProof/>
          <w:lang w:eastAsia="en-GB"/>
        </w:rPr>
        <w:lastRenderedPageBreak/>
        <w:drawing>
          <wp:inline distT="0" distB="0" distL="0" distR="0" wp14:anchorId="0613ECF6" wp14:editId="45764A72">
            <wp:extent cx="5943600" cy="3327400"/>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3327400"/>
                    </a:xfrm>
                    <a:prstGeom prst="rect">
                      <a:avLst/>
                    </a:prstGeom>
                  </pic:spPr>
                </pic:pic>
              </a:graphicData>
            </a:graphic>
          </wp:inline>
        </w:drawing>
      </w:r>
    </w:p>
    <w:p w14:paraId="533F4B0A" w14:textId="77777777" w:rsidR="00811255" w:rsidRPr="00811255" w:rsidRDefault="00811255" w:rsidP="00811255">
      <w:pPr>
        <w:sectPr w:rsidR="00811255" w:rsidRPr="00811255" w:rsidSect="00117121">
          <w:footerReference w:type="default" r:id="rId9"/>
          <w:pgSz w:w="12240" w:h="15840"/>
          <w:pgMar w:top="1440" w:right="1440" w:bottom="1440" w:left="1440" w:header="720" w:footer="720" w:gutter="0"/>
          <w:pgNumType w:start="1"/>
          <w:cols w:space="720"/>
          <w:docGrid w:linePitch="360"/>
        </w:sectPr>
      </w:pPr>
      <w:r>
        <w:rPr>
          <w:noProof/>
          <w:lang w:eastAsia="en-GB"/>
        </w:rPr>
        <w:drawing>
          <wp:inline distT="0" distB="0" distL="0" distR="0" wp14:anchorId="6612D047" wp14:editId="7ACD1DF7">
            <wp:extent cx="5943600" cy="341376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413760"/>
                    </a:xfrm>
                    <a:prstGeom prst="rect">
                      <a:avLst/>
                    </a:prstGeom>
                  </pic:spPr>
                </pic:pic>
              </a:graphicData>
            </a:graphic>
          </wp:inline>
        </w:drawing>
      </w:r>
    </w:p>
    <w:sdt>
      <w:sdtPr>
        <w:rPr>
          <w:rFonts w:eastAsiaTheme="minorHAnsi" w:cstheme="minorBidi"/>
          <w:sz w:val="24"/>
          <w:szCs w:val="22"/>
          <w:lang w:val="en-GB"/>
        </w:rPr>
        <w:id w:val="-743873986"/>
        <w:docPartObj>
          <w:docPartGallery w:val="Table of Contents"/>
          <w:docPartUnique/>
        </w:docPartObj>
      </w:sdtPr>
      <w:sdtEndPr>
        <w:rPr>
          <w:b/>
          <w:bCs/>
          <w:noProof/>
        </w:rPr>
      </w:sdtEndPr>
      <w:sdtContent>
        <w:p w14:paraId="3E2E8E22" w14:textId="77777777" w:rsidR="00695080" w:rsidRDefault="00695080">
          <w:pPr>
            <w:pStyle w:val="TOCHeading"/>
          </w:pPr>
          <w:r>
            <w:t>Table of Contents</w:t>
          </w:r>
        </w:p>
        <w:p w14:paraId="1B0F7D7A" w14:textId="77777777" w:rsidR="00695080" w:rsidRDefault="00695080">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89075328" w:history="1">
            <w:r w:rsidRPr="00320C6C">
              <w:rPr>
                <w:rStyle w:val="Hyperlink"/>
                <w:noProof/>
              </w:rPr>
              <w:t>Introduction</w:t>
            </w:r>
            <w:r>
              <w:rPr>
                <w:noProof/>
                <w:webHidden/>
              </w:rPr>
              <w:tab/>
            </w:r>
            <w:r>
              <w:rPr>
                <w:noProof/>
                <w:webHidden/>
              </w:rPr>
              <w:fldChar w:fldCharType="begin"/>
            </w:r>
            <w:r>
              <w:rPr>
                <w:noProof/>
                <w:webHidden/>
              </w:rPr>
              <w:instrText xml:space="preserve"> PAGEREF _Toc189075328 \h </w:instrText>
            </w:r>
            <w:r>
              <w:rPr>
                <w:noProof/>
                <w:webHidden/>
              </w:rPr>
            </w:r>
            <w:r>
              <w:rPr>
                <w:noProof/>
                <w:webHidden/>
              </w:rPr>
              <w:fldChar w:fldCharType="separate"/>
            </w:r>
            <w:r>
              <w:rPr>
                <w:noProof/>
                <w:webHidden/>
              </w:rPr>
              <w:t>4</w:t>
            </w:r>
            <w:r>
              <w:rPr>
                <w:noProof/>
                <w:webHidden/>
              </w:rPr>
              <w:fldChar w:fldCharType="end"/>
            </w:r>
          </w:hyperlink>
        </w:p>
        <w:p w14:paraId="3C4D83F7" w14:textId="77777777" w:rsidR="00695080" w:rsidRDefault="00695080">
          <w:pPr>
            <w:pStyle w:val="TOC1"/>
            <w:tabs>
              <w:tab w:val="right" w:leader="dot" w:pos="9016"/>
            </w:tabs>
            <w:rPr>
              <w:rFonts w:asciiTheme="minorHAnsi" w:eastAsiaTheme="minorEastAsia" w:hAnsiTheme="minorHAnsi"/>
              <w:noProof/>
              <w:sz w:val="22"/>
              <w:lang w:eastAsia="en-GB"/>
            </w:rPr>
          </w:pPr>
          <w:hyperlink w:anchor="_Toc189075329" w:history="1">
            <w:r w:rsidRPr="00320C6C">
              <w:rPr>
                <w:rStyle w:val="Hyperlink"/>
                <w:noProof/>
              </w:rPr>
              <w:t>Event Content and Context</w:t>
            </w:r>
            <w:r>
              <w:rPr>
                <w:noProof/>
                <w:webHidden/>
              </w:rPr>
              <w:tab/>
            </w:r>
            <w:r>
              <w:rPr>
                <w:noProof/>
                <w:webHidden/>
              </w:rPr>
              <w:fldChar w:fldCharType="begin"/>
            </w:r>
            <w:r>
              <w:rPr>
                <w:noProof/>
                <w:webHidden/>
              </w:rPr>
              <w:instrText xml:space="preserve"> PAGEREF _Toc189075329 \h </w:instrText>
            </w:r>
            <w:r>
              <w:rPr>
                <w:noProof/>
                <w:webHidden/>
              </w:rPr>
            </w:r>
            <w:r>
              <w:rPr>
                <w:noProof/>
                <w:webHidden/>
              </w:rPr>
              <w:fldChar w:fldCharType="separate"/>
            </w:r>
            <w:r>
              <w:rPr>
                <w:noProof/>
                <w:webHidden/>
              </w:rPr>
              <w:t>5</w:t>
            </w:r>
            <w:r>
              <w:rPr>
                <w:noProof/>
                <w:webHidden/>
              </w:rPr>
              <w:fldChar w:fldCharType="end"/>
            </w:r>
          </w:hyperlink>
        </w:p>
        <w:p w14:paraId="04CC81FC" w14:textId="77777777" w:rsidR="00695080" w:rsidRDefault="00695080">
          <w:pPr>
            <w:pStyle w:val="TOC1"/>
            <w:tabs>
              <w:tab w:val="right" w:leader="dot" w:pos="9016"/>
            </w:tabs>
            <w:rPr>
              <w:rFonts w:asciiTheme="minorHAnsi" w:eastAsiaTheme="minorEastAsia" w:hAnsiTheme="minorHAnsi"/>
              <w:noProof/>
              <w:sz w:val="22"/>
              <w:lang w:eastAsia="en-GB"/>
            </w:rPr>
          </w:pPr>
          <w:hyperlink w:anchor="_Toc189075330" w:history="1">
            <w:r w:rsidRPr="00320C6C">
              <w:rPr>
                <w:rStyle w:val="Hyperlink"/>
                <w:noProof/>
              </w:rPr>
              <w:t>Market Factors</w:t>
            </w:r>
            <w:r>
              <w:rPr>
                <w:noProof/>
                <w:webHidden/>
              </w:rPr>
              <w:tab/>
            </w:r>
            <w:r>
              <w:rPr>
                <w:noProof/>
                <w:webHidden/>
              </w:rPr>
              <w:fldChar w:fldCharType="begin"/>
            </w:r>
            <w:r>
              <w:rPr>
                <w:noProof/>
                <w:webHidden/>
              </w:rPr>
              <w:instrText xml:space="preserve"> PAGEREF _Toc189075330 \h </w:instrText>
            </w:r>
            <w:r>
              <w:rPr>
                <w:noProof/>
                <w:webHidden/>
              </w:rPr>
            </w:r>
            <w:r>
              <w:rPr>
                <w:noProof/>
                <w:webHidden/>
              </w:rPr>
              <w:fldChar w:fldCharType="separate"/>
            </w:r>
            <w:r>
              <w:rPr>
                <w:noProof/>
                <w:webHidden/>
              </w:rPr>
              <w:t>7</w:t>
            </w:r>
            <w:r>
              <w:rPr>
                <w:noProof/>
                <w:webHidden/>
              </w:rPr>
              <w:fldChar w:fldCharType="end"/>
            </w:r>
          </w:hyperlink>
        </w:p>
        <w:p w14:paraId="34A35F90" w14:textId="77777777" w:rsidR="00695080" w:rsidRDefault="00695080">
          <w:pPr>
            <w:pStyle w:val="TOC1"/>
            <w:tabs>
              <w:tab w:val="right" w:leader="dot" w:pos="9016"/>
            </w:tabs>
            <w:rPr>
              <w:rFonts w:asciiTheme="minorHAnsi" w:eastAsiaTheme="minorEastAsia" w:hAnsiTheme="minorHAnsi"/>
              <w:noProof/>
              <w:sz w:val="22"/>
              <w:lang w:eastAsia="en-GB"/>
            </w:rPr>
          </w:pPr>
          <w:hyperlink w:anchor="_Toc189075331" w:history="1">
            <w:r w:rsidRPr="00320C6C">
              <w:rPr>
                <w:rStyle w:val="Hyperlink"/>
                <w:noProof/>
              </w:rPr>
              <w:t>Operational Factors</w:t>
            </w:r>
            <w:r>
              <w:rPr>
                <w:noProof/>
                <w:webHidden/>
              </w:rPr>
              <w:tab/>
            </w:r>
            <w:r>
              <w:rPr>
                <w:noProof/>
                <w:webHidden/>
              </w:rPr>
              <w:fldChar w:fldCharType="begin"/>
            </w:r>
            <w:r>
              <w:rPr>
                <w:noProof/>
                <w:webHidden/>
              </w:rPr>
              <w:instrText xml:space="preserve"> PAGEREF _Toc189075331 \h </w:instrText>
            </w:r>
            <w:r>
              <w:rPr>
                <w:noProof/>
                <w:webHidden/>
              </w:rPr>
            </w:r>
            <w:r>
              <w:rPr>
                <w:noProof/>
                <w:webHidden/>
              </w:rPr>
              <w:fldChar w:fldCharType="separate"/>
            </w:r>
            <w:r>
              <w:rPr>
                <w:noProof/>
                <w:webHidden/>
              </w:rPr>
              <w:t>10</w:t>
            </w:r>
            <w:r>
              <w:rPr>
                <w:noProof/>
                <w:webHidden/>
              </w:rPr>
              <w:fldChar w:fldCharType="end"/>
            </w:r>
          </w:hyperlink>
        </w:p>
        <w:p w14:paraId="7A95E7EF" w14:textId="77777777" w:rsidR="00695080" w:rsidRDefault="00695080">
          <w:pPr>
            <w:pStyle w:val="TOC1"/>
            <w:tabs>
              <w:tab w:val="right" w:leader="dot" w:pos="9016"/>
            </w:tabs>
            <w:rPr>
              <w:rFonts w:asciiTheme="minorHAnsi" w:eastAsiaTheme="minorEastAsia" w:hAnsiTheme="minorHAnsi"/>
              <w:noProof/>
              <w:sz w:val="22"/>
              <w:lang w:eastAsia="en-GB"/>
            </w:rPr>
          </w:pPr>
          <w:hyperlink w:anchor="_Toc189075332" w:history="1">
            <w:r w:rsidRPr="00320C6C">
              <w:rPr>
                <w:rStyle w:val="Hyperlink"/>
                <w:noProof/>
              </w:rPr>
              <w:t>Financial Factors</w:t>
            </w:r>
            <w:r>
              <w:rPr>
                <w:noProof/>
                <w:webHidden/>
              </w:rPr>
              <w:tab/>
            </w:r>
            <w:r>
              <w:rPr>
                <w:noProof/>
                <w:webHidden/>
              </w:rPr>
              <w:fldChar w:fldCharType="begin"/>
            </w:r>
            <w:r>
              <w:rPr>
                <w:noProof/>
                <w:webHidden/>
              </w:rPr>
              <w:instrText xml:space="preserve"> PAGEREF _Toc189075332 \h </w:instrText>
            </w:r>
            <w:r>
              <w:rPr>
                <w:noProof/>
                <w:webHidden/>
              </w:rPr>
            </w:r>
            <w:r>
              <w:rPr>
                <w:noProof/>
                <w:webHidden/>
              </w:rPr>
              <w:fldChar w:fldCharType="separate"/>
            </w:r>
            <w:r>
              <w:rPr>
                <w:noProof/>
                <w:webHidden/>
              </w:rPr>
              <w:t>14</w:t>
            </w:r>
            <w:r>
              <w:rPr>
                <w:noProof/>
                <w:webHidden/>
              </w:rPr>
              <w:fldChar w:fldCharType="end"/>
            </w:r>
          </w:hyperlink>
        </w:p>
        <w:p w14:paraId="63EFA6BF" w14:textId="77777777" w:rsidR="00695080" w:rsidRDefault="00695080">
          <w:pPr>
            <w:pStyle w:val="TOC1"/>
            <w:tabs>
              <w:tab w:val="right" w:leader="dot" w:pos="9016"/>
            </w:tabs>
            <w:rPr>
              <w:rFonts w:asciiTheme="minorHAnsi" w:eastAsiaTheme="minorEastAsia" w:hAnsiTheme="minorHAnsi"/>
              <w:noProof/>
              <w:sz w:val="22"/>
              <w:lang w:eastAsia="en-GB"/>
            </w:rPr>
          </w:pPr>
          <w:hyperlink w:anchor="_Toc189075333" w:history="1">
            <w:r w:rsidRPr="00320C6C">
              <w:rPr>
                <w:rStyle w:val="Hyperlink"/>
                <w:noProof/>
              </w:rPr>
              <w:t>Conclusion</w:t>
            </w:r>
            <w:r>
              <w:rPr>
                <w:noProof/>
                <w:webHidden/>
              </w:rPr>
              <w:tab/>
            </w:r>
            <w:r>
              <w:rPr>
                <w:noProof/>
                <w:webHidden/>
              </w:rPr>
              <w:fldChar w:fldCharType="begin"/>
            </w:r>
            <w:r>
              <w:rPr>
                <w:noProof/>
                <w:webHidden/>
              </w:rPr>
              <w:instrText xml:space="preserve"> PAGEREF _Toc189075333 \h </w:instrText>
            </w:r>
            <w:r>
              <w:rPr>
                <w:noProof/>
                <w:webHidden/>
              </w:rPr>
            </w:r>
            <w:r>
              <w:rPr>
                <w:noProof/>
                <w:webHidden/>
              </w:rPr>
              <w:fldChar w:fldCharType="separate"/>
            </w:r>
            <w:r>
              <w:rPr>
                <w:noProof/>
                <w:webHidden/>
              </w:rPr>
              <w:t>17</w:t>
            </w:r>
            <w:r>
              <w:rPr>
                <w:noProof/>
                <w:webHidden/>
              </w:rPr>
              <w:fldChar w:fldCharType="end"/>
            </w:r>
          </w:hyperlink>
        </w:p>
        <w:p w14:paraId="7BDCCF04" w14:textId="77777777" w:rsidR="00695080" w:rsidRDefault="00695080">
          <w:pPr>
            <w:pStyle w:val="TOC1"/>
            <w:tabs>
              <w:tab w:val="right" w:leader="dot" w:pos="9016"/>
            </w:tabs>
            <w:rPr>
              <w:rFonts w:asciiTheme="minorHAnsi" w:eastAsiaTheme="minorEastAsia" w:hAnsiTheme="minorHAnsi"/>
              <w:noProof/>
              <w:sz w:val="22"/>
              <w:lang w:eastAsia="en-GB"/>
            </w:rPr>
          </w:pPr>
          <w:hyperlink w:anchor="_Toc189075334" w:history="1">
            <w:r w:rsidRPr="00320C6C">
              <w:rPr>
                <w:rStyle w:val="Hyperlink"/>
                <w:noProof/>
              </w:rPr>
              <w:t>References</w:t>
            </w:r>
            <w:r>
              <w:rPr>
                <w:noProof/>
                <w:webHidden/>
              </w:rPr>
              <w:tab/>
            </w:r>
            <w:r>
              <w:rPr>
                <w:noProof/>
                <w:webHidden/>
              </w:rPr>
              <w:fldChar w:fldCharType="begin"/>
            </w:r>
            <w:r>
              <w:rPr>
                <w:noProof/>
                <w:webHidden/>
              </w:rPr>
              <w:instrText xml:space="preserve"> PAGEREF _Toc189075334 \h </w:instrText>
            </w:r>
            <w:r>
              <w:rPr>
                <w:noProof/>
                <w:webHidden/>
              </w:rPr>
            </w:r>
            <w:r>
              <w:rPr>
                <w:noProof/>
                <w:webHidden/>
              </w:rPr>
              <w:fldChar w:fldCharType="separate"/>
            </w:r>
            <w:r>
              <w:rPr>
                <w:noProof/>
                <w:webHidden/>
              </w:rPr>
              <w:t>18</w:t>
            </w:r>
            <w:r>
              <w:rPr>
                <w:noProof/>
                <w:webHidden/>
              </w:rPr>
              <w:fldChar w:fldCharType="end"/>
            </w:r>
          </w:hyperlink>
        </w:p>
        <w:p w14:paraId="60FEC04A" w14:textId="77777777" w:rsidR="00695080" w:rsidRDefault="00695080" w:rsidP="00695080">
          <w:pPr>
            <w:jc w:val="center"/>
          </w:pPr>
          <w:r>
            <w:rPr>
              <w:b/>
              <w:bCs/>
              <w:noProof/>
            </w:rPr>
            <w:fldChar w:fldCharType="end"/>
          </w:r>
        </w:p>
      </w:sdtContent>
    </w:sdt>
    <w:p w14:paraId="2823D00B" w14:textId="77777777" w:rsidR="00695080" w:rsidRDefault="00695080" w:rsidP="00082FBE"/>
    <w:p w14:paraId="00F104D3" w14:textId="77777777" w:rsidR="00082FBE" w:rsidRDefault="00082FBE" w:rsidP="00082FBE"/>
    <w:p w14:paraId="3952C96D" w14:textId="77777777" w:rsidR="00082FBE" w:rsidRDefault="00082FBE" w:rsidP="00082FBE">
      <w:r>
        <w:br w:type="page"/>
      </w:r>
    </w:p>
    <w:p w14:paraId="38062BF9" w14:textId="77777777" w:rsidR="00082FBE" w:rsidRDefault="00082FBE" w:rsidP="00082FBE">
      <w:pPr>
        <w:pStyle w:val="Heading1"/>
      </w:pPr>
      <w:bookmarkStart w:id="0" w:name="_Toc149429613"/>
      <w:bookmarkStart w:id="1" w:name="_Toc189075328"/>
      <w:r>
        <w:lastRenderedPageBreak/>
        <w:t>Introduction</w:t>
      </w:r>
      <w:bookmarkEnd w:id="0"/>
      <w:bookmarkEnd w:id="1"/>
    </w:p>
    <w:p w14:paraId="5FD1B870" w14:textId="77777777" w:rsidR="00082FBE" w:rsidRDefault="00082FBE" w:rsidP="00082FBE">
      <w:r>
        <w:rPr>
          <w:noProof/>
          <w:lang w:eastAsia="en-GB"/>
        </w:rPr>
        <w:drawing>
          <wp:inline distT="0" distB="0" distL="0" distR="0" wp14:anchorId="2A037555" wp14:editId="61B9073B">
            <wp:extent cx="5943600" cy="3289935"/>
            <wp:effectExtent l="0" t="0" r="0" b="5715"/>
            <wp:docPr id="927172123"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7172123" name="Picture 1" descr="A close-up of a document&#10;&#10;Description automatically generated"/>
                    <pic:cNvPicPr/>
                  </pic:nvPicPr>
                  <pic:blipFill>
                    <a:blip r:embed="rId11"/>
                    <a:stretch>
                      <a:fillRect/>
                    </a:stretch>
                  </pic:blipFill>
                  <pic:spPr>
                    <a:xfrm>
                      <a:off x="0" y="0"/>
                      <a:ext cx="5943600" cy="3289935"/>
                    </a:xfrm>
                    <a:prstGeom prst="rect">
                      <a:avLst/>
                    </a:prstGeom>
                  </pic:spPr>
                </pic:pic>
              </a:graphicData>
            </a:graphic>
          </wp:inline>
        </w:drawing>
      </w:r>
    </w:p>
    <w:p w14:paraId="0B9D7762" w14:textId="77777777" w:rsidR="00082FBE" w:rsidRDefault="00082FBE" w:rsidP="00082FBE">
      <w:r>
        <w:t xml:space="preserve">This presentation will cover a feasibility study for a Meetings, Incentives, Conferences, and Exhibitions (MICE) industry event focusing on the theme “Promoting Equality, Diversity, and Inclusion.” In addition to discussing the event context, the market factors will also be identified and analysed. Moreover, this presentation will also include a discussion of the operational factors of the selected event. Operational factors involved in a MICE industry event involve the availability of venue, the requirement of skills and other resources, and the like. Lastly, this presentation will include the cost breakdown of the event along with the predicted revenues and funding sources. </w:t>
      </w:r>
    </w:p>
    <w:p w14:paraId="32F9A426" w14:textId="77777777" w:rsidR="00082FBE" w:rsidRDefault="00082FBE" w:rsidP="00082FBE"/>
    <w:p w14:paraId="2E1B0C77" w14:textId="77777777" w:rsidR="00082FBE" w:rsidRDefault="00082FBE" w:rsidP="00082FBE"/>
    <w:p w14:paraId="5EB9EFB8" w14:textId="77777777" w:rsidR="00082FBE" w:rsidRDefault="00082FBE" w:rsidP="00082FBE">
      <w:pPr>
        <w:spacing w:before="120" w:line="259" w:lineRule="auto"/>
      </w:pPr>
      <w:r>
        <w:br w:type="page"/>
      </w:r>
    </w:p>
    <w:p w14:paraId="1E2E526B" w14:textId="77777777" w:rsidR="00082FBE" w:rsidRDefault="00082FBE" w:rsidP="00082FBE">
      <w:pPr>
        <w:pStyle w:val="Heading1"/>
      </w:pPr>
      <w:bookmarkStart w:id="2" w:name="_Toc189075329"/>
      <w:r>
        <w:lastRenderedPageBreak/>
        <w:t>Event Content and Context</w:t>
      </w:r>
      <w:bookmarkEnd w:id="2"/>
    </w:p>
    <w:p w14:paraId="721C8DE9" w14:textId="77777777" w:rsidR="00082FBE" w:rsidRDefault="00082FBE" w:rsidP="00082FBE">
      <w:r>
        <w:rPr>
          <w:noProof/>
          <w:lang w:eastAsia="en-GB"/>
        </w:rPr>
        <w:drawing>
          <wp:inline distT="0" distB="0" distL="0" distR="0" wp14:anchorId="12575BF8" wp14:editId="3C700466">
            <wp:extent cx="5943600" cy="3333750"/>
            <wp:effectExtent l="0" t="0" r="0" b="0"/>
            <wp:docPr id="404553455"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4553455" name="Picture 1" descr="A close-up of a document&#10;&#10;Description automatically generated"/>
                    <pic:cNvPicPr/>
                  </pic:nvPicPr>
                  <pic:blipFill>
                    <a:blip r:embed="rId12"/>
                    <a:stretch>
                      <a:fillRect/>
                    </a:stretch>
                  </pic:blipFill>
                  <pic:spPr>
                    <a:xfrm>
                      <a:off x="0" y="0"/>
                      <a:ext cx="5943600" cy="3333750"/>
                    </a:xfrm>
                    <a:prstGeom prst="rect">
                      <a:avLst/>
                    </a:prstGeom>
                  </pic:spPr>
                </pic:pic>
              </a:graphicData>
            </a:graphic>
          </wp:inline>
        </w:drawing>
      </w:r>
    </w:p>
    <w:p w14:paraId="4C7D28F1" w14:textId="77777777" w:rsidR="00082FBE" w:rsidRPr="00745B56" w:rsidRDefault="00082FBE" w:rsidP="00082FBE">
      <w:pPr>
        <w:rPr>
          <w:b/>
          <w:bCs/>
        </w:rPr>
      </w:pPr>
      <w:r w:rsidRPr="00745B56">
        <w:rPr>
          <w:b/>
          <w:bCs/>
        </w:rPr>
        <w:t>What is the proposed focus for the event?</w:t>
      </w:r>
    </w:p>
    <w:p w14:paraId="789884C8" w14:textId="77777777" w:rsidR="00082FBE" w:rsidRDefault="00082FBE" w:rsidP="00082FBE">
      <w:r>
        <w:t xml:space="preserve">The event will focus on the theme of Promoting Equality, Diversity, and Inclusion: A Feasibility Study for a MICE Industry Event. Equality, Diversity, and Inclusion or EDI have become a well-acknowledged term in the business world. </w:t>
      </w:r>
      <w:r w:rsidR="00695080">
        <w:t xml:space="preserve">Industry experts like corporate executives, business leaders, legislators, regulatory bodies, advocacy groups, labour union officials, non-governmental </w:t>
      </w:r>
      <w:r w:rsidR="002C4590">
        <w:t>organis</w:t>
      </w:r>
      <w:r w:rsidR="00695080">
        <w:t xml:space="preserve">ations, and the like are among the possible target market for this particular event. </w:t>
      </w:r>
      <w:r>
        <w:t xml:space="preserve">This MICE event will focus on facilitating the promotion of the best practices, tactics, and cautions about equality, diversity, and inclusion in the workplace that organisations should be aware of </w:t>
      </w:r>
      <w:r w:rsidRPr="00301F73">
        <w:t>(Rogers and Wynn-Moylan, 2022)</w:t>
      </w:r>
      <w:r>
        <w:t>.</w:t>
      </w:r>
    </w:p>
    <w:p w14:paraId="0E2AE7B1" w14:textId="77777777" w:rsidR="00082FBE" w:rsidRDefault="00082FBE" w:rsidP="00082FBE"/>
    <w:p w14:paraId="1F072E85" w14:textId="77777777" w:rsidR="00082FBE" w:rsidRDefault="00082FBE" w:rsidP="00082FBE">
      <w:pPr>
        <w:spacing w:before="120" w:line="259" w:lineRule="auto"/>
        <w:jc w:val="left"/>
      </w:pPr>
      <w:r>
        <w:br w:type="page"/>
      </w:r>
    </w:p>
    <w:p w14:paraId="71906726" w14:textId="77777777" w:rsidR="00082FBE" w:rsidRDefault="00082FBE" w:rsidP="00082FBE">
      <w:r>
        <w:rPr>
          <w:noProof/>
          <w:lang w:eastAsia="en-GB"/>
        </w:rPr>
        <w:lastRenderedPageBreak/>
        <w:drawing>
          <wp:inline distT="0" distB="0" distL="0" distR="0" wp14:anchorId="30658596" wp14:editId="41C29EBD">
            <wp:extent cx="5943600" cy="3275965"/>
            <wp:effectExtent l="0" t="0" r="0" b="635"/>
            <wp:docPr id="1683737138" name="Picture 1" descr="A group of people looking at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3737138" name="Picture 1" descr="A group of people looking at a computer&#10;&#10;Description automatically generated"/>
                    <pic:cNvPicPr/>
                  </pic:nvPicPr>
                  <pic:blipFill>
                    <a:blip r:embed="rId13"/>
                    <a:stretch>
                      <a:fillRect/>
                    </a:stretch>
                  </pic:blipFill>
                  <pic:spPr>
                    <a:xfrm>
                      <a:off x="0" y="0"/>
                      <a:ext cx="5943600" cy="3275965"/>
                    </a:xfrm>
                    <a:prstGeom prst="rect">
                      <a:avLst/>
                    </a:prstGeom>
                  </pic:spPr>
                </pic:pic>
              </a:graphicData>
            </a:graphic>
          </wp:inline>
        </w:drawing>
      </w:r>
    </w:p>
    <w:p w14:paraId="4BD21DE8" w14:textId="77777777" w:rsidR="00082FBE" w:rsidRPr="00865488" w:rsidRDefault="00082FBE" w:rsidP="00082FBE">
      <w:pPr>
        <w:rPr>
          <w:b/>
          <w:bCs/>
        </w:rPr>
      </w:pPr>
      <w:r w:rsidRPr="00865488">
        <w:rPr>
          <w:b/>
          <w:bCs/>
        </w:rPr>
        <w:t>Type and Nature</w:t>
      </w:r>
    </w:p>
    <w:p w14:paraId="56D225EC" w14:textId="77777777" w:rsidR="00082FBE" w:rsidRDefault="00082FBE" w:rsidP="00082FBE">
      <w:r>
        <w:t xml:space="preserve">The stated event will primarily be an industry conference event in terms of type. The nature of the event is a B2B event where industry professionals gather to forge discussions and interactions regarding quality, diversity, and inclusion in the workplace. </w:t>
      </w:r>
      <w:r w:rsidR="00695080">
        <w:t xml:space="preserve">Since government agencies and regulatory </w:t>
      </w:r>
      <w:r w:rsidR="002C4590">
        <w:t>organis</w:t>
      </w:r>
      <w:r w:rsidR="00695080">
        <w:t xml:space="preserve">ations are crucial in changing macro-level policies to support, their participation in this event is essential. In order to raise awareness, the event may also involve other event </w:t>
      </w:r>
      <w:r w:rsidR="002C4590">
        <w:t>organis</w:t>
      </w:r>
      <w:r w:rsidR="00695080">
        <w:t xml:space="preserve">ers. </w:t>
      </w:r>
      <w:r>
        <w:t xml:space="preserve">The meeting will involve both online and offline format as most of the attendees will be present physically whereas another chunk of attendees will be present virtually </w:t>
      </w:r>
      <w:r w:rsidRPr="00301F73">
        <w:t>(Standaert et al., 2022</w:t>
      </w:r>
      <w:r>
        <w:t xml:space="preserve">). </w:t>
      </w:r>
    </w:p>
    <w:p w14:paraId="5705A400" w14:textId="77777777" w:rsidR="00082FBE" w:rsidRDefault="00082FBE" w:rsidP="00082FBE"/>
    <w:p w14:paraId="0E7188F7" w14:textId="77777777" w:rsidR="00082FBE" w:rsidRDefault="00082FBE" w:rsidP="00082FBE"/>
    <w:p w14:paraId="34A033F6" w14:textId="77777777" w:rsidR="00082FBE" w:rsidRDefault="00082FBE" w:rsidP="00082FBE"/>
    <w:p w14:paraId="00F6421B" w14:textId="77777777" w:rsidR="00082FBE" w:rsidRDefault="00082FBE" w:rsidP="00082FBE"/>
    <w:p w14:paraId="0252C234" w14:textId="77777777" w:rsidR="00082FBE" w:rsidRDefault="00082FBE" w:rsidP="00082FBE">
      <w:pPr>
        <w:spacing w:before="120" w:line="259" w:lineRule="auto"/>
      </w:pPr>
      <w:r>
        <w:br w:type="page"/>
      </w:r>
    </w:p>
    <w:p w14:paraId="3BF107CE" w14:textId="77777777" w:rsidR="00082FBE" w:rsidRDefault="00082FBE" w:rsidP="00082FBE">
      <w:pPr>
        <w:pStyle w:val="Heading1"/>
      </w:pPr>
      <w:bookmarkStart w:id="3" w:name="_Toc189075330"/>
      <w:r>
        <w:lastRenderedPageBreak/>
        <w:t>Market Factors</w:t>
      </w:r>
      <w:bookmarkEnd w:id="3"/>
    </w:p>
    <w:p w14:paraId="28C530AE" w14:textId="77777777" w:rsidR="00082FBE" w:rsidRDefault="00082FBE" w:rsidP="00082FBE">
      <w:r>
        <w:rPr>
          <w:noProof/>
          <w:lang w:eastAsia="en-GB"/>
        </w:rPr>
        <w:drawing>
          <wp:inline distT="0" distB="0" distL="0" distR="0" wp14:anchorId="62508AEE" wp14:editId="46EEB73C">
            <wp:extent cx="5943600" cy="3336925"/>
            <wp:effectExtent l="0" t="0" r="0" b="0"/>
            <wp:docPr id="182262947" name="Picture 1" descr="A close-up of a market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262947" name="Picture 1" descr="A close-up of a market chart&#10;&#10;Description automatically generated"/>
                    <pic:cNvPicPr/>
                  </pic:nvPicPr>
                  <pic:blipFill>
                    <a:blip r:embed="rId14"/>
                    <a:stretch>
                      <a:fillRect/>
                    </a:stretch>
                  </pic:blipFill>
                  <pic:spPr>
                    <a:xfrm>
                      <a:off x="0" y="0"/>
                      <a:ext cx="5943600" cy="3336925"/>
                    </a:xfrm>
                    <a:prstGeom prst="rect">
                      <a:avLst/>
                    </a:prstGeom>
                  </pic:spPr>
                </pic:pic>
              </a:graphicData>
            </a:graphic>
          </wp:inline>
        </w:drawing>
      </w:r>
    </w:p>
    <w:p w14:paraId="2FE94F57" w14:textId="77777777" w:rsidR="00082FBE" w:rsidRPr="0048554A" w:rsidRDefault="00082FBE" w:rsidP="00082FBE">
      <w:pPr>
        <w:rPr>
          <w:b/>
          <w:bCs/>
        </w:rPr>
      </w:pPr>
      <w:r w:rsidRPr="0048554A">
        <w:rPr>
          <w:b/>
          <w:bCs/>
        </w:rPr>
        <w:t>Who is the potential target market?</w:t>
      </w:r>
    </w:p>
    <w:p w14:paraId="24958510" w14:textId="77777777" w:rsidR="00082FBE" w:rsidRDefault="00082FBE" w:rsidP="00082FBE">
      <w:r>
        <w:t xml:space="preserve">The potential target market for this specific event includes industry professionals such as corporate executives, business leaders, policymakers, regulatory authorities, advocacy groups, labour union representatives, NGOs, and the like. </w:t>
      </w:r>
      <w:r w:rsidR="00695080">
        <w:t xml:space="preserve">As more </w:t>
      </w:r>
      <w:r w:rsidR="002C4590">
        <w:t>organis</w:t>
      </w:r>
      <w:r w:rsidR="00695080">
        <w:t xml:space="preserve">ations and institutions realize how important and crucial equality, diversity, and inclusion are in the workplace, there is a growing demand for this kind of event. </w:t>
      </w:r>
      <w:r>
        <w:t xml:space="preserve">Additionally, the event may also involve other event organisers so that they become aware of EDI. </w:t>
      </w:r>
      <w:r w:rsidR="00695080">
        <w:t xml:space="preserve">Society expects top </w:t>
      </w:r>
      <w:r w:rsidR="002C4590">
        <w:t>organis</w:t>
      </w:r>
      <w:r w:rsidR="00695080">
        <w:t xml:space="preserve">ations to guarantee workplace equality so that individuals can receive fair treatment. </w:t>
      </w:r>
      <w:r>
        <w:t xml:space="preserve">The involvement of government bodies and regulatory authorities is a critical addition to this event as they play the key role of modifying the policies on a macro level to promote EDI </w:t>
      </w:r>
      <w:r w:rsidRPr="00301F73">
        <w:t>(Bowdin et al., 2023)</w:t>
      </w:r>
      <w:r>
        <w:t>.</w:t>
      </w:r>
    </w:p>
    <w:p w14:paraId="171E8318" w14:textId="77777777" w:rsidR="00082FBE" w:rsidRDefault="00082FBE" w:rsidP="00082FBE">
      <w:pPr>
        <w:spacing w:before="120" w:line="259" w:lineRule="auto"/>
        <w:jc w:val="left"/>
      </w:pPr>
      <w:r>
        <w:br w:type="page"/>
      </w:r>
    </w:p>
    <w:p w14:paraId="0897DFC0" w14:textId="77777777" w:rsidR="00082FBE" w:rsidRDefault="00082FBE" w:rsidP="00082FBE">
      <w:r>
        <w:rPr>
          <w:noProof/>
          <w:lang w:eastAsia="en-GB"/>
        </w:rPr>
        <w:lastRenderedPageBreak/>
        <w:drawing>
          <wp:inline distT="0" distB="0" distL="0" distR="0" wp14:anchorId="4EF84C6B" wp14:editId="2698739F">
            <wp:extent cx="5943600" cy="3318510"/>
            <wp:effectExtent l="0" t="0" r="0" b="0"/>
            <wp:docPr id="1168202457" name="Picture 1" descr="A group of people in a mee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8202457" name="Picture 1" descr="A group of people in a meeting&#10;&#10;Description automatically generated"/>
                    <pic:cNvPicPr/>
                  </pic:nvPicPr>
                  <pic:blipFill>
                    <a:blip r:embed="rId15"/>
                    <a:stretch>
                      <a:fillRect/>
                    </a:stretch>
                  </pic:blipFill>
                  <pic:spPr>
                    <a:xfrm>
                      <a:off x="0" y="0"/>
                      <a:ext cx="5943600" cy="3318510"/>
                    </a:xfrm>
                    <a:prstGeom prst="rect">
                      <a:avLst/>
                    </a:prstGeom>
                  </pic:spPr>
                </pic:pic>
              </a:graphicData>
            </a:graphic>
          </wp:inline>
        </w:drawing>
      </w:r>
    </w:p>
    <w:p w14:paraId="456F8CC9" w14:textId="77777777" w:rsidR="00082FBE" w:rsidRPr="000869D4" w:rsidRDefault="00082FBE" w:rsidP="00082FBE">
      <w:pPr>
        <w:rPr>
          <w:b/>
          <w:bCs/>
        </w:rPr>
      </w:pPr>
      <w:r w:rsidRPr="000869D4">
        <w:rPr>
          <w:b/>
          <w:bCs/>
        </w:rPr>
        <w:t>Is there a demand for this type of event?</w:t>
      </w:r>
    </w:p>
    <w:p w14:paraId="6378D229" w14:textId="77777777" w:rsidR="00082FBE" w:rsidRDefault="00082FBE" w:rsidP="00082FBE">
      <w:r>
        <w:t xml:space="preserve">There is an increasing demand for this type of event as organisations and institutions are becoming aware of the importance and criticality of equality, diversity, and inclusion in the workplace. Society expects leading organisations to ensure equality in the workplace so that people may be treated fairly </w:t>
      </w:r>
      <w:r w:rsidRPr="00301F73">
        <w:t>(Hagen, 2021</w:t>
      </w:r>
      <w:r w:rsidR="00695080" w:rsidRPr="00301F73">
        <w:t xml:space="preserve">). </w:t>
      </w:r>
      <w:r>
        <w:t xml:space="preserve">Additionally, diversity is the demand in a modern-day workplace as organisations need a diverse perspective and representation in their decision-making and implementation processes. Moreover, inclusion is also critical not only from a societal perspective but also from a sound organisational environment perspective. This type of event will facilitate the importance, benefits, and urgency of upholding equality, diversity, and inclusion in the workplace </w:t>
      </w:r>
      <w:r w:rsidRPr="00301F73">
        <w:t>(Allen et al., 2022)</w:t>
      </w:r>
      <w:r>
        <w:t>.</w:t>
      </w:r>
    </w:p>
    <w:p w14:paraId="2D235240" w14:textId="77777777" w:rsidR="00082FBE" w:rsidRDefault="00082FBE" w:rsidP="00082FBE">
      <w:pPr>
        <w:spacing w:before="120" w:line="259" w:lineRule="auto"/>
        <w:jc w:val="left"/>
      </w:pPr>
      <w:r>
        <w:br w:type="page"/>
      </w:r>
    </w:p>
    <w:p w14:paraId="3F17358B" w14:textId="77777777" w:rsidR="00082FBE" w:rsidRDefault="00082FBE" w:rsidP="00082FBE">
      <w:r>
        <w:rPr>
          <w:noProof/>
          <w:lang w:eastAsia="en-GB"/>
        </w:rPr>
        <w:lastRenderedPageBreak/>
        <w:drawing>
          <wp:inline distT="0" distB="0" distL="0" distR="0" wp14:anchorId="419870EE" wp14:editId="10312FF5">
            <wp:extent cx="5943600" cy="3370580"/>
            <wp:effectExtent l="0" t="0" r="0" b="1270"/>
            <wp:docPr id="1715081957" name="Picture 1" descr="A close-up of a re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5081957" name="Picture 1" descr="A close-up of a report&#10;&#10;Description automatically generated"/>
                    <pic:cNvPicPr/>
                  </pic:nvPicPr>
                  <pic:blipFill>
                    <a:blip r:embed="rId16"/>
                    <a:stretch>
                      <a:fillRect/>
                    </a:stretch>
                  </pic:blipFill>
                  <pic:spPr>
                    <a:xfrm>
                      <a:off x="0" y="0"/>
                      <a:ext cx="5943600" cy="3370580"/>
                    </a:xfrm>
                    <a:prstGeom prst="rect">
                      <a:avLst/>
                    </a:prstGeom>
                  </pic:spPr>
                </pic:pic>
              </a:graphicData>
            </a:graphic>
          </wp:inline>
        </w:drawing>
      </w:r>
    </w:p>
    <w:p w14:paraId="786DFC98" w14:textId="77777777" w:rsidR="00082FBE" w:rsidRPr="00E70405" w:rsidRDefault="00082FBE" w:rsidP="00082FBE">
      <w:pPr>
        <w:rPr>
          <w:b/>
          <w:bCs/>
        </w:rPr>
      </w:pPr>
      <w:r w:rsidRPr="00E70405">
        <w:rPr>
          <w:b/>
          <w:bCs/>
        </w:rPr>
        <w:t>What competition could impact the event?</w:t>
      </w:r>
    </w:p>
    <w:p w14:paraId="2E805106" w14:textId="77777777" w:rsidR="00082FBE" w:rsidRDefault="00082FBE" w:rsidP="00082FBE">
      <w:r>
        <w:t xml:space="preserve">In line with the growing importance of EDI in the workplace, many corporations involve the discussion of EDI as a key agenda in various types of meetings, conferences, and corporate events. Therefore, they can be a competition. </w:t>
      </w:r>
      <w:r w:rsidR="00695080">
        <w:t xml:space="preserve">Additionally, </w:t>
      </w:r>
      <w:r w:rsidR="002C4590">
        <w:t>organis</w:t>
      </w:r>
      <w:r w:rsidR="00695080">
        <w:t xml:space="preserve">ations want a broad perspective and representation in their decision-making and execution processes, which makes diversity a demand in today's workplace. </w:t>
      </w:r>
      <w:r>
        <w:t xml:space="preserve">Additionally, many NGOs specifically focus on promoting equality, diversity, and inclusion in society through various events and projects. These can also impact the effectiveness of this event </w:t>
      </w:r>
      <w:r w:rsidRPr="00301F73">
        <w:t>(Bladen et al., 2022</w:t>
      </w:r>
      <w:r>
        <w:t>).</w:t>
      </w:r>
    </w:p>
    <w:p w14:paraId="0BB12C20" w14:textId="77777777" w:rsidR="00082FBE" w:rsidRDefault="00082FBE" w:rsidP="00082FBE"/>
    <w:p w14:paraId="26F66C0B" w14:textId="77777777" w:rsidR="00082FBE" w:rsidRDefault="00082FBE" w:rsidP="00082FBE">
      <w:pPr>
        <w:spacing w:before="120" w:line="259" w:lineRule="auto"/>
      </w:pPr>
      <w:r>
        <w:br w:type="page"/>
      </w:r>
    </w:p>
    <w:p w14:paraId="569BA01C" w14:textId="77777777" w:rsidR="00082FBE" w:rsidRDefault="00082FBE" w:rsidP="00082FBE">
      <w:pPr>
        <w:pStyle w:val="Heading1"/>
      </w:pPr>
      <w:bookmarkStart w:id="4" w:name="_Toc189075331"/>
      <w:r>
        <w:lastRenderedPageBreak/>
        <w:t>Operational Factors</w:t>
      </w:r>
      <w:bookmarkEnd w:id="4"/>
    </w:p>
    <w:p w14:paraId="2B5A4244" w14:textId="77777777" w:rsidR="00082FBE" w:rsidRDefault="00082FBE" w:rsidP="00082FBE">
      <w:r>
        <w:rPr>
          <w:noProof/>
          <w:lang w:eastAsia="en-GB"/>
        </w:rPr>
        <w:drawing>
          <wp:inline distT="0" distB="0" distL="0" distR="0" wp14:anchorId="4A098725" wp14:editId="6A9278AC">
            <wp:extent cx="5943600" cy="3401695"/>
            <wp:effectExtent l="0" t="0" r="0" b="8255"/>
            <wp:docPr id="782502419" name="Picture 1" descr="A close-up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2502419" name="Picture 1" descr="A close-up of a text&#10;&#10;Description automatically generated"/>
                    <pic:cNvPicPr/>
                  </pic:nvPicPr>
                  <pic:blipFill>
                    <a:blip r:embed="rId17"/>
                    <a:stretch>
                      <a:fillRect/>
                    </a:stretch>
                  </pic:blipFill>
                  <pic:spPr>
                    <a:xfrm>
                      <a:off x="0" y="0"/>
                      <a:ext cx="5943600" cy="3401695"/>
                    </a:xfrm>
                    <a:prstGeom prst="rect">
                      <a:avLst/>
                    </a:prstGeom>
                  </pic:spPr>
                </pic:pic>
              </a:graphicData>
            </a:graphic>
          </wp:inline>
        </w:drawing>
      </w:r>
    </w:p>
    <w:p w14:paraId="40ACFA5A" w14:textId="77777777" w:rsidR="00082FBE" w:rsidRPr="00A56241" w:rsidRDefault="00082FBE" w:rsidP="00082FBE">
      <w:pPr>
        <w:rPr>
          <w:b/>
          <w:bCs/>
        </w:rPr>
      </w:pPr>
      <w:r w:rsidRPr="00A56241">
        <w:rPr>
          <w:b/>
          <w:bCs/>
        </w:rPr>
        <w:t>Where is the proposed location for the event to take place?</w:t>
      </w:r>
    </w:p>
    <w:p w14:paraId="470D2BC2" w14:textId="77777777" w:rsidR="00082FBE" w:rsidRDefault="00082FBE" w:rsidP="00082FBE">
      <w:r>
        <w:t xml:space="preserve">Given the type, nature, target audience, and appeal of the event, this MICE industry meeting focusing on promoting equality, diversity, and inclusion can be organised in the city of London. </w:t>
      </w:r>
      <w:r w:rsidR="00695080">
        <w:t xml:space="preserve">Furthermore, from the standpoint of a healthy </w:t>
      </w:r>
      <w:r w:rsidR="002C4590">
        <w:t>organis</w:t>
      </w:r>
      <w:r w:rsidR="00695080">
        <w:t xml:space="preserve">ational environment as well as society, inclusivity is essential. </w:t>
      </w:r>
      <w:r>
        <w:t xml:space="preserve">London is often considered a global business hub where thousands of professionals and organisations gather to broaden their networks and facilitate discussions involving critical issues </w:t>
      </w:r>
      <w:r w:rsidRPr="00301F73">
        <w:t>(Dowson et al., 2022)</w:t>
      </w:r>
      <w:r>
        <w:t xml:space="preserve">. London is already a hub for continuous MICE industry meetings given its significance in the global business and social dynamics. A potential venue for this event may be the </w:t>
      </w:r>
      <w:proofErr w:type="spellStart"/>
      <w:r>
        <w:t>ExCel</w:t>
      </w:r>
      <w:proofErr w:type="spellEnd"/>
      <w:r>
        <w:t xml:space="preserve"> London Convention Centre </w:t>
      </w:r>
      <w:r w:rsidRPr="00301F73">
        <w:t>(An et al., 2021)</w:t>
      </w:r>
      <w:r>
        <w:t>.</w:t>
      </w:r>
    </w:p>
    <w:p w14:paraId="5F547BE1" w14:textId="77777777" w:rsidR="00082FBE" w:rsidRDefault="00082FBE" w:rsidP="00082FBE">
      <w:pPr>
        <w:spacing w:before="120" w:line="259" w:lineRule="auto"/>
        <w:jc w:val="left"/>
      </w:pPr>
      <w:r>
        <w:br w:type="page"/>
      </w:r>
    </w:p>
    <w:p w14:paraId="47214EBD" w14:textId="77777777" w:rsidR="00082FBE" w:rsidRDefault="00082FBE" w:rsidP="00082FBE">
      <w:r>
        <w:rPr>
          <w:noProof/>
          <w:lang w:eastAsia="en-GB"/>
        </w:rPr>
        <w:lastRenderedPageBreak/>
        <w:drawing>
          <wp:inline distT="0" distB="0" distL="0" distR="0" wp14:anchorId="102C3D59" wp14:editId="0C3A312A">
            <wp:extent cx="5943600" cy="3336925"/>
            <wp:effectExtent l="0" t="0" r="0" b="0"/>
            <wp:docPr id="1824951740"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4951740" name="Picture 1" descr="A close-up of a document&#10;&#10;Description automatically generated"/>
                    <pic:cNvPicPr/>
                  </pic:nvPicPr>
                  <pic:blipFill>
                    <a:blip r:embed="rId18"/>
                    <a:stretch>
                      <a:fillRect/>
                    </a:stretch>
                  </pic:blipFill>
                  <pic:spPr>
                    <a:xfrm>
                      <a:off x="0" y="0"/>
                      <a:ext cx="5943600" cy="3336925"/>
                    </a:xfrm>
                    <a:prstGeom prst="rect">
                      <a:avLst/>
                    </a:prstGeom>
                  </pic:spPr>
                </pic:pic>
              </a:graphicData>
            </a:graphic>
          </wp:inline>
        </w:drawing>
      </w:r>
    </w:p>
    <w:p w14:paraId="63D686FE" w14:textId="77777777" w:rsidR="00082FBE" w:rsidRPr="00A56241" w:rsidRDefault="00082FBE" w:rsidP="00082FBE">
      <w:pPr>
        <w:rPr>
          <w:b/>
          <w:bCs/>
        </w:rPr>
      </w:pPr>
      <w:r w:rsidRPr="00A56241">
        <w:rPr>
          <w:b/>
          <w:bCs/>
        </w:rPr>
        <w:t>Venue Availability? Suitability of the venue? Staffing requirements?</w:t>
      </w:r>
    </w:p>
    <w:p w14:paraId="3805B26A" w14:textId="77777777" w:rsidR="00082FBE" w:rsidRDefault="00082FBE" w:rsidP="00082FBE">
      <w:r>
        <w:t xml:space="preserve">London allows the availability of numerous venues for this kind of MICE industry event. The criteria for selecting the venue include its accessibility and location, capacity (200 to 300 industry professionals), facilities, infrastructure, reputation, and the like. A focus on sustainable practices is another credential for the venue </w:t>
      </w:r>
      <w:r w:rsidRPr="00301F73">
        <w:t>(Kim et al., 2022)</w:t>
      </w:r>
      <w:r>
        <w:t xml:space="preserve">. The suitability of the venue must be ensured to enhance the effectiveness of the event. Given the hybrid nature of the event (offline and online), the technology infrastructure of the venue must be solid and reliable. In terms of staffing, there will be a core team involving the management of the event organisers, logistics management team, and marketing team. Additionally, there will be part-time staff who will take care of the registration process, security, and technical aspects </w:t>
      </w:r>
    </w:p>
    <w:p w14:paraId="4D9A54D0" w14:textId="77777777" w:rsidR="00082FBE" w:rsidRDefault="00082FBE" w:rsidP="00082FBE">
      <w:pPr>
        <w:spacing w:before="120" w:line="259" w:lineRule="auto"/>
        <w:jc w:val="left"/>
        <w:rPr>
          <w:b/>
          <w:bCs/>
        </w:rPr>
      </w:pPr>
      <w:r>
        <w:rPr>
          <w:b/>
          <w:bCs/>
        </w:rPr>
        <w:br w:type="page"/>
      </w:r>
    </w:p>
    <w:p w14:paraId="34B49444" w14:textId="77777777" w:rsidR="00082FBE" w:rsidRDefault="00082FBE" w:rsidP="00082FBE">
      <w:r>
        <w:rPr>
          <w:noProof/>
          <w:lang w:eastAsia="en-GB"/>
        </w:rPr>
        <w:lastRenderedPageBreak/>
        <w:drawing>
          <wp:inline distT="0" distB="0" distL="0" distR="0" wp14:anchorId="2F7CC3B8" wp14:editId="606D2ACE">
            <wp:extent cx="5943600" cy="3344545"/>
            <wp:effectExtent l="0" t="0" r="0" b="8255"/>
            <wp:docPr id="317494630" name="Picture 1" descr="A group of people in a mee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7494630" name="Picture 1" descr="A group of people in a meeting&#10;&#10;Description automatically generated"/>
                    <pic:cNvPicPr/>
                  </pic:nvPicPr>
                  <pic:blipFill>
                    <a:blip r:embed="rId19"/>
                    <a:stretch>
                      <a:fillRect/>
                    </a:stretch>
                  </pic:blipFill>
                  <pic:spPr>
                    <a:xfrm>
                      <a:off x="0" y="0"/>
                      <a:ext cx="5943600" cy="3344545"/>
                    </a:xfrm>
                    <a:prstGeom prst="rect">
                      <a:avLst/>
                    </a:prstGeom>
                  </pic:spPr>
                </pic:pic>
              </a:graphicData>
            </a:graphic>
          </wp:inline>
        </w:drawing>
      </w:r>
    </w:p>
    <w:p w14:paraId="0EA8D357" w14:textId="77777777" w:rsidR="00082FBE" w:rsidRPr="004C0095" w:rsidRDefault="00082FBE" w:rsidP="00082FBE">
      <w:pPr>
        <w:rPr>
          <w:b/>
          <w:bCs/>
        </w:rPr>
      </w:pPr>
      <w:r w:rsidRPr="004C0095">
        <w:rPr>
          <w:b/>
          <w:bCs/>
        </w:rPr>
        <w:t>What are the skillsets to host the event?</w:t>
      </w:r>
    </w:p>
    <w:p w14:paraId="7DC073E3" w14:textId="77777777" w:rsidR="00082FBE" w:rsidRDefault="00082FBE" w:rsidP="00082FBE">
      <w:r>
        <w:t xml:space="preserve">Hosting this event will require a range of skills. The event is a large-scale event with around 300 participants. The host will have to have robust communication and engagement skills to gather the attention of these many people. Additionally, hosting the event will require extensive and strong public speaking skills </w:t>
      </w:r>
      <w:r w:rsidRPr="00301F73">
        <w:t>(</w:t>
      </w:r>
      <w:proofErr w:type="spellStart"/>
      <w:r w:rsidRPr="00301F73">
        <w:t>Zhylenko</w:t>
      </w:r>
      <w:proofErr w:type="spellEnd"/>
      <w:r w:rsidRPr="00301F73">
        <w:t xml:space="preserve"> et al., 2022)</w:t>
      </w:r>
      <w:r>
        <w:t xml:space="preserve">. Furthermore, hosting the event will require cultural competencies as the audience will come from various cultural backgrounds. </w:t>
      </w:r>
      <w:r w:rsidR="00695080">
        <w:t xml:space="preserve">The significance, advantages, and urgency of maintaining equality, diversity, and inclusion in the workplace will be made clearer by this kind of event. </w:t>
      </w:r>
      <w:r>
        <w:t xml:space="preserve">Furthermore, hosting the event will require the possession of corporate etiquette. Knowledge about the ongoing industry practices involving equality, diversity, and inclusion is also required </w:t>
      </w:r>
      <w:r w:rsidRPr="00301F73">
        <w:t>(Hagen, 2021)</w:t>
      </w:r>
      <w:r>
        <w:t>.</w:t>
      </w:r>
    </w:p>
    <w:p w14:paraId="5B2AD003" w14:textId="77777777" w:rsidR="00082FBE" w:rsidRDefault="00082FBE" w:rsidP="00082FBE">
      <w:pPr>
        <w:spacing w:before="120" w:line="259" w:lineRule="auto"/>
        <w:jc w:val="left"/>
      </w:pPr>
      <w:r>
        <w:br w:type="page"/>
      </w:r>
    </w:p>
    <w:p w14:paraId="147AE95F" w14:textId="77777777" w:rsidR="00082FBE" w:rsidRDefault="00082FBE" w:rsidP="00082FBE">
      <w:r>
        <w:rPr>
          <w:noProof/>
          <w:lang w:eastAsia="en-GB"/>
        </w:rPr>
        <w:lastRenderedPageBreak/>
        <w:drawing>
          <wp:inline distT="0" distB="0" distL="0" distR="0" wp14:anchorId="57100D2E" wp14:editId="1DD69094">
            <wp:extent cx="5943600" cy="3345180"/>
            <wp:effectExtent l="0" t="0" r="0" b="7620"/>
            <wp:docPr id="589916191"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9916191" name="Picture 1" descr="A close-up of a document&#10;&#10;Description automatically generated"/>
                    <pic:cNvPicPr/>
                  </pic:nvPicPr>
                  <pic:blipFill>
                    <a:blip r:embed="rId20"/>
                    <a:stretch>
                      <a:fillRect/>
                    </a:stretch>
                  </pic:blipFill>
                  <pic:spPr>
                    <a:xfrm>
                      <a:off x="0" y="0"/>
                      <a:ext cx="5943600" cy="3345180"/>
                    </a:xfrm>
                    <a:prstGeom prst="rect">
                      <a:avLst/>
                    </a:prstGeom>
                  </pic:spPr>
                </pic:pic>
              </a:graphicData>
            </a:graphic>
          </wp:inline>
        </w:drawing>
      </w:r>
    </w:p>
    <w:p w14:paraId="4A5792AA" w14:textId="77777777" w:rsidR="00082FBE" w:rsidRPr="004C0095" w:rsidRDefault="00082FBE" w:rsidP="00082FBE">
      <w:pPr>
        <w:rPr>
          <w:b/>
          <w:bCs/>
        </w:rPr>
      </w:pPr>
      <w:r w:rsidRPr="004C0095">
        <w:rPr>
          <w:b/>
          <w:bCs/>
        </w:rPr>
        <w:t>Likely resource allocations</w:t>
      </w:r>
    </w:p>
    <w:p w14:paraId="1CA26398" w14:textId="77777777" w:rsidR="00082FBE" w:rsidRDefault="00082FBE" w:rsidP="00082FBE">
      <w:r>
        <w:t xml:space="preserve">The resources of the event will be allocated in the different sectors including catering, lighting and audio, parking facilities, venue, seating arrangements, etc. The catering must consider the diversity of the participants of the event. The lighting as well as the audio setup must be spot-on to foster engagement. </w:t>
      </w:r>
      <w:r w:rsidR="00695080">
        <w:t xml:space="preserve">To increase the event's efficacy, the venue's suitability must be guaranteed. </w:t>
      </w:r>
      <w:r>
        <w:t xml:space="preserve">Additionally, resources will also have to be allocated to arrange proper parking for the guests. Furthermore, the seating arrangements must consider the fact the event is aimed to facilitate discussions among the participants </w:t>
      </w:r>
      <w:r w:rsidRPr="00301F73">
        <w:t>(Rogers and Wynn-Moylan, 2022)</w:t>
      </w:r>
      <w:r>
        <w:t>.</w:t>
      </w:r>
    </w:p>
    <w:p w14:paraId="1CD37DE9" w14:textId="77777777" w:rsidR="00082FBE" w:rsidRDefault="00082FBE" w:rsidP="00082FBE"/>
    <w:p w14:paraId="78921641" w14:textId="77777777" w:rsidR="00082FBE" w:rsidRDefault="00082FBE" w:rsidP="00082FBE"/>
    <w:p w14:paraId="176CA7D0" w14:textId="77777777" w:rsidR="00082FBE" w:rsidRDefault="00082FBE" w:rsidP="00082FBE"/>
    <w:p w14:paraId="3E6E9521" w14:textId="77777777" w:rsidR="00082FBE" w:rsidRDefault="00082FBE" w:rsidP="00082FBE"/>
    <w:p w14:paraId="335BE02A" w14:textId="77777777" w:rsidR="00082FBE" w:rsidRDefault="00082FBE" w:rsidP="00082FBE"/>
    <w:p w14:paraId="66B3888B" w14:textId="77777777" w:rsidR="00082FBE" w:rsidRDefault="00082FBE" w:rsidP="00082FBE">
      <w:pPr>
        <w:spacing w:before="120" w:line="259" w:lineRule="auto"/>
      </w:pPr>
      <w:r>
        <w:br w:type="page"/>
      </w:r>
    </w:p>
    <w:p w14:paraId="108A1BCF" w14:textId="77777777" w:rsidR="00082FBE" w:rsidRDefault="00082FBE" w:rsidP="00082FBE">
      <w:pPr>
        <w:pStyle w:val="Heading1"/>
      </w:pPr>
      <w:bookmarkStart w:id="5" w:name="_Toc189075332"/>
      <w:r>
        <w:lastRenderedPageBreak/>
        <w:t>Financial Factors</w:t>
      </w:r>
      <w:bookmarkEnd w:id="5"/>
    </w:p>
    <w:p w14:paraId="1D59897A" w14:textId="77777777" w:rsidR="00082FBE" w:rsidRDefault="00082FBE" w:rsidP="00082FBE">
      <w:r>
        <w:rPr>
          <w:noProof/>
          <w:lang w:eastAsia="en-GB"/>
        </w:rPr>
        <w:drawing>
          <wp:inline distT="0" distB="0" distL="0" distR="0" wp14:anchorId="4B7542B3" wp14:editId="6C8CAB0F">
            <wp:extent cx="5943600" cy="3340735"/>
            <wp:effectExtent l="0" t="0" r="0" b="0"/>
            <wp:docPr id="853441430" name="Picture 1" descr="A table of financial facto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3441430" name="Picture 1" descr="A table of financial factors&#10;&#10;Description automatically generated with medium confidence"/>
                    <pic:cNvPicPr/>
                  </pic:nvPicPr>
                  <pic:blipFill>
                    <a:blip r:embed="rId21"/>
                    <a:stretch>
                      <a:fillRect/>
                    </a:stretch>
                  </pic:blipFill>
                  <pic:spPr>
                    <a:xfrm>
                      <a:off x="0" y="0"/>
                      <a:ext cx="5943600" cy="3340735"/>
                    </a:xfrm>
                    <a:prstGeom prst="rect">
                      <a:avLst/>
                    </a:prstGeom>
                  </pic:spPr>
                </pic:pic>
              </a:graphicData>
            </a:graphic>
          </wp:inline>
        </w:drawing>
      </w:r>
    </w:p>
    <w:p w14:paraId="0EFBC66B" w14:textId="77777777" w:rsidR="00082FBE" w:rsidRPr="00D92071" w:rsidRDefault="00082FBE" w:rsidP="00082FBE">
      <w:pPr>
        <w:rPr>
          <w:b/>
          <w:bCs/>
        </w:rPr>
      </w:pPr>
      <w:r w:rsidRPr="00D92071">
        <w:rPr>
          <w:b/>
          <w:bCs/>
        </w:rPr>
        <w:t>Predicted breakdown of costs</w:t>
      </w:r>
      <w:r>
        <w:rPr>
          <w:b/>
          <w:bCs/>
        </w:rPr>
        <w:t xml:space="preserve"> for the event</w:t>
      </w:r>
    </w:p>
    <w:tbl>
      <w:tblPr>
        <w:tblStyle w:val="TableGrid"/>
        <w:tblW w:w="0" w:type="auto"/>
        <w:tblLook w:val="04A0" w:firstRow="1" w:lastRow="0" w:firstColumn="1" w:lastColumn="0" w:noHBand="0" w:noVBand="1"/>
      </w:tblPr>
      <w:tblGrid>
        <w:gridCol w:w="4517"/>
        <w:gridCol w:w="4499"/>
      </w:tblGrid>
      <w:tr w:rsidR="00082FBE" w14:paraId="3F36DECB" w14:textId="77777777" w:rsidTr="00627E3F">
        <w:tc>
          <w:tcPr>
            <w:tcW w:w="4675" w:type="dxa"/>
          </w:tcPr>
          <w:p w14:paraId="6BF7BA14" w14:textId="77777777" w:rsidR="00082FBE" w:rsidRPr="00D06D63" w:rsidRDefault="00082FBE" w:rsidP="00627E3F">
            <w:pPr>
              <w:spacing w:line="276" w:lineRule="auto"/>
              <w:jc w:val="center"/>
              <w:rPr>
                <w:b/>
                <w:bCs/>
              </w:rPr>
            </w:pPr>
            <w:r w:rsidRPr="00D06D63">
              <w:rPr>
                <w:b/>
                <w:bCs/>
              </w:rPr>
              <w:t>Cost Pool</w:t>
            </w:r>
          </w:p>
        </w:tc>
        <w:tc>
          <w:tcPr>
            <w:tcW w:w="4675" w:type="dxa"/>
          </w:tcPr>
          <w:p w14:paraId="19AA8ED9" w14:textId="77777777" w:rsidR="00082FBE" w:rsidRPr="00D06D63" w:rsidRDefault="00082FBE" w:rsidP="00627E3F">
            <w:pPr>
              <w:spacing w:line="276" w:lineRule="auto"/>
              <w:jc w:val="center"/>
              <w:rPr>
                <w:b/>
                <w:bCs/>
              </w:rPr>
            </w:pPr>
            <w:r w:rsidRPr="00D06D63">
              <w:rPr>
                <w:b/>
                <w:bCs/>
              </w:rPr>
              <w:t>Estimated Cost (£)</w:t>
            </w:r>
          </w:p>
        </w:tc>
      </w:tr>
      <w:tr w:rsidR="00082FBE" w14:paraId="781EE7C0" w14:textId="77777777" w:rsidTr="00627E3F">
        <w:tc>
          <w:tcPr>
            <w:tcW w:w="4675" w:type="dxa"/>
          </w:tcPr>
          <w:p w14:paraId="370DE1EC" w14:textId="77777777" w:rsidR="00082FBE" w:rsidRDefault="00082FBE" w:rsidP="00627E3F">
            <w:pPr>
              <w:spacing w:line="276" w:lineRule="auto"/>
            </w:pPr>
            <w:r>
              <w:t xml:space="preserve">Catering </w:t>
            </w:r>
          </w:p>
        </w:tc>
        <w:tc>
          <w:tcPr>
            <w:tcW w:w="4675" w:type="dxa"/>
          </w:tcPr>
          <w:p w14:paraId="2AA0DBD9" w14:textId="77777777" w:rsidR="00082FBE" w:rsidRDefault="00082FBE" w:rsidP="00627E3F">
            <w:pPr>
              <w:spacing w:line="276" w:lineRule="auto"/>
              <w:jc w:val="center"/>
            </w:pPr>
            <w:r>
              <w:t>12000</w:t>
            </w:r>
          </w:p>
        </w:tc>
      </w:tr>
      <w:tr w:rsidR="00082FBE" w14:paraId="48B05FD0" w14:textId="77777777" w:rsidTr="00627E3F">
        <w:tc>
          <w:tcPr>
            <w:tcW w:w="4675" w:type="dxa"/>
          </w:tcPr>
          <w:p w14:paraId="54AD9B5F" w14:textId="77777777" w:rsidR="00082FBE" w:rsidRDefault="00082FBE" w:rsidP="00627E3F">
            <w:pPr>
              <w:spacing w:line="276" w:lineRule="auto"/>
            </w:pPr>
            <w:r>
              <w:t>Venue Rental</w:t>
            </w:r>
          </w:p>
        </w:tc>
        <w:tc>
          <w:tcPr>
            <w:tcW w:w="4675" w:type="dxa"/>
          </w:tcPr>
          <w:p w14:paraId="232E77A3" w14:textId="77777777" w:rsidR="00082FBE" w:rsidRDefault="00082FBE" w:rsidP="00627E3F">
            <w:pPr>
              <w:spacing w:line="276" w:lineRule="auto"/>
              <w:jc w:val="center"/>
            </w:pPr>
            <w:r>
              <w:t>25000</w:t>
            </w:r>
          </w:p>
        </w:tc>
      </w:tr>
      <w:tr w:rsidR="00082FBE" w14:paraId="1D898936" w14:textId="77777777" w:rsidTr="00627E3F">
        <w:tc>
          <w:tcPr>
            <w:tcW w:w="4675" w:type="dxa"/>
          </w:tcPr>
          <w:p w14:paraId="31587FDC" w14:textId="77777777" w:rsidR="00082FBE" w:rsidRDefault="00082FBE" w:rsidP="00627E3F">
            <w:pPr>
              <w:spacing w:line="276" w:lineRule="auto"/>
            </w:pPr>
            <w:r>
              <w:t>Lighting and Audio</w:t>
            </w:r>
          </w:p>
        </w:tc>
        <w:tc>
          <w:tcPr>
            <w:tcW w:w="4675" w:type="dxa"/>
          </w:tcPr>
          <w:p w14:paraId="2B2DF7D6" w14:textId="77777777" w:rsidR="00082FBE" w:rsidRDefault="00082FBE" w:rsidP="00627E3F">
            <w:pPr>
              <w:spacing w:line="276" w:lineRule="auto"/>
              <w:jc w:val="center"/>
            </w:pPr>
            <w:r>
              <w:t>10000</w:t>
            </w:r>
          </w:p>
        </w:tc>
      </w:tr>
      <w:tr w:rsidR="00082FBE" w14:paraId="2FF61507" w14:textId="77777777" w:rsidTr="00627E3F">
        <w:tc>
          <w:tcPr>
            <w:tcW w:w="4675" w:type="dxa"/>
          </w:tcPr>
          <w:p w14:paraId="4061A67F" w14:textId="77777777" w:rsidR="00082FBE" w:rsidRDefault="00082FBE" w:rsidP="00627E3F">
            <w:pPr>
              <w:spacing w:line="276" w:lineRule="auto"/>
            </w:pPr>
            <w:r>
              <w:t>Marketing</w:t>
            </w:r>
          </w:p>
        </w:tc>
        <w:tc>
          <w:tcPr>
            <w:tcW w:w="4675" w:type="dxa"/>
          </w:tcPr>
          <w:p w14:paraId="7D3D33B8" w14:textId="77777777" w:rsidR="00082FBE" w:rsidRDefault="00082FBE" w:rsidP="00627E3F">
            <w:pPr>
              <w:spacing w:line="276" w:lineRule="auto"/>
              <w:jc w:val="center"/>
            </w:pPr>
            <w:r>
              <w:t>12000</w:t>
            </w:r>
          </w:p>
        </w:tc>
      </w:tr>
      <w:tr w:rsidR="00082FBE" w14:paraId="35402040" w14:textId="77777777" w:rsidTr="00627E3F">
        <w:tc>
          <w:tcPr>
            <w:tcW w:w="4675" w:type="dxa"/>
          </w:tcPr>
          <w:p w14:paraId="0E9178B3" w14:textId="77777777" w:rsidR="00082FBE" w:rsidRDefault="00082FBE" w:rsidP="00627E3F">
            <w:pPr>
              <w:spacing w:line="276" w:lineRule="auto"/>
            </w:pPr>
            <w:r>
              <w:t xml:space="preserve">Printing </w:t>
            </w:r>
          </w:p>
        </w:tc>
        <w:tc>
          <w:tcPr>
            <w:tcW w:w="4675" w:type="dxa"/>
          </w:tcPr>
          <w:p w14:paraId="7DD0259E" w14:textId="77777777" w:rsidR="00082FBE" w:rsidRDefault="00082FBE" w:rsidP="00627E3F">
            <w:pPr>
              <w:spacing w:line="276" w:lineRule="auto"/>
              <w:jc w:val="center"/>
            </w:pPr>
            <w:r>
              <w:t>10000</w:t>
            </w:r>
          </w:p>
        </w:tc>
      </w:tr>
      <w:tr w:rsidR="00082FBE" w14:paraId="201972F6" w14:textId="77777777" w:rsidTr="00627E3F">
        <w:tc>
          <w:tcPr>
            <w:tcW w:w="4675" w:type="dxa"/>
          </w:tcPr>
          <w:p w14:paraId="782208D8" w14:textId="77777777" w:rsidR="00082FBE" w:rsidRDefault="00082FBE" w:rsidP="00627E3F">
            <w:pPr>
              <w:spacing w:line="276" w:lineRule="auto"/>
            </w:pPr>
            <w:r>
              <w:t>Logistics</w:t>
            </w:r>
          </w:p>
        </w:tc>
        <w:tc>
          <w:tcPr>
            <w:tcW w:w="4675" w:type="dxa"/>
          </w:tcPr>
          <w:p w14:paraId="4CBA3F41" w14:textId="77777777" w:rsidR="00082FBE" w:rsidRDefault="00082FBE" w:rsidP="00627E3F">
            <w:pPr>
              <w:spacing w:line="276" w:lineRule="auto"/>
              <w:jc w:val="center"/>
            </w:pPr>
            <w:r>
              <w:t>8000</w:t>
            </w:r>
          </w:p>
        </w:tc>
      </w:tr>
      <w:tr w:rsidR="00082FBE" w14:paraId="7223EB96" w14:textId="77777777" w:rsidTr="00627E3F">
        <w:tc>
          <w:tcPr>
            <w:tcW w:w="4675" w:type="dxa"/>
          </w:tcPr>
          <w:p w14:paraId="0B5C12C0" w14:textId="77777777" w:rsidR="00082FBE" w:rsidRDefault="00082FBE" w:rsidP="00627E3F">
            <w:pPr>
              <w:spacing w:line="276" w:lineRule="auto"/>
            </w:pPr>
            <w:r>
              <w:t>Staffing</w:t>
            </w:r>
          </w:p>
        </w:tc>
        <w:tc>
          <w:tcPr>
            <w:tcW w:w="4675" w:type="dxa"/>
          </w:tcPr>
          <w:p w14:paraId="6647F8E2" w14:textId="77777777" w:rsidR="00082FBE" w:rsidRDefault="00082FBE" w:rsidP="00627E3F">
            <w:pPr>
              <w:spacing w:line="276" w:lineRule="auto"/>
              <w:jc w:val="center"/>
            </w:pPr>
            <w:r>
              <w:t>12000</w:t>
            </w:r>
          </w:p>
        </w:tc>
      </w:tr>
      <w:tr w:rsidR="00082FBE" w14:paraId="7BFA0DFF" w14:textId="77777777" w:rsidTr="00627E3F">
        <w:tc>
          <w:tcPr>
            <w:tcW w:w="4675" w:type="dxa"/>
          </w:tcPr>
          <w:p w14:paraId="6711D280" w14:textId="77777777" w:rsidR="00082FBE" w:rsidRDefault="00082FBE" w:rsidP="00627E3F">
            <w:pPr>
              <w:spacing w:line="276" w:lineRule="auto"/>
            </w:pPr>
            <w:r>
              <w:t>Miscellaneous</w:t>
            </w:r>
          </w:p>
        </w:tc>
        <w:tc>
          <w:tcPr>
            <w:tcW w:w="4675" w:type="dxa"/>
          </w:tcPr>
          <w:p w14:paraId="31C55FD4" w14:textId="77777777" w:rsidR="00082FBE" w:rsidRDefault="00082FBE" w:rsidP="00627E3F">
            <w:pPr>
              <w:spacing w:line="276" w:lineRule="auto"/>
              <w:jc w:val="center"/>
            </w:pPr>
            <w:r>
              <w:t>5000</w:t>
            </w:r>
          </w:p>
        </w:tc>
      </w:tr>
      <w:tr w:rsidR="00082FBE" w14:paraId="6E07D703" w14:textId="77777777" w:rsidTr="00627E3F">
        <w:tc>
          <w:tcPr>
            <w:tcW w:w="4675" w:type="dxa"/>
          </w:tcPr>
          <w:p w14:paraId="42F7E280" w14:textId="77777777" w:rsidR="00082FBE" w:rsidRDefault="00082FBE" w:rsidP="00627E3F">
            <w:pPr>
              <w:spacing w:line="276" w:lineRule="auto"/>
            </w:pPr>
            <w:r>
              <w:t>Contingencies</w:t>
            </w:r>
          </w:p>
        </w:tc>
        <w:tc>
          <w:tcPr>
            <w:tcW w:w="4675" w:type="dxa"/>
          </w:tcPr>
          <w:p w14:paraId="3AB933DF" w14:textId="77777777" w:rsidR="00082FBE" w:rsidRDefault="00082FBE" w:rsidP="00627E3F">
            <w:pPr>
              <w:spacing w:line="276" w:lineRule="auto"/>
              <w:jc w:val="center"/>
            </w:pPr>
            <w:r>
              <w:t>2000</w:t>
            </w:r>
          </w:p>
        </w:tc>
      </w:tr>
      <w:tr w:rsidR="00082FBE" w14:paraId="3BB214F1" w14:textId="77777777" w:rsidTr="00627E3F">
        <w:tc>
          <w:tcPr>
            <w:tcW w:w="4675" w:type="dxa"/>
          </w:tcPr>
          <w:p w14:paraId="3DD08899" w14:textId="77777777" w:rsidR="00082FBE" w:rsidRPr="00D06D63" w:rsidRDefault="00082FBE" w:rsidP="00627E3F">
            <w:pPr>
              <w:spacing w:line="276" w:lineRule="auto"/>
              <w:rPr>
                <w:b/>
                <w:bCs/>
              </w:rPr>
            </w:pPr>
            <w:r w:rsidRPr="00D06D63">
              <w:rPr>
                <w:b/>
                <w:bCs/>
              </w:rPr>
              <w:t>Total</w:t>
            </w:r>
          </w:p>
        </w:tc>
        <w:tc>
          <w:tcPr>
            <w:tcW w:w="4675" w:type="dxa"/>
          </w:tcPr>
          <w:p w14:paraId="04152ED3" w14:textId="77777777" w:rsidR="00082FBE" w:rsidRPr="00D06D63" w:rsidRDefault="00082FBE" w:rsidP="00627E3F">
            <w:pPr>
              <w:spacing w:line="276" w:lineRule="auto"/>
              <w:jc w:val="center"/>
              <w:rPr>
                <w:b/>
                <w:bCs/>
              </w:rPr>
            </w:pPr>
            <w:r w:rsidRPr="00D06D63">
              <w:rPr>
                <w:b/>
                <w:bCs/>
              </w:rPr>
              <w:t>96000</w:t>
            </w:r>
          </w:p>
        </w:tc>
      </w:tr>
    </w:tbl>
    <w:p w14:paraId="39DA358C" w14:textId="77777777" w:rsidR="00082FBE" w:rsidRDefault="00082FBE" w:rsidP="00082FBE">
      <w:pPr>
        <w:spacing w:before="120" w:line="259" w:lineRule="auto"/>
      </w:pPr>
      <w:r>
        <w:br w:type="page"/>
      </w:r>
    </w:p>
    <w:p w14:paraId="03450717" w14:textId="77777777" w:rsidR="00082FBE" w:rsidRDefault="00082FBE" w:rsidP="00082FBE">
      <w:r>
        <w:rPr>
          <w:noProof/>
          <w:lang w:eastAsia="en-GB"/>
        </w:rPr>
        <w:lastRenderedPageBreak/>
        <w:drawing>
          <wp:inline distT="0" distB="0" distL="0" distR="0" wp14:anchorId="6B8B5D13" wp14:editId="5C7EA10E">
            <wp:extent cx="5943600" cy="3350895"/>
            <wp:effectExtent l="0" t="0" r="0" b="1905"/>
            <wp:docPr id="1219719537" name="Picture 1" descr="A close-up of a financial fact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9719537" name="Picture 1" descr="A close-up of a financial factor&#10;&#10;Description automatically generated"/>
                    <pic:cNvPicPr/>
                  </pic:nvPicPr>
                  <pic:blipFill>
                    <a:blip r:embed="rId22"/>
                    <a:stretch>
                      <a:fillRect/>
                    </a:stretch>
                  </pic:blipFill>
                  <pic:spPr>
                    <a:xfrm>
                      <a:off x="0" y="0"/>
                      <a:ext cx="5943600" cy="3350895"/>
                    </a:xfrm>
                    <a:prstGeom prst="rect">
                      <a:avLst/>
                    </a:prstGeom>
                  </pic:spPr>
                </pic:pic>
              </a:graphicData>
            </a:graphic>
          </wp:inline>
        </w:drawing>
      </w:r>
    </w:p>
    <w:p w14:paraId="0A2DBEEC" w14:textId="77777777" w:rsidR="00082FBE" w:rsidRPr="00AC698E" w:rsidRDefault="00082FBE" w:rsidP="00082FBE">
      <w:pPr>
        <w:rPr>
          <w:b/>
          <w:bCs/>
        </w:rPr>
      </w:pPr>
      <w:r w:rsidRPr="00AC698E">
        <w:rPr>
          <w:b/>
          <w:bCs/>
        </w:rPr>
        <w:t>Where will the funding come from?</w:t>
      </w:r>
    </w:p>
    <w:p w14:paraId="180214BE" w14:textId="77777777" w:rsidR="00082FBE" w:rsidRDefault="00082FBE" w:rsidP="00082FBE">
      <w:r>
        <w:t xml:space="preserve">The funding for the event will primarily come from corporate sponsorships. The MICE industry has historically generated funding for this type of event from sponsorships as businesses are interested in being the sponsoring body of an event given the reputation and credibility the event brings to the sponsoring companies. </w:t>
      </w:r>
      <w:r w:rsidR="00695080">
        <w:t xml:space="preserve">The venue's technological infrastructure needs to be strong and dependable because of the event's hybrid format. </w:t>
      </w:r>
      <w:r>
        <w:t xml:space="preserve">Additionally, this sort of event can also generate funding through grants from different organisations. Private investments are also a source of funding for this event </w:t>
      </w:r>
      <w:r w:rsidRPr="00301F73">
        <w:t>(Bladen et al., 2022</w:t>
      </w:r>
      <w:r>
        <w:t>).</w:t>
      </w:r>
    </w:p>
    <w:p w14:paraId="22E27F8D" w14:textId="77777777" w:rsidR="00082FBE" w:rsidRDefault="00082FBE" w:rsidP="00082FBE"/>
    <w:p w14:paraId="66441A33" w14:textId="77777777" w:rsidR="00082FBE" w:rsidRDefault="00082FBE" w:rsidP="00082FBE">
      <w:pPr>
        <w:spacing w:before="120" w:line="259" w:lineRule="auto"/>
      </w:pPr>
      <w:r>
        <w:br w:type="page"/>
      </w:r>
    </w:p>
    <w:p w14:paraId="5DAE1425" w14:textId="77777777" w:rsidR="00082FBE" w:rsidRDefault="00082FBE" w:rsidP="00082FBE">
      <w:r>
        <w:rPr>
          <w:noProof/>
          <w:lang w:eastAsia="en-GB"/>
        </w:rPr>
        <w:lastRenderedPageBreak/>
        <w:drawing>
          <wp:inline distT="0" distB="0" distL="0" distR="0" wp14:anchorId="00F5795F" wp14:editId="643DD879">
            <wp:extent cx="5943600" cy="3263265"/>
            <wp:effectExtent l="0" t="0" r="0" b="0"/>
            <wp:docPr id="1462672758" name="Picture 1" descr="A white paper with text and colorful squar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2672758" name="Picture 1" descr="A white paper with text and colorful squares&#10;&#10;Description automatically generated with medium confidence"/>
                    <pic:cNvPicPr/>
                  </pic:nvPicPr>
                  <pic:blipFill>
                    <a:blip r:embed="rId23"/>
                    <a:stretch>
                      <a:fillRect/>
                    </a:stretch>
                  </pic:blipFill>
                  <pic:spPr>
                    <a:xfrm>
                      <a:off x="0" y="0"/>
                      <a:ext cx="5943600" cy="3263265"/>
                    </a:xfrm>
                    <a:prstGeom prst="rect">
                      <a:avLst/>
                    </a:prstGeom>
                  </pic:spPr>
                </pic:pic>
              </a:graphicData>
            </a:graphic>
          </wp:inline>
        </w:drawing>
      </w:r>
    </w:p>
    <w:p w14:paraId="7A47AA1A" w14:textId="77777777" w:rsidR="00082FBE" w:rsidRPr="00DE1FCD" w:rsidRDefault="00082FBE" w:rsidP="00082FBE">
      <w:pPr>
        <w:rPr>
          <w:b/>
          <w:bCs/>
        </w:rPr>
      </w:pPr>
      <w:r w:rsidRPr="00DE1FCD">
        <w:rPr>
          <w:b/>
          <w:bCs/>
        </w:rPr>
        <w:t>How will the event generate revenue?</w:t>
      </w:r>
    </w:p>
    <w:p w14:paraId="2A559F68" w14:textId="77777777" w:rsidR="00082FBE" w:rsidRDefault="00082FBE" w:rsidP="00082FBE">
      <w:r>
        <w:t xml:space="preserve">The event will generate revenue from multiple sources including ticket sales for both physical participation and virtual access, exhibition booths, sales of merchandise, and the like. </w:t>
      </w:r>
      <w:r w:rsidR="00695080">
        <w:t xml:space="preserve">A core team comprising the marketing team, logistical management team, and event </w:t>
      </w:r>
      <w:r w:rsidR="002C4590">
        <w:t>organis</w:t>
      </w:r>
      <w:r w:rsidR="00695080">
        <w:t xml:space="preserve">ers' management will be in charge of staffing. </w:t>
      </w:r>
      <w:r>
        <w:t xml:space="preserve">Additionally, further corporate sponsorships can also contribute to the revenue stream of the event </w:t>
      </w:r>
      <w:r w:rsidRPr="00301F73">
        <w:t>(Kim et al., 2022)</w:t>
      </w:r>
      <w:r>
        <w:t>.</w:t>
      </w:r>
    </w:p>
    <w:p w14:paraId="31D12B47" w14:textId="77777777" w:rsidR="00082FBE" w:rsidRDefault="00082FBE" w:rsidP="00082FBE"/>
    <w:p w14:paraId="40761C1C" w14:textId="77777777" w:rsidR="00082FBE" w:rsidRDefault="00082FBE" w:rsidP="00082FBE"/>
    <w:p w14:paraId="0E21256F" w14:textId="77777777" w:rsidR="00082FBE" w:rsidRDefault="00082FBE" w:rsidP="00082FBE"/>
    <w:p w14:paraId="28A5BCD6" w14:textId="77777777" w:rsidR="00082FBE" w:rsidRDefault="00082FBE" w:rsidP="00082FBE">
      <w:pPr>
        <w:spacing w:before="120" w:line="259" w:lineRule="auto"/>
      </w:pPr>
    </w:p>
    <w:p w14:paraId="794A2957" w14:textId="77777777" w:rsidR="00082FBE" w:rsidRDefault="00082FBE" w:rsidP="00082FBE"/>
    <w:p w14:paraId="2D20F960" w14:textId="77777777" w:rsidR="00082FBE" w:rsidRDefault="00082FBE" w:rsidP="00082FBE">
      <w:r>
        <w:br w:type="page"/>
      </w:r>
    </w:p>
    <w:p w14:paraId="650B9AA2" w14:textId="77777777" w:rsidR="00082FBE" w:rsidRDefault="00082FBE" w:rsidP="00082FBE">
      <w:pPr>
        <w:pStyle w:val="Heading1"/>
      </w:pPr>
      <w:bookmarkStart w:id="6" w:name="_Toc149429615"/>
      <w:bookmarkStart w:id="7" w:name="_Toc189075333"/>
      <w:r>
        <w:lastRenderedPageBreak/>
        <w:t>Conclusion</w:t>
      </w:r>
      <w:bookmarkEnd w:id="6"/>
      <w:bookmarkEnd w:id="7"/>
    </w:p>
    <w:p w14:paraId="093832FD" w14:textId="77777777" w:rsidR="00082FBE" w:rsidRDefault="00082FBE" w:rsidP="00082FBE">
      <w:r>
        <w:rPr>
          <w:noProof/>
          <w:lang w:eastAsia="en-GB"/>
        </w:rPr>
        <w:drawing>
          <wp:inline distT="0" distB="0" distL="0" distR="0" wp14:anchorId="33A6852F" wp14:editId="1650183F">
            <wp:extent cx="5943600" cy="3350260"/>
            <wp:effectExtent l="0" t="0" r="0" b="2540"/>
            <wp:docPr id="810210575"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0210575" name="Picture 1" descr="A close-up of a document&#10;&#10;Description automatically generated"/>
                    <pic:cNvPicPr/>
                  </pic:nvPicPr>
                  <pic:blipFill>
                    <a:blip r:embed="rId24"/>
                    <a:stretch>
                      <a:fillRect/>
                    </a:stretch>
                  </pic:blipFill>
                  <pic:spPr>
                    <a:xfrm>
                      <a:off x="0" y="0"/>
                      <a:ext cx="5943600" cy="3350260"/>
                    </a:xfrm>
                    <a:prstGeom prst="rect">
                      <a:avLst/>
                    </a:prstGeom>
                  </pic:spPr>
                </pic:pic>
              </a:graphicData>
            </a:graphic>
          </wp:inline>
        </w:drawing>
      </w:r>
    </w:p>
    <w:p w14:paraId="4C08CA3C" w14:textId="77777777" w:rsidR="00082FBE" w:rsidRDefault="00082FBE" w:rsidP="00082FBE">
      <w:r>
        <w:t xml:space="preserve">This presentation has included a feasibility study of a MICE industry corporate event where the theme of the event has been promoting equality, diversity, and inclusion in the workplace. The feasibility of any event is dependent on the determination of the right audience. Additionally, the selection of the location and venue is also critical in enhancing the suitability of the event and venue. Having operational expertise is essential in the successful arrangement of any corporate event. The organising body must ensure the presence of appropriate hosting skills. Furthermore, organisations should also be aware of the resource allocations. Lastly, a complete breakdown of income and expenditure is crucial to determine the financial feasibility of a MICE industry corporate event. </w:t>
      </w:r>
    </w:p>
    <w:p w14:paraId="08432DBA" w14:textId="77777777" w:rsidR="00082FBE" w:rsidRDefault="00082FBE" w:rsidP="00082FBE"/>
    <w:p w14:paraId="143DE874" w14:textId="77777777" w:rsidR="00082FBE" w:rsidRDefault="00082FBE" w:rsidP="00082FBE"/>
    <w:p w14:paraId="260B603E" w14:textId="77777777" w:rsidR="00082FBE" w:rsidRDefault="00082FBE" w:rsidP="00082FBE">
      <w:r>
        <w:br w:type="page"/>
      </w:r>
    </w:p>
    <w:p w14:paraId="1D77E38C" w14:textId="77777777" w:rsidR="00082FBE" w:rsidRDefault="00082FBE" w:rsidP="00082FBE">
      <w:pPr>
        <w:pStyle w:val="Heading1"/>
      </w:pPr>
      <w:bookmarkStart w:id="8" w:name="_Toc149429616"/>
      <w:bookmarkStart w:id="9" w:name="_Toc189075334"/>
      <w:r>
        <w:lastRenderedPageBreak/>
        <w:t>References</w:t>
      </w:r>
      <w:bookmarkEnd w:id="8"/>
      <w:bookmarkEnd w:id="9"/>
    </w:p>
    <w:p w14:paraId="1B612E1B" w14:textId="77777777" w:rsidR="006B717F" w:rsidRPr="00082FBE" w:rsidRDefault="006B717F" w:rsidP="00082FBE">
      <w:r w:rsidRPr="00082FBE">
        <w:t>Allen, J., Harris, R., &amp; Jago, L. (2022). Festival &amp; special event management. John Wiley &amp; Sons.</w:t>
      </w:r>
    </w:p>
    <w:p w14:paraId="7A3276C8" w14:textId="77777777" w:rsidR="006B717F" w:rsidRPr="00082FBE" w:rsidRDefault="006B717F" w:rsidP="00082FBE">
      <w:r w:rsidRPr="00082FBE">
        <w:t xml:space="preserve">An, J., Kim, H., &amp; Hur, D. (2021). Keeping the competitive edge of a convention and exhibition </w:t>
      </w:r>
      <w:proofErr w:type="spellStart"/>
      <w:r w:rsidRPr="00082FBE">
        <w:t>center</w:t>
      </w:r>
      <w:proofErr w:type="spellEnd"/>
      <w:r w:rsidRPr="00082FBE">
        <w:t xml:space="preserve"> in MICE Environment: identification of event attributes for long-run success. Sustainability, 13(9), 5030.</w:t>
      </w:r>
    </w:p>
    <w:p w14:paraId="7D03C09A" w14:textId="77777777" w:rsidR="006B717F" w:rsidRPr="00082FBE" w:rsidRDefault="006B717F" w:rsidP="00082FBE">
      <w:r w:rsidRPr="00082FBE">
        <w:t xml:space="preserve">Bernini, C., Emili, S., &amp; </w:t>
      </w:r>
      <w:proofErr w:type="spellStart"/>
      <w:r w:rsidRPr="00082FBE">
        <w:t>Medei</w:t>
      </w:r>
      <w:proofErr w:type="spellEnd"/>
      <w:r w:rsidRPr="00082FBE">
        <w:t>, R. (2021). The spatial agglomeration of the MICE industry. International Journal of Tourism Research, 23(5), 770-780.</w:t>
      </w:r>
    </w:p>
    <w:p w14:paraId="1400CE02" w14:textId="77777777" w:rsidR="006B717F" w:rsidRPr="00082FBE" w:rsidRDefault="006B717F" w:rsidP="00082FBE">
      <w:r w:rsidRPr="00082FBE">
        <w:t>Bladen, C., Kennell, J., Abson, E., &amp; Wilde, N. (2022). Events management: An introduction. Routledge.</w:t>
      </w:r>
    </w:p>
    <w:p w14:paraId="7DEBD227" w14:textId="77777777" w:rsidR="006B717F" w:rsidRPr="00082FBE" w:rsidRDefault="006B717F" w:rsidP="00082FBE">
      <w:r w:rsidRPr="00082FBE">
        <w:t xml:space="preserve">Bowdin, G. A., Allen, J., Harris, R., Jago, L., </w:t>
      </w:r>
      <w:proofErr w:type="spellStart"/>
      <w:r w:rsidRPr="00082FBE">
        <w:t>O'toole</w:t>
      </w:r>
      <w:proofErr w:type="spellEnd"/>
      <w:r w:rsidRPr="00082FBE">
        <w:t>, W., &amp; McDonnell, I. (2023). Events management. Routledge.</w:t>
      </w:r>
    </w:p>
    <w:p w14:paraId="5AEA218B" w14:textId="77777777" w:rsidR="006B717F" w:rsidRPr="00082FBE" w:rsidRDefault="006B717F" w:rsidP="00082FBE">
      <w:r w:rsidRPr="00082FBE">
        <w:t>Dowson, R., Albert, B., &amp; Lomax, D. (2022). Event planning and management: Principles, planning and practice. Kogan Page Publishers.</w:t>
      </w:r>
    </w:p>
    <w:p w14:paraId="6315C99B" w14:textId="77777777" w:rsidR="006B717F" w:rsidRDefault="006B717F" w:rsidP="007765C0">
      <w:r>
        <w:t>Fox, D. et al. (2014) Doing events research: from theory to practice. Routledge: Oxford</w:t>
      </w:r>
    </w:p>
    <w:p w14:paraId="55E41FAA" w14:textId="77777777" w:rsidR="006B717F" w:rsidRDefault="006B717F" w:rsidP="007765C0">
      <w:r>
        <w:t>Getz, D. and Page, S. (2019) Event studies: theory, research and policy for planned events. 3rd Edition. Routledge: Oxford</w:t>
      </w:r>
    </w:p>
    <w:p w14:paraId="2B9FAD3A" w14:textId="77777777" w:rsidR="006B717F" w:rsidRPr="00082FBE" w:rsidRDefault="006B717F" w:rsidP="00082FBE">
      <w:r w:rsidRPr="00082FBE">
        <w:t xml:space="preserve">Hagen, D. (2021). Sustainable event management: new perspectives for the meeting industry through innovation and </w:t>
      </w:r>
      <w:proofErr w:type="gramStart"/>
      <w:r w:rsidRPr="00082FBE">
        <w:t>digitalisation?.</w:t>
      </w:r>
      <w:proofErr w:type="gramEnd"/>
      <w:r w:rsidRPr="00082FBE">
        <w:t> Innovations and Traditions for Sustainable Development, 259-275.</w:t>
      </w:r>
    </w:p>
    <w:p w14:paraId="27C55633" w14:textId="77777777" w:rsidR="006B717F" w:rsidRPr="00082FBE" w:rsidRDefault="006B717F" w:rsidP="00082FBE">
      <w:r w:rsidRPr="00082FBE">
        <w:t>Kim, I., Choi, S., Kim, D., &amp; Choi, N. (2022). How long do regional MICE events survive? The case of Busan, Korea. Asia Pacific Journal of Tourism Research, 27(8), 807-822.</w:t>
      </w:r>
    </w:p>
    <w:p w14:paraId="5888AAFB" w14:textId="77777777" w:rsidR="006B717F" w:rsidRDefault="006B717F" w:rsidP="007765C0">
      <w:r>
        <w:t>Meredith, J. (2022) Project management: a managerial approach</w:t>
      </w:r>
    </w:p>
    <w:p w14:paraId="0E1451D4" w14:textId="77777777" w:rsidR="006B717F" w:rsidRDefault="006B717F" w:rsidP="007765C0">
      <w:r>
        <w:t>O’Toole, W. (2011) Events feasibility and development: from strategy to operations. Elsevier: Oxford</w:t>
      </w:r>
    </w:p>
    <w:p w14:paraId="3C93E20C" w14:textId="77777777" w:rsidR="006B717F" w:rsidRDefault="006B717F" w:rsidP="007765C0">
      <w:r>
        <w:t>Rogers, T. Wynn-Moylan, P (2022) Conferences and conventions: a global industry. 4th Edition. Routledge: Oxford</w:t>
      </w:r>
    </w:p>
    <w:p w14:paraId="1053AA66" w14:textId="77777777" w:rsidR="006B717F" w:rsidRPr="00082FBE" w:rsidRDefault="006B717F" w:rsidP="00082FBE">
      <w:r w:rsidRPr="00082FBE">
        <w:lastRenderedPageBreak/>
        <w:t>Rogers, T., &amp; Wynn-Moylan, P. (2022). Conferences and conventions: A global industry. Routledge.</w:t>
      </w:r>
    </w:p>
    <w:p w14:paraId="74BCBBD5" w14:textId="77777777" w:rsidR="006B717F" w:rsidRPr="00082FBE" w:rsidRDefault="006B717F" w:rsidP="007765C0">
      <w:r>
        <w:t>Smith, A. (2012) Events and urban regeneration: the strategic</w:t>
      </w:r>
    </w:p>
    <w:p w14:paraId="077EBDBD" w14:textId="77777777" w:rsidR="006B717F" w:rsidRPr="00082FBE" w:rsidRDefault="006B717F" w:rsidP="00082FBE">
      <w:r w:rsidRPr="00082FBE">
        <w:t xml:space="preserve">Standaert, W., </w:t>
      </w:r>
      <w:proofErr w:type="spellStart"/>
      <w:r w:rsidRPr="00082FBE">
        <w:t>Muylle</w:t>
      </w:r>
      <w:proofErr w:type="spellEnd"/>
      <w:r w:rsidRPr="00082FBE">
        <w:t xml:space="preserve">, S., &amp; Basu, A. (2022). Business meetings in a </w:t>
      </w:r>
      <w:proofErr w:type="spellStart"/>
      <w:r w:rsidRPr="00082FBE">
        <w:t>postpandemic</w:t>
      </w:r>
      <w:proofErr w:type="spellEnd"/>
      <w:r w:rsidRPr="00082FBE">
        <w:t xml:space="preserve"> world: When and how to meet virtually. Business Horizons, 65(3), 267-275.</w:t>
      </w:r>
    </w:p>
    <w:p w14:paraId="2441A998" w14:textId="77777777" w:rsidR="006B717F" w:rsidRDefault="006B717F" w:rsidP="00082FBE">
      <w:proofErr w:type="spellStart"/>
      <w:r w:rsidRPr="00082FBE">
        <w:t>Zhylenko</w:t>
      </w:r>
      <w:proofErr w:type="spellEnd"/>
      <w:r w:rsidRPr="00082FBE">
        <w:t xml:space="preserve">, K., </w:t>
      </w:r>
      <w:proofErr w:type="spellStart"/>
      <w:r w:rsidRPr="00082FBE">
        <w:t>Khalatur</w:t>
      </w:r>
      <w:proofErr w:type="spellEnd"/>
      <w:r w:rsidRPr="00082FBE">
        <w:t>, S., Pavlenko, O., &amp; Pavlenko, O. (2022). Formation of macroeconomic indicators under the influence of MICE-tourism.</w:t>
      </w:r>
    </w:p>
    <w:sectPr w:rsidR="006B717F">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5D1DE0" w14:textId="77777777" w:rsidR="009D7C27" w:rsidRDefault="009D7C27">
      <w:pPr>
        <w:spacing w:after="0" w:line="240" w:lineRule="auto"/>
      </w:pPr>
      <w:r>
        <w:separator/>
      </w:r>
    </w:p>
  </w:endnote>
  <w:endnote w:type="continuationSeparator" w:id="0">
    <w:p w14:paraId="6DA54B19" w14:textId="77777777" w:rsidR="009D7C27" w:rsidRDefault="009D7C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852795" w14:textId="77777777" w:rsidR="00082FBE" w:rsidRDefault="00082FB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71074536"/>
      <w:docPartObj>
        <w:docPartGallery w:val="Page Numbers (Bottom of Page)"/>
        <w:docPartUnique/>
      </w:docPartObj>
    </w:sdtPr>
    <w:sdtEndPr>
      <w:rPr>
        <w:noProof/>
      </w:rPr>
    </w:sdtEndPr>
    <w:sdtContent>
      <w:p w14:paraId="0887968B" w14:textId="77777777" w:rsidR="00E606DA" w:rsidRDefault="00E606DA">
        <w:pPr>
          <w:pStyle w:val="Footer"/>
          <w:jc w:val="center"/>
        </w:pPr>
        <w:r>
          <w:fldChar w:fldCharType="begin"/>
        </w:r>
        <w:r>
          <w:instrText xml:space="preserve"> PAGE   \* MERGEFORMAT </w:instrText>
        </w:r>
        <w:r>
          <w:fldChar w:fldCharType="separate"/>
        </w:r>
        <w:r w:rsidR="00811255">
          <w:rPr>
            <w:noProof/>
          </w:rPr>
          <w:t>4</w:t>
        </w:r>
        <w:r>
          <w:rPr>
            <w:noProof/>
          </w:rPr>
          <w:fldChar w:fldCharType="end"/>
        </w:r>
      </w:p>
    </w:sdtContent>
  </w:sdt>
  <w:p w14:paraId="54A6FAE2" w14:textId="77777777" w:rsidR="0005215D" w:rsidRDefault="000521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EC129A" w14:textId="77777777" w:rsidR="009D7C27" w:rsidRDefault="009D7C27">
      <w:pPr>
        <w:spacing w:after="0" w:line="240" w:lineRule="auto"/>
      </w:pPr>
      <w:r>
        <w:separator/>
      </w:r>
    </w:p>
  </w:footnote>
  <w:footnote w:type="continuationSeparator" w:id="0">
    <w:p w14:paraId="6A9730DD" w14:textId="77777777" w:rsidR="009D7C27" w:rsidRDefault="009D7C2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EC399C"/>
    <w:multiLevelType w:val="multilevel"/>
    <w:tmpl w:val="C888A7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4E730F"/>
    <w:multiLevelType w:val="multilevel"/>
    <w:tmpl w:val="88B02D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881236"/>
    <w:multiLevelType w:val="hybridMultilevel"/>
    <w:tmpl w:val="A7A033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B946ED"/>
    <w:multiLevelType w:val="multilevel"/>
    <w:tmpl w:val="6C6A7F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E7434CE"/>
    <w:multiLevelType w:val="multilevel"/>
    <w:tmpl w:val="06868B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07D4A0A"/>
    <w:multiLevelType w:val="multilevel"/>
    <w:tmpl w:val="6F2A0B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23F2C2E"/>
    <w:multiLevelType w:val="multilevel"/>
    <w:tmpl w:val="427C07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3FD7DB4"/>
    <w:multiLevelType w:val="multilevel"/>
    <w:tmpl w:val="5A7E29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86A4685"/>
    <w:multiLevelType w:val="multilevel"/>
    <w:tmpl w:val="2C8E92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D171F9C"/>
    <w:multiLevelType w:val="hybridMultilevel"/>
    <w:tmpl w:val="FFFFFFFF"/>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1D8B034C"/>
    <w:multiLevelType w:val="multilevel"/>
    <w:tmpl w:val="38881F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0576BFE"/>
    <w:multiLevelType w:val="hybridMultilevel"/>
    <w:tmpl w:val="713C8E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8EA40AE"/>
    <w:multiLevelType w:val="multilevel"/>
    <w:tmpl w:val="2638AC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9B41B8F"/>
    <w:multiLevelType w:val="multilevel"/>
    <w:tmpl w:val="E2965A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A2A41B6"/>
    <w:multiLevelType w:val="hybridMultilevel"/>
    <w:tmpl w:val="23C8FE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B132A63"/>
    <w:multiLevelType w:val="multilevel"/>
    <w:tmpl w:val="C11617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BC277AE"/>
    <w:multiLevelType w:val="multilevel"/>
    <w:tmpl w:val="409295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FE76242"/>
    <w:multiLevelType w:val="hybridMultilevel"/>
    <w:tmpl w:val="943065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3545A58"/>
    <w:multiLevelType w:val="hybridMultilevel"/>
    <w:tmpl w:val="8CECA3A2"/>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A191BFB"/>
    <w:multiLevelType w:val="hybridMultilevel"/>
    <w:tmpl w:val="FFFFFFFF"/>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3AEB1295"/>
    <w:multiLevelType w:val="multilevel"/>
    <w:tmpl w:val="37668B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05238E1"/>
    <w:multiLevelType w:val="multilevel"/>
    <w:tmpl w:val="C0BA59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91D31DB"/>
    <w:multiLevelType w:val="multilevel"/>
    <w:tmpl w:val="AF828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9C8426E"/>
    <w:multiLevelType w:val="multilevel"/>
    <w:tmpl w:val="689C88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C82568C"/>
    <w:multiLevelType w:val="multilevel"/>
    <w:tmpl w:val="12CA29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2060937"/>
    <w:multiLevelType w:val="hybridMultilevel"/>
    <w:tmpl w:val="4C1EB3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2584E0F"/>
    <w:multiLevelType w:val="hybridMultilevel"/>
    <w:tmpl w:val="FFFFFFFF"/>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55A328BE"/>
    <w:multiLevelType w:val="multilevel"/>
    <w:tmpl w:val="73DA0F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FBF7690"/>
    <w:multiLevelType w:val="multilevel"/>
    <w:tmpl w:val="8E944A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1246526"/>
    <w:multiLevelType w:val="hybridMultilevel"/>
    <w:tmpl w:val="49D6FF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6234313C"/>
    <w:multiLevelType w:val="multilevel"/>
    <w:tmpl w:val="0A6AC3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4252355"/>
    <w:multiLevelType w:val="multilevel"/>
    <w:tmpl w:val="5FBE73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5D7464D"/>
    <w:multiLevelType w:val="multilevel"/>
    <w:tmpl w:val="8EF6D7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9FA7917"/>
    <w:multiLevelType w:val="multilevel"/>
    <w:tmpl w:val="6EB46B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ACC5316"/>
    <w:multiLevelType w:val="multilevel"/>
    <w:tmpl w:val="5290F6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BAB3D67"/>
    <w:multiLevelType w:val="hybridMultilevel"/>
    <w:tmpl w:val="B9EE88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DE36996"/>
    <w:multiLevelType w:val="hybridMultilevel"/>
    <w:tmpl w:val="FFFFFFFF"/>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15:restartNumberingAfterBreak="0">
    <w:nsid w:val="6FAA11C4"/>
    <w:multiLevelType w:val="multilevel"/>
    <w:tmpl w:val="8D6294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232378C"/>
    <w:multiLevelType w:val="multilevel"/>
    <w:tmpl w:val="4C4C82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35669B6"/>
    <w:multiLevelType w:val="multilevel"/>
    <w:tmpl w:val="90CA42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80226B7"/>
    <w:multiLevelType w:val="multilevel"/>
    <w:tmpl w:val="DCAC2D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84A6E82"/>
    <w:multiLevelType w:val="multilevel"/>
    <w:tmpl w:val="5B540A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CA177BA"/>
    <w:multiLevelType w:val="multilevel"/>
    <w:tmpl w:val="F27C23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7F5A642D"/>
    <w:multiLevelType w:val="multilevel"/>
    <w:tmpl w:val="B210AE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78358979">
    <w:abstractNumId w:val="25"/>
  </w:num>
  <w:num w:numId="2" w16cid:durableId="1019743057">
    <w:abstractNumId w:val="2"/>
  </w:num>
  <w:num w:numId="3" w16cid:durableId="152526823">
    <w:abstractNumId w:val="14"/>
  </w:num>
  <w:num w:numId="4" w16cid:durableId="1645231689">
    <w:abstractNumId w:val="11"/>
  </w:num>
  <w:num w:numId="5" w16cid:durableId="1356155269">
    <w:abstractNumId w:val="29"/>
  </w:num>
  <w:num w:numId="6" w16cid:durableId="816609747">
    <w:abstractNumId w:val="18"/>
  </w:num>
  <w:num w:numId="7" w16cid:durableId="592397912">
    <w:abstractNumId w:val="22"/>
  </w:num>
  <w:num w:numId="8" w16cid:durableId="843278042">
    <w:abstractNumId w:val="41"/>
  </w:num>
  <w:num w:numId="9" w16cid:durableId="849293706">
    <w:abstractNumId w:val="3"/>
  </w:num>
  <w:num w:numId="10" w16cid:durableId="188186072">
    <w:abstractNumId w:val="15"/>
  </w:num>
  <w:num w:numId="11" w16cid:durableId="2003004117">
    <w:abstractNumId w:val="6"/>
  </w:num>
  <w:num w:numId="12" w16cid:durableId="1119224986">
    <w:abstractNumId w:val="13"/>
  </w:num>
  <w:num w:numId="13" w16cid:durableId="995106519">
    <w:abstractNumId w:val="24"/>
  </w:num>
  <w:num w:numId="14" w16cid:durableId="514419483">
    <w:abstractNumId w:val="12"/>
  </w:num>
  <w:num w:numId="15" w16cid:durableId="1752463378">
    <w:abstractNumId w:val="1"/>
  </w:num>
  <w:num w:numId="16" w16cid:durableId="20204272">
    <w:abstractNumId w:val="10"/>
  </w:num>
  <w:num w:numId="17" w16cid:durableId="616371381">
    <w:abstractNumId w:val="23"/>
  </w:num>
  <w:num w:numId="18" w16cid:durableId="455679957">
    <w:abstractNumId w:val="8"/>
  </w:num>
  <w:num w:numId="19" w16cid:durableId="27488359">
    <w:abstractNumId w:val="38"/>
  </w:num>
  <w:num w:numId="20" w16cid:durableId="716855797">
    <w:abstractNumId w:val="0"/>
  </w:num>
  <w:num w:numId="21" w16cid:durableId="1832915118">
    <w:abstractNumId w:val="27"/>
  </w:num>
  <w:num w:numId="22" w16cid:durableId="1639414361">
    <w:abstractNumId w:val="28"/>
  </w:num>
  <w:num w:numId="23" w16cid:durableId="1544562721">
    <w:abstractNumId w:val="30"/>
  </w:num>
  <w:num w:numId="24" w16cid:durableId="938682839">
    <w:abstractNumId w:val="33"/>
  </w:num>
  <w:num w:numId="25" w16cid:durableId="1025638680">
    <w:abstractNumId w:val="20"/>
  </w:num>
  <w:num w:numId="26" w16cid:durableId="2133669602">
    <w:abstractNumId w:val="16"/>
  </w:num>
  <w:num w:numId="27" w16cid:durableId="266086508">
    <w:abstractNumId w:val="37"/>
  </w:num>
  <w:num w:numId="28" w16cid:durableId="1889147022">
    <w:abstractNumId w:val="40"/>
  </w:num>
  <w:num w:numId="29" w16cid:durableId="877162168">
    <w:abstractNumId w:val="5"/>
  </w:num>
  <w:num w:numId="30" w16cid:durableId="2125154983">
    <w:abstractNumId w:val="32"/>
  </w:num>
  <w:num w:numId="31" w16cid:durableId="354768500">
    <w:abstractNumId w:val="31"/>
  </w:num>
  <w:num w:numId="32" w16cid:durableId="741802239">
    <w:abstractNumId w:val="4"/>
  </w:num>
  <w:num w:numId="33" w16cid:durableId="312411376">
    <w:abstractNumId w:val="43"/>
  </w:num>
  <w:num w:numId="34" w16cid:durableId="881090573">
    <w:abstractNumId w:val="21"/>
  </w:num>
  <w:num w:numId="35" w16cid:durableId="123277470">
    <w:abstractNumId w:val="39"/>
  </w:num>
  <w:num w:numId="36" w16cid:durableId="622731272">
    <w:abstractNumId w:val="34"/>
  </w:num>
  <w:num w:numId="37" w16cid:durableId="1449815951">
    <w:abstractNumId w:val="7"/>
  </w:num>
  <w:num w:numId="38" w16cid:durableId="1534149257">
    <w:abstractNumId w:val="36"/>
  </w:num>
  <w:num w:numId="39" w16cid:durableId="583757093">
    <w:abstractNumId w:val="9"/>
  </w:num>
  <w:num w:numId="40" w16cid:durableId="1742675322">
    <w:abstractNumId w:val="19"/>
  </w:num>
  <w:num w:numId="41" w16cid:durableId="6953791">
    <w:abstractNumId w:val="26"/>
  </w:num>
  <w:num w:numId="42" w16cid:durableId="400445291">
    <w:abstractNumId w:val="17"/>
  </w:num>
  <w:num w:numId="43" w16cid:durableId="1079398850">
    <w:abstractNumId w:val="35"/>
  </w:num>
  <w:num w:numId="44" w16cid:durableId="364642515">
    <w:abstractNumId w:val="4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zM2MrAwNTW0sDAyNzJX0lEKTi0uzszPAykwNq0FAPEchaMtAAAA"/>
  </w:docVars>
  <w:rsids>
    <w:rsidRoot w:val="00650B5C"/>
    <w:rsid w:val="000008B8"/>
    <w:rsid w:val="000014E8"/>
    <w:rsid w:val="00005A0A"/>
    <w:rsid w:val="000066A7"/>
    <w:rsid w:val="00010737"/>
    <w:rsid w:val="000130AD"/>
    <w:rsid w:val="00026667"/>
    <w:rsid w:val="00031347"/>
    <w:rsid w:val="00036A9C"/>
    <w:rsid w:val="00041B9A"/>
    <w:rsid w:val="00041F7B"/>
    <w:rsid w:val="00043CA4"/>
    <w:rsid w:val="00044575"/>
    <w:rsid w:val="00046786"/>
    <w:rsid w:val="00051510"/>
    <w:rsid w:val="0005215D"/>
    <w:rsid w:val="00060132"/>
    <w:rsid w:val="00070C55"/>
    <w:rsid w:val="00071F41"/>
    <w:rsid w:val="00077B94"/>
    <w:rsid w:val="00081F6B"/>
    <w:rsid w:val="00082F88"/>
    <w:rsid w:val="00082FBE"/>
    <w:rsid w:val="000847CA"/>
    <w:rsid w:val="00087265"/>
    <w:rsid w:val="0009179D"/>
    <w:rsid w:val="0009271E"/>
    <w:rsid w:val="000A18EE"/>
    <w:rsid w:val="000B2034"/>
    <w:rsid w:val="000B3ED5"/>
    <w:rsid w:val="000B5DEC"/>
    <w:rsid w:val="000D0B1A"/>
    <w:rsid w:val="000D182A"/>
    <w:rsid w:val="000D22F3"/>
    <w:rsid w:val="000D3251"/>
    <w:rsid w:val="000E1BBF"/>
    <w:rsid w:val="000E2DAE"/>
    <w:rsid w:val="000F78A1"/>
    <w:rsid w:val="00103EE1"/>
    <w:rsid w:val="001054EE"/>
    <w:rsid w:val="00112E92"/>
    <w:rsid w:val="00115BA6"/>
    <w:rsid w:val="00122A7B"/>
    <w:rsid w:val="00123152"/>
    <w:rsid w:val="00126C20"/>
    <w:rsid w:val="001307C7"/>
    <w:rsid w:val="00130DAF"/>
    <w:rsid w:val="0013139E"/>
    <w:rsid w:val="00136639"/>
    <w:rsid w:val="00137B6A"/>
    <w:rsid w:val="00147003"/>
    <w:rsid w:val="00147FBC"/>
    <w:rsid w:val="0015145C"/>
    <w:rsid w:val="001547FF"/>
    <w:rsid w:val="00156D4B"/>
    <w:rsid w:val="0016525B"/>
    <w:rsid w:val="001671C7"/>
    <w:rsid w:val="00167EC6"/>
    <w:rsid w:val="00170226"/>
    <w:rsid w:val="0017127A"/>
    <w:rsid w:val="00174083"/>
    <w:rsid w:val="00174233"/>
    <w:rsid w:val="001748D6"/>
    <w:rsid w:val="00177B44"/>
    <w:rsid w:val="00181FAD"/>
    <w:rsid w:val="00182621"/>
    <w:rsid w:val="001829CC"/>
    <w:rsid w:val="0018732B"/>
    <w:rsid w:val="00194712"/>
    <w:rsid w:val="001A72D0"/>
    <w:rsid w:val="001B324A"/>
    <w:rsid w:val="001C05E5"/>
    <w:rsid w:val="001C4D60"/>
    <w:rsid w:val="001C4D96"/>
    <w:rsid w:val="001D01ED"/>
    <w:rsid w:val="001D04E2"/>
    <w:rsid w:val="001D3D2F"/>
    <w:rsid w:val="001D4203"/>
    <w:rsid w:val="001D5402"/>
    <w:rsid w:val="001D7007"/>
    <w:rsid w:val="001E0534"/>
    <w:rsid w:val="001E2B43"/>
    <w:rsid w:val="001F7642"/>
    <w:rsid w:val="002022A2"/>
    <w:rsid w:val="0020252B"/>
    <w:rsid w:val="00204402"/>
    <w:rsid w:val="00204F29"/>
    <w:rsid w:val="00205F2A"/>
    <w:rsid w:val="00207E7F"/>
    <w:rsid w:val="002107A5"/>
    <w:rsid w:val="00214D54"/>
    <w:rsid w:val="002226BF"/>
    <w:rsid w:val="0022720E"/>
    <w:rsid w:val="0023182A"/>
    <w:rsid w:val="00231B10"/>
    <w:rsid w:val="002408B4"/>
    <w:rsid w:val="00241675"/>
    <w:rsid w:val="00242CAD"/>
    <w:rsid w:val="002446B1"/>
    <w:rsid w:val="0025249B"/>
    <w:rsid w:val="00253DD5"/>
    <w:rsid w:val="00255BD8"/>
    <w:rsid w:val="00257162"/>
    <w:rsid w:val="00271B1B"/>
    <w:rsid w:val="0027208D"/>
    <w:rsid w:val="00275CC4"/>
    <w:rsid w:val="00283F63"/>
    <w:rsid w:val="00287EB5"/>
    <w:rsid w:val="002904AB"/>
    <w:rsid w:val="002930D3"/>
    <w:rsid w:val="00297215"/>
    <w:rsid w:val="00297870"/>
    <w:rsid w:val="002A428B"/>
    <w:rsid w:val="002A6DA8"/>
    <w:rsid w:val="002A78C4"/>
    <w:rsid w:val="002A78D8"/>
    <w:rsid w:val="002B72CB"/>
    <w:rsid w:val="002B7DBA"/>
    <w:rsid w:val="002C13C2"/>
    <w:rsid w:val="002C164F"/>
    <w:rsid w:val="002C4590"/>
    <w:rsid w:val="002D19BB"/>
    <w:rsid w:val="002D3329"/>
    <w:rsid w:val="002D655B"/>
    <w:rsid w:val="002D6AAD"/>
    <w:rsid w:val="002E07F8"/>
    <w:rsid w:val="002E4C14"/>
    <w:rsid w:val="002E535F"/>
    <w:rsid w:val="002E5B1E"/>
    <w:rsid w:val="002F0582"/>
    <w:rsid w:val="002F373F"/>
    <w:rsid w:val="002F5BAB"/>
    <w:rsid w:val="002F7400"/>
    <w:rsid w:val="003000C6"/>
    <w:rsid w:val="00300C12"/>
    <w:rsid w:val="00304105"/>
    <w:rsid w:val="003061CE"/>
    <w:rsid w:val="00310AC9"/>
    <w:rsid w:val="0031298D"/>
    <w:rsid w:val="00314B19"/>
    <w:rsid w:val="0032230A"/>
    <w:rsid w:val="0032543C"/>
    <w:rsid w:val="003322A5"/>
    <w:rsid w:val="00332C0C"/>
    <w:rsid w:val="00340FBD"/>
    <w:rsid w:val="0035088B"/>
    <w:rsid w:val="0035095C"/>
    <w:rsid w:val="0035109E"/>
    <w:rsid w:val="003547B5"/>
    <w:rsid w:val="00356232"/>
    <w:rsid w:val="00361E11"/>
    <w:rsid w:val="003679BE"/>
    <w:rsid w:val="0037146B"/>
    <w:rsid w:val="00375C4C"/>
    <w:rsid w:val="00375D9C"/>
    <w:rsid w:val="00383D98"/>
    <w:rsid w:val="003915DB"/>
    <w:rsid w:val="0039558C"/>
    <w:rsid w:val="00397253"/>
    <w:rsid w:val="003975C7"/>
    <w:rsid w:val="003A040C"/>
    <w:rsid w:val="003A10FB"/>
    <w:rsid w:val="003A3DEB"/>
    <w:rsid w:val="003B0594"/>
    <w:rsid w:val="003B0EF6"/>
    <w:rsid w:val="003C00E5"/>
    <w:rsid w:val="003C09DD"/>
    <w:rsid w:val="003C7F6B"/>
    <w:rsid w:val="003D0305"/>
    <w:rsid w:val="003D1D51"/>
    <w:rsid w:val="003D242D"/>
    <w:rsid w:val="003D4D25"/>
    <w:rsid w:val="003E072B"/>
    <w:rsid w:val="003E42AF"/>
    <w:rsid w:val="003F0EB0"/>
    <w:rsid w:val="003F1A8A"/>
    <w:rsid w:val="003F3AD5"/>
    <w:rsid w:val="003F5638"/>
    <w:rsid w:val="004027A2"/>
    <w:rsid w:val="00402CB6"/>
    <w:rsid w:val="004100D7"/>
    <w:rsid w:val="00411B1B"/>
    <w:rsid w:val="004137B2"/>
    <w:rsid w:val="00415F30"/>
    <w:rsid w:val="00417D4D"/>
    <w:rsid w:val="0042006C"/>
    <w:rsid w:val="00427065"/>
    <w:rsid w:val="00427B53"/>
    <w:rsid w:val="0043582C"/>
    <w:rsid w:val="00437555"/>
    <w:rsid w:val="00437BF8"/>
    <w:rsid w:val="00440A01"/>
    <w:rsid w:val="00441EF2"/>
    <w:rsid w:val="00446CF4"/>
    <w:rsid w:val="00461D6B"/>
    <w:rsid w:val="004620C5"/>
    <w:rsid w:val="00464644"/>
    <w:rsid w:val="00467A40"/>
    <w:rsid w:val="00473D39"/>
    <w:rsid w:val="00480E43"/>
    <w:rsid w:val="004875C3"/>
    <w:rsid w:val="00490ADA"/>
    <w:rsid w:val="00493990"/>
    <w:rsid w:val="00496E78"/>
    <w:rsid w:val="00497951"/>
    <w:rsid w:val="004A231F"/>
    <w:rsid w:val="004B0051"/>
    <w:rsid w:val="004B0B19"/>
    <w:rsid w:val="004B4B1B"/>
    <w:rsid w:val="004C05F7"/>
    <w:rsid w:val="004C529B"/>
    <w:rsid w:val="004C5DA1"/>
    <w:rsid w:val="004C740D"/>
    <w:rsid w:val="004D1C7A"/>
    <w:rsid w:val="004D6798"/>
    <w:rsid w:val="004D73B6"/>
    <w:rsid w:val="004E7721"/>
    <w:rsid w:val="004F3C91"/>
    <w:rsid w:val="004F5EA8"/>
    <w:rsid w:val="004F6124"/>
    <w:rsid w:val="004F675C"/>
    <w:rsid w:val="00500D70"/>
    <w:rsid w:val="005018A9"/>
    <w:rsid w:val="00504A35"/>
    <w:rsid w:val="00506D14"/>
    <w:rsid w:val="005070FC"/>
    <w:rsid w:val="00510B46"/>
    <w:rsid w:val="00515A22"/>
    <w:rsid w:val="00517D01"/>
    <w:rsid w:val="005272FE"/>
    <w:rsid w:val="00531AAB"/>
    <w:rsid w:val="005329F3"/>
    <w:rsid w:val="005358D9"/>
    <w:rsid w:val="0054208D"/>
    <w:rsid w:val="00542D24"/>
    <w:rsid w:val="00550001"/>
    <w:rsid w:val="00552235"/>
    <w:rsid w:val="005522C4"/>
    <w:rsid w:val="005606A3"/>
    <w:rsid w:val="00562C68"/>
    <w:rsid w:val="00564071"/>
    <w:rsid w:val="005662CB"/>
    <w:rsid w:val="00580CA5"/>
    <w:rsid w:val="00585381"/>
    <w:rsid w:val="0058540E"/>
    <w:rsid w:val="00586402"/>
    <w:rsid w:val="00590CE4"/>
    <w:rsid w:val="0059248D"/>
    <w:rsid w:val="0059495C"/>
    <w:rsid w:val="005A316E"/>
    <w:rsid w:val="005A4E75"/>
    <w:rsid w:val="005A5412"/>
    <w:rsid w:val="005B00B7"/>
    <w:rsid w:val="005B1BEE"/>
    <w:rsid w:val="005C0037"/>
    <w:rsid w:val="005C6068"/>
    <w:rsid w:val="005D1BDE"/>
    <w:rsid w:val="005D7AD8"/>
    <w:rsid w:val="005E3728"/>
    <w:rsid w:val="005F05DF"/>
    <w:rsid w:val="005F0ED0"/>
    <w:rsid w:val="005F4780"/>
    <w:rsid w:val="005F49E7"/>
    <w:rsid w:val="005F4D13"/>
    <w:rsid w:val="00602109"/>
    <w:rsid w:val="0060228A"/>
    <w:rsid w:val="00602834"/>
    <w:rsid w:val="00604D7B"/>
    <w:rsid w:val="00605158"/>
    <w:rsid w:val="00606066"/>
    <w:rsid w:val="0061035A"/>
    <w:rsid w:val="00610B36"/>
    <w:rsid w:val="006166E2"/>
    <w:rsid w:val="00616E3D"/>
    <w:rsid w:val="00617BBF"/>
    <w:rsid w:val="00621CA4"/>
    <w:rsid w:val="00623893"/>
    <w:rsid w:val="0062472A"/>
    <w:rsid w:val="00624AB1"/>
    <w:rsid w:val="006315A3"/>
    <w:rsid w:val="00632144"/>
    <w:rsid w:val="006378FA"/>
    <w:rsid w:val="00641BB3"/>
    <w:rsid w:val="00643C4C"/>
    <w:rsid w:val="00644D63"/>
    <w:rsid w:val="00650B4B"/>
    <w:rsid w:val="00650B5C"/>
    <w:rsid w:val="00657C50"/>
    <w:rsid w:val="00657D41"/>
    <w:rsid w:val="0066031C"/>
    <w:rsid w:val="0066327E"/>
    <w:rsid w:val="00674A39"/>
    <w:rsid w:val="00677048"/>
    <w:rsid w:val="006822D8"/>
    <w:rsid w:val="006837C0"/>
    <w:rsid w:val="006907CB"/>
    <w:rsid w:val="00695080"/>
    <w:rsid w:val="006A224E"/>
    <w:rsid w:val="006A6B0F"/>
    <w:rsid w:val="006B717F"/>
    <w:rsid w:val="006C0CB9"/>
    <w:rsid w:val="006C57B1"/>
    <w:rsid w:val="006C79A6"/>
    <w:rsid w:val="006D0B5A"/>
    <w:rsid w:val="006D465D"/>
    <w:rsid w:val="006D48E1"/>
    <w:rsid w:val="006D58FE"/>
    <w:rsid w:val="006E5BDC"/>
    <w:rsid w:val="006E7A95"/>
    <w:rsid w:val="006F073B"/>
    <w:rsid w:val="006F1B61"/>
    <w:rsid w:val="006F1C1A"/>
    <w:rsid w:val="006F2361"/>
    <w:rsid w:val="00702B69"/>
    <w:rsid w:val="00703D5E"/>
    <w:rsid w:val="007100EB"/>
    <w:rsid w:val="00713D8B"/>
    <w:rsid w:val="00715FFD"/>
    <w:rsid w:val="007246EE"/>
    <w:rsid w:val="0072742D"/>
    <w:rsid w:val="007307CD"/>
    <w:rsid w:val="00730E24"/>
    <w:rsid w:val="007310FF"/>
    <w:rsid w:val="00731300"/>
    <w:rsid w:val="00732A01"/>
    <w:rsid w:val="0073414A"/>
    <w:rsid w:val="00734BDD"/>
    <w:rsid w:val="00740AE1"/>
    <w:rsid w:val="0074235B"/>
    <w:rsid w:val="00744B8C"/>
    <w:rsid w:val="00745838"/>
    <w:rsid w:val="00752426"/>
    <w:rsid w:val="00756B67"/>
    <w:rsid w:val="007572BE"/>
    <w:rsid w:val="00760FCA"/>
    <w:rsid w:val="00761413"/>
    <w:rsid w:val="00764EBA"/>
    <w:rsid w:val="00770A65"/>
    <w:rsid w:val="00771DCA"/>
    <w:rsid w:val="00775BE3"/>
    <w:rsid w:val="007765C0"/>
    <w:rsid w:val="00784D53"/>
    <w:rsid w:val="00786527"/>
    <w:rsid w:val="00790586"/>
    <w:rsid w:val="0079196D"/>
    <w:rsid w:val="007A6825"/>
    <w:rsid w:val="007A7C62"/>
    <w:rsid w:val="007B2E53"/>
    <w:rsid w:val="007B3298"/>
    <w:rsid w:val="007B58A6"/>
    <w:rsid w:val="007B62FE"/>
    <w:rsid w:val="007C0B6B"/>
    <w:rsid w:val="007C12D2"/>
    <w:rsid w:val="007C4FAD"/>
    <w:rsid w:val="007C5BCB"/>
    <w:rsid w:val="007C62EF"/>
    <w:rsid w:val="007C66B7"/>
    <w:rsid w:val="007C79E6"/>
    <w:rsid w:val="007C7DEE"/>
    <w:rsid w:val="007D7D45"/>
    <w:rsid w:val="007E3AF4"/>
    <w:rsid w:val="007E4F25"/>
    <w:rsid w:val="007E7941"/>
    <w:rsid w:val="007F38B5"/>
    <w:rsid w:val="00800969"/>
    <w:rsid w:val="00803183"/>
    <w:rsid w:val="00803264"/>
    <w:rsid w:val="0080442E"/>
    <w:rsid w:val="00806250"/>
    <w:rsid w:val="0080641B"/>
    <w:rsid w:val="00811255"/>
    <w:rsid w:val="00814953"/>
    <w:rsid w:val="00816513"/>
    <w:rsid w:val="0082262B"/>
    <w:rsid w:val="00824921"/>
    <w:rsid w:val="00824998"/>
    <w:rsid w:val="00824AA2"/>
    <w:rsid w:val="00833A2A"/>
    <w:rsid w:val="008357DA"/>
    <w:rsid w:val="0084239C"/>
    <w:rsid w:val="00845029"/>
    <w:rsid w:val="00845A86"/>
    <w:rsid w:val="00845F0C"/>
    <w:rsid w:val="00852C88"/>
    <w:rsid w:val="00853DB1"/>
    <w:rsid w:val="00854747"/>
    <w:rsid w:val="00870FA7"/>
    <w:rsid w:val="00872AFF"/>
    <w:rsid w:val="00873CB8"/>
    <w:rsid w:val="008760C8"/>
    <w:rsid w:val="00876E76"/>
    <w:rsid w:val="00881638"/>
    <w:rsid w:val="00882529"/>
    <w:rsid w:val="008862DB"/>
    <w:rsid w:val="00892014"/>
    <w:rsid w:val="008A13B5"/>
    <w:rsid w:val="008A1A08"/>
    <w:rsid w:val="008A29E8"/>
    <w:rsid w:val="008A74AE"/>
    <w:rsid w:val="008B097B"/>
    <w:rsid w:val="008B6032"/>
    <w:rsid w:val="008B7D5E"/>
    <w:rsid w:val="008C1575"/>
    <w:rsid w:val="008C1810"/>
    <w:rsid w:val="008C3377"/>
    <w:rsid w:val="008C5CB6"/>
    <w:rsid w:val="008D051F"/>
    <w:rsid w:val="008D1638"/>
    <w:rsid w:val="008D23A0"/>
    <w:rsid w:val="008D2A1B"/>
    <w:rsid w:val="008E32B6"/>
    <w:rsid w:val="008E50F0"/>
    <w:rsid w:val="008E54AA"/>
    <w:rsid w:val="008F1CEC"/>
    <w:rsid w:val="008F236D"/>
    <w:rsid w:val="008F254B"/>
    <w:rsid w:val="008F5B4E"/>
    <w:rsid w:val="0090028F"/>
    <w:rsid w:val="00900E0C"/>
    <w:rsid w:val="0090465C"/>
    <w:rsid w:val="009046DF"/>
    <w:rsid w:val="009119C8"/>
    <w:rsid w:val="0091734B"/>
    <w:rsid w:val="00920657"/>
    <w:rsid w:val="0092359B"/>
    <w:rsid w:val="00927602"/>
    <w:rsid w:val="00934F0D"/>
    <w:rsid w:val="009350AA"/>
    <w:rsid w:val="009356A3"/>
    <w:rsid w:val="00942D97"/>
    <w:rsid w:val="00945970"/>
    <w:rsid w:val="00946B5A"/>
    <w:rsid w:val="0095092E"/>
    <w:rsid w:val="00952750"/>
    <w:rsid w:val="00952CF1"/>
    <w:rsid w:val="009534BF"/>
    <w:rsid w:val="00953EEE"/>
    <w:rsid w:val="009609A2"/>
    <w:rsid w:val="0096585F"/>
    <w:rsid w:val="00970E7A"/>
    <w:rsid w:val="00971E83"/>
    <w:rsid w:val="00980135"/>
    <w:rsid w:val="00987F3D"/>
    <w:rsid w:val="0099096A"/>
    <w:rsid w:val="00990D0D"/>
    <w:rsid w:val="0099760F"/>
    <w:rsid w:val="009A1378"/>
    <w:rsid w:val="009A5F61"/>
    <w:rsid w:val="009B0111"/>
    <w:rsid w:val="009B36A0"/>
    <w:rsid w:val="009B5925"/>
    <w:rsid w:val="009B627D"/>
    <w:rsid w:val="009C0279"/>
    <w:rsid w:val="009C0FD6"/>
    <w:rsid w:val="009C317C"/>
    <w:rsid w:val="009C6925"/>
    <w:rsid w:val="009D01BC"/>
    <w:rsid w:val="009D4FE8"/>
    <w:rsid w:val="009D5431"/>
    <w:rsid w:val="009D5A5E"/>
    <w:rsid w:val="009D7C27"/>
    <w:rsid w:val="009E0AFA"/>
    <w:rsid w:val="009E127A"/>
    <w:rsid w:val="009E2449"/>
    <w:rsid w:val="009E7642"/>
    <w:rsid w:val="009F0D52"/>
    <w:rsid w:val="009F1027"/>
    <w:rsid w:val="009F2235"/>
    <w:rsid w:val="00A00CD8"/>
    <w:rsid w:val="00A13837"/>
    <w:rsid w:val="00A14B72"/>
    <w:rsid w:val="00A237C3"/>
    <w:rsid w:val="00A23A76"/>
    <w:rsid w:val="00A24967"/>
    <w:rsid w:val="00A26177"/>
    <w:rsid w:val="00A33C62"/>
    <w:rsid w:val="00A50DFC"/>
    <w:rsid w:val="00A51527"/>
    <w:rsid w:val="00A530FF"/>
    <w:rsid w:val="00A53B1D"/>
    <w:rsid w:val="00A546DD"/>
    <w:rsid w:val="00A56F35"/>
    <w:rsid w:val="00A74949"/>
    <w:rsid w:val="00A76E45"/>
    <w:rsid w:val="00A8666B"/>
    <w:rsid w:val="00A87780"/>
    <w:rsid w:val="00A91551"/>
    <w:rsid w:val="00A92FDB"/>
    <w:rsid w:val="00A930C2"/>
    <w:rsid w:val="00A96FF5"/>
    <w:rsid w:val="00AA3C9A"/>
    <w:rsid w:val="00AB0BE8"/>
    <w:rsid w:val="00AB0EF6"/>
    <w:rsid w:val="00AB1F8A"/>
    <w:rsid w:val="00AB6D71"/>
    <w:rsid w:val="00AB746D"/>
    <w:rsid w:val="00AC048B"/>
    <w:rsid w:val="00AC2792"/>
    <w:rsid w:val="00AC2B8D"/>
    <w:rsid w:val="00AC2F46"/>
    <w:rsid w:val="00AC770E"/>
    <w:rsid w:val="00AC7D19"/>
    <w:rsid w:val="00AD3196"/>
    <w:rsid w:val="00AD6A8D"/>
    <w:rsid w:val="00AE60E1"/>
    <w:rsid w:val="00AF1BED"/>
    <w:rsid w:val="00AF4F1E"/>
    <w:rsid w:val="00AF623A"/>
    <w:rsid w:val="00B01ED2"/>
    <w:rsid w:val="00B1260A"/>
    <w:rsid w:val="00B13EEC"/>
    <w:rsid w:val="00B15522"/>
    <w:rsid w:val="00B168D9"/>
    <w:rsid w:val="00B26B87"/>
    <w:rsid w:val="00B325F8"/>
    <w:rsid w:val="00B32D50"/>
    <w:rsid w:val="00B338FF"/>
    <w:rsid w:val="00B33918"/>
    <w:rsid w:val="00B36FAE"/>
    <w:rsid w:val="00B40770"/>
    <w:rsid w:val="00B41D32"/>
    <w:rsid w:val="00B45028"/>
    <w:rsid w:val="00B461BB"/>
    <w:rsid w:val="00B55258"/>
    <w:rsid w:val="00B610CB"/>
    <w:rsid w:val="00B704B0"/>
    <w:rsid w:val="00B71CEA"/>
    <w:rsid w:val="00B73493"/>
    <w:rsid w:val="00B75272"/>
    <w:rsid w:val="00B76699"/>
    <w:rsid w:val="00B92D3A"/>
    <w:rsid w:val="00B9354F"/>
    <w:rsid w:val="00B94246"/>
    <w:rsid w:val="00BA3CB2"/>
    <w:rsid w:val="00BA6660"/>
    <w:rsid w:val="00BB08F7"/>
    <w:rsid w:val="00BB6204"/>
    <w:rsid w:val="00BC4B8B"/>
    <w:rsid w:val="00BC6121"/>
    <w:rsid w:val="00BD35EA"/>
    <w:rsid w:val="00BE3D97"/>
    <w:rsid w:val="00BE47F2"/>
    <w:rsid w:val="00BE71F1"/>
    <w:rsid w:val="00BF1B33"/>
    <w:rsid w:val="00BF32F8"/>
    <w:rsid w:val="00BF5593"/>
    <w:rsid w:val="00BF7109"/>
    <w:rsid w:val="00C02D2A"/>
    <w:rsid w:val="00C03F28"/>
    <w:rsid w:val="00C056E9"/>
    <w:rsid w:val="00C05BB9"/>
    <w:rsid w:val="00C07D22"/>
    <w:rsid w:val="00C1090B"/>
    <w:rsid w:val="00C14DDC"/>
    <w:rsid w:val="00C15CBD"/>
    <w:rsid w:val="00C167BB"/>
    <w:rsid w:val="00C20A2B"/>
    <w:rsid w:val="00C2254E"/>
    <w:rsid w:val="00C246DF"/>
    <w:rsid w:val="00C26E19"/>
    <w:rsid w:val="00C27390"/>
    <w:rsid w:val="00C3077E"/>
    <w:rsid w:val="00C3413F"/>
    <w:rsid w:val="00C350DA"/>
    <w:rsid w:val="00C35A03"/>
    <w:rsid w:val="00C412DD"/>
    <w:rsid w:val="00C416C7"/>
    <w:rsid w:val="00C46277"/>
    <w:rsid w:val="00C47105"/>
    <w:rsid w:val="00C52784"/>
    <w:rsid w:val="00C52CB9"/>
    <w:rsid w:val="00C5576D"/>
    <w:rsid w:val="00C665E8"/>
    <w:rsid w:val="00C665F2"/>
    <w:rsid w:val="00C674D7"/>
    <w:rsid w:val="00C72010"/>
    <w:rsid w:val="00C77F66"/>
    <w:rsid w:val="00C85CFD"/>
    <w:rsid w:val="00C87688"/>
    <w:rsid w:val="00C93164"/>
    <w:rsid w:val="00C933D8"/>
    <w:rsid w:val="00C946FE"/>
    <w:rsid w:val="00C94DAE"/>
    <w:rsid w:val="00C96013"/>
    <w:rsid w:val="00CA04AB"/>
    <w:rsid w:val="00CB4DDA"/>
    <w:rsid w:val="00CC120E"/>
    <w:rsid w:val="00CC1C7C"/>
    <w:rsid w:val="00CD0FA8"/>
    <w:rsid w:val="00CD12B0"/>
    <w:rsid w:val="00CD5082"/>
    <w:rsid w:val="00CD6CFF"/>
    <w:rsid w:val="00CD709E"/>
    <w:rsid w:val="00CE391E"/>
    <w:rsid w:val="00CE3A10"/>
    <w:rsid w:val="00CE42F1"/>
    <w:rsid w:val="00CE4954"/>
    <w:rsid w:val="00CE4E9B"/>
    <w:rsid w:val="00CE6E5B"/>
    <w:rsid w:val="00CF7FA2"/>
    <w:rsid w:val="00D01302"/>
    <w:rsid w:val="00D01EF2"/>
    <w:rsid w:val="00D05787"/>
    <w:rsid w:val="00D101C2"/>
    <w:rsid w:val="00D11254"/>
    <w:rsid w:val="00D159CF"/>
    <w:rsid w:val="00D161ED"/>
    <w:rsid w:val="00D21784"/>
    <w:rsid w:val="00D21A29"/>
    <w:rsid w:val="00D223B8"/>
    <w:rsid w:val="00D33ED5"/>
    <w:rsid w:val="00D35515"/>
    <w:rsid w:val="00D36402"/>
    <w:rsid w:val="00D4303A"/>
    <w:rsid w:val="00D4710D"/>
    <w:rsid w:val="00D52525"/>
    <w:rsid w:val="00D53F6C"/>
    <w:rsid w:val="00D54BFE"/>
    <w:rsid w:val="00D55407"/>
    <w:rsid w:val="00D55B74"/>
    <w:rsid w:val="00D6337E"/>
    <w:rsid w:val="00D653CE"/>
    <w:rsid w:val="00D74C8A"/>
    <w:rsid w:val="00D8072C"/>
    <w:rsid w:val="00D8669E"/>
    <w:rsid w:val="00D90642"/>
    <w:rsid w:val="00D92691"/>
    <w:rsid w:val="00D95AA5"/>
    <w:rsid w:val="00D96EBF"/>
    <w:rsid w:val="00D97F69"/>
    <w:rsid w:val="00DA1D88"/>
    <w:rsid w:val="00DB0808"/>
    <w:rsid w:val="00DB13C0"/>
    <w:rsid w:val="00DB488B"/>
    <w:rsid w:val="00DB6644"/>
    <w:rsid w:val="00DC006E"/>
    <w:rsid w:val="00DD51EB"/>
    <w:rsid w:val="00DE1D58"/>
    <w:rsid w:val="00DE5EA7"/>
    <w:rsid w:val="00DE7DA8"/>
    <w:rsid w:val="00DF12AF"/>
    <w:rsid w:val="00DF5A00"/>
    <w:rsid w:val="00DF61AA"/>
    <w:rsid w:val="00DF6283"/>
    <w:rsid w:val="00E01EC2"/>
    <w:rsid w:val="00E04D73"/>
    <w:rsid w:val="00E07D67"/>
    <w:rsid w:val="00E11844"/>
    <w:rsid w:val="00E12B70"/>
    <w:rsid w:val="00E1441A"/>
    <w:rsid w:val="00E167D3"/>
    <w:rsid w:val="00E21C8A"/>
    <w:rsid w:val="00E2761E"/>
    <w:rsid w:val="00E36CA8"/>
    <w:rsid w:val="00E4603E"/>
    <w:rsid w:val="00E53047"/>
    <w:rsid w:val="00E549F9"/>
    <w:rsid w:val="00E606DA"/>
    <w:rsid w:val="00E62077"/>
    <w:rsid w:val="00E6362B"/>
    <w:rsid w:val="00E64502"/>
    <w:rsid w:val="00E678A6"/>
    <w:rsid w:val="00E721AA"/>
    <w:rsid w:val="00E762C6"/>
    <w:rsid w:val="00E803CB"/>
    <w:rsid w:val="00E83B7D"/>
    <w:rsid w:val="00E86AE6"/>
    <w:rsid w:val="00E87714"/>
    <w:rsid w:val="00E950DD"/>
    <w:rsid w:val="00E9695C"/>
    <w:rsid w:val="00E977FB"/>
    <w:rsid w:val="00EA20D4"/>
    <w:rsid w:val="00EA3D5C"/>
    <w:rsid w:val="00EA5555"/>
    <w:rsid w:val="00EA5705"/>
    <w:rsid w:val="00EA5DE0"/>
    <w:rsid w:val="00EA5F98"/>
    <w:rsid w:val="00EB1AE9"/>
    <w:rsid w:val="00EB4D90"/>
    <w:rsid w:val="00EC34CE"/>
    <w:rsid w:val="00EC4186"/>
    <w:rsid w:val="00EC4D55"/>
    <w:rsid w:val="00EC5558"/>
    <w:rsid w:val="00ED20CA"/>
    <w:rsid w:val="00ED453C"/>
    <w:rsid w:val="00EE2E53"/>
    <w:rsid w:val="00EE3A00"/>
    <w:rsid w:val="00EE51B5"/>
    <w:rsid w:val="00EE58D3"/>
    <w:rsid w:val="00EE5D1A"/>
    <w:rsid w:val="00EF24BD"/>
    <w:rsid w:val="00EF49FD"/>
    <w:rsid w:val="00EF710C"/>
    <w:rsid w:val="00F00299"/>
    <w:rsid w:val="00F02E14"/>
    <w:rsid w:val="00F132E1"/>
    <w:rsid w:val="00F13634"/>
    <w:rsid w:val="00F13720"/>
    <w:rsid w:val="00F14CB2"/>
    <w:rsid w:val="00F15A4E"/>
    <w:rsid w:val="00F15DCF"/>
    <w:rsid w:val="00F16070"/>
    <w:rsid w:val="00F17573"/>
    <w:rsid w:val="00F2123A"/>
    <w:rsid w:val="00F27532"/>
    <w:rsid w:val="00F34635"/>
    <w:rsid w:val="00F36D75"/>
    <w:rsid w:val="00F37C46"/>
    <w:rsid w:val="00F4660A"/>
    <w:rsid w:val="00F54D85"/>
    <w:rsid w:val="00F659DE"/>
    <w:rsid w:val="00F74AA1"/>
    <w:rsid w:val="00F74AA8"/>
    <w:rsid w:val="00F76F25"/>
    <w:rsid w:val="00F77157"/>
    <w:rsid w:val="00F8172E"/>
    <w:rsid w:val="00F832EC"/>
    <w:rsid w:val="00F91F5F"/>
    <w:rsid w:val="00F93D90"/>
    <w:rsid w:val="00F96CE1"/>
    <w:rsid w:val="00FA2BE0"/>
    <w:rsid w:val="00FB2D14"/>
    <w:rsid w:val="00FB60A1"/>
    <w:rsid w:val="00FB68A5"/>
    <w:rsid w:val="00FB768C"/>
    <w:rsid w:val="00FC3F44"/>
    <w:rsid w:val="00FD3303"/>
    <w:rsid w:val="00FD5848"/>
    <w:rsid w:val="00FD6934"/>
    <w:rsid w:val="00FE1E7E"/>
    <w:rsid w:val="00FE468A"/>
    <w:rsid w:val="00FE4C1E"/>
    <w:rsid w:val="00FF2FFF"/>
    <w:rsid w:val="00FF65E6"/>
    <w:rsid w:val="00FF76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EBADB5F"/>
  <w15:chartTrackingRefBased/>
  <w15:docId w15:val="{0B31376B-EE63-48A6-927D-F59467D026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6232"/>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6A224E"/>
    <w:pPr>
      <w:keepNext/>
      <w:keepLines/>
      <w:spacing w:after="240"/>
      <w:jc w:val="center"/>
      <w:outlineLvl w:val="0"/>
    </w:pPr>
    <w:rPr>
      <w:rFonts w:eastAsiaTheme="majorEastAsia" w:cs="Times New Roman"/>
      <w:sz w:val="32"/>
      <w:szCs w:val="32"/>
    </w:rPr>
  </w:style>
  <w:style w:type="paragraph" w:styleId="Heading2">
    <w:name w:val="heading 2"/>
    <w:basedOn w:val="Normal"/>
    <w:next w:val="Normal"/>
    <w:link w:val="Heading2Char"/>
    <w:autoRedefine/>
    <w:uiPriority w:val="9"/>
    <w:unhideWhenUsed/>
    <w:qFormat/>
    <w:rsid w:val="000B2034"/>
    <w:pPr>
      <w:keepNext/>
      <w:keepLines/>
      <w:spacing w:before="40" w:after="0"/>
      <w:outlineLvl w:val="1"/>
    </w:pPr>
    <w:rPr>
      <w:rFonts w:eastAsiaTheme="majorEastAsia" w:cstheme="majorBidi"/>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224E"/>
    <w:rPr>
      <w:rFonts w:ascii="Times New Roman" w:eastAsiaTheme="majorEastAsia" w:hAnsi="Times New Roman" w:cs="Times New Roman"/>
      <w:sz w:val="32"/>
      <w:szCs w:val="32"/>
    </w:rPr>
  </w:style>
  <w:style w:type="character" w:customStyle="1" w:styleId="Heading2Char">
    <w:name w:val="Heading 2 Char"/>
    <w:basedOn w:val="DefaultParagraphFont"/>
    <w:link w:val="Heading2"/>
    <w:uiPriority w:val="9"/>
    <w:rsid w:val="000B2034"/>
    <w:rPr>
      <w:rFonts w:ascii="Times New Roman" w:eastAsiaTheme="majorEastAsia" w:hAnsi="Times New Roman" w:cstheme="majorBidi"/>
      <w:color w:val="000000" w:themeColor="text1"/>
      <w:sz w:val="28"/>
      <w:szCs w:val="26"/>
    </w:rPr>
  </w:style>
  <w:style w:type="paragraph" w:styleId="ListParagraph">
    <w:name w:val="List Paragraph"/>
    <w:basedOn w:val="Normal"/>
    <w:uiPriority w:val="34"/>
    <w:qFormat/>
    <w:rsid w:val="00C246DF"/>
    <w:pPr>
      <w:ind w:left="720"/>
      <w:contextualSpacing/>
    </w:pPr>
  </w:style>
  <w:style w:type="character" w:customStyle="1" w:styleId="lewnzc">
    <w:name w:val="lewnzc"/>
    <w:basedOn w:val="DefaultParagraphFont"/>
    <w:rsid w:val="000A18EE"/>
  </w:style>
  <w:style w:type="character" w:styleId="Emphasis">
    <w:name w:val="Emphasis"/>
    <w:basedOn w:val="DefaultParagraphFont"/>
    <w:uiPriority w:val="20"/>
    <w:qFormat/>
    <w:rsid w:val="000A18EE"/>
    <w:rPr>
      <w:i/>
      <w:iCs/>
    </w:rPr>
  </w:style>
  <w:style w:type="character" w:styleId="Hyperlink">
    <w:name w:val="Hyperlink"/>
    <w:basedOn w:val="DefaultParagraphFont"/>
    <w:uiPriority w:val="99"/>
    <w:unhideWhenUsed/>
    <w:rsid w:val="006D48E1"/>
    <w:rPr>
      <w:color w:val="0563C1" w:themeColor="hyperlink"/>
      <w:u w:val="single"/>
    </w:rPr>
  </w:style>
  <w:style w:type="paragraph" w:styleId="TOCHeading">
    <w:name w:val="TOC Heading"/>
    <w:basedOn w:val="Heading1"/>
    <w:next w:val="Normal"/>
    <w:uiPriority w:val="39"/>
    <w:unhideWhenUsed/>
    <w:qFormat/>
    <w:rsid w:val="00D35515"/>
    <w:pPr>
      <w:outlineLvl w:val="9"/>
    </w:pPr>
    <w:rPr>
      <w:sz w:val="28"/>
      <w:lang w:val="en-US"/>
    </w:rPr>
  </w:style>
  <w:style w:type="paragraph" w:styleId="TOC1">
    <w:name w:val="toc 1"/>
    <w:basedOn w:val="Normal"/>
    <w:next w:val="Normal"/>
    <w:autoRedefine/>
    <w:uiPriority w:val="39"/>
    <w:unhideWhenUsed/>
    <w:rsid w:val="00DB6644"/>
    <w:pPr>
      <w:spacing w:after="100"/>
    </w:pPr>
  </w:style>
  <w:style w:type="paragraph" w:styleId="TOC2">
    <w:name w:val="toc 2"/>
    <w:basedOn w:val="Normal"/>
    <w:next w:val="Normal"/>
    <w:autoRedefine/>
    <w:uiPriority w:val="39"/>
    <w:unhideWhenUsed/>
    <w:rsid w:val="00DB6644"/>
    <w:pPr>
      <w:spacing w:after="100"/>
      <w:ind w:left="240"/>
    </w:pPr>
  </w:style>
  <w:style w:type="table" w:styleId="TableGrid">
    <w:name w:val="Table Grid"/>
    <w:basedOn w:val="TableNormal"/>
    <w:uiPriority w:val="39"/>
    <w:rsid w:val="005F478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BB08F7"/>
    <w:rPr>
      <w:b/>
      <w:bCs/>
    </w:rPr>
  </w:style>
  <w:style w:type="table" w:styleId="PlainTable1">
    <w:name w:val="Plain Table 1"/>
    <w:basedOn w:val="TableNormal"/>
    <w:uiPriority w:val="41"/>
    <w:rsid w:val="00A26177"/>
    <w:pPr>
      <w:spacing w:after="0" w:line="240" w:lineRule="auto"/>
      <w:jc w:val="both"/>
    </w:pPr>
    <w:rPr>
      <w:rFonts w:ascii="Times New Roman" w:hAnsi="Times New Roman"/>
      <w:bCs/>
      <w:sz w:val="24"/>
      <w14:ligatures w14:val="standardContextual"/>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Footer">
    <w:name w:val="footer"/>
    <w:basedOn w:val="Normal"/>
    <w:link w:val="FooterChar"/>
    <w:uiPriority w:val="99"/>
    <w:unhideWhenUsed/>
    <w:rsid w:val="00A26177"/>
    <w:pPr>
      <w:tabs>
        <w:tab w:val="center" w:pos="4513"/>
        <w:tab w:val="right" w:pos="9026"/>
      </w:tabs>
      <w:spacing w:after="0" w:line="240" w:lineRule="auto"/>
    </w:pPr>
    <w:rPr>
      <w:bCs/>
      <w14:ligatures w14:val="standardContextual"/>
    </w:rPr>
  </w:style>
  <w:style w:type="character" w:customStyle="1" w:styleId="FooterChar">
    <w:name w:val="Footer Char"/>
    <w:basedOn w:val="DefaultParagraphFont"/>
    <w:link w:val="Footer"/>
    <w:uiPriority w:val="99"/>
    <w:rsid w:val="00A26177"/>
    <w:rPr>
      <w:rFonts w:ascii="Times New Roman" w:hAnsi="Times New Roman"/>
      <w:bCs/>
      <w:sz w:val="24"/>
      <w14:ligatures w14:val="standardContextual"/>
    </w:rPr>
  </w:style>
  <w:style w:type="paragraph" w:styleId="Header">
    <w:name w:val="header"/>
    <w:basedOn w:val="Normal"/>
    <w:link w:val="HeaderChar"/>
    <w:uiPriority w:val="99"/>
    <w:unhideWhenUsed/>
    <w:rsid w:val="00E606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06DA"/>
    <w:rPr>
      <w:rFonts w:ascii="Times New Roman" w:hAnsi="Times New Roman"/>
      <w:sz w:val="24"/>
    </w:rPr>
  </w:style>
  <w:style w:type="paragraph" w:styleId="Title">
    <w:name w:val="Title"/>
    <w:basedOn w:val="Normal"/>
    <w:next w:val="Normal"/>
    <w:link w:val="TitleChar"/>
    <w:uiPriority w:val="10"/>
    <w:qFormat/>
    <w:rsid w:val="004E7721"/>
    <w:pPr>
      <w:spacing w:after="80"/>
      <w:contextualSpacing/>
      <w:jc w:val="center"/>
    </w:pPr>
    <w:rPr>
      <w:rFonts w:eastAsiaTheme="majorEastAsia" w:cstheme="majorBidi"/>
      <w:b/>
      <w:spacing w:val="-10"/>
      <w:kern w:val="28"/>
      <w:sz w:val="40"/>
      <w:szCs w:val="56"/>
    </w:rPr>
  </w:style>
  <w:style w:type="character" w:customStyle="1" w:styleId="TitleChar">
    <w:name w:val="Title Char"/>
    <w:basedOn w:val="DefaultParagraphFont"/>
    <w:link w:val="Title"/>
    <w:uiPriority w:val="10"/>
    <w:rsid w:val="004E7721"/>
    <w:rPr>
      <w:rFonts w:ascii="Times New Roman" w:eastAsiaTheme="majorEastAsia" w:hAnsi="Times New Roman" w:cstheme="majorBidi"/>
      <w:b/>
      <w:spacing w:val="-10"/>
      <w:kern w:val="28"/>
      <w:sz w:val="40"/>
      <w:szCs w:val="56"/>
    </w:rPr>
  </w:style>
  <w:style w:type="table" w:customStyle="1" w:styleId="GridTable1Light-Accent61">
    <w:name w:val="Grid Table 1 Light - Accent 61"/>
    <w:basedOn w:val="TableNormal"/>
    <w:uiPriority w:val="46"/>
    <w:rsid w:val="00182621"/>
    <w:pPr>
      <w:spacing w:after="0" w:line="240" w:lineRule="auto"/>
    </w:pPr>
    <w:rPr>
      <w:lang w:val="en-US"/>
    </w:r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character" w:customStyle="1" w:styleId="normaltextrun">
    <w:name w:val="normaltextrun"/>
    <w:basedOn w:val="DefaultParagraphFont"/>
    <w:rsid w:val="00786527"/>
  </w:style>
  <w:style w:type="character" w:customStyle="1" w:styleId="eop">
    <w:name w:val="eop"/>
    <w:basedOn w:val="DefaultParagraphFont"/>
    <w:rsid w:val="00786527"/>
  </w:style>
  <w:style w:type="paragraph" w:customStyle="1" w:styleId="paragraph">
    <w:name w:val="paragraph"/>
    <w:basedOn w:val="Normal"/>
    <w:uiPriority w:val="1"/>
    <w:rsid w:val="00786527"/>
    <w:pPr>
      <w:spacing w:beforeAutospacing="1" w:after="0" w:afterAutospacing="1" w:line="240" w:lineRule="auto"/>
      <w:jc w:val="left"/>
    </w:pPr>
    <w:rPr>
      <w:rFonts w:eastAsia="Times New Roman" w:cs="Times New Roman"/>
      <w:szCs w:val="24"/>
      <w:lang w:eastAsia="en-GB"/>
    </w:rPr>
  </w:style>
  <w:style w:type="character" w:customStyle="1" w:styleId="contentcontrolboundarysink">
    <w:name w:val="contentcontrolboundarysink"/>
    <w:basedOn w:val="DefaultParagraphFont"/>
    <w:rsid w:val="00786527"/>
  </w:style>
  <w:style w:type="paragraph" w:styleId="Subtitle">
    <w:name w:val="Subtitle"/>
    <w:basedOn w:val="Normal"/>
    <w:next w:val="Normal"/>
    <w:link w:val="SubtitleChar"/>
    <w:uiPriority w:val="11"/>
    <w:qFormat/>
    <w:rsid w:val="007A6825"/>
    <w:pPr>
      <w:numPr>
        <w:ilvl w:val="1"/>
      </w:numPr>
    </w:pPr>
    <w:rPr>
      <w:rFonts w:asciiTheme="minorHAnsi" w:eastAsiaTheme="minorEastAsia" w:hAnsiTheme="minorHAnsi"/>
      <w:color w:val="5A5A5A" w:themeColor="text1" w:themeTint="A5"/>
      <w:spacing w:val="15"/>
      <w:sz w:val="22"/>
    </w:rPr>
  </w:style>
  <w:style w:type="character" w:customStyle="1" w:styleId="SubtitleChar">
    <w:name w:val="Subtitle Char"/>
    <w:basedOn w:val="DefaultParagraphFont"/>
    <w:link w:val="Subtitle"/>
    <w:uiPriority w:val="11"/>
    <w:rsid w:val="007A6825"/>
    <w:rPr>
      <w:rFonts w:eastAsiaTheme="minorEastAsia"/>
      <w:color w:val="5A5A5A" w:themeColor="text1" w:themeTint="A5"/>
      <w:spacing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37297207">
      <w:bodyDiv w:val="1"/>
      <w:marLeft w:val="0"/>
      <w:marRight w:val="0"/>
      <w:marTop w:val="0"/>
      <w:marBottom w:val="0"/>
      <w:divBdr>
        <w:top w:val="none" w:sz="0" w:space="0" w:color="auto"/>
        <w:left w:val="none" w:sz="0" w:space="0" w:color="auto"/>
        <w:bottom w:val="none" w:sz="0" w:space="0" w:color="auto"/>
        <w:right w:val="none" w:sz="0" w:space="0" w:color="auto"/>
      </w:divBdr>
    </w:div>
    <w:div w:id="811873040">
      <w:bodyDiv w:val="1"/>
      <w:marLeft w:val="0"/>
      <w:marRight w:val="0"/>
      <w:marTop w:val="0"/>
      <w:marBottom w:val="0"/>
      <w:divBdr>
        <w:top w:val="none" w:sz="0" w:space="0" w:color="auto"/>
        <w:left w:val="none" w:sz="0" w:space="0" w:color="auto"/>
        <w:bottom w:val="none" w:sz="0" w:space="0" w:color="auto"/>
        <w:right w:val="none" w:sz="0" w:space="0" w:color="auto"/>
      </w:divBdr>
    </w:div>
    <w:div w:id="1342587678">
      <w:bodyDiv w:val="1"/>
      <w:marLeft w:val="0"/>
      <w:marRight w:val="0"/>
      <w:marTop w:val="0"/>
      <w:marBottom w:val="0"/>
      <w:divBdr>
        <w:top w:val="none" w:sz="0" w:space="0" w:color="auto"/>
        <w:left w:val="none" w:sz="0" w:space="0" w:color="auto"/>
        <w:bottom w:val="none" w:sz="0" w:space="0" w:color="auto"/>
        <w:right w:val="none" w:sz="0" w:space="0" w:color="auto"/>
      </w:divBdr>
    </w:div>
    <w:div w:id="13935783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jpeg"/><Relationship Id="rId18" Type="http://schemas.openxmlformats.org/officeDocument/2006/relationships/image" Target="media/image10.jpe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3.jpeg"/><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image" Target="media/image9.jpeg"/><Relationship Id="rId25"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image" Target="media/image8.jpeg"/><Relationship Id="rId20" Type="http://schemas.openxmlformats.org/officeDocument/2006/relationships/image" Target="media/image12.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image" Target="media/image16.jpeg"/><Relationship Id="rId5" Type="http://schemas.openxmlformats.org/officeDocument/2006/relationships/webSettings" Target="webSettings.xml"/><Relationship Id="rId15" Type="http://schemas.openxmlformats.org/officeDocument/2006/relationships/image" Target="media/image7.jpeg"/><Relationship Id="rId23" Type="http://schemas.openxmlformats.org/officeDocument/2006/relationships/image" Target="media/image15.jpeg"/><Relationship Id="rId10" Type="http://schemas.openxmlformats.org/officeDocument/2006/relationships/image" Target="media/image2.jpeg"/><Relationship Id="rId19" Type="http://schemas.openxmlformats.org/officeDocument/2006/relationships/image" Target="media/image11.jpe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jpeg"/><Relationship Id="rId22" Type="http://schemas.openxmlformats.org/officeDocument/2006/relationships/image" Target="media/image14.jpe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2A3F99D-FC61-456D-AA27-9617D2E8FC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2924</TotalTime>
  <Pages>20</Pages>
  <Words>2006</Words>
  <Characters>11481</Characters>
  <Application>Microsoft Office Word</Application>
  <DocSecurity>0</DocSecurity>
  <Lines>287</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dc:creator>
  <cp:keywords/>
  <dc:description/>
  <cp:lastModifiedBy>alina nicoleta</cp:lastModifiedBy>
  <cp:revision>845</cp:revision>
  <dcterms:created xsi:type="dcterms:W3CDTF">2024-11-17T10:18:00Z</dcterms:created>
  <dcterms:modified xsi:type="dcterms:W3CDTF">2025-02-02T23:15:00Z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NXPowerLiteLastOptimized">
    <vt:lpwstr>1321254</vt:lpwstr>
  </property>
  <property fmtid="{D5CDD505-2E9C-101B-9397-08002B2CF9AE}" pid="3" name="NXPowerLiteSettings">
    <vt:lpwstr>C700052003A000</vt:lpwstr>
  </property>
  <property fmtid="{D5CDD505-2E9C-101B-9397-08002B2CF9AE}" pid="4" name="NXPowerLiteVersion">
    <vt:lpwstr>D9.1.2</vt:lpwstr>
  </property>
  <property fmtid="{D5CDD505-2E9C-101B-9397-08002B2CF9AE}" pid="5" name="GrammarlyDocumentId">
    <vt:lpwstr>3095c81def4e3e7185693112d4f481f6f58ce3393eb518975526d202e29ed664</vt:lpwstr>
  </property>
</Properties>
</file>