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8480945" w:rsidP="3E0F4268" w:rsidRDefault="58480945" w14:paraId="5ED4EDC6" w14:textId="78D66F53">
      <w:pPr>
        <w:pStyle w:val="Normal"/>
        <w:suppressLineNumbers w:val="0"/>
        <w:bidi w:val="0"/>
        <w:spacing w:before="0" w:beforeAutospacing="off" w:after="160" w:afterAutospacing="off" w:line="279" w:lineRule="auto"/>
        <w:ind w:left="0" w:right="0"/>
        <w:jc w:val="center"/>
        <w:rPr>
          <w:rFonts w:ascii="Arial" w:hAnsi="Arial" w:eastAsia="Arial" w:cs="Arial"/>
          <w:sz w:val="28"/>
          <w:szCs w:val="28"/>
        </w:rPr>
      </w:pPr>
      <w:r w:rsidRPr="3E0F4268" w:rsidR="4FB0ACF2">
        <w:rPr>
          <w:rFonts w:ascii="Arial" w:hAnsi="Arial" w:eastAsia="Arial" w:cs="Arial"/>
          <w:sz w:val="28"/>
          <w:szCs w:val="28"/>
        </w:rPr>
        <w:t xml:space="preserve">Student – Amrita kaur </w:t>
      </w:r>
    </w:p>
    <w:p w:rsidR="2EBF8FB5" w:rsidP="3E0F4268" w:rsidRDefault="2EBF8FB5" w14:paraId="0C1570EA" w14:textId="6848CEA6">
      <w:pPr>
        <w:pStyle w:val="Normal"/>
        <w:suppressLineNumbers w:val="0"/>
        <w:bidi w:val="0"/>
        <w:spacing w:before="0" w:beforeAutospacing="off" w:after="160" w:afterAutospacing="off" w:line="279" w:lineRule="auto"/>
        <w:ind w:left="0" w:right="0"/>
        <w:jc w:val="center"/>
        <w:rPr>
          <w:rFonts w:ascii="Arial" w:hAnsi="Arial" w:eastAsia="Arial" w:cs="Arial"/>
          <w:sz w:val="28"/>
          <w:szCs w:val="28"/>
        </w:rPr>
      </w:pPr>
      <w:r w:rsidRPr="3E0F4268" w:rsidR="26AD8F60">
        <w:rPr>
          <w:rFonts w:ascii="Arial" w:hAnsi="Arial" w:eastAsia="Arial" w:cs="Arial"/>
          <w:sz w:val="28"/>
          <w:szCs w:val="28"/>
        </w:rPr>
        <w:t>Student number- 2505384</w:t>
      </w:r>
    </w:p>
    <w:p w:rsidR="2EBF8FB5" w:rsidP="3E0F4268" w:rsidRDefault="2EBF8FB5" w14:paraId="45C1B468" w14:textId="2CF3299D">
      <w:pPr>
        <w:pStyle w:val="Normal"/>
        <w:suppressLineNumbers w:val="0"/>
        <w:bidi w:val="0"/>
        <w:spacing w:before="0" w:beforeAutospacing="off" w:after="160" w:afterAutospacing="off" w:line="279" w:lineRule="auto"/>
        <w:ind w:left="0" w:right="0"/>
        <w:jc w:val="center"/>
        <w:rPr>
          <w:rFonts w:ascii="Arial" w:hAnsi="Arial" w:eastAsia="Arial" w:cs="Arial"/>
          <w:sz w:val="28"/>
          <w:szCs w:val="28"/>
        </w:rPr>
      </w:pPr>
      <w:r w:rsidRPr="3E0F4268" w:rsidR="26AD8F60">
        <w:rPr>
          <w:rFonts w:ascii="Arial" w:hAnsi="Arial" w:eastAsia="Arial" w:cs="Arial"/>
          <w:sz w:val="28"/>
          <w:szCs w:val="28"/>
        </w:rPr>
        <w:t>Module</w:t>
      </w:r>
      <w:r w:rsidRPr="3E0F4268" w:rsidR="573583AA">
        <w:rPr>
          <w:rFonts w:ascii="Arial" w:hAnsi="Arial" w:eastAsia="Arial" w:cs="Arial"/>
          <w:sz w:val="28"/>
          <w:szCs w:val="28"/>
        </w:rPr>
        <w:t>-</w:t>
      </w:r>
      <w:r w:rsidRPr="3E0F4268" w:rsidR="26AD8F60">
        <w:rPr>
          <w:rFonts w:ascii="Arial" w:hAnsi="Arial" w:eastAsia="Arial" w:cs="Arial"/>
          <w:sz w:val="28"/>
          <w:szCs w:val="28"/>
        </w:rPr>
        <w:t xml:space="preserve"> </w:t>
      </w:r>
      <w:r w:rsidRPr="3E0F4268" w:rsidR="76AE6409">
        <w:rPr>
          <w:rFonts w:ascii="Arial" w:hAnsi="Arial" w:eastAsia="Arial" w:cs="Arial"/>
          <w:sz w:val="28"/>
          <w:szCs w:val="28"/>
        </w:rPr>
        <w:t xml:space="preserve">principles of health and social care practice </w:t>
      </w:r>
    </w:p>
    <w:p w:rsidR="77B5EFAD" w:rsidP="3E0F4268" w:rsidRDefault="77B5EFAD" w14:paraId="6DD95971" w14:textId="35EED9EA">
      <w:pPr>
        <w:pStyle w:val="Normal"/>
        <w:suppressLineNumbers w:val="0"/>
        <w:bidi w:val="0"/>
        <w:spacing w:before="0" w:beforeAutospacing="off" w:after="160" w:afterAutospacing="off" w:line="279" w:lineRule="auto"/>
        <w:ind w:left="0" w:right="0"/>
        <w:jc w:val="center"/>
        <w:rPr>
          <w:rFonts w:ascii="Arial" w:hAnsi="Arial" w:eastAsia="Arial" w:cs="Arial"/>
          <w:sz w:val="28"/>
          <w:szCs w:val="28"/>
        </w:rPr>
      </w:pPr>
      <w:r w:rsidRPr="3E0F4268" w:rsidR="32DB368C">
        <w:rPr>
          <w:rFonts w:ascii="Arial" w:hAnsi="Arial" w:eastAsia="Arial" w:cs="Arial"/>
          <w:sz w:val="28"/>
          <w:szCs w:val="28"/>
        </w:rPr>
        <w:t>Module code- BMHP5016</w:t>
      </w:r>
      <w:r w:rsidRPr="3E0F4268" w:rsidR="6152F5F2">
        <w:rPr>
          <w:rFonts w:ascii="Arial" w:hAnsi="Arial" w:eastAsia="Arial" w:cs="Arial"/>
          <w:sz w:val="28"/>
          <w:szCs w:val="28"/>
        </w:rPr>
        <w:t>_BIRM</w:t>
      </w:r>
    </w:p>
    <w:p w:rsidR="5F850A7F" w:rsidP="3E0F4268" w:rsidRDefault="5F850A7F" w14:paraId="009C507C" w14:textId="158261BD">
      <w:pPr>
        <w:pStyle w:val="Normal"/>
        <w:suppressLineNumbers w:val="0"/>
        <w:bidi w:val="0"/>
        <w:spacing w:before="0" w:beforeAutospacing="off" w:after="160" w:afterAutospacing="off" w:line="279" w:lineRule="auto"/>
        <w:ind w:left="0" w:right="0"/>
        <w:jc w:val="center"/>
        <w:rPr>
          <w:rFonts w:ascii="Arial" w:hAnsi="Arial" w:eastAsia="Arial" w:cs="Arial"/>
          <w:sz w:val="28"/>
          <w:szCs w:val="28"/>
        </w:rPr>
      </w:pPr>
      <w:r w:rsidRPr="3E0F4268" w:rsidR="5D9F3AD0">
        <w:rPr>
          <w:rFonts w:ascii="Arial" w:hAnsi="Arial" w:eastAsia="Arial" w:cs="Arial"/>
          <w:sz w:val="28"/>
          <w:szCs w:val="28"/>
        </w:rPr>
        <w:t>Lecturer</w:t>
      </w:r>
      <w:r w:rsidRPr="3E0F4268" w:rsidR="6461F6E9">
        <w:rPr>
          <w:rFonts w:ascii="Arial" w:hAnsi="Arial" w:eastAsia="Arial" w:cs="Arial"/>
          <w:sz w:val="28"/>
          <w:szCs w:val="28"/>
        </w:rPr>
        <w:t xml:space="preserve">- </w:t>
      </w:r>
      <w:r w:rsidRPr="3E0F4268" w:rsidR="5D9F3AD0">
        <w:rPr>
          <w:rFonts w:ascii="Arial" w:hAnsi="Arial" w:eastAsia="Arial" w:cs="Arial"/>
          <w:sz w:val="28"/>
          <w:szCs w:val="28"/>
        </w:rPr>
        <w:t>Azida Zainol</w:t>
      </w:r>
    </w:p>
    <w:p w:rsidR="29970167" w:rsidRDefault="29970167" w14:paraId="1E7B77FD" w14:textId="2B8631DA"/>
    <w:p w:rsidR="35B05A10" w:rsidRDefault="35B05A10" w14:paraId="437FEBFC" w14:textId="1060C1A9"/>
    <w:p w:rsidR="35B05A10" w:rsidRDefault="35B05A10" w14:paraId="73679E58" w14:textId="468BE2E7"/>
    <w:p w:rsidR="35B05A10" w:rsidRDefault="35B05A10" w14:paraId="7C2EF055" w14:textId="0AB6C41D"/>
    <w:p w:rsidR="35B05A10" w:rsidRDefault="35B05A10" w14:paraId="6C20E2AE" w14:textId="247458C9"/>
    <w:p w:rsidR="35B05A10" w:rsidRDefault="35B05A10" w14:paraId="6AB078D1" w14:textId="1AA8C176"/>
    <w:p w:rsidR="47DFBDE5" w:rsidRDefault="47DFBDE5" w14:paraId="0D233E32" w14:textId="667971C7"/>
    <w:p w:rsidR="47DFBDE5" w:rsidRDefault="47DFBDE5" w14:paraId="2637FEF8" w14:textId="7823915E"/>
    <w:p w:rsidR="47DFBDE5" w:rsidRDefault="47DFBDE5" w14:paraId="43FBA9E3" w14:textId="365F0C0B"/>
    <w:p w:rsidR="35B05A10" w:rsidRDefault="35B05A10" w14:paraId="6FEBF92B" w14:textId="6E887B92"/>
    <w:p w:rsidR="35B05A10" w:rsidRDefault="35B05A10" w14:paraId="74E8BB8E" w14:textId="3EC4FFFF"/>
    <w:p w:rsidR="35B05A10" w:rsidRDefault="35B05A10" w14:paraId="63A27A67" w14:textId="14B904F0"/>
    <w:p w:rsidR="35B05A10" w:rsidRDefault="35B05A10" w14:paraId="1BF7F07A" w14:textId="7E6CD71A"/>
    <w:p w:rsidR="35B05A10" w:rsidRDefault="35B05A10" w14:paraId="176B8051" w14:textId="73735AEF"/>
    <w:p w:rsidR="35B05A10" w:rsidRDefault="35B05A10" w14:paraId="1F51A4FF" w14:textId="7B84126E"/>
    <w:p w:rsidR="35B05A10" w:rsidRDefault="35B05A10" w14:paraId="368F7F1F" w14:textId="632AB13D"/>
    <w:p w:rsidR="35B05A10" w:rsidRDefault="35B05A10" w14:paraId="56A06F02" w14:textId="7486754E"/>
    <w:p w:rsidR="35B05A10" w:rsidRDefault="35B05A10" w14:paraId="12DB5355" w14:textId="2B25C932"/>
    <w:p w:rsidR="35B05A10" w:rsidRDefault="35B05A10" w14:paraId="41BCDD6E" w14:textId="0D4D00F2"/>
    <w:p w:rsidR="35B05A10" w:rsidRDefault="35B05A10" w14:paraId="03ADB8A9" w14:textId="2C7DC9A5"/>
    <w:p w:rsidR="35B05A10" w:rsidP="47DFBDE5" w:rsidRDefault="35B05A10" w14:paraId="37B8C58C" w14:textId="43974228">
      <w:pPr>
        <w:pStyle w:val="Normal"/>
      </w:pPr>
    </w:p>
    <w:p w:rsidR="47DFBDE5" w:rsidP="47DFBDE5" w:rsidRDefault="47DFBDE5" w14:paraId="094C08F9" w14:textId="492D1685">
      <w:pPr>
        <w:pStyle w:val="Normal"/>
      </w:pPr>
    </w:p>
    <w:sdt>
      <w:sdtPr>
        <w:id w:val="748459248"/>
        <w:docPartObj>
          <w:docPartGallery w:val="Table of Contents"/>
          <w:docPartUnique/>
        </w:docPartObj>
      </w:sdtPr>
      <w:sdtContent>
        <w:p w:rsidR="3E0F4268" w:rsidP="3E0F4268" w:rsidRDefault="3E0F4268" w14:paraId="066FBE8F" w14:textId="70E6E471">
          <w:pPr>
            <w:pStyle w:val="TOC1"/>
            <w:tabs>
              <w:tab w:val="right" w:leader="dot" w:pos="9015"/>
            </w:tabs>
            <w:bidi w:val="0"/>
          </w:pPr>
          <w:r>
            <w:fldChar w:fldCharType="begin"/>
          </w:r>
          <w:r>
            <w:instrText xml:space="preserve">TOC \o \z \u \h</w:instrText>
          </w:r>
          <w:r>
            <w:fldChar w:fldCharType="separate"/>
          </w:r>
          <w:r>
            <w:fldChar w:fldCharType="begin"/>
          </w:r>
          <w:r>
            <w:instrText xml:space="preserve">HYPERLINK  \l  "_Toc209800634" </w:instrText>
          </w:r>
          <w:r>
            <w:fldChar w:fldCharType="separate"/>
          </w:r>
          <w:r w:rsidR="3E0F4268">
            <w:rPr/>
            <w:t>Reflective Report: Principles of Health and Social Care Practice</w:t>
          </w:r>
          <w:r>
            <w:tab/>
          </w:r>
          <w:r>
            <w:fldChar w:fldCharType="begin"/>
          </w:r>
          <w:r>
            <w:instrText xml:space="preserve">PAGEREF _Toc209800634 \h</w:instrText>
          </w:r>
          <w:r>
            <w:fldChar w:fldCharType="separate"/>
          </w:r>
          <w:r w:rsidR="3E0F4268">
            <w:rPr/>
            <w:t>1</w:t>
          </w:r>
          <w:r>
            <w:fldChar w:fldCharType="end"/>
          </w:r>
          <w:r>
            <w:fldChar w:fldCharType="end"/>
          </w:r>
        </w:p>
        <w:p w:rsidR="3E0F4268" w:rsidP="3E0F4268" w:rsidRDefault="3E0F4268" w14:paraId="40E1502A" w14:textId="71CBFD71">
          <w:pPr>
            <w:pStyle w:val="TOC2"/>
            <w:tabs>
              <w:tab w:val="right" w:leader="dot" w:pos="9015"/>
            </w:tabs>
            <w:bidi w:val="0"/>
          </w:pPr>
          <w:r>
            <w:fldChar w:fldCharType="begin"/>
          </w:r>
          <w:r>
            <w:instrText xml:space="preserve">HYPERLINK  \l  "_Toc1208174457" </w:instrText>
          </w:r>
          <w:r>
            <w:fldChar w:fldCharType="separate"/>
          </w:r>
          <w:r w:rsidR="3E0F4268">
            <w:rPr/>
            <w:t>Task 1: Reflection on the Importance of Principles of Health and Social Care</w:t>
          </w:r>
          <w:r>
            <w:tab/>
          </w:r>
          <w:r>
            <w:fldChar w:fldCharType="begin"/>
          </w:r>
          <w:r>
            <w:instrText xml:space="preserve">PAGEREF _Toc1208174457 \h</w:instrText>
          </w:r>
          <w:r>
            <w:fldChar w:fldCharType="separate"/>
          </w:r>
          <w:r w:rsidR="3E0F4268">
            <w:rPr/>
            <w:t>1</w:t>
          </w:r>
          <w:r>
            <w:fldChar w:fldCharType="end"/>
          </w:r>
          <w:r>
            <w:fldChar w:fldCharType="end"/>
          </w:r>
        </w:p>
        <w:p w:rsidR="3E0F4268" w:rsidP="3E0F4268" w:rsidRDefault="3E0F4268" w14:paraId="52EAB54A" w14:textId="7017B92C">
          <w:pPr>
            <w:pStyle w:val="TOC2"/>
            <w:tabs>
              <w:tab w:val="right" w:leader="dot" w:pos="9015"/>
            </w:tabs>
            <w:bidi w:val="0"/>
          </w:pPr>
          <w:r>
            <w:fldChar w:fldCharType="begin"/>
          </w:r>
          <w:r>
            <w:instrText xml:space="preserve">HYPERLINK  \l  "_Toc861632673" </w:instrText>
          </w:r>
          <w:r>
            <w:fldChar w:fldCharType="separate"/>
          </w:r>
          <w:r w:rsidR="3E0F4268">
            <w:rPr/>
            <w:t>Task 2: Practical Examples of Concepts in Practice – Mrs C’s Story</w:t>
          </w:r>
          <w:r>
            <w:tab/>
          </w:r>
          <w:r>
            <w:fldChar w:fldCharType="begin"/>
          </w:r>
          <w:r>
            <w:instrText xml:space="preserve">PAGEREF _Toc861632673 \h</w:instrText>
          </w:r>
          <w:r>
            <w:fldChar w:fldCharType="separate"/>
          </w:r>
          <w:r w:rsidR="3E0F4268">
            <w:rPr/>
            <w:t>1</w:t>
          </w:r>
          <w:r>
            <w:fldChar w:fldCharType="end"/>
          </w:r>
          <w:r>
            <w:fldChar w:fldCharType="end"/>
          </w:r>
        </w:p>
        <w:p w:rsidR="3E0F4268" w:rsidP="3E0F4268" w:rsidRDefault="3E0F4268" w14:paraId="7BD176C1" w14:textId="18FBA431">
          <w:pPr>
            <w:pStyle w:val="TOC2"/>
            <w:tabs>
              <w:tab w:val="right" w:leader="dot" w:pos="9015"/>
            </w:tabs>
            <w:bidi w:val="0"/>
          </w:pPr>
          <w:r>
            <w:fldChar w:fldCharType="begin"/>
          </w:r>
          <w:r>
            <w:instrText xml:space="preserve">HYPERLINK  \l  "_Toc708163136" </w:instrText>
          </w:r>
          <w:r>
            <w:fldChar w:fldCharType="separate"/>
          </w:r>
          <w:r w:rsidR="3E0F4268">
            <w:rPr/>
            <w:t>Task 3: Self-Reflection as a Health and Social Care Professional</w:t>
          </w:r>
          <w:r>
            <w:tab/>
          </w:r>
          <w:r>
            <w:fldChar w:fldCharType="begin"/>
          </w:r>
          <w:r>
            <w:instrText xml:space="preserve">PAGEREF _Toc708163136 \h</w:instrText>
          </w:r>
          <w:r>
            <w:fldChar w:fldCharType="separate"/>
          </w:r>
          <w:r w:rsidR="3E0F4268">
            <w:rPr/>
            <w:t>1</w:t>
          </w:r>
          <w:r>
            <w:fldChar w:fldCharType="end"/>
          </w:r>
          <w:r>
            <w:fldChar w:fldCharType="end"/>
          </w:r>
        </w:p>
        <w:p w:rsidR="3E0F4268" w:rsidP="3E0F4268" w:rsidRDefault="3E0F4268" w14:paraId="58D35BB1" w14:textId="2CA068E7">
          <w:pPr>
            <w:pStyle w:val="TOC2"/>
            <w:tabs>
              <w:tab w:val="right" w:leader="dot" w:pos="9015"/>
            </w:tabs>
            <w:bidi w:val="0"/>
          </w:pPr>
          <w:r>
            <w:fldChar w:fldCharType="begin"/>
          </w:r>
          <w:r>
            <w:instrText xml:space="preserve">HYPERLINK  \l  "_Toc1503001261" </w:instrText>
          </w:r>
          <w:r>
            <w:fldChar w:fldCharType="separate"/>
          </w:r>
          <w:r w:rsidR="3E0F4268">
            <w:rPr/>
            <w:t>Harvard reference list</w:t>
          </w:r>
          <w:r>
            <w:tab/>
          </w:r>
          <w:r>
            <w:fldChar w:fldCharType="begin"/>
          </w:r>
          <w:r>
            <w:instrText xml:space="preserve">PAGEREF _Toc1503001261 \h</w:instrText>
          </w:r>
          <w:r>
            <w:fldChar w:fldCharType="separate"/>
          </w:r>
          <w:r w:rsidR="3E0F4268">
            <w:rPr/>
            <w:t>1</w:t>
          </w:r>
          <w:r>
            <w:fldChar w:fldCharType="end"/>
          </w:r>
          <w:r>
            <w:fldChar w:fldCharType="end"/>
          </w:r>
        </w:p>
        <w:p w:rsidR="3E0F4268" w:rsidRDefault="3E0F4268" w14:paraId="5AA65395" w14:textId="0182ED5A">
          <w:r>
            <w:fldChar w:fldCharType="end"/>
          </w:r>
        </w:p>
      </w:sdtContent>
    </w:sdt>
    <w:p w:rsidR="35B05A10" w:rsidP="35B05A10" w:rsidRDefault="35B05A10" w14:paraId="466406AD" w14:textId="2A32359C">
      <w:pPr>
        <w:pStyle w:val="Normal"/>
      </w:pPr>
    </w:p>
    <w:p w:rsidR="35B05A10" w:rsidP="35B05A10" w:rsidRDefault="35B05A10" w14:paraId="693CAC4C" w14:textId="2A2F3956">
      <w:pPr>
        <w:pStyle w:val="Normal"/>
      </w:pPr>
    </w:p>
    <w:p w:rsidR="35B05A10" w:rsidP="35B05A10" w:rsidRDefault="35B05A10" w14:paraId="1B2AFB64" w14:textId="7D78842F">
      <w:pPr>
        <w:pStyle w:val="Normal"/>
      </w:pPr>
    </w:p>
    <w:p w:rsidR="35B05A10" w:rsidP="35B05A10" w:rsidRDefault="35B05A10" w14:paraId="225CD379" w14:textId="1B312FB7">
      <w:pPr>
        <w:pStyle w:val="Normal"/>
      </w:pPr>
    </w:p>
    <w:p w:rsidR="35B05A10" w:rsidP="35B05A10" w:rsidRDefault="35B05A10" w14:paraId="199AC07E" w14:textId="61E08356">
      <w:pPr>
        <w:pStyle w:val="Normal"/>
      </w:pPr>
    </w:p>
    <w:p w:rsidR="35B05A10" w:rsidP="35B05A10" w:rsidRDefault="35B05A10" w14:paraId="6BAFB9D6" w14:textId="640CD783">
      <w:pPr>
        <w:pStyle w:val="Normal"/>
      </w:pPr>
    </w:p>
    <w:p w:rsidR="35B05A10" w:rsidP="35B05A10" w:rsidRDefault="35B05A10" w14:paraId="00B594E1" w14:textId="107A4FF3">
      <w:pPr>
        <w:pStyle w:val="Normal"/>
      </w:pPr>
    </w:p>
    <w:p w:rsidR="35B05A10" w:rsidP="35B05A10" w:rsidRDefault="35B05A10" w14:paraId="0A4174B7" w14:textId="5953F41B">
      <w:pPr>
        <w:pStyle w:val="Normal"/>
      </w:pPr>
    </w:p>
    <w:p w:rsidR="35B05A10" w:rsidP="35B05A10" w:rsidRDefault="35B05A10" w14:paraId="43AA6C2B" w14:textId="3F587646">
      <w:pPr>
        <w:pStyle w:val="Normal"/>
      </w:pPr>
    </w:p>
    <w:p w:rsidR="35B05A10" w:rsidP="35B05A10" w:rsidRDefault="35B05A10" w14:paraId="11495438" w14:textId="3D8A24D4">
      <w:pPr>
        <w:pStyle w:val="Normal"/>
      </w:pPr>
    </w:p>
    <w:p w:rsidR="35B05A10" w:rsidP="35B05A10" w:rsidRDefault="35B05A10" w14:paraId="6C2A8170" w14:textId="26A4CB6F">
      <w:pPr>
        <w:pStyle w:val="Normal"/>
      </w:pPr>
    </w:p>
    <w:p w:rsidR="35B05A10" w:rsidP="35B05A10" w:rsidRDefault="35B05A10" w14:paraId="6E9AD750" w14:textId="755A7E1B">
      <w:pPr>
        <w:pStyle w:val="Normal"/>
      </w:pPr>
    </w:p>
    <w:p w:rsidR="35B05A10" w:rsidP="35B05A10" w:rsidRDefault="35B05A10" w14:paraId="56FD0BB9" w14:textId="2B7E17AD">
      <w:pPr>
        <w:pStyle w:val="Normal"/>
      </w:pPr>
    </w:p>
    <w:p w:rsidR="35B05A10" w:rsidP="35B05A10" w:rsidRDefault="35B05A10" w14:paraId="6A94B836" w14:textId="42909EBC">
      <w:pPr>
        <w:pStyle w:val="Normal"/>
      </w:pPr>
    </w:p>
    <w:p w:rsidR="35B05A10" w:rsidP="35B05A10" w:rsidRDefault="35B05A10" w14:paraId="128FD074" w14:textId="35AE9228">
      <w:pPr>
        <w:pStyle w:val="Normal"/>
      </w:pPr>
    </w:p>
    <w:p w:rsidR="35B05A10" w:rsidP="35B05A10" w:rsidRDefault="35B05A10" w14:paraId="56A03535" w14:textId="0AF65F4A">
      <w:pPr>
        <w:pStyle w:val="Normal"/>
      </w:pPr>
    </w:p>
    <w:p w:rsidR="35B05A10" w:rsidP="35B05A10" w:rsidRDefault="35B05A10" w14:paraId="311464FC" w14:textId="1C6C8F06">
      <w:pPr>
        <w:pStyle w:val="Normal"/>
      </w:pPr>
    </w:p>
    <w:p w:rsidR="35B05A10" w:rsidP="35B05A10" w:rsidRDefault="35B05A10" w14:paraId="14599E93" w14:textId="16CEEA9E">
      <w:pPr>
        <w:pStyle w:val="Normal"/>
      </w:pPr>
    </w:p>
    <w:p w:rsidR="35B05A10" w:rsidP="35B05A10" w:rsidRDefault="35B05A10" w14:paraId="2CB24E6F" w14:textId="002D23E2">
      <w:pPr>
        <w:pStyle w:val="Normal"/>
      </w:pPr>
    </w:p>
    <w:p w:rsidR="35B05A10" w:rsidP="35B05A10" w:rsidRDefault="35B05A10" w14:paraId="49333D0B" w14:textId="48A61B7B">
      <w:pPr>
        <w:pStyle w:val="Normal"/>
      </w:pPr>
    </w:p>
    <w:p w:rsidR="35B05A10" w:rsidP="35B05A10" w:rsidRDefault="35B05A10" w14:paraId="63D2B453" w14:textId="42F9BC71">
      <w:pPr>
        <w:pStyle w:val="Normal"/>
      </w:pPr>
    </w:p>
    <w:p w:rsidR="35B05A10" w:rsidP="35B05A10" w:rsidRDefault="35B05A10" w14:paraId="40ACE045" w14:textId="4FE8BD59">
      <w:pPr>
        <w:pStyle w:val="Normal"/>
      </w:pPr>
    </w:p>
    <w:p w:rsidR="47DFBDE5" w:rsidP="47DFBDE5" w:rsidRDefault="47DFBDE5" w14:paraId="55EE8FDA" w14:textId="63AC1755">
      <w:pPr>
        <w:pStyle w:val="Normal"/>
      </w:pPr>
    </w:p>
    <w:p w:rsidR="47DFBDE5" w:rsidP="47DFBDE5" w:rsidRDefault="47DFBDE5" w14:paraId="52C1BE82" w14:textId="0B4A56BB">
      <w:pPr>
        <w:pStyle w:val="Normal"/>
      </w:pPr>
    </w:p>
    <w:p w:rsidR="47DFBDE5" w:rsidP="3E0F4268" w:rsidRDefault="47DFBDE5" w14:paraId="38D020F8" w14:textId="43869C6A">
      <w:pPr>
        <w:pStyle w:val="Heading1"/>
        <w:spacing w:before="300" w:beforeAutospacing="off" w:after="180" w:afterAutospacing="off"/>
        <w:rPr>
          <w:rFonts w:ascii="Aptos" w:hAnsi="Aptos" w:eastAsia="Aptos" w:cs="Aptos"/>
          <w:b w:val="1"/>
          <w:bCs w:val="1"/>
          <w:noProof w:val="0"/>
          <w:color w:val="0D0D0D" w:themeColor="text1" w:themeTint="F2" w:themeShade="FF"/>
          <w:sz w:val="48"/>
          <w:szCs w:val="48"/>
          <w:lang w:val="en-GB"/>
        </w:rPr>
      </w:pPr>
      <w:bookmarkStart w:name="_Toc209800634" w:id="786916194"/>
      <w:r w:rsidRPr="3E0F4268" w:rsidR="27B53DDA">
        <w:rPr>
          <w:rFonts w:ascii="Aptos" w:hAnsi="Aptos" w:eastAsia="Aptos" w:cs="Aptos"/>
          <w:b w:val="1"/>
          <w:bCs w:val="1"/>
          <w:noProof w:val="0"/>
          <w:color w:val="0D0D0D" w:themeColor="text1" w:themeTint="F2" w:themeShade="FF"/>
          <w:sz w:val="48"/>
          <w:szCs w:val="48"/>
          <w:lang w:val="en-GB"/>
        </w:rPr>
        <w:t>Reflective Report: Principles of Health and Social Care Practice</w:t>
      </w:r>
      <w:bookmarkEnd w:id="786916194"/>
    </w:p>
    <w:p w:rsidR="47DFBDE5" w:rsidP="3E0F4268" w:rsidRDefault="47DFBDE5" w14:paraId="0F8C3F15" w14:textId="3452E6C4">
      <w:pPr>
        <w:pStyle w:val="Heading2"/>
        <w:spacing w:before="300" w:beforeAutospacing="off" w:after="180" w:afterAutospacing="off"/>
        <w:rPr>
          <w:rFonts w:ascii="Aptos" w:hAnsi="Aptos" w:eastAsia="Aptos" w:cs="Aptos"/>
          <w:b w:val="1"/>
          <w:bCs w:val="1"/>
          <w:noProof w:val="0"/>
          <w:color w:val="0D0D0D" w:themeColor="text1" w:themeTint="F2" w:themeShade="FF"/>
          <w:sz w:val="36"/>
          <w:szCs w:val="36"/>
          <w:lang w:val="en-GB"/>
        </w:rPr>
      </w:pPr>
      <w:bookmarkStart w:name="_Toc1208174457" w:id="1747173244"/>
      <w:r w:rsidRPr="3E0F4268" w:rsidR="27B53DDA">
        <w:rPr>
          <w:rFonts w:ascii="Aptos" w:hAnsi="Aptos" w:eastAsia="Aptos" w:cs="Aptos"/>
          <w:b w:val="1"/>
          <w:bCs w:val="1"/>
          <w:noProof w:val="0"/>
          <w:color w:val="0D0D0D" w:themeColor="text1" w:themeTint="F2" w:themeShade="FF"/>
          <w:sz w:val="36"/>
          <w:szCs w:val="36"/>
          <w:lang w:val="en-GB"/>
        </w:rPr>
        <w:t>Task 1: Reflection on the Importance of Principles of Health and Social Care</w:t>
      </w:r>
      <w:bookmarkEnd w:id="1747173244"/>
    </w:p>
    <w:p w:rsidR="47DFBDE5" w:rsidP="3E0F4268" w:rsidRDefault="47DFBDE5" w14:paraId="7B7CB44D" w14:textId="4C668BD3">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Person-centred care, partnership working and ethical practice are three important principles that help health and social care professionals provide safe, respectful and effective care. In my view, these principles are closely connected because good care is not simply about treating an illness. It is also about understanding the individual, respecting their choices and working with other people and professionals to achieve the best possible outcomes. This is particularly important in the UK because many people have complex needs that require support from different health and social care services.</w:t>
      </w:r>
    </w:p>
    <w:p w:rsidR="47DFBDE5" w:rsidP="3E0F4268" w:rsidRDefault="47DFBDE5" w14:paraId="3052F350" w14:textId="76818EBE">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Person-centred care means treating each individual as a unique person rather than focusing only on their diagnosis or care needs. NHS England describes personalised care as giving people choice and control over how their care is planned and delivered, based on what matters to them, their strengths and their individual needs (NHS England, 2024). This approach is important because individuals are more likely to feel respected and involved when their opinions are listened to. McCormack and McCance (2017) argue that person-centred practice involves developing relationships with individuals and recognising their values, preferences and experiences. Therefore, I believe person-centred care can improve trust between professionals and service users and can help people become more involved in decisions about their own wellbeing.</w:t>
      </w:r>
    </w:p>
    <w:p w:rsidR="47DFBDE5" w:rsidP="3E0F4268" w:rsidRDefault="47DFBDE5" w14:paraId="6E294FF7" w14:textId="7E4831B4">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Maslow’s Hierarchy of Needs is also useful when considering person-centred care. Maslow (1943) suggested that people have different levels of need, including physiological needs, safety, belonging, esteem and self-actualisation. In health and social care, this reminds professionals that a person may require more than medical treatment. For example, someone may have their physical needs managed but still experience loneliness, anxiety or a lack of independence. A person-centred approach considers these wider needs and can therefore support the individual’s overall wellbeing.</w:t>
      </w:r>
    </w:p>
    <w:p w:rsidR="47DFBDE5" w:rsidP="3E0F4268" w:rsidRDefault="47DFBDE5" w14:paraId="01CF60E4" w14:textId="739A328A">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Partnership working is equally important. Health and social care professionals rarely work in isolation, particularly when supporting people with long-term or complex conditions. Partnership working involves communication and cooperation between professionals, service users, families, carers and different organisations. The World Health Organization (2016) explains that integrated people-centred care should move away from systems designed mainly around diseases and organisations and instead place people and communities at the centre of care. In England, the Health and Care Act 2022 strengthened the focus on integration by establishing integrated care partnerships involving NHS and local authority organisations (Health and Care Act 2022). Effective partnership working can reduce fragmented care, prevent unnecessary repetition and help ensure that important information is communicated between services.</w:t>
      </w:r>
    </w:p>
    <w:p w:rsidR="47DFBDE5" w:rsidP="3E0F4268" w:rsidRDefault="47DFBDE5" w14:paraId="6BC51E34" w14:textId="523FF8EF">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Ethics is another fundamental part of health and social care. Ethical practice requires professionals to consider what is right, fair and appropriate when making decisions. The four commonly used ethical principles are autonomy, beneficence, non-maleficence and justice (Beauchamp and Childress, 2019). Autonomy means respecting an individual's right to make decisions about their own care, while beneficence involves acting in the person's best interests. Non-maleficence involves avoiding unnecessary harm and justice involves treating people fairly. These principles can sometimes conflict, which means professionals may need to carefully consider the individual circumstances before making a decision.</w:t>
      </w:r>
    </w:p>
    <w:p w:rsidR="47DFBDE5" w:rsidP="3E0F4268" w:rsidRDefault="47DFBDE5" w14:paraId="7D772A00" w14:textId="6509D4BF">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The Care Act 2014 also places wellbeing at the centre of adult social care. It includes dignity, physical and mental wellbeing, relationships and control over day-to-day life as important elements of wellbeing (Care Act 2014). Overall, person-centred care, partnership working and ethical practice support quality because they encourage professionals to see the whole person, communicate effectively and make decisions that respect individual rights and choices.</w:t>
      </w:r>
    </w:p>
    <w:p w:rsidR="47DFBDE5" w:rsidP="3E0F4268" w:rsidRDefault="47DFBDE5" w14:paraId="0DA9B1A4" w14:textId="3A5768EC">
      <w:pPr>
        <w:pStyle w:val="Heading2"/>
        <w:spacing w:before="300" w:beforeAutospacing="off" w:after="180" w:afterAutospacing="off"/>
        <w:rPr>
          <w:rFonts w:ascii="Aptos" w:hAnsi="Aptos" w:eastAsia="Aptos" w:cs="Aptos"/>
          <w:b w:val="1"/>
          <w:bCs w:val="1"/>
          <w:noProof w:val="0"/>
          <w:color w:val="0D0D0D" w:themeColor="text1" w:themeTint="F2" w:themeShade="FF"/>
          <w:sz w:val="36"/>
          <w:szCs w:val="36"/>
          <w:lang w:val="en-GB"/>
        </w:rPr>
      </w:pPr>
      <w:bookmarkStart w:name="_Toc861632673" w:id="234426768"/>
      <w:r w:rsidRPr="3E0F4268" w:rsidR="27B53DDA">
        <w:rPr>
          <w:rFonts w:ascii="Aptos" w:hAnsi="Aptos" w:eastAsia="Aptos" w:cs="Aptos"/>
          <w:b w:val="1"/>
          <w:bCs w:val="1"/>
          <w:noProof w:val="0"/>
          <w:color w:val="0D0D0D" w:themeColor="text1" w:themeTint="F2" w:themeShade="FF"/>
          <w:sz w:val="36"/>
          <w:szCs w:val="36"/>
          <w:lang w:val="en-GB"/>
        </w:rPr>
        <w:t>Task 2: Practical Examples of Concepts in Practice – Mrs C’s Story</w:t>
      </w:r>
      <w:bookmarkEnd w:id="234426768"/>
    </w:p>
    <w:p w:rsidR="47DFBDE5" w:rsidP="3E0F4268" w:rsidRDefault="47DFBDE5" w14:paraId="6A485F2F" w14:textId="30B37521">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The NHS England case study of Mrs C provides a useful example of how person-centred care, partnership working and ethical practice can be applied in a real health and social care situation. Mrs C was a widow living alone with severe chronic obstructive pulmonary disease (COPD). She was later diagnosed with lung cancer that had spread to her bones and liver. Despite having serious and progressive health conditions, the approach to her care focused not only on her illnesses but also on what mattered to her as a person (NHS England, 2019).</w:t>
      </w:r>
    </w:p>
    <w:p w:rsidR="47DFBDE5" w:rsidP="3E0F4268" w:rsidRDefault="47DFBDE5" w14:paraId="6B5002A1" w14:textId="0F00F4E1">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Person-centred care can be seen in the way Mrs C was involved in planning her care. A holistic assessment considered her physical, psychological, emotional, social and spiritual needs. She was also able to discuss what was important to her and decide how much support she wanted. For example, she decided that she only needed carers in the morning at that point in her illness (NHS England, 2019). This is a good example of respecting independence and choice. It also reflects the Care Act 2014, which states that individuals should have control over their day-to-day lives and that their wishes and feelings should be considered (Care Act 2014).</w:t>
      </w:r>
    </w:p>
    <w:p w:rsidR="47DFBDE5" w:rsidP="3E0F4268" w:rsidRDefault="47DFBDE5" w14:paraId="7B9D7AD8" w14:textId="37EE129F">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Shared decision-making was another important feature of Mrs C’s care. She was involved in decisions about palliative treatment, future COPD exacerbations, hospital admission and how she wanted her symptoms managed. NICE (2021) explains that shared decision-making involves the individual and healthcare professional working together to reach decisions about care. Elwyn et al. (2012) similarly suggest that shared decision-making should help professionals and individuals discuss choices and reach decisions that reflect the person's preferences. In Mrs C’s case, this approach gave her a voice at a time when her health was becoming increasingly complex.</w:t>
      </w:r>
    </w:p>
    <w:p w:rsidR="47DFBDE5" w:rsidP="3E0F4268" w:rsidRDefault="47DFBDE5" w14:paraId="7911BD0F" w14:textId="7D4B386E">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Partnership working was also demonstrated because several services needed to communicate and coordinate Mrs C’s care. These included her GP, community nursing services, hospital staff, respiratory and oncology services, palliative care and emergency services. NHS England (2019) highlights the importance of sharing her care plan with professionals who might become involved in her treatment. This is particularly important because poor communication can result in repeated assessments, conflicting advice or delays in care. The Health and Care Act 2022 supports collaboration between health and social care organisations through integrated care partnerships.</w:t>
      </w:r>
    </w:p>
    <w:p w:rsidR="47DFBDE5" w:rsidP="3E0F4268" w:rsidRDefault="47DFBDE5" w14:paraId="7A9D5736" w14:textId="11FA251A">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Ethical practice can be seen through the respect given to Mrs C's autonomy. She was supported to make decisions about her treatment and future care rather than having decisions automatically made for her. This is important because having a serious illness does not mean that an individual should lose control over their choices. The Mental Capacity Act 2005 provides a legal framework for supporting people to make their own decisions and requires professionals to presume capacity unless there is evidence that a person lacks it. Ethical practice therefore involves balancing safety with the individual's right to make choices.</w:t>
      </w:r>
    </w:p>
    <w:p w:rsidR="47DFBDE5" w:rsidP="3E0F4268" w:rsidRDefault="47DFBDE5" w14:paraId="0E20EFF2" w14:textId="0AB32B78">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Mrs C also used a personal health budget, which allowed her to have greater control over the support she received. She was unhappy with the carers she had been receiving and chose to use her budget to employ someone she already trusted (NHS England, 2019). This demonstrates empowerment because the support was adapted to her preferences instead of expecting her to fit into a standard service.</w:t>
      </w:r>
    </w:p>
    <w:p w:rsidR="47DFBDE5" w:rsidP="3E0F4268" w:rsidRDefault="47DFBDE5" w14:paraId="686A7626" w14:textId="10260275">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The case also shows that good care should consider social wellbeing. Mrs C was supported through activities such as a local health walk, a lunch club and maintaining communication with her family. These interventions were important because social isolation can negatively affect wellbeing. Overall, Mrs C’s story demonstrates that effective care involves more than medical treatment. It requires professionals to listen, communicate, respect choices and work together around the individual's needs.</w:t>
      </w:r>
    </w:p>
    <w:p w:rsidR="47DFBDE5" w:rsidP="3E0F4268" w:rsidRDefault="47DFBDE5" w14:paraId="2012A9E2" w14:textId="73759F1C">
      <w:pPr>
        <w:pStyle w:val="Heading2"/>
        <w:spacing w:before="300" w:beforeAutospacing="off" w:after="180" w:afterAutospacing="off"/>
        <w:rPr>
          <w:rFonts w:ascii="Aptos" w:hAnsi="Aptos" w:eastAsia="Aptos" w:cs="Aptos"/>
          <w:b w:val="1"/>
          <w:bCs w:val="1"/>
          <w:noProof w:val="0"/>
          <w:color w:val="0D0D0D" w:themeColor="text1" w:themeTint="F2" w:themeShade="FF"/>
          <w:sz w:val="36"/>
          <w:szCs w:val="36"/>
          <w:lang w:val="en-GB"/>
        </w:rPr>
      </w:pPr>
      <w:bookmarkStart w:name="_Toc708163136" w:id="1674245090"/>
      <w:r w:rsidRPr="3E0F4268" w:rsidR="27B53DDA">
        <w:rPr>
          <w:rFonts w:ascii="Aptos" w:hAnsi="Aptos" w:eastAsia="Aptos" w:cs="Aptos"/>
          <w:b w:val="1"/>
          <w:bCs w:val="1"/>
          <w:noProof w:val="0"/>
          <w:color w:val="0D0D0D" w:themeColor="text1" w:themeTint="F2" w:themeShade="FF"/>
          <w:sz w:val="36"/>
          <w:szCs w:val="36"/>
          <w:lang w:val="en-GB"/>
        </w:rPr>
        <w:t>Task 3: Self-Reflection as a Health and Social Care Professional</w:t>
      </w:r>
      <w:bookmarkEnd w:id="1674245090"/>
    </w:p>
    <w:p w:rsidR="47DFBDE5" w:rsidP="3E0F4268" w:rsidRDefault="47DFBDE5" w14:paraId="6DA799E7" w14:textId="40EA6AD0">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As a health and social care professional, I recognise that person-centred care, partnership working and ethical practice should influence my everyday behaviour rather than being principles that are only considered during formal assessments. Reflecting on these principles has helped me understand that the way I communicate with an individual can be just as important as the practical care I provide. I need to make sure that the person remains at the centre of my work and that I do not allow routines, workload or organisational pressures to make me forget their individual needs.</w:t>
      </w:r>
    </w:p>
    <w:p w:rsidR="47DFBDE5" w:rsidP="3E0F4268" w:rsidRDefault="47DFBDE5" w14:paraId="6E16EA06" w14:textId="7300E4B6">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One of the main ways I would apply person-centred care is by listening carefully to service users and asking what matters to them. I would avoid making assumptions based on someone's age, diagnosis, disability or social circumstances. For example, two people with the same medical condition may have completely different priorities. One person may want to remain as independent as possible, while another may prefer more support from carers or family members. NHS England (2024) emphasises that personalised care is based on individual strengths, needs and what matters to the person. I therefore believe that effective communication and active listening are essential skills for my practice.</w:t>
      </w:r>
    </w:p>
    <w:p w:rsidR="47DFBDE5" w:rsidP="3E0F4268" w:rsidRDefault="47DFBDE5" w14:paraId="0716522E" w14:textId="338DB788">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I would also use the principles of shared decision-making in my daily work. I would explain information in a way that the person can understand and give them an opportunity to ask questions. I would not assume that a person understands simply because I have explained something once. NICE (2021) recommends communicating information clearly, checking understanding and giving people sufficient time to consider their options. This is something I need to remember particularly when individuals are anxious, in pain or receiving difficult news. In these situations, communication needs to be compassionate as well as informative.</w:t>
      </w:r>
    </w:p>
    <w:p w:rsidR="47DFBDE5" w:rsidP="3E0F4268" w:rsidRDefault="47DFBDE5" w14:paraId="50A33895" w14:textId="3DB233DA">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Another area that I would apply is respect for dignity and independence. I would encourage individuals to do things for themselves where it is safe to do so rather than automatically doing everything for them. This can help maintain confidence and self-esteem. Maslow’s theory suggests that esteem and a sense of achievement are important human needs (Maslow, 1943). Therefore, supporting independence can have benefits beyond the immediate task being completed.</w:t>
      </w:r>
    </w:p>
    <w:p w:rsidR="47DFBDE5" w:rsidP="3E0F4268" w:rsidRDefault="47DFBDE5" w14:paraId="4EFE7853" w14:textId="1DB122C4">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Partnership working would also influence my everyday practice. I would recognise that I am only one part of a wider team. Depending on the individual's needs, this could involve working with nurses, doctors, social workers, occupational therapists, carers, family members or voluntary organisations. I would communicate relevant information clearly and make sure that important concerns are passed to the appropriate professional. The Health and Care Act 2022 demonstrates the importance of collaboration between health and social care organisations, while the WHO (2016) highlights the benefits of integrated, people-centred services.</w:t>
      </w:r>
    </w:p>
    <w:p w:rsidR="47DFBDE5" w:rsidP="3E0F4268" w:rsidRDefault="47DFBDE5" w14:paraId="4B32C70E" w14:textId="7598A4D4">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I also recognise that partnership working must include the service user. Professionals should not have a discussion about someone's care as though that person is not part of the team. The individual should be involved as much as possible in decisions affecting them. The HCPC (2024), for example, requires registered professionals to work in partnership with service users and carers and to support informed decision-making. If I am working under a different professional code, I would follow the standards relevant to my own registration or role, but the principle of involving the individual remains important.</w:t>
      </w:r>
    </w:p>
    <w:p w:rsidR="47DFBDE5" w:rsidP="3E0F4268" w:rsidRDefault="47DFBDE5" w14:paraId="0978353D" w14:textId="2452768D">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Ethical practice is another area that would influence my work. I would need to respect confidentiality, obtain appropriate consent and recognise the individual's right to make choices. I would also need to understand that my own personal beliefs should not influence the care I provide. Ethical decisions can sometimes be difficult because there may be competing priorities. For example, a professional may believe that a particular intervention would be beneficial, while the individual may refuse it. In such a situation, I would need to consider autonomy, potential benefits and risks, capacity, consent and relevant professional guidance rather than simply imposing my own view (Beauchamp and Childress, 2019).</w:t>
      </w:r>
    </w:p>
    <w:p w:rsidR="47DFBDE5" w:rsidP="3E0F4268" w:rsidRDefault="47DFBDE5" w14:paraId="74BBFC9A" w14:textId="5570EAE7">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The Mental Capacity Act 2005 is particularly relevant to this area of practice. If there were concerns about a person's ability to make a particular decision, I would not automatically assume that they lacked capacity. I would follow the appropriate assessment process and support the individual to make the decision wherever possible. This is important because protecting someone from harm should not mean unnecessarily taking away their independence.</w:t>
      </w:r>
    </w:p>
    <w:p w:rsidR="47DFBDE5" w:rsidP="3E0F4268" w:rsidRDefault="47DFBDE5" w14:paraId="1C1E5E71" w14:textId="58EF1AB5">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Reflecting on my current skills, I believe one of my strengths is my willingness to listen and treat people respectfully. I understand that individuals may be experiencing fear, pain, loneliness or uncertainty, and I try to communicate in a calm and supportive manner. I also recognise the importance of teamwork and understand that asking another professional for advice is not a weakness. It can actually be an important part of safe practice.</w:t>
      </w:r>
    </w:p>
    <w:p w:rsidR="47DFBDE5" w:rsidP="3E0F4268" w:rsidRDefault="47DFBDE5" w14:paraId="7B138FC0" w14:textId="70F09875">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However, I also have areas that I need to improve. One area is developing my confidence when dealing with difficult ethical situations. Sometimes there may not be one obvious correct answer, particularly when the individual's wishes, family expectations and professional concerns are different. I need to become more confident in analysing situations and using legislation, professional codes and organisational policies to support my decisions. Reading professional guidance and discussing difficult situations during supervision would help me develop this skill.</w:t>
      </w:r>
    </w:p>
    <w:p w:rsidR="47DFBDE5" w:rsidP="3E0F4268" w:rsidRDefault="47DFBDE5" w14:paraId="0D6FFDD2" w14:textId="524A4357">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I also want to improve my knowledge of legislation and current health and social care guidance. Although I understand the general importance of the Care Act 2014 and Mental Capacity Act 2005, I recognise that professional practice requires more than knowing the names of legislation. I need to understand how these laws affect everyday decisions about consent, dignity, safeguarding, independence and wellbeing. My development plan would therefore include regularly reading relevant policies and completing training provided by my employer or professional body.</w:t>
      </w:r>
    </w:p>
    <w:p w:rsidR="47DFBDE5" w:rsidP="3E0F4268" w:rsidRDefault="47DFBDE5" w14:paraId="7B718352" w14:textId="006DA37E">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Another development area is communication. I want to become more confident when communicating with people who have different communication needs. This could include people with hearing difficulties, learning disabilities, language barriers or cognitive difficulties. I would use appropriate communication methods and seek additional support when necessary rather than expecting every individual to communicate in the same way. NICE (2021) emphasises the importance of adapting shared decision-making to the needs and circumstances of the person.</w:t>
      </w:r>
    </w:p>
    <w:p w:rsidR="47DFBDE5" w:rsidP="3E0F4268" w:rsidRDefault="47DFBDE5" w14:paraId="43843A47" w14:textId="458A2C24">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I would also use reflection as an ongoing method of professional development. After difficult or particularly meaningful interactions, I could ask myself what went well, what could have been handled differently and what I learned from the experience. Reflective practice can help transform everyday experiences into opportunities for learning. I would also seek constructive feedback from colleagues and use supervision to identify areas where I need further development.</w:t>
      </w:r>
    </w:p>
    <w:p w:rsidR="47DFBDE5" w:rsidP="3E0F4268" w:rsidRDefault="47DFBDE5" w14:paraId="11219A3A" w14:textId="6F32425A">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My future development would therefore involve several specific actions. First, I would complete relevant training on person-centred care, safeguarding, mental capacity, equality and communication. Second, I would regularly review professional guidance and legislation. Third, I would use supervision to discuss ethical issues and challenging situations. Finally, I would continue developing my communication and teamwork skills by learning from experienced colleagues.</w:t>
      </w:r>
    </w:p>
    <w:p w:rsidR="47DFBDE5" w:rsidP="3E0F4268" w:rsidRDefault="47DFBDE5" w14:paraId="2029C886" w14:textId="7FCE7DB1">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Overall, this reflection has helped me understand that being a good health and social care professional involves more than completing tasks correctly. It means understanding the person behind the care needs, respecting their choices, communicating effectively and working with others to provide safe and coordinated support. Mrs C’s story particularly demonstrates that even when a person's illness is complex or life-limiting, they can still be supported to have choice, dignity and control. In my future practice, I want these principles to guide the way I communicate, make decisions and develop professionally.</w:t>
      </w:r>
    </w:p>
    <w:p w:rsidR="47DFBDE5" w:rsidP="3E0F4268" w:rsidRDefault="47DFBDE5" w14:paraId="1F8EBEAD" w14:textId="34D1CCDA">
      <w:pPr>
        <w:spacing w:before="180" w:beforeAutospacing="off" w:after="180" w:afterAutospacing="off"/>
        <w:rPr>
          <w:rFonts w:ascii="Aptos" w:hAnsi="Aptos" w:eastAsia="Aptos" w:cs="Aptos"/>
          <w:noProof w:val="0"/>
          <w:color w:val="0D0D0D" w:themeColor="text1" w:themeTint="F2" w:themeShade="FF"/>
          <w:sz w:val="24"/>
          <w:szCs w:val="24"/>
          <w:lang w:val="en-GB"/>
        </w:rPr>
      </w:pPr>
    </w:p>
    <w:p w:rsidR="47DFBDE5" w:rsidP="3E0F4268" w:rsidRDefault="47DFBDE5" w14:paraId="48049C4B" w14:textId="6144E549">
      <w:pPr>
        <w:spacing w:before="180" w:beforeAutospacing="off" w:after="180" w:afterAutospacing="off"/>
        <w:rPr>
          <w:rFonts w:ascii="Aptos" w:hAnsi="Aptos" w:eastAsia="Aptos" w:cs="Aptos"/>
          <w:noProof w:val="0"/>
          <w:color w:val="0D0D0D" w:themeColor="text1" w:themeTint="F2" w:themeShade="FF"/>
          <w:sz w:val="24"/>
          <w:szCs w:val="24"/>
          <w:lang w:val="en-GB"/>
        </w:rPr>
      </w:pPr>
    </w:p>
    <w:p w:rsidR="47DFBDE5" w:rsidP="3E0F4268" w:rsidRDefault="47DFBDE5" w14:paraId="1A9A1C09" w14:textId="41C10CEA">
      <w:pPr>
        <w:spacing w:before="180" w:beforeAutospacing="off" w:after="180" w:afterAutospacing="off"/>
        <w:rPr>
          <w:rFonts w:ascii="Aptos" w:hAnsi="Aptos" w:eastAsia="Aptos" w:cs="Aptos"/>
          <w:noProof w:val="0"/>
          <w:color w:val="0D0D0D" w:themeColor="text1" w:themeTint="F2" w:themeShade="FF"/>
          <w:sz w:val="24"/>
          <w:szCs w:val="24"/>
          <w:lang w:val="en-GB"/>
        </w:rPr>
      </w:pPr>
    </w:p>
    <w:p w:rsidR="47DFBDE5" w:rsidP="3E0F4268" w:rsidRDefault="47DFBDE5" w14:paraId="772744EA" w14:textId="5C1143C5">
      <w:pPr>
        <w:spacing w:before="180" w:beforeAutospacing="off" w:after="180" w:afterAutospacing="off"/>
        <w:rPr>
          <w:rFonts w:ascii="Aptos" w:hAnsi="Aptos" w:eastAsia="Aptos" w:cs="Aptos"/>
          <w:noProof w:val="0"/>
          <w:color w:val="0D0D0D" w:themeColor="text1" w:themeTint="F2" w:themeShade="FF"/>
          <w:sz w:val="24"/>
          <w:szCs w:val="24"/>
          <w:lang w:val="en-GB"/>
        </w:rPr>
      </w:pPr>
    </w:p>
    <w:p w:rsidR="47DFBDE5" w:rsidP="3E0F4268" w:rsidRDefault="47DFBDE5" w14:paraId="08FD1E4F" w14:textId="1730E338">
      <w:pPr>
        <w:spacing w:before="180" w:beforeAutospacing="off" w:after="180" w:afterAutospacing="off"/>
        <w:rPr>
          <w:rFonts w:ascii="Aptos" w:hAnsi="Aptos" w:eastAsia="Aptos" w:cs="Aptos"/>
          <w:noProof w:val="0"/>
          <w:color w:val="0D0D0D" w:themeColor="text1" w:themeTint="F2" w:themeShade="FF"/>
          <w:sz w:val="24"/>
          <w:szCs w:val="24"/>
          <w:lang w:val="en-GB"/>
        </w:rPr>
      </w:pPr>
    </w:p>
    <w:p w:rsidR="47DFBDE5" w:rsidP="3E0F4268" w:rsidRDefault="47DFBDE5" w14:paraId="34817CD2" w14:textId="68626DC5">
      <w:pPr>
        <w:spacing w:before="180" w:beforeAutospacing="off" w:after="180" w:afterAutospacing="off"/>
        <w:rPr>
          <w:rFonts w:ascii="Aptos" w:hAnsi="Aptos" w:eastAsia="Aptos" w:cs="Aptos"/>
          <w:noProof w:val="0"/>
          <w:color w:val="0D0D0D" w:themeColor="text1" w:themeTint="F2" w:themeShade="FF"/>
          <w:sz w:val="24"/>
          <w:szCs w:val="24"/>
          <w:lang w:val="en-GB"/>
        </w:rPr>
      </w:pPr>
    </w:p>
    <w:p w:rsidR="47DFBDE5" w:rsidP="3E0F4268" w:rsidRDefault="47DFBDE5" w14:paraId="3D4906A1" w14:textId="1AD2A27A">
      <w:pPr>
        <w:spacing w:before="180" w:beforeAutospacing="off" w:after="180" w:afterAutospacing="off"/>
        <w:rPr>
          <w:rFonts w:ascii="Aptos" w:hAnsi="Aptos" w:eastAsia="Aptos" w:cs="Aptos"/>
          <w:noProof w:val="0"/>
          <w:color w:val="0D0D0D" w:themeColor="text1" w:themeTint="F2" w:themeShade="FF"/>
          <w:sz w:val="24"/>
          <w:szCs w:val="24"/>
          <w:lang w:val="en-GB"/>
        </w:rPr>
      </w:pPr>
    </w:p>
    <w:p w:rsidR="47DFBDE5" w:rsidP="3E0F4268" w:rsidRDefault="47DFBDE5" w14:paraId="6DE1BBA6" w14:textId="42D0002E">
      <w:pPr>
        <w:spacing w:before="180" w:beforeAutospacing="off" w:after="180" w:afterAutospacing="off"/>
        <w:rPr>
          <w:rFonts w:ascii="Aptos" w:hAnsi="Aptos" w:eastAsia="Aptos" w:cs="Aptos"/>
          <w:noProof w:val="0"/>
          <w:color w:val="0D0D0D" w:themeColor="text1" w:themeTint="F2" w:themeShade="FF"/>
          <w:sz w:val="24"/>
          <w:szCs w:val="24"/>
          <w:lang w:val="en-GB"/>
        </w:rPr>
      </w:pPr>
    </w:p>
    <w:p w:rsidR="47DFBDE5" w:rsidP="3E0F4268" w:rsidRDefault="47DFBDE5" w14:paraId="7403F531" w14:textId="727B7F11">
      <w:pPr>
        <w:spacing w:before="180" w:beforeAutospacing="off" w:after="180" w:afterAutospacing="off"/>
        <w:rPr>
          <w:rFonts w:ascii="Aptos" w:hAnsi="Aptos" w:eastAsia="Aptos" w:cs="Aptos"/>
          <w:noProof w:val="0"/>
          <w:color w:val="0D0D0D" w:themeColor="text1" w:themeTint="F2" w:themeShade="FF"/>
          <w:sz w:val="24"/>
          <w:szCs w:val="24"/>
          <w:lang w:val="en-GB"/>
        </w:rPr>
      </w:pPr>
    </w:p>
    <w:p w:rsidR="47DFBDE5" w:rsidP="3E0F4268" w:rsidRDefault="47DFBDE5" w14:paraId="5F2378CE" w14:textId="0D01015A">
      <w:pPr>
        <w:spacing w:before="180" w:beforeAutospacing="off" w:after="180" w:afterAutospacing="off"/>
        <w:rPr>
          <w:rFonts w:ascii="Aptos" w:hAnsi="Aptos" w:eastAsia="Aptos" w:cs="Aptos"/>
          <w:noProof w:val="0"/>
          <w:color w:val="0D0D0D" w:themeColor="text1" w:themeTint="F2" w:themeShade="FF"/>
          <w:sz w:val="24"/>
          <w:szCs w:val="24"/>
          <w:lang w:val="en-GB"/>
        </w:rPr>
      </w:pPr>
    </w:p>
    <w:p w:rsidR="47DFBDE5" w:rsidP="3E0F4268" w:rsidRDefault="47DFBDE5" w14:paraId="6AF5B21D" w14:textId="762900BB">
      <w:pPr>
        <w:spacing w:before="180" w:beforeAutospacing="off" w:after="180" w:afterAutospacing="off"/>
        <w:rPr>
          <w:rFonts w:ascii="Aptos" w:hAnsi="Aptos" w:eastAsia="Aptos" w:cs="Aptos"/>
          <w:noProof w:val="0"/>
          <w:color w:val="0D0D0D" w:themeColor="text1" w:themeTint="F2" w:themeShade="FF"/>
          <w:sz w:val="24"/>
          <w:szCs w:val="24"/>
          <w:lang w:val="en-GB"/>
        </w:rPr>
      </w:pPr>
    </w:p>
    <w:p w:rsidR="47DFBDE5" w:rsidP="3E0F4268" w:rsidRDefault="47DFBDE5" w14:paraId="5A26D2DB" w14:textId="492F2D4C">
      <w:pPr>
        <w:spacing w:before="180" w:beforeAutospacing="off" w:after="180" w:afterAutospacing="off"/>
        <w:rPr>
          <w:rFonts w:ascii="Aptos" w:hAnsi="Aptos" w:eastAsia="Aptos" w:cs="Aptos"/>
          <w:noProof w:val="0"/>
          <w:color w:val="0D0D0D" w:themeColor="text1" w:themeTint="F2" w:themeShade="FF"/>
          <w:sz w:val="24"/>
          <w:szCs w:val="24"/>
          <w:lang w:val="en-GB"/>
        </w:rPr>
      </w:pPr>
    </w:p>
    <w:p w:rsidR="47DFBDE5" w:rsidP="3E0F4268" w:rsidRDefault="47DFBDE5" w14:paraId="4532BED5" w14:textId="044156F0">
      <w:pPr>
        <w:spacing w:before="180" w:beforeAutospacing="off" w:after="180" w:afterAutospacing="off"/>
        <w:rPr>
          <w:rFonts w:ascii="Aptos" w:hAnsi="Aptos" w:eastAsia="Aptos" w:cs="Aptos"/>
          <w:noProof w:val="0"/>
          <w:color w:val="0D0D0D" w:themeColor="text1" w:themeTint="F2" w:themeShade="FF"/>
          <w:sz w:val="24"/>
          <w:szCs w:val="24"/>
          <w:lang w:val="en-GB"/>
        </w:rPr>
      </w:pPr>
    </w:p>
    <w:p w:rsidR="47DFBDE5" w:rsidP="3E0F4268" w:rsidRDefault="47DFBDE5" w14:paraId="1A6E134E" w14:textId="62649166">
      <w:pPr>
        <w:spacing w:before="180" w:beforeAutospacing="off" w:after="180" w:afterAutospacing="off"/>
        <w:rPr>
          <w:rFonts w:ascii="Aptos" w:hAnsi="Aptos" w:eastAsia="Aptos" w:cs="Aptos"/>
          <w:noProof w:val="0"/>
          <w:color w:val="0D0D0D" w:themeColor="text1" w:themeTint="F2" w:themeShade="FF"/>
          <w:sz w:val="24"/>
          <w:szCs w:val="24"/>
          <w:lang w:val="en-GB"/>
        </w:rPr>
      </w:pPr>
    </w:p>
    <w:p w:rsidR="47DFBDE5" w:rsidP="3E0F4268" w:rsidRDefault="47DFBDE5" w14:paraId="5869E476" w14:textId="0DBE2464">
      <w:pPr>
        <w:spacing w:before="180" w:beforeAutospacing="off" w:after="180" w:afterAutospacing="off"/>
        <w:rPr>
          <w:rFonts w:ascii="Aptos" w:hAnsi="Aptos" w:eastAsia="Aptos" w:cs="Aptos"/>
          <w:noProof w:val="0"/>
          <w:color w:val="0D0D0D" w:themeColor="text1" w:themeTint="F2" w:themeShade="FF"/>
          <w:sz w:val="24"/>
          <w:szCs w:val="24"/>
          <w:lang w:val="en-GB"/>
        </w:rPr>
      </w:pPr>
    </w:p>
    <w:p w:rsidR="47DFBDE5" w:rsidP="3E0F4268" w:rsidRDefault="47DFBDE5" w14:paraId="7BF982D9" w14:textId="5C1087EA">
      <w:pPr>
        <w:spacing w:before="180" w:beforeAutospacing="off" w:after="180" w:afterAutospacing="off"/>
        <w:rPr>
          <w:rFonts w:ascii="Aptos" w:hAnsi="Aptos" w:eastAsia="Aptos" w:cs="Aptos"/>
          <w:noProof w:val="0"/>
          <w:color w:val="0D0D0D" w:themeColor="text1" w:themeTint="F2" w:themeShade="FF"/>
          <w:sz w:val="24"/>
          <w:szCs w:val="24"/>
          <w:lang w:val="en-GB"/>
        </w:rPr>
      </w:pPr>
    </w:p>
    <w:p w:rsidR="47DFBDE5" w:rsidP="3E0F4268" w:rsidRDefault="47DFBDE5" w14:paraId="2BA53FB5" w14:textId="2CC561C8">
      <w:pPr>
        <w:spacing w:before="180" w:beforeAutospacing="off" w:after="180" w:afterAutospacing="off"/>
        <w:rPr>
          <w:rFonts w:ascii="Aptos" w:hAnsi="Aptos" w:eastAsia="Aptos" w:cs="Aptos"/>
          <w:noProof w:val="0"/>
          <w:color w:val="0D0D0D" w:themeColor="text1" w:themeTint="F2" w:themeShade="FF"/>
          <w:sz w:val="24"/>
          <w:szCs w:val="24"/>
          <w:lang w:val="en-GB"/>
        </w:rPr>
      </w:pPr>
    </w:p>
    <w:p w:rsidR="47DFBDE5" w:rsidP="3E0F4268" w:rsidRDefault="47DFBDE5" w14:paraId="3DC5ACE1" w14:textId="65EA15AE">
      <w:pPr>
        <w:spacing w:before="180" w:beforeAutospacing="off" w:after="180" w:afterAutospacing="off"/>
        <w:rPr>
          <w:rFonts w:ascii="Aptos" w:hAnsi="Aptos" w:eastAsia="Aptos" w:cs="Aptos"/>
          <w:noProof w:val="0"/>
          <w:color w:val="0D0D0D" w:themeColor="text1" w:themeTint="F2" w:themeShade="FF"/>
          <w:sz w:val="24"/>
          <w:szCs w:val="24"/>
          <w:lang w:val="en-GB"/>
        </w:rPr>
      </w:pPr>
    </w:p>
    <w:p w:rsidR="47DFBDE5" w:rsidP="3E0F4268" w:rsidRDefault="47DFBDE5" w14:paraId="48C89BDF" w14:textId="13C9E4A1">
      <w:pPr>
        <w:spacing w:before="180" w:beforeAutospacing="off" w:after="180" w:afterAutospacing="off"/>
        <w:rPr>
          <w:rFonts w:ascii="Aptos" w:hAnsi="Aptos" w:eastAsia="Aptos" w:cs="Aptos"/>
          <w:noProof w:val="0"/>
          <w:color w:val="0D0D0D" w:themeColor="text1" w:themeTint="F2" w:themeShade="FF"/>
          <w:sz w:val="24"/>
          <w:szCs w:val="24"/>
          <w:lang w:val="en-GB"/>
        </w:rPr>
      </w:pPr>
    </w:p>
    <w:p w:rsidR="47DFBDE5" w:rsidP="3E0F4268" w:rsidRDefault="47DFBDE5" w14:paraId="4AB07427" w14:textId="15A72410">
      <w:pPr>
        <w:spacing w:before="180" w:beforeAutospacing="off" w:after="180" w:afterAutospacing="off"/>
        <w:rPr>
          <w:rFonts w:ascii="Aptos" w:hAnsi="Aptos" w:eastAsia="Aptos" w:cs="Aptos"/>
          <w:noProof w:val="0"/>
          <w:color w:val="0D0D0D" w:themeColor="text1" w:themeTint="F2" w:themeShade="FF"/>
          <w:sz w:val="24"/>
          <w:szCs w:val="24"/>
          <w:lang w:val="en-GB"/>
        </w:rPr>
      </w:pPr>
    </w:p>
    <w:p w:rsidR="47DFBDE5" w:rsidP="3E0F4268" w:rsidRDefault="47DFBDE5" w14:paraId="58D526FB" w14:textId="3CE74ACC">
      <w:pPr>
        <w:spacing w:before="180" w:beforeAutospacing="off" w:after="180" w:afterAutospacing="off"/>
        <w:rPr>
          <w:rFonts w:ascii="Aptos" w:hAnsi="Aptos" w:eastAsia="Aptos" w:cs="Aptos"/>
          <w:noProof w:val="0"/>
          <w:color w:val="0D0D0D" w:themeColor="text1" w:themeTint="F2" w:themeShade="FF"/>
          <w:sz w:val="24"/>
          <w:szCs w:val="24"/>
          <w:lang w:val="en-GB"/>
        </w:rPr>
      </w:pPr>
    </w:p>
    <w:p w:rsidR="47DFBDE5" w:rsidP="3E0F4268" w:rsidRDefault="47DFBDE5" w14:paraId="6C1E0C7D" w14:textId="3F7C85A2">
      <w:pPr>
        <w:spacing w:before="180" w:beforeAutospacing="off" w:after="180" w:afterAutospacing="off"/>
        <w:rPr>
          <w:rFonts w:ascii="Aptos" w:hAnsi="Aptos" w:eastAsia="Aptos" w:cs="Aptos"/>
          <w:noProof w:val="0"/>
          <w:color w:val="0D0D0D" w:themeColor="text1" w:themeTint="F2" w:themeShade="FF"/>
          <w:sz w:val="24"/>
          <w:szCs w:val="24"/>
          <w:lang w:val="en-GB"/>
        </w:rPr>
      </w:pPr>
    </w:p>
    <w:p w:rsidR="47DFBDE5" w:rsidP="3E0F4268" w:rsidRDefault="47DFBDE5" w14:paraId="30993674" w14:textId="0A065601">
      <w:pPr>
        <w:spacing w:before="180" w:beforeAutospacing="off" w:after="180" w:afterAutospacing="off"/>
        <w:rPr>
          <w:rFonts w:ascii="Aptos" w:hAnsi="Aptos" w:eastAsia="Aptos" w:cs="Aptos"/>
          <w:noProof w:val="0"/>
          <w:color w:val="0D0D0D" w:themeColor="text1" w:themeTint="F2" w:themeShade="FF"/>
          <w:sz w:val="24"/>
          <w:szCs w:val="24"/>
          <w:lang w:val="en-GB"/>
        </w:rPr>
      </w:pPr>
    </w:p>
    <w:p w:rsidR="47DFBDE5" w:rsidP="3E0F4268" w:rsidRDefault="47DFBDE5" w14:paraId="126A0099" w14:textId="22947B16">
      <w:pPr>
        <w:spacing w:before="180" w:beforeAutospacing="off" w:after="180" w:afterAutospacing="off"/>
        <w:rPr>
          <w:rFonts w:ascii="Aptos" w:hAnsi="Aptos" w:eastAsia="Aptos" w:cs="Aptos"/>
          <w:noProof w:val="0"/>
          <w:color w:val="0D0D0D" w:themeColor="text1" w:themeTint="F2" w:themeShade="FF"/>
          <w:sz w:val="24"/>
          <w:szCs w:val="24"/>
          <w:lang w:val="en-GB"/>
        </w:rPr>
      </w:pPr>
    </w:p>
    <w:p w:rsidR="47DFBDE5" w:rsidP="3E0F4268" w:rsidRDefault="47DFBDE5" w14:paraId="4EFDA1D6" w14:textId="087F7347">
      <w:pPr>
        <w:pStyle w:val="Normal"/>
        <w:spacing w:before="180" w:beforeAutospacing="off" w:after="180" w:afterAutospacing="off"/>
        <w:rPr>
          <w:rFonts w:ascii="Aptos" w:hAnsi="Aptos" w:eastAsia="Aptos" w:cs="Aptos"/>
          <w:noProof w:val="0"/>
          <w:color w:val="0D0D0D" w:themeColor="text1" w:themeTint="F2" w:themeShade="FF"/>
          <w:sz w:val="24"/>
          <w:szCs w:val="24"/>
          <w:lang w:val="en-GB"/>
        </w:rPr>
      </w:pPr>
    </w:p>
    <w:p w:rsidR="47DFBDE5" w:rsidP="3E0F4268" w:rsidRDefault="47DFBDE5" w14:paraId="15E342A0" w14:textId="32A4AC8A">
      <w:pPr>
        <w:pStyle w:val="Heading2"/>
        <w:spacing w:before="300" w:beforeAutospacing="off" w:after="180" w:afterAutospacing="off"/>
        <w:rPr>
          <w:rFonts w:ascii="Aptos" w:hAnsi="Aptos" w:eastAsia="Aptos" w:cs="Aptos"/>
          <w:b w:val="1"/>
          <w:bCs w:val="1"/>
          <w:noProof w:val="0"/>
          <w:color w:val="0D0D0D" w:themeColor="text1" w:themeTint="F2" w:themeShade="FF"/>
          <w:sz w:val="36"/>
          <w:szCs w:val="36"/>
          <w:lang w:val="en-GB"/>
        </w:rPr>
      </w:pPr>
      <w:bookmarkStart w:name="_Toc1503001261" w:id="1756786979"/>
      <w:r w:rsidRPr="3E0F4268" w:rsidR="27B53DDA">
        <w:rPr>
          <w:rFonts w:ascii="Aptos" w:hAnsi="Aptos" w:eastAsia="Aptos" w:cs="Aptos"/>
          <w:b w:val="1"/>
          <w:bCs w:val="1"/>
          <w:noProof w:val="0"/>
          <w:color w:val="0D0D0D" w:themeColor="text1" w:themeTint="F2" w:themeShade="FF"/>
          <w:sz w:val="36"/>
          <w:szCs w:val="36"/>
          <w:lang w:val="en-GB"/>
        </w:rPr>
        <w:t>Harvard reference list</w:t>
      </w:r>
      <w:bookmarkEnd w:id="1756786979"/>
    </w:p>
    <w:p w:rsidR="47DFBDE5" w:rsidP="3E0F4268" w:rsidRDefault="47DFBDE5" w14:paraId="5059BB22" w14:textId="0C28BDAA">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 xml:space="preserve">Beauchamp, T.L. and Childress, J.F. (2019) </w:t>
      </w:r>
      <w:r w:rsidRPr="3E0F4268" w:rsidR="27B53DDA">
        <w:rPr>
          <w:rFonts w:ascii="Aptos" w:hAnsi="Aptos" w:eastAsia="Aptos" w:cs="Aptos"/>
          <w:i w:val="1"/>
          <w:iCs w:val="1"/>
          <w:noProof w:val="0"/>
          <w:color w:val="0D0D0D" w:themeColor="text1" w:themeTint="F2" w:themeShade="FF"/>
          <w:sz w:val="24"/>
          <w:szCs w:val="24"/>
          <w:lang w:val="en-GB"/>
        </w:rPr>
        <w:t>Principles of Biomedical Ethics</w:t>
      </w:r>
      <w:r w:rsidRPr="3E0F4268" w:rsidR="27B53DDA">
        <w:rPr>
          <w:rFonts w:ascii="Aptos" w:hAnsi="Aptos" w:eastAsia="Aptos" w:cs="Aptos"/>
          <w:noProof w:val="0"/>
          <w:color w:val="0D0D0D" w:themeColor="text1" w:themeTint="F2" w:themeShade="FF"/>
          <w:sz w:val="24"/>
          <w:szCs w:val="24"/>
          <w:lang w:val="en-GB"/>
        </w:rPr>
        <w:t>. 8th edn. New York: Oxford University Press.</w:t>
      </w:r>
    </w:p>
    <w:p w:rsidR="47DFBDE5" w:rsidP="3E0F4268" w:rsidRDefault="47DFBDE5" w14:paraId="05D3641F" w14:textId="68C72BE4">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 xml:space="preserve">Care Act 2014. London: The Stationery Office. Available at: </w:t>
      </w:r>
      <w:hyperlink r:id="R4e8278587f2e45a1">
        <w:r w:rsidRPr="3E0F4268" w:rsidR="27B53DDA">
          <w:rPr>
            <w:rStyle w:val="Hyperlink"/>
            <w:strike w:val="0"/>
            <w:dstrike w:val="0"/>
            <w:noProof w:val="0"/>
            <w:color w:val="0D0D0D" w:themeColor="text1" w:themeTint="F2" w:themeShade="FF"/>
            <w:u w:val="single"/>
            <w:lang w:val="en-GB"/>
          </w:rPr>
          <w:t>legislation.gov.uk – Care Act 2014</w:t>
        </w:r>
      </w:hyperlink>
      <w:r w:rsidRPr="3E0F4268" w:rsidR="27B53DDA">
        <w:rPr>
          <w:rFonts w:ascii="Aptos" w:hAnsi="Aptos" w:eastAsia="Aptos" w:cs="Aptos"/>
          <w:noProof w:val="0"/>
          <w:color w:val="0D0D0D" w:themeColor="text1" w:themeTint="F2" w:themeShade="FF"/>
          <w:sz w:val="24"/>
          <w:szCs w:val="24"/>
          <w:lang w:val="en-GB"/>
        </w:rPr>
        <w:t xml:space="preserve"> (Accessed: 8 October 2026). </w:t>
      </w:r>
      <w:r w:rsidRPr="3E0F4268" w:rsidR="27B53DDA">
        <w:rPr>
          <w:rFonts w:ascii="Aptos" w:hAnsi="Aptos" w:eastAsia="Aptos" w:cs="Aptos"/>
          <w:b w:val="0"/>
          <w:bCs w:val="0"/>
          <w:caps w:val="0"/>
          <w:smallCaps w:val="0"/>
          <w:noProof w:val="0"/>
          <w:color w:val="5D5D5D"/>
          <w:sz w:val="24"/>
          <w:szCs w:val="24"/>
          <w:lang w:val="en-GB"/>
        </w:rPr>
        <w:t>LLegislation.gov.uk</w:t>
      </w:r>
    </w:p>
    <w:p w:rsidR="47DFBDE5" w:rsidP="3E0F4268" w:rsidRDefault="47DFBDE5" w14:paraId="2201B15D" w14:textId="07D34EE1">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 xml:space="preserve">Elwyn, G., Frosch, D., Thomson, R., Joseph-Williams, N., Lloyd, A., Kinnersley, P., Cording, E., Tomson, D., Dodd, C., Rollnick, S., Edwards, A. and Barry, M. (2012) ‘Shared decision making: a model for clinical practice’, </w:t>
      </w:r>
      <w:r w:rsidRPr="3E0F4268" w:rsidR="27B53DDA">
        <w:rPr>
          <w:rFonts w:ascii="Aptos" w:hAnsi="Aptos" w:eastAsia="Aptos" w:cs="Aptos"/>
          <w:i w:val="1"/>
          <w:iCs w:val="1"/>
          <w:noProof w:val="0"/>
          <w:color w:val="0D0D0D" w:themeColor="text1" w:themeTint="F2" w:themeShade="FF"/>
          <w:sz w:val="24"/>
          <w:szCs w:val="24"/>
          <w:lang w:val="en-GB"/>
        </w:rPr>
        <w:t>Journal of General Internal Medicine</w:t>
      </w:r>
      <w:r w:rsidRPr="3E0F4268" w:rsidR="27B53DDA">
        <w:rPr>
          <w:rFonts w:ascii="Aptos" w:hAnsi="Aptos" w:eastAsia="Aptos" w:cs="Aptos"/>
          <w:noProof w:val="0"/>
          <w:color w:val="0D0D0D" w:themeColor="text1" w:themeTint="F2" w:themeShade="FF"/>
          <w:sz w:val="24"/>
          <w:szCs w:val="24"/>
          <w:lang w:val="en-GB"/>
        </w:rPr>
        <w:t xml:space="preserve">, 27(10), pp. 1361–1367. </w:t>
      </w:r>
      <w:r w:rsidRPr="3E0F4268" w:rsidR="27B53DDA">
        <w:rPr>
          <w:rFonts w:ascii="Aptos" w:hAnsi="Aptos" w:eastAsia="Aptos" w:cs="Aptos"/>
          <w:b w:val="0"/>
          <w:bCs w:val="0"/>
          <w:caps w:val="0"/>
          <w:smallCaps w:val="0"/>
          <w:noProof w:val="0"/>
          <w:color w:val="5D5D5D"/>
          <w:sz w:val="24"/>
          <w:szCs w:val="24"/>
          <w:lang w:val="en-GB"/>
        </w:rPr>
        <w:t>PPubMed</w:t>
      </w:r>
    </w:p>
    <w:p w:rsidR="47DFBDE5" w:rsidP="3E0F4268" w:rsidRDefault="47DFBDE5" w14:paraId="70E062BD" w14:textId="0142CBE3">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 xml:space="preserve">Health and Care Act 2022. London: The Stationery Office. Available at: </w:t>
      </w:r>
      <w:hyperlink r:id="Rb3e91b4419014143">
        <w:r w:rsidRPr="3E0F4268" w:rsidR="27B53DDA">
          <w:rPr>
            <w:rStyle w:val="Hyperlink"/>
            <w:strike w:val="0"/>
            <w:dstrike w:val="0"/>
            <w:noProof w:val="0"/>
            <w:color w:val="0D0D0D" w:themeColor="text1" w:themeTint="F2" w:themeShade="FF"/>
            <w:u w:val="single"/>
            <w:lang w:val="en-GB"/>
          </w:rPr>
          <w:t>legislation.gov.uk – Health and Care Act 2022</w:t>
        </w:r>
      </w:hyperlink>
      <w:r w:rsidRPr="3E0F4268" w:rsidR="27B53DDA">
        <w:rPr>
          <w:rFonts w:ascii="Aptos" w:hAnsi="Aptos" w:eastAsia="Aptos" w:cs="Aptos"/>
          <w:noProof w:val="0"/>
          <w:color w:val="0D0D0D" w:themeColor="text1" w:themeTint="F2" w:themeShade="FF"/>
          <w:sz w:val="24"/>
          <w:szCs w:val="24"/>
          <w:lang w:val="en-GB"/>
        </w:rPr>
        <w:t xml:space="preserve"> (Accessed: 8 October 2026). </w:t>
      </w:r>
      <w:r w:rsidRPr="3E0F4268" w:rsidR="27B53DDA">
        <w:rPr>
          <w:rFonts w:ascii="Aptos" w:hAnsi="Aptos" w:eastAsia="Aptos" w:cs="Aptos"/>
          <w:b w:val="0"/>
          <w:bCs w:val="0"/>
          <w:caps w:val="0"/>
          <w:smallCaps w:val="0"/>
          <w:noProof w:val="0"/>
          <w:color w:val="5D5D5D"/>
          <w:sz w:val="24"/>
          <w:szCs w:val="24"/>
          <w:lang w:val="en-GB"/>
        </w:rPr>
        <w:t>LLegislation.gov.uk</w:t>
      </w:r>
    </w:p>
    <w:p w:rsidR="47DFBDE5" w:rsidP="3E0F4268" w:rsidRDefault="47DFBDE5" w14:paraId="64714E83" w14:textId="10D66FBE">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 xml:space="preserve">HCPC (2024) </w:t>
      </w:r>
      <w:r w:rsidRPr="3E0F4268" w:rsidR="27B53DDA">
        <w:rPr>
          <w:rFonts w:ascii="Aptos" w:hAnsi="Aptos" w:eastAsia="Aptos" w:cs="Aptos"/>
          <w:i w:val="1"/>
          <w:iCs w:val="1"/>
          <w:noProof w:val="0"/>
          <w:color w:val="0D0D0D" w:themeColor="text1" w:themeTint="F2" w:themeShade="FF"/>
          <w:sz w:val="24"/>
          <w:szCs w:val="24"/>
          <w:lang w:val="en-GB"/>
        </w:rPr>
        <w:t>Standards of conduct, performance and ethics</w:t>
      </w:r>
      <w:r w:rsidRPr="3E0F4268" w:rsidR="27B53DDA">
        <w:rPr>
          <w:rFonts w:ascii="Aptos" w:hAnsi="Aptos" w:eastAsia="Aptos" w:cs="Aptos"/>
          <w:noProof w:val="0"/>
          <w:color w:val="0D0D0D" w:themeColor="text1" w:themeTint="F2" w:themeShade="FF"/>
          <w:sz w:val="24"/>
          <w:szCs w:val="24"/>
          <w:lang w:val="en-GB"/>
        </w:rPr>
        <w:t xml:space="preserve">. London: Health and Care Professions Council. Available at: </w:t>
      </w:r>
      <w:hyperlink r:id="R7dac7905e5454c7a">
        <w:r w:rsidRPr="3E0F4268" w:rsidR="27B53DDA">
          <w:rPr>
            <w:rStyle w:val="Hyperlink"/>
            <w:strike w:val="0"/>
            <w:dstrike w:val="0"/>
            <w:noProof w:val="0"/>
            <w:color w:val="0D0D0D" w:themeColor="text1" w:themeTint="F2" w:themeShade="FF"/>
            <w:u w:val="single"/>
            <w:lang w:val="en-GB"/>
          </w:rPr>
          <w:t>HCPC Standards of Conduct, Performance and Ethics</w:t>
        </w:r>
      </w:hyperlink>
      <w:r w:rsidRPr="3E0F4268" w:rsidR="27B53DDA">
        <w:rPr>
          <w:rFonts w:ascii="Aptos" w:hAnsi="Aptos" w:eastAsia="Aptos" w:cs="Aptos"/>
          <w:noProof w:val="0"/>
          <w:color w:val="0D0D0D" w:themeColor="text1" w:themeTint="F2" w:themeShade="FF"/>
          <w:sz w:val="24"/>
          <w:szCs w:val="24"/>
          <w:lang w:val="en-GB"/>
        </w:rPr>
        <w:t xml:space="preserve"> (Accessed: 8 October 2026). </w:t>
      </w:r>
      <w:r w:rsidRPr="3E0F4268" w:rsidR="27B53DDA">
        <w:rPr>
          <w:rFonts w:ascii="Aptos" w:hAnsi="Aptos" w:eastAsia="Aptos" w:cs="Aptos"/>
          <w:b w:val="0"/>
          <w:bCs w:val="0"/>
          <w:caps w:val="0"/>
          <w:smallCaps w:val="0"/>
          <w:noProof w:val="0"/>
          <w:color w:val="5D5D5D"/>
          <w:sz w:val="24"/>
          <w:szCs w:val="24"/>
          <w:lang w:val="en-GB"/>
        </w:rPr>
        <w:t>TThe HCPC</w:t>
      </w:r>
    </w:p>
    <w:p w:rsidR="47DFBDE5" w:rsidP="3E0F4268" w:rsidRDefault="47DFBDE5" w14:paraId="2023375D" w14:textId="7B1BB0F2">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 xml:space="preserve">Maslow, A.H. (1943) ‘A theory of human motivation’, </w:t>
      </w:r>
      <w:r w:rsidRPr="3E0F4268" w:rsidR="27B53DDA">
        <w:rPr>
          <w:rFonts w:ascii="Aptos" w:hAnsi="Aptos" w:eastAsia="Aptos" w:cs="Aptos"/>
          <w:i w:val="1"/>
          <w:iCs w:val="1"/>
          <w:noProof w:val="0"/>
          <w:color w:val="0D0D0D" w:themeColor="text1" w:themeTint="F2" w:themeShade="FF"/>
          <w:sz w:val="24"/>
          <w:szCs w:val="24"/>
          <w:lang w:val="en-GB"/>
        </w:rPr>
        <w:t>Psychological Review</w:t>
      </w:r>
      <w:r w:rsidRPr="3E0F4268" w:rsidR="27B53DDA">
        <w:rPr>
          <w:rFonts w:ascii="Aptos" w:hAnsi="Aptos" w:eastAsia="Aptos" w:cs="Aptos"/>
          <w:noProof w:val="0"/>
          <w:color w:val="0D0D0D" w:themeColor="text1" w:themeTint="F2" w:themeShade="FF"/>
          <w:sz w:val="24"/>
          <w:szCs w:val="24"/>
          <w:lang w:val="en-GB"/>
        </w:rPr>
        <w:t>, 50(4), pp. 370–396.</w:t>
      </w:r>
    </w:p>
    <w:p w:rsidR="47DFBDE5" w:rsidP="3E0F4268" w:rsidRDefault="47DFBDE5" w14:paraId="5B42FEC8" w14:textId="6DA06351">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 xml:space="preserve">McCormack, B. and McCance, T. (2017) </w:t>
      </w:r>
      <w:r w:rsidRPr="3E0F4268" w:rsidR="27B53DDA">
        <w:rPr>
          <w:rFonts w:ascii="Aptos" w:hAnsi="Aptos" w:eastAsia="Aptos" w:cs="Aptos"/>
          <w:i w:val="1"/>
          <w:iCs w:val="1"/>
          <w:noProof w:val="0"/>
          <w:color w:val="0D0D0D" w:themeColor="text1" w:themeTint="F2" w:themeShade="FF"/>
          <w:sz w:val="24"/>
          <w:szCs w:val="24"/>
          <w:lang w:val="en-GB"/>
        </w:rPr>
        <w:t>Person-Centred Practice in Nursing and Health Care: Theory and Practice</w:t>
      </w:r>
      <w:r w:rsidRPr="3E0F4268" w:rsidR="27B53DDA">
        <w:rPr>
          <w:rFonts w:ascii="Aptos" w:hAnsi="Aptos" w:eastAsia="Aptos" w:cs="Aptos"/>
          <w:noProof w:val="0"/>
          <w:color w:val="0D0D0D" w:themeColor="text1" w:themeTint="F2" w:themeShade="FF"/>
          <w:sz w:val="24"/>
          <w:szCs w:val="24"/>
          <w:lang w:val="en-GB"/>
        </w:rPr>
        <w:t>. 2nd edn. Chichester: Wiley-Blackwell.</w:t>
      </w:r>
    </w:p>
    <w:p w:rsidR="47DFBDE5" w:rsidP="3E0F4268" w:rsidRDefault="47DFBDE5" w14:paraId="3068B1E6" w14:textId="004D21F2">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 xml:space="preserve">Mental Capacity Act 2005. London: The Stationery Office. Available at: </w:t>
      </w:r>
      <w:hyperlink r:id="R537b6ec892e044b3">
        <w:r w:rsidRPr="3E0F4268" w:rsidR="27B53DDA">
          <w:rPr>
            <w:rStyle w:val="Hyperlink"/>
            <w:strike w:val="0"/>
            <w:dstrike w:val="0"/>
            <w:noProof w:val="0"/>
            <w:color w:val="0D0D0D" w:themeColor="text1" w:themeTint="F2" w:themeShade="FF"/>
            <w:u w:val="single"/>
            <w:lang w:val="en-GB"/>
          </w:rPr>
          <w:t>legislation.gov.uk – Mental Capacity Act 2005</w:t>
        </w:r>
      </w:hyperlink>
      <w:r w:rsidRPr="3E0F4268" w:rsidR="27B53DDA">
        <w:rPr>
          <w:rFonts w:ascii="Aptos" w:hAnsi="Aptos" w:eastAsia="Aptos" w:cs="Aptos"/>
          <w:noProof w:val="0"/>
          <w:color w:val="0D0D0D" w:themeColor="text1" w:themeTint="F2" w:themeShade="FF"/>
          <w:sz w:val="24"/>
          <w:szCs w:val="24"/>
          <w:lang w:val="en-GB"/>
        </w:rPr>
        <w:t xml:space="preserve"> (Accessed: 8 October 2026).</w:t>
      </w:r>
    </w:p>
    <w:p w:rsidR="47DFBDE5" w:rsidP="3E0F4268" w:rsidRDefault="47DFBDE5" w14:paraId="5012F4BF" w14:textId="3B79AEAE">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 xml:space="preserve">NHS England (2019) </w:t>
      </w:r>
      <w:r w:rsidRPr="3E0F4268" w:rsidR="27B53DDA">
        <w:rPr>
          <w:rFonts w:ascii="Aptos" w:hAnsi="Aptos" w:eastAsia="Aptos" w:cs="Aptos"/>
          <w:i w:val="1"/>
          <w:iCs w:val="1"/>
          <w:noProof w:val="0"/>
          <w:color w:val="0D0D0D" w:themeColor="text1" w:themeTint="F2" w:themeShade="FF"/>
          <w:sz w:val="24"/>
          <w:szCs w:val="24"/>
          <w:lang w:val="en-GB"/>
        </w:rPr>
        <w:t>Mrs C’s story</w:t>
      </w:r>
      <w:r w:rsidRPr="3E0F4268" w:rsidR="27B53DDA">
        <w:rPr>
          <w:rFonts w:ascii="Aptos" w:hAnsi="Aptos" w:eastAsia="Aptos" w:cs="Aptos"/>
          <w:noProof w:val="0"/>
          <w:color w:val="0D0D0D" w:themeColor="text1" w:themeTint="F2" w:themeShade="FF"/>
          <w:sz w:val="24"/>
          <w:szCs w:val="24"/>
          <w:lang w:val="en-GB"/>
        </w:rPr>
        <w:t xml:space="preserve">. Available at: </w:t>
      </w:r>
      <w:hyperlink r:id="R183044737aed41de">
        <w:r w:rsidRPr="3E0F4268" w:rsidR="27B53DDA">
          <w:rPr>
            <w:rStyle w:val="Hyperlink"/>
            <w:strike w:val="0"/>
            <w:dstrike w:val="0"/>
            <w:noProof w:val="0"/>
            <w:color w:val="0D0D0D" w:themeColor="text1" w:themeTint="F2" w:themeShade="FF"/>
            <w:u w:val="single"/>
            <w:lang w:val="en-GB"/>
          </w:rPr>
          <w:t>NHS England – Mrs C’s story</w:t>
        </w:r>
      </w:hyperlink>
      <w:r w:rsidRPr="3E0F4268" w:rsidR="27B53DDA">
        <w:rPr>
          <w:rFonts w:ascii="Aptos" w:hAnsi="Aptos" w:eastAsia="Aptos" w:cs="Aptos"/>
          <w:noProof w:val="0"/>
          <w:color w:val="0D0D0D" w:themeColor="text1" w:themeTint="F2" w:themeShade="FF"/>
          <w:sz w:val="24"/>
          <w:szCs w:val="24"/>
          <w:lang w:val="en-GB"/>
        </w:rPr>
        <w:t xml:space="preserve"> (Accessed: 8 October 2026). </w:t>
      </w:r>
      <w:r w:rsidRPr="3E0F4268" w:rsidR="27B53DDA">
        <w:rPr>
          <w:rFonts w:ascii="Aptos" w:hAnsi="Aptos" w:eastAsia="Aptos" w:cs="Aptos"/>
          <w:b w:val="0"/>
          <w:bCs w:val="0"/>
          <w:caps w:val="0"/>
          <w:smallCaps w:val="0"/>
          <w:noProof w:val="0"/>
          <w:color w:val="5D5D5D"/>
          <w:sz w:val="24"/>
          <w:szCs w:val="24"/>
          <w:lang w:val="en-GB"/>
        </w:rPr>
        <w:t>NNHS England</w:t>
      </w:r>
    </w:p>
    <w:p w:rsidR="47DFBDE5" w:rsidP="3E0F4268" w:rsidRDefault="47DFBDE5" w14:paraId="1B30EB22" w14:textId="76C956DA">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 xml:space="preserve">NHS England (2024) </w:t>
      </w:r>
      <w:r w:rsidRPr="3E0F4268" w:rsidR="27B53DDA">
        <w:rPr>
          <w:rFonts w:ascii="Aptos" w:hAnsi="Aptos" w:eastAsia="Aptos" w:cs="Aptos"/>
          <w:i w:val="1"/>
          <w:iCs w:val="1"/>
          <w:noProof w:val="0"/>
          <w:color w:val="0D0D0D" w:themeColor="text1" w:themeTint="F2" w:themeShade="FF"/>
          <w:sz w:val="24"/>
          <w:szCs w:val="24"/>
          <w:lang w:val="en-GB"/>
        </w:rPr>
        <w:t>What is personalised care?</w:t>
      </w:r>
      <w:r w:rsidRPr="3E0F4268" w:rsidR="27B53DDA">
        <w:rPr>
          <w:rFonts w:ascii="Aptos" w:hAnsi="Aptos" w:eastAsia="Aptos" w:cs="Aptos"/>
          <w:noProof w:val="0"/>
          <w:color w:val="0D0D0D" w:themeColor="text1" w:themeTint="F2" w:themeShade="FF"/>
          <w:sz w:val="24"/>
          <w:szCs w:val="24"/>
          <w:lang w:val="en-GB"/>
        </w:rPr>
        <w:t xml:space="preserve"> Available at: </w:t>
      </w:r>
      <w:hyperlink r:id="R76a2680eb1f849a7">
        <w:r w:rsidRPr="3E0F4268" w:rsidR="27B53DDA">
          <w:rPr>
            <w:rStyle w:val="Hyperlink"/>
            <w:strike w:val="0"/>
            <w:dstrike w:val="0"/>
            <w:noProof w:val="0"/>
            <w:color w:val="0D0D0D" w:themeColor="text1" w:themeTint="F2" w:themeShade="FF"/>
            <w:u w:val="single"/>
            <w:lang w:val="en-GB"/>
          </w:rPr>
          <w:t>NHS England – What is personalised care?</w:t>
        </w:r>
      </w:hyperlink>
      <w:r w:rsidRPr="3E0F4268" w:rsidR="27B53DDA">
        <w:rPr>
          <w:rFonts w:ascii="Aptos" w:hAnsi="Aptos" w:eastAsia="Aptos" w:cs="Aptos"/>
          <w:noProof w:val="0"/>
          <w:color w:val="0D0D0D" w:themeColor="text1" w:themeTint="F2" w:themeShade="FF"/>
          <w:sz w:val="24"/>
          <w:szCs w:val="24"/>
          <w:lang w:val="en-GB"/>
        </w:rPr>
        <w:t xml:space="preserve"> (Accessed: 8 October 2026). </w:t>
      </w:r>
      <w:r w:rsidRPr="3E0F4268" w:rsidR="27B53DDA">
        <w:rPr>
          <w:rFonts w:ascii="Aptos" w:hAnsi="Aptos" w:eastAsia="Aptos" w:cs="Aptos"/>
          <w:b w:val="0"/>
          <w:bCs w:val="0"/>
          <w:caps w:val="0"/>
          <w:smallCaps w:val="0"/>
          <w:noProof w:val="0"/>
          <w:color w:val="5D5D5D"/>
          <w:sz w:val="24"/>
          <w:szCs w:val="24"/>
          <w:lang w:val="en-GB"/>
        </w:rPr>
        <w:t>NNHS England</w:t>
      </w:r>
    </w:p>
    <w:p w:rsidR="47DFBDE5" w:rsidP="3E0F4268" w:rsidRDefault="47DFBDE5" w14:paraId="53527554" w14:textId="19DCA29C">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 xml:space="preserve">NICE (2021) </w:t>
      </w:r>
      <w:r w:rsidRPr="3E0F4268" w:rsidR="27B53DDA">
        <w:rPr>
          <w:rFonts w:ascii="Aptos" w:hAnsi="Aptos" w:eastAsia="Aptos" w:cs="Aptos"/>
          <w:i w:val="1"/>
          <w:iCs w:val="1"/>
          <w:noProof w:val="0"/>
          <w:color w:val="0D0D0D" w:themeColor="text1" w:themeTint="F2" w:themeShade="FF"/>
          <w:sz w:val="24"/>
          <w:szCs w:val="24"/>
          <w:lang w:val="en-GB"/>
        </w:rPr>
        <w:t>Shared decision making (NG197)</w:t>
      </w:r>
      <w:r w:rsidRPr="3E0F4268" w:rsidR="27B53DDA">
        <w:rPr>
          <w:rFonts w:ascii="Aptos" w:hAnsi="Aptos" w:eastAsia="Aptos" w:cs="Aptos"/>
          <w:noProof w:val="0"/>
          <w:color w:val="0D0D0D" w:themeColor="text1" w:themeTint="F2" w:themeShade="FF"/>
          <w:sz w:val="24"/>
          <w:szCs w:val="24"/>
          <w:lang w:val="en-GB"/>
        </w:rPr>
        <w:t xml:space="preserve">. London: National Institute for Health and Care Excellence. Available at: </w:t>
      </w:r>
      <w:hyperlink r:id="Rda5778e60f354170">
        <w:r w:rsidRPr="3E0F4268" w:rsidR="27B53DDA">
          <w:rPr>
            <w:rStyle w:val="Hyperlink"/>
            <w:strike w:val="0"/>
            <w:dstrike w:val="0"/>
            <w:noProof w:val="0"/>
            <w:color w:val="0D0D0D" w:themeColor="text1" w:themeTint="F2" w:themeShade="FF"/>
            <w:u w:val="single"/>
            <w:lang w:val="en-GB"/>
          </w:rPr>
          <w:t>NICE – Shared decision making</w:t>
        </w:r>
      </w:hyperlink>
      <w:r w:rsidRPr="3E0F4268" w:rsidR="27B53DDA">
        <w:rPr>
          <w:rFonts w:ascii="Aptos" w:hAnsi="Aptos" w:eastAsia="Aptos" w:cs="Aptos"/>
          <w:noProof w:val="0"/>
          <w:color w:val="0D0D0D" w:themeColor="text1" w:themeTint="F2" w:themeShade="FF"/>
          <w:sz w:val="24"/>
          <w:szCs w:val="24"/>
          <w:lang w:val="en-GB"/>
        </w:rPr>
        <w:t xml:space="preserve"> (Accessed: 8 October 2026). </w:t>
      </w:r>
      <w:r w:rsidRPr="3E0F4268" w:rsidR="27B53DDA">
        <w:rPr>
          <w:rFonts w:ascii="Aptos" w:hAnsi="Aptos" w:eastAsia="Aptos" w:cs="Aptos"/>
          <w:b w:val="0"/>
          <w:bCs w:val="0"/>
          <w:caps w:val="0"/>
          <w:smallCaps w:val="0"/>
          <w:noProof w:val="0"/>
          <w:color w:val="5D5D5D"/>
          <w:sz w:val="24"/>
          <w:szCs w:val="24"/>
          <w:lang w:val="en-GB"/>
        </w:rPr>
        <w:t>NNICE</w:t>
      </w:r>
    </w:p>
    <w:p w:rsidR="47DFBDE5" w:rsidP="3E0F4268" w:rsidRDefault="47DFBDE5" w14:paraId="65B583EF" w14:textId="4E4D9467">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 xml:space="preserve">NMC (2018) </w:t>
      </w:r>
      <w:r w:rsidRPr="3E0F4268" w:rsidR="27B53DDA">
        <w:rPr>
          <w:rFonts w:ascii="Aptos" w:hAnsi="Aptos" w:eastAsia="Aptos" w:cs="Aptos"/>
          <w:i w:val="1"/>
          <w:iCs w:val="1"/>
          <w:noProof w:val="0"/>
          <w:color w:val="0D0D0D" w:themeColor="text1" w:themeTint="F2" w:themeShade="FF"/>
          <w:sz w:val="24"/>
          <w:szCs w:val="24"/>
          <w:lang w:val="en-GB"/>
        </w:rPr>
        <w:t>The Code: Professional standards of practice and behaviour for nurses, midwives and nursing associates</w:t>
      </w:r>
      <w:r w:rsidRPr="3E0F4268" w:rsidR="27B53DDA">
        <w:rPr>
          <w:rFonts w:ascii="Aptos" w:hAnsi="Aptos" w:eastAsia="Aptos" w:cs="Aptos"/>
          <w:noProof w:val="0"/>
          <w:color w:val="0D0D0D" w:themeColor="text1" w:themeTint="F2" w:themeShade="FF"/>
          <w:sz w:val="24"/>
          <w:szCs w:val="24"/>
          <w:lang w:val="en-GB"/>
        </w:rPr>
        <w:t xml:space="preserve">. London: Nursing and Midwifery Council. Available at: </w:t>
      </w:r>
      <w:hyperlink r:id="R7026fcf8510a4187">
        <w:r w:rsidRPr="3E0F4268" w:rsidR="27B53DDA">
          <w:rPr>
            <w:rStyle w:val="Hyperlink"/>
            <w:strike w:val="0"/>
            <w:dstrike w:val="0"/>
            <w:noProof w:val="0"/>
            <w:color w:val="0D0D0D" w:themeColor="text1" w:themeTint="F2" w:themeShade="FF"/>
            <w:u w:val="single"/>
            <w:lang w:val="en-GB"/>
          </w:rPr>
          <w:t>NMC – The Code</w:t>
        </w:r>
      </w:hyperlink>
      <w:r w:rsidRPr="3E0F4268" w:rsidR="27B53DDA">
        <w:rPr>
          <w:rFonts w:ascii="Aptos" w:hAnsi="Aptos" w:eastAsia="Aptos" w:cs="Aptos"/>
          <w:noProof w:val="0"/>
          <w:color w:val="0D0D0D" w:themeColor="text1" w:themeTint="F2" w:themeShade="FF"/>
          <w:sz w:val="24"/>
          <w:szCs w:val="24"/>
          <w:lang w:val="en-GB"/>
        </w:rPr>
        <w:t xml:space="preserve"> (Accessed: 8 October 2026).</w:t>
      </w:r>
    </w:p>
    <w:p w:rsidR="47DFBDE5" w:rsidP="3E0F4268" w:rsidRDefault="47DFBDE5" w14:paraId="42713D25" w14:textId="30C95410">
      <w:pPr>
        <w:spacing w:before="180" w:beforeAutospacing="off" w:after="180" w:afterAutospacing="off"/>
      </w:pPr>
      <w:r w:rsidRPr="3E0F4268" w:rsidR="27B53DDA">
        <w:rPr>
          <w:rFonts w:ascii="Aptos" w:hAnsi="Aptos" w:eastAsia="Aptos" w:cs="Aptos"/>
          <w:noProof w:val="0"/>
          <w:color w:val="0D0D0D" w:themeColor="text1" w:themeTint="F2" w:themeShade="FF"/>
          <w:sz w:val="24"/>
          <w:szCs w:val="24"/>
          <w:lang w:val="en-GB"/>
        </w:rPr>
        <w:t xml:space="preserve">World Health Organization (2016) </w:t>
      </w:r>
      <w:r w:rsidRPr="3E0F4268" w:rsidR="27B53DDA">
        <w:rPr>
          <w:rFonts w:ascii="Aptos" w:hAnsi="Aptos" w:eastAsia="Aptos" w:cs="Aptos"/>
          <w:i w:val="1"/>
          <w:iCs w:val="1"/>
          <w:noProof w:val="0"/>
          <w:color w:val="0D0D0D" w:themeColor="text1" w:themeTint="F2" w:themeShade="FF"/>
          <w:sz w:val="24"/>
          <w:szCs w:val="24"/>
          <w:lang w:val="en-GB"/>
        </w:rPr>
        <w:t>Framework on integrated, people-centred health services</w:t>
      </w:r>
      <w:r w:rsidRPr="3E0F4268" w:rsidR="27B53DDA">
        <w:rPr>
          <w:rFonts w:ascii="Aptos" w:hAnsi="Aptos" w:eastAsia="Aptos" w:cs="Aptos"/>
          <w:noProof w:val="0"/>
          <w:color w:val="0D0D0D" w:themeColor="text1" w:themeTint="F2" w:themeShade="FF"/>
          <w:sz w:val="24"/>
          <w:szCs w:val="24"/>
          <w:lang w:val="en-GB"/>
        </w:rPr>
        <w:t xml:space="preserve">. Geneva: World Health Organization. Available at: </w:t>
      </w:r>
      <w:hyperlink r:id="R53f2182c8cd443c7">
        <w:r w:rsidRPr="3E0F4268" w:rsidR="27B53DDA">
          <w:rPr>
            <w:rStyle w:val="Hyperlink"/>
            <w:strike w:val="0"/>
            <w:dstrike w:val="0"/>
            <w:noProof w:val="0"/>
            <w:color w:val="0D0D0D" w:themeColor="text1" w:themeTint="F2" w:themeShade="FF"/>
            <w:u w:val="single"/>
            <w:lang w:val="en-GB"/>
          </w:rPr>
          <w:t>WHO – Integrated people-centred health services</w:t>
        </w:r>
      </w:hyperlink>
      <w:r w:rsidRPr="3E0F4268" w:rsidR="27B53DDA">
        <w:rPr>
          <w:rFonts w:ascii="Aptos" w:hAnsi="Aptos" w:eastAsia="Aptos" w:cs="Aptos"/>
          <w:noProof w:val="0"/>
          <w:color w:val="0D0D0D" w:themeColor="text1" w:themeTint="F2" w:themeShade="FF"/>
          <w:sz w:val="24"/>
          <w:szCs w:val="24"/>
          <w:lang w:val="en-GB"/>
        </w:rPr>
        <w:t xml:space="preserve"> (Accessed: 8 October 2026). </w:t>
      </w:r>
      <w:r w:rsidRPr="3E0F4268" w:rsidR="27B53DDA">
        <w:rPr>
          <w:rFonts w:ascii="Aptos" w:hAnsi="Aptos" w:eastAsia="Aptos" w:cs="Aptos"/>
          <w:b w:val="0"/>
          <w:bCs w:val="0"/>
          <w:caps w:val="0"/>
          <w:smallCaps w:val="0"/>
          <w:noProof w:val="0"/>
          <w:color w:val="5D5D5D"/>
          <w:sz w:val="24"/>
          <w:szCs w:val="24"/>
          <w:lang w:val="en-GB"/>
        </w:rPr>
        <w:t>WWorld Health Organization</w:t>
      </w:r>
    </w:p>
    <w:p w:rsidR="47DFBDE5" w:rsidP="47DFBDE5" w:rsidRDefault="47DFBDE5" w14:paraId="6083CB79" w14:textId="24A5E63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RQxRoRtecq66X2" int2:id="Xh1IWS4w">
      <int2:state int2:type="spell" int2:value="Rejected"/>
    </int2:textHash>
    <int2:bookmark int2:bookmarkName="_Int_5SmsMoNR" int2:invalidationBookmarkName="" int2:hashCode="mP1XdNmTIWn/Tu" int2:id="NEBhk9ro">
      <int2:state int2:type="gram" int2:value="Rejected"/>
    </int2:bookmark>
    <int2:bookmark int2:bookmarkName="_Int_6I9l5SKY" int2:invalidationBookmarkName="" int2:hashCode="Q4McD2L1740zDO" int2:id="p8Z5bA2f">
      <int2:state int2:type="gram" int2:value="Rejected"/>
    </int2:bookmark>
    <int2:bookmark int2:bookmarkName="_Int_484EqqJj" int2:invalidationBookmarkName="" int2:hashCode="U/We9/o1hvjIIw" int2:id="Y6O5jYfn">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306CE8"/>
    <w:rsid w:val="00858E38"/>
    <w:rsid w:val="00B6EA7F"/>
    <w:rsid w:val="01D0E7B2"/>
    <w:rsid w:val="04026AD5"/>
    <w:rsid w:val="04C96528"/>
    <w:rsid w:val="0554093D"/>
    <w:rsid w:val="055BBE92"/>
    <w:rsid w:val="05D130B7"/>
    <w:rsid w:val="0631A327"/>
    <w:rsid w:val="06C07533"/>
    <w:rsid w:val="07D26746"/>
    <w:rsid w:val="08920F58"/>
    <w:rsid w:val="08CA974A"/>
    <w:rsid w:val="08D8EA0D"/>
    <w:rsid w:val="09682092"/>
    <w:rsid w:val="0A6E970D"/>
    <w:rsid w:val="0C96FD52"/>
    <w:rsid w:val="0D5C3580"/>
    <w:rsid w:val="0D77D4D4"/>
    <w:rsid w:val="0EAF1B63"/>
    <w:rsid w:val="0F191262"/>
    <w:rsid w:val="0F4D3C93"/>
    <w:rsid w:val="0FCCE3DC"/>
    <w:rsid w:val="1009036C"/>
    <w:rsid w:val="1039F81F"/>
    <w:rsid w:val="1175C94C"/>
    <w:rsid w:val="12DE4A80"/>
    <w:rsid w:val="13685746"/>
    <w:rsid w:val="14684CC5"/>
    <w:rsid w:val="1569D2D6"/>
    <w:rsid w:val="15CE8FF3"/>
    <w:rsid w:val="15DA4B26"/>
    <w:rsid w:val="1797708F"/>
    <w:rsid w:val="190E944E"/>
    <w:rsid w:val="1A95EE2B"/>
    <w:rsid w:val="1BAAEB1C"/>
    <w:rsid w:val="1C71E4F0"/>
    <w:rsid w:val="1D0CF505"/>
    <w:rsid w:val="1E929615"/>
    <w:rsid w:val="1F067CB7"/>
    <w:rsid w:val="1FC247F0"/>
    <w:rsid w:val="20450B18"/>
    <w:rsid w:val="207FC6ED"/>
    <w:rsid w:val="219EF003"/>
    <w:rsid w:val="219FCAD8"/>
    <w:rsid w:val="222518AC"/>
    <w:rsid w:val="2382525A"/>
    <w:rsid w:val="247D040D"/>
    <w:rsid w:val="259D14A6"/>
    <w:rsid w:val="260279A9"/>
    <w:rsid w:val="264241FA"/>
    <w:rsid w:val="2671B1E8"/>
    <w:rsid w:val="26AD8F60"/>
    <w:rsid w:val="26F46A59"/>
    <w:rsid w:val="2772986B"/>
    <w:rsid w:val="278D7265"/>
    <w:rsid w:val="27B53DDA"/>
    <w:rsid w:val="2801E268"/>
    <w:rsid w:val="29517C61"/>
    <w:rsid w:val="29970167"/>
    <w:rsid w:val="2B4BFDEA"/>
    <w:rsid w:val="2B5338A8"/>
    <w:rsid w:val="2B8FF81E"/>
    <w:rsid w:val="2B9ECD2B"/>
    <w:rsid w:val="2BAFE846"/>
    <w:rsid w:val="2BE5A982"/>
    <w:rsid w:val="2C3321D1"/>
    <w:rsid w:val="2EBF8FB5"/>
    <w:rsid w:val="2FDCA375"/>
    <w:rsid w:val="2FF7E07D"/>
    <w:rsid w:val="3050C751"/>
    <w:rsid w:val="32DB368C"/>
    <w:rsid w:val="33A5EC42"/>
    <w:rsid w:val="33CA8CCF"/>
    <w:rsid w:val="3405DE84"/>
    <w:rsid w:val="347B80DA"/>
    <w:rsid w:val="35568E3E"/>
    <w:rsid w:val="35A042F0"/>
    <w:rsid w:val="35B05A10"/>
    <w:rsid w:val="35BE57F7"/>
    <w:rsid w:val="362C59F3"/>
    <w:rsid w:val="38030B7E"/>
    <w:rsid w:val="3844C91E"/>
    <w:rsid w:val="388E086E"/>
    <w:rsid w:val="3971282D"/>
    <w:rsid w:val="39E299E4"/>
    <w:rsid w:val="3A6EDD27"/>
    <w:rsid w:val="3AAD7E0F"/>
    <w:rsid w:val="3AAEA32E"/>
    <w:rsid w:val="3B4C4B5C"/>
    <w:rsid w:val="3C343A59"/>
    <w:rsid w:val="3E0F4268"/>
    <w:rsid w:val="3FB8A246"/>
    <w:rsid w:val="40591CC8"/>
    <w:rsid w:val="4077ACE7"/>
    <w:rsid w:val="40F1FDE8"/>
    <w:rsid w:val="40F6C07F"/>
    <w:rsid w:val="41087E69"/>
    <w:rsid w:val="41306CE8"/>
    <w:rsid w:val="414ED166"/>
    <w:rsid w:val="4277730D"/>
    <w:rsid w:val="428F3B2B"/>
    <w:rsid w:val="42BD8F37"/>
    <w:rsid w:val="446B04C1"/>
    <w:rsid w:val="47814A7B"/>
    <w:rsid w:val="47DFBDE5"/>
    <w:rsid w:val="48EC2E99"/>
    <w:rsid w:val="4AFAD615"/>
    <w:rsid w:val="4B76A8A1"/>
    <w:rsid w:val="4BE7F105"/>
    <w:rsid w:val="4C76BF25"/>
    <w:rsid w:val="4E3C27EC"/>
    <w:rsid w:val="4FB0ACF2"/>
    <w:rsid w:val="4FF397FC"/>
    <w:rsid w:val="5036FEAA"/>
    <w:rsid w:val="50B28FE2"/>
    <w:rsid w:val="52734243"/>
    <w:rsid w:val="52E25A53"/>
    <w:rsid w:val="54440D18"/>
    <w:rsid w:val="54EF1D18"/>
    <w:rsid w:val="560C889A"/>
    <w:rsid w:val="5671C797"/>
    <w:rsid w:val="573583AA"/>
    <w:rsid w:val="57986F42"/>
    <w:rsid w:val="58480945"/>
    <w:rsid w:val="5890D0C1"/>
    <w:rsid w:val="59FFFC8A"/>
    <w:rsid w:val="5BBFCAB6"/>
    <w:rsid w:val="5C3CC95E"/>
    <w:rsid w:val="5C7CF95A"/>
    <w:rsid w:val="5D81096D"/>
    <w:rsid w:val="5D9F3AD0"/>
    <w:rsid w:val="5EA1EA94"/>
    <w:rsid w:val="5EF6BA6A"/>
    <w:rsid w:val="5F850A7F"/>
    <w:rsid w:val="5FBD38BB"/>
    <w:rsid w:val="60D7D280"/>
    <w:rsid w:val="6152F5F2"/>
    <w:rsid w:val="617C98E5"/>
    <w:rsid w:val="6240BB41"/>
    <w:rsid w:val="6365A7C0"/>
    <w:rsid w:val="641DE797"/>
    <w:rsid w:val="6461F6E9"/>
    <w:rsid w:val="64CE4E32"/>
    <w:rsid w:val="6588F4F0"/>
    <w:rsid w:val="65BE6083"/>
    <w:rsid w:val="6644699F"/>
    <w:rsid w:val="66E3A62A"/>
    <w:rsid w:val="66F32925"/>
    <w:rsid w:val="676419E0"/>
    <w:rsid w:val="67AD77FC"/>
    <w:rsid w:val="687DB5F1"/>
    <w:rsid w:val="68CF45D3"/>
    <w:rsid w:val="6A0262ED"/>
    <w:rsid w:val="6B263EC9"/>
    <w:rsid w:val="6B59E18F"/>
    <w:rsid w:val="6C1AC5A8"/>
    <w:rsid w:val="6FFAE4B3"/>
    <w:rsid w:val="70A9119E"/>
    <w:rsid w:val="7194068E"/>
    <w:rsid w:val="73042C77"/>
    <w:rsid w:val="737712C6"/>
    <w:rsid w:val="74C8F14D"/>
    <w:rsid w:val="75ECFFC2"/>
    <w:rsid w:val="76AE6409"/>
    <w:rsid w:val="77B5EFAD"/>
    <w:rsid w:val="77F57A54"/>
    <w:rsid w:val="787F11A5"/>
    <w:rsid w:val="7899ED7E"/>
    <w:rsid w:val="7997B5AD"/>
    <w:rsid w:val="7A07EA82"/>
    <w:rsid w:val="7B04EA73"/>
    <w:rsid w:val="7B4F793A"/>
    <w:rsid w:val="7BE4C1C5"/>
    <w:rsid w:val="7C0DED9C"/>
    <w:rsid w:val="7C18A58F"/>
    <w:rsid w:val="7FD09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9B4B6"/>
  <w15:chartTrackingRefBased/>
  <w15:docId w15:val="{E53144F7-A982-45DF-8DC9-19CC744C7A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E0F426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E0F426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3E0F4268"/>
    <w:rPr>
      <w:color w:val="467886"/>
      <w:u w:val="single"/>
    </w:rPr>
  </w:style>
  <w:style w:type="paragraph" w:styleId="TOC1">
    <w:uiPriority w:val="39"/>
    <w:name w:val="toc 1"/>
    <w:basedOn w:val="Normal"/>
    <w:next w:val="Normal"/>
    <w:unhideWhenUsed/>
    <w:rsid w:val="3E0F4268"/>
    <w:pPr>
      <w:spacing w:after="100"/>
    </w:pPr>
  </w:style>
  <w:style w:type="paragraph" w:styleId="TOC2">
    <w:uiPriority w:val="39"/>
    <w:name w:val="toc 2"/>
    <w:basedOn w:val="Normal"/>
    <w:next w:val="Normal"/>
    <w:unhideWhenUsed/>
    <w:rsid w:val="3E0F426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53e82d505be4cb2" /><Relationship Type="http://schemas.openxmlformats.org/officeDocument/2006/relationships/hyperlink" Target="https://www.legislation.gov.uk/ukpga/2014/23/part/1?utm_source=chatgpt.com" TargetMode="External" Id="R4e8278587f2e45a1" /><Relationship Type="http://schemas.openxmlformats.org/officeDocument/2006/relationships/hyperlink" Target="https://www.legislation.gov.uk/ukpga/2022/31/contents?utm_source=chatgpt.com" TargetMode="External" Id="Rb3e91b4419014143" /><Relationship Type="http://schemas.openxmlformats.org/officeDocument/2006/relationships/hyperlink" Target="https://www.hcpc-uk.org/standards/standards-of-conduct-performance-and-ethics/?utm_source=chatgpt.com" TargetMode="External" Id="R7dac7905e5454c7a" /><Relationship Type="http://schemas.openxmlformats.org/officeDocument/2006/relationships/hyperlink" Target="https://www.legislation.gov.uk/ukpga/2005/9?utm_source=chatgpt.com" TargetMode="External" Id="R537b6ec892e044b3" /><Relationship Type="http://schemas.openxmlformats.org/officeDocument/2006/relationships/hyperlink" Target="https://www.england.nhs.uk/personalisedcare/comprehensive-model/case-studies/mrs-cs-story/?utm_source=chatgpt.com" TargetMode="External" Id="R183044737aed41de" /><Relationship Type="http://schemas.openxmlformats.org/officeDocument/2006/relationships/hyperlink" Target="https://www.england.nhs.uk/personalisedcare/what-is-personalised-care/?utm_source=chatgpt.com" TargetMode="External" Id="R76a2680eb1f849a7" /><Relationship Type="http://schemas.openxmlformats.org/officeDocument/2006/relationships/hyperlink" Target="https://www.nice.org.uk/guidance/ng197/chapter/recommendations" TargetMode="External" Id="Rda5778e60f354170" /><Relationship Type="http://schemas.openxmlformats.org/officeDocument/2006/relationships/hyperlink" Target="https://www.nmc.org.uk/standards/code/?utm_source=chatgpt.com" TargetMode="External" Id="R7026fcf8510a4187" /><Relationship Type="http://schemas.openxmlformats.org/officeDocument/2006/relationships/hyperlink" Target="https://www.who.int/health-topics/integrated-people-centered-care?utm_source=chatgpt.com" TargetMode="External" Id="R53f2182c8cd443c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Amrita Kaur (2505384)</dc:creator>
  <keywords/>
  <dc:description/>
  <lastModifiedBy>Amrita Kaur (2505384)</lastModifiedBy>
  <revision>6</revision>
  <dcterms:created xsi:type="dcterms:W3CDTF">2026-09-10T08:08:33.0141307Z</dcterms:created>
  <dcterms:modified xsi:type="dcterms:W3CDTF">2026-10-08T09:30:28.3251158Z</dcterms:modified>
</coreProperties>
</file>