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D4DA7" w14:textId="6023D11A" w:rsidR="001E38A4" w:rsidRDefault="001E38A4" w:rsidP="001E38A4">
      <w:pPr>
        <w:spacing w:line="276" w:lineRule="auto"/>
        <w:jc w:val="center"/>
        <w:rPr>
          <w:rFonts w:ascii="Times New Roman" w:hAnsi="Times New Roman" w:cs="Times New Roman"/>
          <w:b/>
          <w:bCs/>
          <w:sz w:val="40"/>
          <w:szCs w:val="40"/>
        </w:rPr>
      </w:pPr>
      <w:r w:rsidRPr="001E38A4">
        <w:rPr>
          <w:rFonts w:ascii="Times New Roman" w:hAnsi="Times New Roman" w:cs="Times New Roman"/>
          <w:sz w:val="40"/>
          <w:szCs w:val="40"/>
        </w:rPr>
        <w:t xml:space="preserve"> </w:t>
      </w:r>
      <w:r w:rsidRPr="001E38A4">
        <w:rPr>
          <w:rFonts w:ascii="Times New Roman" w:hAnsi="Times New Roman" w:cs="Times New Roman"/>
          <w:b/>
          <w:bCs/>
          <w:sz w:val="40"/>
          <w:szCs w:val="40"/>
        </w:rPr>
        <w:t xml:space="preserve"> PROGRAMME: MSC PUBLIC HEALTH AND SOCIAL CARE IN PRACTICE</w:t>
      </w:r>
    </w:p>
    <w:p w14:paraId="7DEAD6F5" w14:textId="5215B5B6" w:rsidR="001F6882" w:rsidRDefault="001F6882" w:rsidP="001E38A4">
      <w:pPr>
        <w:spacing w:line="276" w:lineRule="auto"/>
        <w:jc w:val="center"/>
        <w:rPr>
          <w:rFonts w:ascii="Times New Roman" w:hAnsi="Times New Roman" w:cs="Times New Roman"/>
          <w:b/>
          <w:bCs/>
          <w:sz w:val="40"/>
          <w:szCs w:val="40"/>
        </w:rPr>
      </w:pPr>
      <w:r>
        <w:rPr>
          <w:rFonts w:ascii="Times New Roman" w:hAnsi="Times New Roman" w:cs="Times New Roman"/>
          <w:b/>
          <w:bCs/>
          <w:sz w:val="40"/>
          <w:szCs w:val="40"/>
        </w:rPr>
        <w:t>NAME – JAIMIN JADAV</w:t>
      </w:r>
    </w:p>
    <w:p w14:paraId="74F3672D" w14:textId="2F36CA15" w:rsidR="001F6882" w:rsidRPr="001E38A4" w:rsidRDefault="001F6882" w:rsidP="001E38A4">
      <w:pPr>
        <w:spacing w:line="276"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STUDENT ID </w:t>
      </w:r>
      <w:r w:rsidR="00374795">
        <w:rPr>
          <w:rFonts w:ascii="Times New Roman" w:hAnsi="Times New Roman" w:cs="Times New Roman"/>
          <w:b/>
          <w:bCs/>
          <w:sz w:val="40"/>
          <w:szCs w:val="40"/>
        </w:rPr>
        <w:t>–</w:t>
      </w:r>
      <w:r>
        <w:rPr>
          <w:rFonts w:ascii="Times New Roman" w:hAnsi="Times New Roman" w:cs="Times New Roman"/>
          <w:b/>
          <w:bCs/>
          <w:sz w:val="40"/>
          <w:szCs w:val="40"/>
        </w:rPr>
        <w:t xml:space="preserve"> 2437156</w:t>
      </w:r>
    </w:p>
    <w:p w14:paraId="75E8AF05" w14:textId="4BF87B67" w:rsidR="001E38A4" w:rsidRPr="001E38A4" w:rsidRDefault="001E38A4" w:rsidP="001E38A4">
      <w:pPr>
        <w:spacing w:before="120" w:after="120" w:line="276" w:lineRule="auto"/>
        <w:jc w:val="center"/>
        <w:rPr>
          <w:rFonts w:ascii="Times New Roman" w:hAnsi="Times New Roman" w:cs="Times New Roman"/>
          <w:b/>
          <w:bCs/>
          <w:sz w:val="40"/>
          <w:szCs w:val="40"/>
        </w:rPr>
      </w:pPr>
      <w:r w:rsidRPr="001E38A4">
        <w:rPr>
          <w:rFonts w:ascii="Times New Roman" w:hAnsi="Times New Roman" w:cs="Times New Roman"/>
          <w:b/>
          <w:bCs/>
          <w:sz w:val="40"/>
          <w:szCs w:val="40"/>
        </w:rPr>
        <w:t>MODULE: LCHS7006: QUALITY ASSURANCE AND SERVICE IMPROVEMENTS</w:t>
      </w:r>
    </w:p>
    <w:p w14:paraId="7A8F4B39" w14:textId="05A1E793" w:rsidR="001E38A4" w:rsidRPr="001E38A4" w:rsidRDefault="001E38A4" w:rsidP="001E38A4">
      <w:pPr>
        <w:spacing w:before="120" w:after="120" w:line="276" w:lineRule="auto"/>
        <w:jc w:val="center"/>
        <w:rPr>
          <w:rFonts w:ascii="Times New Roman" w:hAnsi="Times New Roman" w:cs="Times New Roman"/>
          <w:b/>
          <w:bCs/>
          <w:sz w:val="40"/>
          <w:szCs w:val="40"/>
        </w:rPr>
      </w:pPr>
      <w:r w:rsidRPr="001E38A4">
        <w:rPr>
          <w:rFonts w:ascii="Times New Roman" w:hAnsi="Times New Roman" w:cs="Times New Roman"/>
          <w:b/>
          <w:bCs/>
          <w:sz w:val="40"/>
          <w:szCs w:val="40"/>
        </w:rPr>
        <w:t>COMPONENT 2: SERVICE IMPROVEMENT REPORT</w:t>
      </w:r>
    </w:p>
    <w:p w14:paraId="68F98771" w14:textId="6AB85E6B" w:rsidR="000E707B" w:rsidRPr="001E38A4" w:rsidRDefault="001E38A4" w:rsidP="001E38A4">
      <w:pPr>
        <w:spacing w:line="276" w:lineRule="auto"/>
        <w:jc w:val="center"/>
        <w:rPr>
          <w:rFonts w:ascii="Times New Roman" w:hAnsi="Times New Roman" w:cs="Times New Roman"/>
          <w:b/>
          <w:bCs/>
          <w:sz w:val="40"/>
          <w:szCs w:val="40"/>
        </w:rPr>
      </w:pPr>
      <w:r w:rsidRPr="001E38A4">
        <w:rPr>
          <w:rStyle w:val="Strong"/>
          <w:rFonts w:ascii="Times New Roman" w:hAnsi="Times New Roman" w:cs="Times New Roman"/>
          <w:sz w:val="40"/>
          <w:szCs w:val="40"/>
        </w:rPr>
        <w:t>SERVICE IMPROVEMENT REPORT ON NF1 CARE: A SYSTEMS</w:t>
      </w:r>
      <w:r w:rsidRPr="001E38A4">
        <w:rPr>
          <w:rStyle w:val="Strong"/>
          <w:rFonts w:ascii="Times New Roman" w:hAnsi="Times New Roman" w:cs="Times New Roman"/>
          <w:sz w:val="40"/>
          <w:szCs w:val="40"/>
        </w:rPr>
        <w:noBreakHyphen/>
        <w:t>BASED ANALYSIS OF AN INFECTION</w:t>
      </w:r>
      <w:r w:rsidRPr="001E38A4">
        <w:rPr>
          <w:rStyle w:val="Strong"/>
          <w:rFonts w:ascii="Times New Roman" w:hAnsi="Times New Roman" w:cs="Times New Roman"/>
          <w:sz w:val="40"/>
          <w:szCs w:val="40"/>
        </w:rPr>
        <w:noBreakHyphen/>
        <w:t>RELATED DEATH</w:t>
      </w:r>
      <w:r w:rsidR="000E707B" w:rsidRPr="001E38A4">
        <w:rPr>
          <w:rFonts w:ascii="Times New Roman" w:hAnsi="Times New Roman" w:cs="Times New Roman"/>
          <w:sz w:val="40"/>
          <w:szCs w:val="40"/>
        </w:rPr>
        <w:br w:type="page"/>
      </w:r>
    </w:p>
    <w:p w14:paraId="4B12D262" w14:textId="1188185D" w:rsidR="003113C0" w:rsidRDefault="000E707B" w:rsidP="000E707B">
      <w:pPr>
        <w:pStyle w:val="Heading1"/>
        <w:rPr>
          <w:rStyle w:val="normaltextrun"/>
          <w:rFonts w:ascii="Times New Roman" w:hAnsi="Times New Roman" w:cs="Times New Roman"/>
          <w:b/>
          <w:bCs/>
          <w:color w:val="0F4761"/>
          <w:shd w:val="clear" w:color="auto" w:fill="FFFFFF"/>
          <w:lang w:val="en-US"/>
        </w:rPr>
      </w:pPr>
      <w:r w:rsidRPr="00FB4534">
        <w:rPr>
          <w:rStyle w:val="normaltextrun"/>
          <w:rFonts w:ascii="Times New Roman" w:hAnsi="Times New Roman" w:cs="Times New Roman"/>
          <w:b/>
          <w:bCs/>
          <w:color w:val="0F4761"/>
          <w:shd w:val="clear" w:color="auto" w:fill="FFFFFF"/>
          <w:lang w:val="en-US"/>
        </w:rPr>
        <w:lastRenderedPageBreak/>
        <w:t>Introduction</w:t>
      </w:r>
    </w:p>
    <w:p w14:paraId="54334324" w14:textId="77777777" w:rsidR="001E38A4" w:rsidRDefault="001E38A4" w:rsidP="001E38A4">
      <w:r>
        <w:fldChar w:fldCharType="begin"/>
      </w:r>
      <w:r>
        <w:instrText xml:space="preserve"> INCLUDEPICTURE "https://user-gen-media-assets.s3.amazonaws.com/seedream_images/2aaf376f-ecf8-456c-87af-d9291bce5d58.png?AWSAccessKeyId=ASIA2F3EMEYETIKXN22O&amp;Signature=QUKnN6E31eVr7A4bu%2BpejILIi54%3D&amp;x-amz-security-token=IQoJb3JpZ2luX2VjENX%2F%2F%2F%2F%2F%2F%2F%2F%2F%2FwEaCXVzLWVhc3QtMSJHMEUCIQCt5S5h2%2FZ9yaFDcFU5rajD3S7nngnFnQx47Yx5zp9bsgIgOqjkTTz1u36fNejlgBlL%2FAWhwuqo%2FaMWbl%2Bgng017Osq%2FAQInf%2F%2F%2F%2F%2F%2F%2F%2F%2F%2FARABGgw2OTk3NTMzMDk3MDUiDBx52sOEmmZkPPO%2FFCrQBFamp6Hav28unFv0A59H71U%2BeAJKGEaeBCDc4vrfEE%2BBbIanJPZu3E7b1rWd0dkZr7CctCsDC27V8YJfZzVVjlBtubCrm97BF9HJNkJ%2FsiV%2FznB5KnqNiUyVlWR0NpXNeKK7DIMm%2FSenCqhwPyWB%2BGXttK%2F3N0vbpcIAOat6o3SgcbSK00WIbP6ZytS0Vn1tssDnKS0aAHK8JXSh81G8QAOIwWQJAxB%2FiybujiAJc%2FybyAdwR8HtLKbxsQktqoSDpcHIGEXSqXSbJDVAaCNkmwc7Msn7rhEpHrw35OjeNrbf1M9UzZshBeEA3LsXAzabtt4qSZ4Z9Tg8ewhJCQP64Mk12bWIKuKDEslNqQGVTLt1dN048rd6%2F%2B%2BEZmTHs9X4sQOKph2u1gzfyDkZ8tK0xt%2FXr%2BKgTSY9nULBvDXEdC2Jby%2B53mcejQ59G3D5YW9Jai4w%2FjqFs5lUndOl09bP3JXdoyU6yMrqGGKDHetOB26%2FkDUglm63lk1lI%2BK%2BXnuBTG4UeEQuBQdXS%2BCRDpepUOsqOO7mx7uoUUDAfn3srgKJCcJs6uLnyAnR38CwtSChtxda0iZ4BuFK1M%2FbynqwEBbpgeAhnMti%2BZqAcX1j0gIg88EFGCOItA2%2B5hrtdPLvWDndHCYcS3l35t4FpfpBQoSfRbNG7C8bIpdhGfCrWJVEM%2ByuZrOT5em0Vgr6k9Vk0ONEgNSHnE1Pb1dIyH5MB8r8CqJZ%2FaPO%2FSKvriaNsMSsb1lL8vs9eewM%2FrD4EZEFZo2LLDFNZBfYBc2X3Pz594AwiuCLzgY6mAHJa60NWc9o0gvZt7ow%2F%2FgXn%2FBawenxUpcHm2hnXGL6uwZrIH%2Fzc47kh0kuFpyowBEhHI2d%2BerQs7WstIt%2BDmjBmiRZNTCNwLltMqaon7kc6nzfbkiuuoUTuiqXxfuxKRqr10HhmZyr8KmskK%2BMiuU0%2BQynHgsNSmBX%2Brr0qKOdpokW15HhQmOlEdwndgyOo6KiFdS2klkk8g%3D%3D&amp;Expires=1774386653" \* MERGEFORMATINET </w:instrText>
      </w:r>
      <w:r>
        <w:fldChar w:fldCharType="separate"/>
      </w:r>
      <w:r>
        <w:rPr>
          <w:noProof/>
        </w:rPr>
        <w:drawing>
          <wp:inline distT="0" distB="0" distL="0" distR="0" wp14:anchorId="61676A27" wp14:editId="3949B7EA">
            <wp:extent cx="5731510" cy="3218815"/>
            <wp:effectExtent l="0" t="0" r="0" b="0"/>
            <wp:docPr id="3412226" name="Picture 1" descr="Infographic: Systemic failures and quality improvement opportunities in adult NF1 care with EMR and MDT inte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Systemic failures and quality improvement opportunities in adult NF1 care with EMR and MDT integr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fldChar w:fldCharType="end"/>
      </w:r>
      <w:r>
        <w:t xml:space="preserve"> </w:t>
      </w:r>
    </w:p>
    <w:p w14:paraId="1984357C" w14:textId="012828E0" w:rsidR="001E38A4" w:rsidRPr="001E38A4" w:rsidRDefault="001E38A4" w:rsidP="001E38A4">
      <w:pPr>
        <w:rPr>
          <w:rFonts w:ascii="Times New Roman" w:hAnsi="Times New Roman" w:cs="Times New Roman"/>
          <w:sz w:val="20"/>
          <w:szCs w:val="20"/>
        </w:rPr>
      </w:pPr>
      <w:r>
        <w:rPr>
          <w:rFonts w:ascii="Times New Roman" w:hAnsi="Times New Roman" w:cs="Times New Roman"/>
          <w:sz w:val="20"/>
          <w:szCs w:val="20"/>
        </w:rPr>
        <w:t xml:space="preserve">       </w:t>
      </w:r>
      <w:r w:rsidRPr="001E38A4">
        <w:rPr>
          <w:rFonts w:ascii="Times New Roman" w:hAnsi="Times New Roman" w:cs="Times New Roman"/>
          <w:sz w:val="20"/>
          <w:szCs w:val="20"/>
        </w:rPr>
        <w:t>Figure 1: Infographic of systemic failures and quality</w:t>
      </w:r>
      <w:r w:rsidRPr="001E38A4">
        <w:rPr>
          <w:rFonts w:ascii="Times New Roman" w:hAnsi="Times New Roman" w:cs="Times New Roman"/>
          <w:sz w:val="20"/>
          <w:szCs w:val="20"/>
        </w:rPr>
        <w:noBreakHyphen/>
        <w:t>improvement opportunities in adult NF1 care </w:t>
      </w:r>
    </w:p>
    <w:p w14:paraId="1E7A93EB" w14:textId="1A021692" w:rsidR="001E38A4" w:rsidRPr="001E38A4" w:rsidRDefault="001E38A4" w:rsidP="001E38A4">
      <w:pPr>
        <w:rPr>
          <w:rFonts w:ascii="Times New Roman" w:hAnsi="Times New Roman" w:cs="Times New Roman"/>
          <w:sz w:val="20"/>
          <w:szCs w:val="20"/>
          <w:lang w:val="en-US"/>
        </w:rPr>
      </w:pPr>
      <w:r>
        <w:rPr>
          <w:rFonts w:ascii="Times New Roman" w:hAnsi="Times New Roman" w:cs="Times New Roman"/>
        </w:rPr>
        <w:t xml:space="preserve">                                                          </w:t>
      </w:r>
      <w:r w:rsidRPr="001E38A4">
        <w:rPr>
          <w:rFonts w:ascii="Times New Roman" w:hAnsi="Times New Roman" w:cs="Times New Roman"/>
          <w:sz w:val="20"/>
          <w:szCs w:val="20"/>
        </w:rPr>
        <w:t xml:space="preserve"> (Source: Author,2026)</w:t>
      </w:r>
    </w:p>
    <w:p w14:paraId="725066E3" w14:textId="45C4D2A4" w:rsidR="000E707B" w:rsidRPr="00FB4534" w:rsidRDefault="000E707B" w:rsidP="000E707B">
      <w:pPr>
        <w:spacing w:line="360" w:lineRule="auto"/>
        <w:jc w:val="both"/>
        <w:rPr>
          <w:rStyle w:val="eop"/>
          <w:rFonts w:ascii="Times New Roman" w:hAnsi="Times New Roman" w:cs="Times New Roman"/>
          <w:color w:val="000000"/>
          <w:bdr w:val="none" w:sz="0" w:space="0" w:color="auto" w:frame="1"/>
          <w:shd w:val="clear" w:color="auto" w:fill="C6C6C6"/>
        </w:rPr>
      </w:pPr>
      <w:r w:rsidRPr="00FB4534">
        <w:rPr>
          <w:rStyle w:val="normaltextrun"/>
          <w:rFonts w:ascii="Times New Roman" w:hAnsi="Times New Roman" w:cs="Times New Roman"/>
          <w:color w:val="000000"/>
          <w:shd w:val="clear" w:color="auto" w:fill="FFFFFF"/>
          <w:lang w:val="en-US"/>
        </w:rPr>
        <w:t>Neurofibromatosis type 1 (NF1) is a common autosomal dominant tumour-predisposition syndrome that affects multiple organ systems and requires lifelong surveillance, multidisciplinary input and coordinated care pathways across primary, secondary and specialist services (Hirbe and Gutmann, 2014; Stewart et al., 2018). International NF1 guidelines emphasise that adults should receive structured follow-up and timely access to expert centres because complications such as malignancy, spinal cord compression and severe infections may present subtly yet progress rapidly if escalation is delayed (Ferner et al., 2007; ERN-Genturis, 2022). In this context, quality assurance and service improvement are essential to ensure that complex rare-disease care is delivered safely, consistently and equitably.</w:t>
      </w:r>
    </w:p>
    <w:p w14:paraId="72F41D47" w14:textId="2AD1B120"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 xml:space="preserve">The case examined in this report concerns an adult with known NF1 who presented with an infection and deteriorated over time, ultimately dying following a sequence of delayed recognition, fragmented communication and missed opportunities to escalate care. Rather than an isolated error, the incident appears to reflect broader system failures in using electronic medical records (EMR), clinical pathways and multidisciplinary team (MDT) structures to support rare-disease management. Survey data from the organisation show that 38% of staff identify lack of EMR training and follow-up as a barrier, while 21% cite poor information and communication technology (ICT) infrastructure, suggesting that digital systems intended to enhance safety may themselves function as latent hazards when poorly implemented. These </w:t>
      </w:r>
      <w:r w:rsidRPr="00FB4534">
        <w:rPr>
          <w:rStyle w:val="normaltextrun"/>
          <w:lang w:val="en-US"/>
        </w:rPr>
        <w:lastRenderedPageBreak/>
        <w:t>findings resonate with wider patient-safety literature describing how technology can introduce new vulnerabilities when human factors, workflow design and governance are neglected (Wiegmann and Shappell, 2022; Jackson-Medical, 2024).</w:t>
      </w:r>
    </w:p>
    <w:p w14:paraId="4C1980A4" w14:textId="77777777" w:rsidR="000E707B" w:rsidRPr="00FB4534" w:rsidRDefault="000E707B" w:rsidP="000E707B">
      <w:pPr>
        <w:pStyle w:val="paragraph"/>
        <w:spacing w:before="0" w:beforeAutospacing="0" w:after="0" w:afterAutospacing="0" w:line="360" w:lineRule="auto"/>
        <w:jc w:val="both"/>
        <w:textAlignment w:val="baseline"/>
        <w:rPr>
          <w:rStyle w:val="normaltextrun"/>
          <w:lang w:val="en-US"/>
        </w:rPr>
      </w:pPr>
    </w:p>
    <w:p w14:paraId="1A14135F" w14:textId="6B1CD4B8"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In line with the LCHS7006 focus on quality assurance and service improvement, this report critically analyses the systemic failures in NF1 care using the Donabedian Model, Fishbone Diagram, SWOT analysis, PDSA cycle and Kotter’s 8-Step Change Model. Drawing on NF1 guidelines, MDT evidence and patient-safety theory, it benchmarks current practice against national and international standards and develops a strategic service-improvement plan. The aim is to move beyond individual blame and provide a structured, evidence-based roadmap for strengthening rare-disease management, digital infrastructure and organisational learning.</w:t>
      </w:r>
    </w:p>
    <w:p w14:paraId="5A7BEDC1" w14:textId="77777777" w:rsidR="000E707B" w:rsidRPr="00FB4534" w:rsidRDefault="000E707B" w:rsidP="000E707B">
      <w:pPr>
        <w:spacing w:line="360" w:lineRule="auto"/>
        <w:jc w:val="both"/>
        <w:rPr>
          <w:rFonts w:ascii="Times New Roman" w:hAnsi="Times New Roman" w:cs="Times New Roman"/>
        </w:rPr>
      </w:pPr>
    </w:p>
    <w:p w14:paraId="2D0C1A3C" w14:textId="6A6DF63B" w:rsidR="000E707B" w:rsidRPr="00FB4534" w:rsidRDefault="000E707B" w:rsidP="000E707B">
      <w:pPr>
        <w:pStyle w:val="Heading2"/>
        <w:spacing w:line="360" w:lineRule="auto"/>
        <w:jc w:val="both"/>
        <w:rPr>
          <w:rStyle w:val="eop"/>
          <w:rFonts w:ascii="Times New Roman" w:hAnsi="Times New Roman" w:cs="Times New Roman"/>
          <w:b/>
          <w:bCs/>
          <w:color w:val="0F4761"/>
          <w:sz w:val="24"/>
          <w:szCs w:val="24"/>
          <w:bdr w:val="none" w:sz="0" w:space="0" w:color="auto" w:frame="1"/>
          <w:shd w:val="clear" w:color="auto" w:fill="C6C6C6"/>
        </w:rPr>
      </w:pPr>
      <w:r w:rsidRPr="00FB4534">
        <w:rPr>
          <w:rStyle w:val="normaltextrun"/>
          <w:rFonts w:ascii="Times New Roman" w:hAnsi="Times New Roman" w:cs="Times New Roman"/>
          <w:b/>
          <w:bCs/>
          <w:color w:val="0F4761"/>
          <w:sz w:val="24"/>
          <w:szCs w:val="24"/>
          <w:shd w:val="clear" w:color="auto" w:fill="FFFFFF"/>
          <w:lang w:val="en-US"/>
        </w:rPr>
        <w:t>2. Main Body</w:t>
      </w:r>
    </w:p>
    <w:p w14:paraId="74C60513" w14:textId="178C1B7D" w:rsidR="000E707B" w:rsidRPr="00FB4534" w:rsidRDefault="000E707B" w:rsidP="000E707B">
      <w:pPr>
        <w:pStyle w:val="Subtitle"/>
        <w:spacing w:line="360" w:lineRule="auto"/>
        <w:jc w:val="both"/>
        <w:rPr>
          <w:rStyle w:val="eop"/>
          <w:rFonts w:ascii="Times New Roman" w:hAnsi="Times New Roman" w:cs="Times New Roman"/>
          <w:b/>
          <w:bCs/>
          <w:color w:val="0F4761"/>
          <w:sz w:val="24"/>
          <w:szCs w:val="24"/>
          <w:bdr w:val="none" w:sz="0" w:space="0" w:color="auto" w:frame="1"/>
          <w:shd w:val="clear" w:color="auto" w:fill="C6C6C6"/>
        </w:rPr>
      </w:pPr>
      <w:r w:rsidRPr="00FB4534">
        <w:rPr>
          <w:rStyle w:val="normaltextrun"/>
          <w:rFonts w:ascii="Times New Roman" w:hAnsi="Times New Roman" w:cs="Times New Roman"/>
          <w:b/>
          <w:bCs/>
          <w:color w:val="0F4761"/>
          <w:sz w:val="24"/>
          <w:szCs w:val="24"/>
          <w:shd w:val="clear" w:color="auto" w:fill="FFFFFF"/>
          <w:lang w:val="en-US"/>
        </w:rPr>
        <w:t>2.1 Donabedian Model (Structure-Process-Outcome)</w:t>
      </w:r>
    </w:p>
    <w:p w14:paraId="7A4B6EF3" w14:textId="2C925118" w:rsidR="000E707B" w:rsidRDefault="000E707B" w:rsidP="000E707B">
      <w:pPr>
        <w:pStyle w:val="paragraph"/>
        <w:spacing w:before="0" w:beforeAutospacing="0" w:after="0" w:afterAutospacing="0" w:line="360" w:lineRule="auto"/>
        <w:jc w:val="both"/>
        <w:textAlignment w:val="baseline"/>
        <w:rPr>
          <w:rStyle w:val="normaltextrun"/>
          <w:lang w:val="en-US"/>
        </w:rPr>
      </w:pPr>
      <w:r w:rsidRPr="00FB4534">
        <w:rPr>
          <w:rStyle w:val="normaltextrun"/>
          <w:lang w:val="en-US"/>
        </w:rPr>
        <w:t>The Donabedian Model offers a structured way to assess healthcare quality by examining how organisational structures shape care processes and ultimately patient outcomes (Donabedian, 1988; Yang et al., 2025). Applying this framework to NF1 highlights that the adverse outcome in the case was not simply the result of frontline clinical decisions but the culmination of structural deficits, process failures and weak outcome surveillance across the system. </w:t>
      </w:r>
    </w:p>
    <w:p w14:paraId="61AECB29" w14:textId="77777777" w:rsidR="001E38A4" w:rsidRDefault="001E38A4" w:rsidP="000E707B">
      <w:pPr>
        <w:pStyle w:val="paragraph"/>
        <w:spacing w:before="0" w:beforeAutospacing="0" w:after="0" w:afterAutospacing="0" w:line="360" w:lineRule="auto"/>
        <w:jc w:val="both"/>
        <w:textAlignment w:val="baseline"/>
        <w:rPr>
          <w:rFonts w:ascii="pplxSerif" w:hAnsi="pplxSerif"/>
        </w:rPr>
      </w:pPr>
      <w:r>
        <w:lastRenderedPageBreak/>
        <w:fldChar w:fldCharType="begin"/>
      </w:r>
      <w:r>
        <w:instrText xml:space="preserve"> INCLUDEPICTURE "https://pplx-res.cloudinary.com/image/upload/pplx_search_images/45bc8bdc09b454185e83e6799cfd1d684572c836.jpg" \* MERGEFORMATINET </w:instrText>
      </w:r>
      <w:r>
        <w:fldChar w:fldCharType="separate"/>
      </w:r>
      <w:r>
        <w:rPr>
          <w:noProof/>
        </w:rPr>
        <w:drawing>
          <wp:inline distT="0" distB="0" distL="0" distR="0" wp14:anchorId="1D1E8CB7" wp14:editId="4AB7FF3E">
            <wp:extent cx="5731510" cy="4080510"/>
            <wp:effectExtent l="0" t="0" r="0" b="0"/>
            <wp:docPr id="234679067" name="Picture 2" descr="Structure-Process-Outcom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ucture-Process-Outcome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80510"/>
                    </a:xfrm>
                    <a:prstGeom prst="rect">
                      <a:avLst/>
                    </a:prstGeom>
                    <a:noFill/>
                    <a:ln>
                      <a:noFill/>
                    </a:ln>
                  </pic:spPr>
                </pic:pic>
              </a:graphicData>
            </a:graphic>
          </wp:inline>
        </w:drawing>
      </w:r>
      <w:r>
        <w:fldChar w:fldCharType="end"/>
      </w:r>
      <w:r w:rsidRPr="001E38A4">
        <w:rPr>
          <w:rFonts w:ascii="pplxSerif" w:hAnsi="pplxSerif"/>
        </w:rPr>
        <w:t xml:space="preserve"> </w:t>
      </w:r>
      <w:r>
        <w:rPr>
          <w:rFonts w:ascii="pplxSerif" w:hAnsi="pplxSerif"/>
        </w:rPr>
        <w:t xml:space="preserve">  </w:t>
      </w:r>
    </w:p>
    <w:p w14:paraId="339CCCED" w14:textId="77777777" w:rsidR="001E38A4" w:rsidRDefault="001E38A4" w:rsidP="000E707B">
      <w:pPr>
        <w:pStyle w:val="paragraph"/>
        <w:spacing w:before="0" w:beforeAutospacing="0" w:after="0" w:afterAutospacing="0" w:line="360" w:lineRule="auto"/>
        <w:jc w:val="both"/>
        <w:textAlignment w:val="baseline"/>
        <w:rPr>
          <w:rFonts w:ascii="pplxSerif" w:hAnsi="pplxSerif"/>
        </w:rPr>
      </w:pPr>
    </w:p>
    <w:p w14:paraId="4DB777BC" w14:textId="1C23C23D" w:rsidR="001E38A4" w:rsidRPr="001E38A4" w:rsidRDefault="001E38A4" w:rsidP="000E707B">
      <w:pPr>
        <w:pStyle w:val="paragraph"/>
        <w:spacing w:before="0" w:beforeAutospacing="0" w:after="0" w:afterAutospacing="0" w:line="360" w:lineRule="auto"/>
        <w:jc w:val="both"/>
        <w:textAlignment w:val="baseline"/>
        <w:rPr>
          <w:sz w:val="20"/>
          <w:szCs w:val="20"/>
          <w:lang w:val="en-US"/>
        </w:rPr>
      </w:pPr>
      <w:r>
        <w:rPr>
          <w:rFonts w:ascii="pplxSerif" w:hAnsi="pplxSerif"/>
        </w:rPr>
        <w:t xml:space="preserve">                               </w:t>
      </w:r>
      <w:r w:rsidRPr="001E38A4">
        <w:rPr>
          <w:sz w:val="20"/>
          <w:szCs w:val="20"/>
        </w:rPr>
        <w:t>(Source: adapted from Donabedian’s quality</w:t>
      </w:r>
      <w:r w:rsidRPr="001E38A4">
        <w:rPr>
          <w:sz w:val="20"/>
          <w:szCs w:val="20"/>
        </w:rPr>
        <w:noBreakHyphen/>
        <w:t>of</w:t>
      </w:r>
      <w:r w:rsidRPr="001E38A4">
        <w:rPr>
          <w:sz w:val="20"/>
          <w:szCs w:val="20"/>
        </w:rPr>
        <w:noBreakHyphen/>
        <w:t>care framework, 2026)</w:t>
      </w:r>
    </w:p>
    <w:p w14:paraId="55EC2F0E" w14:textId="77777777" w:rsidR="000E707B" w:rsidRPr="00FB4534" w:rsidRDefault="000E707B" w:rsidP="000E707B">
      <w:pPr>
        <w:pStyle w:val="paragraph"/>
        <w:spacing w:before="0" w:beforeAutospacing="0" w:after="0" w:afterAutospacing="0"/>
        <w:jc w:val="both"/>
        <w:textAlignment w:val="baseline"/>
        <w:rPr>
          <w:rStyle w:val="normaltextrun"/>
          <w:b/>
          <w:bCs/>
          <w:lang w:val="en-US"/>
        </w:rPr>
      </w:pPr>
    </w:p>
    <w:p w14:paraId="62931CA0" w14:textId="77777777" w:rsidR="000E707B" w:rsidRPr="00FB4534" w:rsidRDefault="000E707B" w:rsidP="000E707B">
      <w:pPr>
        <w:pStyle w:val="paragraph"/>
        <w:spacing w:before="0" w:beforeAutospacing="0" w:after="0" w:afterAutospacing="0"/>
        <w:jc w:val="both"/>
        <w:textAlignment w:val="baseline"/>
        <w:rPr>
          <w:rStyle w:val="normaltextrun"/>
          <w:b/>
          <w:bCs/>
          <w:lang w:val="en-US"/>
        </w:rPr>
      </w:pPr>
    </w:p>
    <w:p w14:paraId="3AEC582A" w14:textId="40BE1A44"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b/>
          <w:bCs/>
          <w:lang w:val="en-US"/>
        </w:rPr>
        <w:t>Structure</w:t>
      </w:r>
    </w:p>
    <w:p w14:paraId="17FF0EB7" w14:textId="0961699C"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Structural factors include physical resources, workforce, ICT infrastructure and organisational arrangements such as NF1 clinics and MDTs. International guidance recommends that adults with NF1 have access to an NF expert centre or multidisciplinary clinic that can coordinate imaging, oncology, neurology, dermatology and psychosocial support (Ferner et al., 2007; Hirbe and Gutmann, 2014). However, in this case there was no consistent pathway linking the patient to an NF1 specialist team, and follow-up appeared to rely on ad-hoc outpatient appointments with variable documentation in the EMR. The hospital’s EMR lacked a clear NF1 flag, structured rare-disease template or automated alerts for high-risk combinations such as “NF1 + infection”, undermining the system’s ability to signal elevated risk to clinicians.</w:t>
      </w:r>
    </w:p>
    <w:p w14:paraId="1D47D37C" w14:textId="77777777" w:rsidR="000E707B" w:rsidRPr="00FB4534" w:rsidRDefault="000E707B" w:rsidP="000E707B">
      <w:pPr>
        <w:pStyle w:val="paragraph"/>
        <w:spacing w:before="0" w:beforeAutospacing="0" w:after="0" w:afterAutospacing="0" w:line="360" w:lineRule="auto"/>
        <w:jc w:val="both"/>
        <w:textAlignment w:val="baseline"/>
        <w:rPr>
          <w:rStyle w:val="normaltextrun"/>
          <w:lang w:val="en-US"/>
        </w:rPr>
      </w:pPr>
    </w:p>
    <w:p w14:paraId="2EE43296" w14:textId="03423069"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 xml:space="preserve">Structural deficits were compounded by limited digital infrastructure and training. The organisation’s own data indicate that 38% of clinicians felt inadequately trained in EMR use and 21% reported that unreliable ICT systems hindered safe documentation and retrieval </w:t>
      </w:r>
      <w:r w:rsidRPr="00FB4534">
        <w:rPr>
          <w:rStyle w:val="normaltextrun"/>
          <w:lang w:val="en-US"/>
        </w:rPr>
        <w:lastRenderedPageBreak/>
        <w:t>of information, reflecting a misalignment between digital strategy and frontline realities. In systems terms, this positions EMR and ICT not as robust safety barriers but as slices of “Swiss cheese” with multiple latent holes that can align with other weaknesses to permit harm (Wiegmann and Shappell, 2022; PHW, 2023). The absence of dedicated NF1 structural governance-such as a local NF1 lead, registry or rare-disease committee-further weakened oversight of this vulnerable patient group.</w:t>
      </w:r>
    </w:p>
    <w:p w14:paraId="03756F80" w14:textId="745F335B"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b/>
          <w:bCs/>
          <w:lang w:val="en-US"/>
        </w:rPr>
        <w:t>Process</w:t>
      </w:r>
    </w:p>
    <w:p w14:paraId="4B432E28" w14:textId="13FF9595"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Process refers to the series of clinical and administrative activities through which care is delivered. For NF1, recommended processes include regular review, proactive surveillance for complications, prompt investigation of new symptoms and standardised referral pathways to NF specialist services (Ferner et al., 2007; Stewart et al., 2018). In the case described, process failures emerged at multiple points. At triage, the patient’s NF1 status was not treated as a salient risk factor, and infection symptoms were initially normalised rather than viewed as potentially life-threatening in a complex rare-disease context. EMR documentation of prior NF1-related complications was fragmented, meaning that each clinical team saw only a partial view of the patient’s trajectory.</w:t>
      </w:r>
    </w:p>
    <w:p w14:paraId="6B4E9842" w14:textId="3D3AC9F3"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Communication and referral processes were equally weak. There was no evidence of a structured MDT discussion or NF1 specialist consultation despite deterioration, and cross-departmental communication relied on informal handovers that did not consistently highlight rare-disease risk. Although the hospital possessed generic sepsis protocols, these were not adapted to NF1 and did not embed clear triggers for early senior review or specialist referral when infection occurred in high-risk rare-disease patients. This disconnect between policy and practice mirrors findings from wider quality-improvement literature showing that guidelines alone are insufficient without aligned processes, workflow integration and feedback mechanisms (Taylor et al., 2014; Hamilton et al., 2020).</w:t>
      </w:r>
    </w:p>
    <w:p w14:paraId="4134131D" w14:textId="13624C0B"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b/>
          <w:bCs/>
          <w:lang w:val="en-US"/>
        </w:rPr>
        <w:t>Outcome</w:t>
      </w:r>
    </w:p>
    <w:p w14:paraId="05CE1209" w14:textId="3D0BF087" w:rsidR="000E707B" w:rsidRPr="00FB4534" w:rsidRDefault="000E707B" w:rsidP="000E707B">
      <w:pPr>
        <w:pStyle w:val="paragraph"/>
        <w:spacing w:before="0" w:beforeAutospacing="0" w:after="0" w:afterAutospacing="0" w:line="360" w:lineRule="auto"/>
        <w:jc w:val="both"/>
        <w:textAlignment w:val="baseline"/>
        <w:rPr>
          <w:lang w:val="en-US"/>
        </w:rPr>
      </w:pPr>
      <w:r w:rsidRPr="00FB4534">
        <w:rPr>
          <w:rStyle w:val="normaltextrun"/>
          <w:lang w:val="en-US"/>
        </w:rPr>
        <w:t xml:space="preserve">Outcome encompasses mortality, morbidity, functional status and patient experience. In this case, the ultimate outcome-a preventable death following infection in a patient with known NF1-represents a serious failure of both safety and equity. NF1 reviews emphasise that, with coordinated MDT care and timely escalation, many complications can be anticipated and managed effectively, improving quality of life and survival (Lalvani et al., 2024; Radtke et al., 2023). Instead, the patient experienced delayed diagnosis, prolonged deterioration and fragmented communication, likely eroding trust and causing distress for both the patient and their family. The absence of robust rare-disease outcome monitoring systems, such as an NF1 </w:t>
      </w:r>
      <w:r w:rsidRPr="00FB4534">
        <w:rPr>
          <w:rStyle w:val="normaltextrun"/>
          <w:lang w:val="en-US"/>
        </w:rPr>
        <w:lastRenderedPageBreak/>
        <w:t>registry or mandatory reporting of serious NF1-related incidents, also means that organisational learning from such events is limited.</w:t>
      </w:r>
    </w:p>
    <w:p w14:paraId="4D969638" w14:textId="0E173D2B" w:rsidR="000E707B" w:rsidRPr="00FB4534" w:rsidRDefault="000E707B" w:rsidP="000E707B">
      <w:pPr>
        <w:pStyle w:val="paragraph"/>
        <w:spacing w:before="0" w:beforeAutospacing="0" w:after="0" w:afterAutospacing="0" w:line="360" w:lineRule="auto"/>
        <w:jc w:val="both"/>
        <w:textAlignment w:val="baseline"/>
        <w:rPr>
          <w:rStyle w:val="normaltextrun"/>
          <w:lang w:val="en-US"/>
        </w:rPr>
      </w:pPr>
      <w:r w:rsidRPr="00FB4534">
        <w:rPr>
          <w:rStyle w:val="normaltextrun"/>
          <w:lang w:val="en-US"/>
        </w:rPr>
        <w:t>Taken together, the Donabedian analysis suggests that the NF1 fatality is best understood as a systems-design failure: structural weaknesses in digital infrastructure, specialist provision and governance produced unreliable processes of triage, documentation and referral, which in turn generated poor outcomes. Addressing these deficits demands integrated structural, process and outcome-level reforms rather than narrow clinician-focused interventions.</w:t>
      </w:r>
    </w:p>
    <w:p w14:paraId="1FCBFEDE" w14:textId="55D936CC" w:rsidR="000E707B" w:rsidRDefault="000E707B" w:rsidP="000E707B">
      <w:pPr>
        <w:pStyle w:val="Heading3"/>
        <w:rPr>
          <w:rStyle w:val="normaltextrun"/>
          <w:rFonts w:ascii="Times New Roman" w:hAnsi="Times New Roman" w:cs="Times New Roman"/>
          <w:color w:val="0F4761"/>
          <w:shd w:val="clear" w:color="auto" w:fill="FFFFFF"/>
          <w:lang w:val="en-US"/>
        </w:rPr>
      </w:pPr>
      <w:r w:rsidRPr="00FB4534">
        <w:rPr>
          <w:rStyle w:val="normaltextrun"/>
          <w:rFonts w:ascii="Times New Roman" w:hAnsi="Times New Roman" w:cs="Times New Roman"/>
          <w:color w:val="0F4761"/>
          <w:shd w:val="clear" w:color="auto" w:fill="FFFFFF"/>
          <w:lang w:val="en-US"/>
        </w:rPr>
        <w:t>2.2 Fishbone Diagram (Cause-and-Effect Analysis)</w:t>
      </w:r>
    </w:p>
    <w:p w14:paraId="09F41A2C" w14:textId="77777777" w:rsidR="001E38A4" w:rsidRDefault="001E38A4" w:rsidP="001E38A4">
      <w:r w:rsidRPr="001E38A4">
        <w:fldChar w:fldCharType="begin"/>
      </w:r>
      <w:r w:rsidRPr="001E38A4">
        <w:instrText xml:space="preserve"> INCLUDEPICTURE "https://ppl-ai-code-interpreter-files.s3.amazonaws.com/web/direct-files/a279c59cd880ce96733f6ef5bcf7cae9/3550ed96-80b4-4a29-8796-6fd85dbcdc6e/027b8d02.png?AWSAccessKeyId=ASIA2F3EMEYEZFP6MZZC&amp;Signature=hXdR%2BXy8Wx3KBdWTygFbUiiksME%3D&amp;x-amz-security-token=IQoJb3JpZ2luX2VjENX%2F%2F%2F%2F%2F%2F%2F%2F%2F%2FwEaCXVzLWVhc3QtMSJHMEUCIQCPuveve8pe6YTI5wUXIQSspzJvDzkfBV3tQWeLVQ2z9AIgAvo%2Bf3OWBb52yn5lQyCGuSkGJbvpFDcHVKcintY1%2FQYq%2FAQInv%2F%2F%2F%2F%2F%2F%2F%2F%2F%2FARABGgw2OTk3NTMzMDk3MDUiDB7X2pd2ace7AiepfyrQBFox1xlMml1pyjLhDSGg9z0PE6%2B2nI5sT8tS6%2FfcHGIWsGru2MCSK9WEY%2FfhyKNCmbi8jNQGGwB7GGWhYbSRhrdnH46ylePP6qH9SI9vUmWtDIPq9za1WWu29zFGw2t1YAxmloXD%2BBJkDXlT0%2FlyJPDPICgIdnTFJVZjWMFqSfwnp3gYUA8Su%2BNAhPtsjWmzaftXFY2tF10lgrV%2FMGAWpcGjTbxEhsduTXpBwCmi99vhzAn0OHR218uoifYlcPRAFmV2UI5XwojNyBKHEVO%2BKuAtQOofcA9tmYsHWzsBOBpH1257Uu%2F4aO0vN2NL8y0ro7bpqhvDoe5MBY35e74vDGk7Vhn33XVgE0M%2B9iWd3uz8j6P%2FHLRyps8T3WwB78m7sKy%2By9%2Bt93VRZdr81S2KjHeyWTMU7qRXeD9HdJRDYEr5IgEUwxkf0%2BSItmp2hkTfqm%2BEgUj%2FmvwKCsVps8BdNnWHenV4szvRm%2FyiZGOLMR3IDEr%2Bj6P0d2lM4v0wulFHv6K2YXZunT6DWKia2ILPuWzUusn3OrxHSRgpXM8523SUYWDVnrUx5Vkdyl9gglnP9KfboKQZ9yiVcGdUK8Q5L51E7kTvofg%2B6g7dzuXDtZ6yCAaFvedWENV%2ByGb9V9gjqNvQj%2B1FtNjN4h5eY9vbg%2BmGGzBFHpZ0i7p1hb8NNUg2XdgM46RfrN9GpRuXagOP4INx9CpMp%2FjW2it4ex48WlVDlOYoMT8ZTrGtTsHrzNbwph57%2Fijev%2BYngliXoKDNiemymnDnwkHBfFQxwp5SEGMw%2FvaLzgY6mAG6JcLNEPiAbE3MYFpS0vZywbjJcHyZU%2Fs%2FiKs3pcz6ftqJPhsfw7ctVEm5wiE62ww%2BmNP5%2BSdYXDjNLsblvrL75IMA%2BrAKslF9FwW4KlOL6d5l06l6s4qu5BS1MC%2BXJkcp6Wm2U8qk0WsgcEHT%2Fpha1d6KFZx2lpmpuYRckxBw%2BddBMAwvJbH8tnqaY4NdSzNzcVA9tmFeeA%3D%3D&amp;Expires=1774389585" \* MERGEFORMATINET </w:instrText>
      </w:r>
      <w:r w:rsidRPr="001E38A4">
        <w:fldChar w:fldCharType="separate"/>
      </w:r>
      <w:r w:rsidRPr="001E38A4">
        <w:rPr>
          <w:noProof/>
        </w:rPr>
        <w:drawing>
          <wp:inline distT="0" distB="0" distL="0" distR="0" wp14:anchorId="0505D9AF" wp14:editId="11C47859">
            <wp:extent cx="5731510" cy="3211830"/>
            <wp:effectExtent l="0" t="0" r="0" b="1270"/>
            <wp:docPr id="10240421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r w:rsidRPr="001E38A4">
        <w:fldChar w:fldCharType="end"/>
      </w:r>
      <w:r>
        <w:t xml:space="preserve">  </w:t>
      </w:r>
    </w:p>
    <w:p w14:paraId="6E3FD562" w14:textId="5687769C" w:rsidR="001E38A4" w:rsidRPr="001E38A4" w:rsidRDefault="001E38A4" w:rsidP="001E38A4">
      <w:pPr>
        <w:rPr>
          <w:rFonts w:ascii="Times New Roman" w:hAnsi="Times New Roman" w:cs="Times New Roman"/>
          <w:sz w:val="20"/>
          <w:szCs w:val="20"/>
          <w:lang w:val="en-US"/>
        </w:rPr>
      </w:pPr>
      <w:r>
        <w:t xml:space="preserve">                                                                       </w:t>
      </w:r>
      <w:r w:rsidRPr="001E38A4">
        <w:rPr>
          <w:rStyle w:val="Strong"/>
          <w:rFonts w:ascii="Times New Roman" w:hAnsi="Times New Roman" w:cs="Times New Roman"/>
          <w:sz w:val="20"/>
          <w:szCs w:val="20"/>
        </w:rPr>
        <w:t>(Source: Author, 2026)</w:t>
      </w:r>
    </w:p>
    <w:p w14:paraId="72A84E50" w14:textId="2CFC9E2A"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The Fishbone (Ishikawa) Diagram is a root-cause analysis tool that organises determinants of an adverse event into categories, helping organisations to move beyond superficial explanations and identify systemic drivers of harm (Ishikawa, 1986; Tague, 2005). Whereas Donabedian highlights broad structural-process-outcome relationships, the Fishbone Diagram allows a more granular exploration of how specific factors interacted to produce the NF1 death. </w:t>
      </w:r>
    </w:p>
    <w:p w14:paraId="3DD1378B" w14:textId="29D35F52"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In this case, the main “effect” at the head of the fish is the fatal deterioration of an NF1 patient with infection. Key causal “bones” include:</w:t>
      </w:r>
    </w:p>
    <w:p w14:paraId="1E4C994E" w14:textId="2AAC29FC"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Management and Governance</w:t>
      </w:r>
    </w:p>
    <w:p w14:paraId="7BA1F596" w14:textId="1B5BC548"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 xml:space="preserve">At the organisational level, there was no formal governance framework for NF1 or rare-disease safety. Unlike cancer pathways, which often have tumour-specific boards and incident-review structures, NF1 cases were not routinely escalated to specialist review or included in </w:t>
      </w:r>
      <w:r w:rsidRPr="00FB4534">
        <w:rPr>
          <w:rStyle w:val="normaltextrun"/>
          <w:lang w:val="en-US"/>
        </w:rPr>
        <w:lastRenderedPageBreak/>
        <w:t>structured morbidity and mortality (M&amp;M) processes. This reflects a wider pattern in rare diseases where fragmented commissioning and low disease prevalence can result in “invisible” patient groups whose risks are not systematically tracked (Lalvani et al., 2024; Radtke et al., 2023). The absence of clear accountability for rare-disease outcomes meant that gaps in EMR design, training and sepsis protocols remained uncorrected.</w:t>
      </w:r>
    </w:p>
    <w:p w14:paraId="0F577ACC" w14:textId="45DF1CAC"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Staffing and Skills</w:t>
      </w:r>
    </w:p>
    <w:p w14:paraId="2A0EAEF7" w14:textId="5A95F4D9"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NF1 care requires awareness of diverse manifestations and potential complications, as emphasised by consensus guidelines and MDT reviews (Hirbe and Gutmann, 2014; Stewart et al., 2018). However, most general clinicians in the organisation had limited exposure to NF1 and little formal training in rare-disease recognition. Junior staff rotated frequently, and there was no structured induction on how NF1 status should influence clinical thresholds for escalation. In the case, this manifested as normalisation of symptoms (e.g. pain, fever, neurological changes) that, in an NF1 context, should have triggered urgent imaging or specialist input.</w:t>
      </w:r>
    </w:p>
    <w:p w14:paraId="105AFED1" w14:textId="2FFEBC99"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Processes and Referral Systems</w:t>
      </w:r>
    </w:p>
    <w:p w14:paraId="0DEE5D8A" w14:textId="7FA245A2"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Process gaps spanned triage, investigation and referral. NF1 status was inconsistently captured in triage documentation; there were no mandatory fields in the EMR to prompt consideration of rare-disease risks when infection was recorded. Referral pathways to NF1 experts were poorly defined, with no agreed criteria for when ward teams should seek specialist advice or transfer the patient. As a result, escalation occurred late, by which point the patient was already critically unwell. These failures align with patient-safety literature showing that unclear referral criteria and unstructured handovers are common contributors to preventable harm events (Wiegmann and Shappell, 2022). </w:t>
      </w:r>
    </w:p>
    <w:p w14:paraId="0C8720CC" w14:textId="0F564C98"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Equipment, EMR and ICT</w:t>
      </w:r>
    </w:p>
    <w:p w14:paraId="3701E549" w14:textId="7CC5168B"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Although the hospital had an EMR, the system lacked user-centred design features for rare diseases, such as disease-specific flags, dashboards or alerts. ICT instability meant that clinicians sometimes could not access previous notes or imaging in real time, encouraging workarounds such as verbal summaries or paper notes that further fragmented information. Staff reports of inadequate EMR training indicate that many users did not fully understand how to retrieve or update key data fields, increasing the risk of incomplete documentation. These technology-related weaknesses represent latent conditions that can align with active clinical errors to produce serious incidents (Jackson-Medical, 2024). </w:t>
      </w:r>
    </w:p>
    <w:p w14:paraId="794280A3" w14:textId="77777777" w:rsidR="000E707B" w:rsidRPr="00FB4534" w:rsidRDefault="000E707B" w:rsidP="00FB4534">
      <w:pPr>
        <w:pStyle w:val="paragraph"/>
        <w:spacing w:before="0" w:beforeAutospacing="0" w:after="0" w:afterAutospacing="0" w:line="360" w:lineRule="auto"/>
        <w:jc w:val="both"/>
        <w:textAlignment w:val="baseline"/>
        <w:rPr>
          <w:rStyle w:val="normaltextrun"/>
          <w:b/>
          <w:bCs/>
          <w:lang w:val="en-US"/>
        </w:rPr>
      </w:pPr>
    </w:p>
    <w:p w14:paraId="5EC5FDAE" w14:textId="724C6EC5"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Culture and Communication</w:t>
      </w:r>
    </w:p>
    <w:p w14:paraId="6CA1E615" w14:textId="72253317"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lastRenderedPageBreak/>
        <w:t>A cultural emphasis on managing “common” conditions, coupled with time pressure in acute settings, meant that NF1 was often treated as background information rather than a central risk factor. Inter-professional communication was largely informal, with no standardised rare-disease handover prompts. This contributed to a diffusion of responsibility, where multiple teams saw the patient but no one assumed overall coordination of care. Rare-disease literature highlights that such cultural and communication gaps are common barriers to effective MDT functioning (Lalvani et al., 2024). </w:t>
      </w:r>
    </w:p>
    <w:p w14:paraId="1A04A6B9" w14:textId="4E3F6C29"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Data and Learning Systems</w:t>
      </w:r>
    </w:p>
    <w:p w14:paraId="3F7CBAAF" w14:textId="4DEE6903"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Finally, the organisation lacked robust data systems for tracking NF1-related incidents and outcomes. There was no local NF1 register, and rare-disease adverse events were not coded or analysed as a distinct category. Consequently, repeated near-misses and delays in NF1 care may have gone unrecognised, preventing proactive mitigation. As Reason’s model suggests, this absence of feedback allows latent conditions to persist until multiple holes align and a catastrophic event occurs (Wiegmann and Shappell, 2022; PHW, 2023).</w:t>
      </w:r>
    </w:p>
    <w:p w14:paraId="2F129D3F" w14:textId="69611EFB"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The Fishbone analysis therefore reinforces that the NF1 death was driven by an interacting web of governance, staffing, process, digital, cultural and data-related factors rather than a single isolated mistake.</w:t>
      </w:r>
    </w:p>
    <w:p w14:paraId="78275346" w14:textId="5B51C9C8" w:rsidR="000E707B" w:rsidRPr="00FB4534" w:rsidRDefault="000E707B" w:rsidP="00FB4534">
      <w:pPr>
        <w:pStyle w:val="paragraph"/>
        <w:spacing w:before="0" w:beforeAutospacing="0" w:after="0" w:afterAutospacing="0" w:line="360" w:lineRule="auto"/>
        <w:jc w:val="both"/>
        <w:textAlignment w:val="baseline"/>
        <w:rPr>
          <w:color w:val="0F4761"/>
          <w:sz w:val="18"/>
          <w:szCs w:val="18"/>
          <w:lang w:val="en-US"/>
        </w:rPr>
      </w:pPr>
      <w:r w:rsidRPr="00FB4534">
        <w:rPr>
          <w:rStyle w:val="normaltextrun"/>
          <w:color w:val="0F4761"/>
          <w:lang w:val="en-US"/>
        </w:rPr>
        <w:t>2.3 SWOT Analysis</w:t>
      </w:r>
    </w:p>
    <w:p w14:paraId="17B29905" w14:textId="3C3B9694"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SWOT analysis examines internal </w:t>
      </w:r>
      <w:r w:rsidRPr="00FB4534">
        <w:rPr>
          <w:rStyle w:val="normaltextrun"/>
          <w:b/>
          <w:bCs/>
          <w:lang w:val="en-US"/>
        </w:rPr>
        <w:t>Strengths</w:t>
      </w:r>
      <w:r w:rsidRPr="00FB4534">
        <w:rPr>
          <w:rStyle w:val="normaltextrun"/>
          <w:lang w:val="en-US"/>
        </w:rPr>
        <w:t> and </w:t>
      </w:r>
      <w:r w:rsidRPr="00FB4534">
        <w:rPr>
          <w:rStyle w:val="normaltextrun"/>
          <w:b/>
          <w:bCs/>
          <w:lang w:val="en-US"/>
        </w:rPr>
        <w:t>Weaknesses</w:t>
      </w:r>
      <w:r w:rsidRPr="00FB4534">
        <w:rPr>
          <w:rStyle w:val="normaltextrun"/>
          <w:lang w:val="en-US"/>
        </w:rPr>
        <w:t> alongside external </w:t>
      </w:r>
      <w:r w:rsidRPr="00FB4534">
        <w:rPr>
          <w:rStyle w:val="normaltextrun"/>
          <w:b/>
          <w:bCs/>
          <w:lang w:val="en-US"/>
        </w:rPr>
        <w:t>Opportunities</w:t>
      </w:r>
      <w:r w:rsidRPr="00FB4534">
        <w:rPr>
          <w:rStyle w:val="normaltextrun"/>
          <w:lang w:val="en-US"/>
        </w:rPr>
        <w:t> and </w:t>
      </w:r>
      <w:r w:rsidRPr="00FB4534">
        <w:rPr>
          <w:rStyle w:val="normaltextrun"/>
          <w:b/>
          <w:bCs/>
          <w:lang w:val="en-US"/>
        </w:rPr>
        <w:t>Threats</w:t>
      </w:r>
      <w:r w:rsidRPr="00FB4534">
        <w:rPr>
          <w:rStyle w:val="normaltextrun"/>
          <w:lang w:val="en-US"/>
        </w:rPr>
        <w:t>, supporting strategic planning for service improvement (Helms and Nixon, 2010; Dyson, 2004). Applied to NF1 and EMR-enabled rare-disease care, SWOT helps clarify where the organisation can leverage existing assets and where major vulnerabilities remain. </w:t>
      </w:r>
    </w:p>
    <w:p w14:paraId="39A52092" w14:textId="550C7E30"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Strengths</w:t>
      </w:r>
    </w:p>
    <w:p w14:paraId="0EDF4D05" w14:textId="77777777"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A key strength is that the hospital already has an enterprise-wide EMR platform, creating potential to embed alerts, templates and decision-support tools for NF1 across departments. In addition, national and international NF1 guidelines provide an evidence base for standardising surveillance schedules, imaging protocols and referral criteria (Ferner et al., 2007; Stewart et al., 2018; ERN-Genturis, 2022). The organisation also benefits from access to regional NF1 or neurogenetics centres that could serve as expert hubs if formalized partnerships and pathways are developed. Finally, there is emerging leadership interest in digital transformation and quality-improvement methods, evidenced by prior EMR roll-outs and safety initiatives.</w:t>
      </w:r>
      <w:r w:rsidRPr="00FB4534">
        <w:rPr>
          <w:rStyle w:val="eop"/>
          <w:lang w:val="en-US"/>
        </w:rPr>
        <w:t> </w:t>
      </w:r>
    </w:p>
    <w:p w14:paraId="279A7356" w14:textId="236A3337"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Weaknesses</w:t>
      </w:r>
    </w:p>
    <w:p w14:paraId="6B477EC2" w14:textId="7E8A8701"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lastRenderedPageBreak/>
        <w:t>However, the case and staff survey data highlight substantial weaknesses. EMR configuration is not optimised for rare-disease safety: NF1 diagnoses are buried in free-text or problem lists rather than driving visible flags and alerts, and there is no standardised rare-disease summary page. Training gaps mean that large proportions of staff do not use core EMR functions effectively, while ICT instability undermines trust in digital tools. Organisationally, there is no designated NF1 lead, no structured MDT for NF1 and no requirement for NF1 cases to be discussed in governance forums. These weaknesses mean that the system falls short of best-practice recommendations for multidisciplinary NF1 care and coordinated follow-up (Hirbe and Gutmann, 2014; Lalvani et al., 2024).</w:t>
      </w:r>
    </w:p>
    <w:p w14:paraId="30D6D47C" w14:textId="58062371"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Opportunities</w:t>
      </w:r>
    </w:p>
    <w:p w14:paraId="3CA26433" w14:textId="0B65D1A4"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Externally, there are significant opportunities. National rare-disease strategies and digital-health programmes increasingly emphasise the need for registries, MDT networks and decision support for conditions such as NF1 (Radtke et al., 2023). Emerging NF1 practice resources and MDT models offer templates that can be adapted locally (Stewart et al., 2018; Lalvani et al., 2024). Technological advances, including clinical dashboards and integrated alerting, can be harnessed to identify NF1 patients at the</w:t>
      </w:r>
      <w:r w:rsidR="00FB4534" w:rsidRPr="00FB4534">
        <w:rPr>
          <w:rStyle w:val="normaltextrun"/>
          <w:lang w:val="en-US"/>
        </w:rPr>
        <w:t xml:space="preserve"> </w:t>
      </w:r>
      <w:r w:rsidRPr="00FB4534">
        <w:rPr>
          <w:rStyle w:val="normaltextrun"/>
          <w:lang w:val="en-US"/>
        </w:rPr>
        <w:t>point of triage, prompt guideline-concordant investigations and facilitate remote specialist advice. Partnerships with NF expert centres provide opportunities for shared-care models, joint MDTs and staff training.</w:t>
      </w:r>
    </w:p>
    <w:p w14:paraId="3CEAD97C" w14:textId="181FCFE5"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Threats</w:t>
      </w:r>
    </w:p>
    <w:p w14:paraId="18A64589" w14:textId="17774A8D"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Threats include growing demand and case complexity as more adults with NF1 survive into later life with multiple comorbidities (Radtke et al., 2023). Workforce shortages and high turnover, particularly among junior doctors and IT support staff, pose ongoing challenges to sustaining EMR competence and MDT capacity. Financial pressures may limit investment in specialist posts, digital upgrades and registry development. Additionally, rare diseases risk being deprioritised compared with high-volume conditions, making it harder to secure organisational attention despite the severe harms that can result from failure. </w:t>
      </w:r>
    </w:p>
    <w:p w14:paraId="3DC66A4B" w14:textId="140EDD0A" w:rsidR="000E707B" w:rsidRPr="00FB4534" w:rsidRDefault="000E707B"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Overall, the SWOT analysis shows that while the organisation has foundational assets-an EMR, access to NF expertise and existing QI experience-these are undermined by significant internal weaknesses in governance, training and system design. Capitalising on external opportunities will require focused leadership and change-management efforts.</w:t>
      </w:r>
    </w:p>
    <w:p w14:paraId="6D7D7262" w14:textId="77777777" w:rsidR="000E707B" w:rsidRDefault="000E707B" w:rsidP="000E707B"/>
    <w:p w14:paraId="6928A853" w14:textId="345F845C" w:rsidR="00FB4534" w:rsidRDefault="00FB4534" w:rsidP="00FB4534">
      <w:pPr>
        <w:pStyle w:val="Heading4"/>
        <w:rPr>
          <w:rStyle w:val="normaltextrun"/>
          <w:rFonts w:ascii="Times New Roman" w:hAnsi="Times New Roman" w:cs="Times New Roman"/>
          <w:b/>
          <w:bCs/>
          <w:i w:val="0"/>
          <w:iCs w:val="0"/>
          <w:color w:val="0F4761"/>
          <w:shd w:val="clear" w:color="auto" w:fill="FFFFFF"/>
          <w:lang w:val="en-US"/>
        </w:rPr>
      </w:pPr>
      <w:r w:rsidRPr="00FB4534">
        <w:rPr>
          <w:rStyle w:val="normaltextrun"/>
          <w:rFonts w:ascii="Times New Roman" w:hAnsi="Times New Roman" w:cs="Times New Roman"/>
          <w:b/>
          <w:bCs/>
          <w:i w:val="0"/>
          <w:iCs w:val="0"/>
          <w:color w:val="0F4761"/>
          <w:shd w:val="clear" w:color="auto" w:fill="FFFFFF"/>
          <w:lang w:val="en-US"/>
        </w:rPr>
        <w:t>2.4 PDSA (Plan-Do-Study-Act) Cycle</w:t>
      </w:r>
    </w:p>
    <w:p w14:paraId="1AD4BF0D" w14:textId="6C480CEC"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The PDSA cycle is a widely used quality-improvement model that supports iterative testing and refinement of service changes in complex settings (Taylor et al., 2014; Manandi et al., 2023). It is particularly appropriate where the primary challenge is building and integrating new processes, rather than merely optimising existing high-functioning systems. For NF1 and EMR-enabled rare-disease care, PDSA can guide an incremental approach to strengthening pathways without overloading staff or IT infrastructure. </w:t>
      </w:r>
    </w:p>
    <w:p w14:paraId="6EB21599" w14:textId="2324A6AF"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Plan</w:t>
      </w:r>
    </w:p>
    <w:p w14:paraId="40F375CC" w14:textId="501B3F18"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In the Plan phase, the organisation would define the key drivers of NF1-related safety risks illuminated by the case and prior incident reports. These include: absence of visible NF1 flags in EMR, non-standardised referral to NF experts, and variable recognition of NF1-specific risk when infection occurs. A pilot change could focus on a single medical ward and the emergency department, where NF1 patients are most likely to present acutely. The planned interventions might comprise: introducing an EMR-based NF1 flag and summary page; adding a “NF1 + acute illness” prompt to triage templates; and establishing a clear protocol that any admitted NF1 patient triggers notification of an NF specialist or MDT coordinator. Specific aims could include reducing time from admission to NF specialist review to under 24 hours and ensuring 100% of NF1 admissions have an updated EMR summary.</w:t>
      </w:r>
    </w:p>
    <w:p w14:paraId="56FAE1DC" w14:textId="40506C69"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Do</w:t>
      </w:r>
    </w:p>
    <w:p w14:paraId="71B78B16" w14:textId="3B5748FD"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During the Do phase, the pilot would be implemented over several months. IT teams would configure and test the NF1 flag and summary view, while clinical champions deliver brief training sessions and micro-teaching at handover. NF specialists would agree standard advice and escalation pathways, and on-call arrangements would be clarified. Data collection processes would be established to track pilot metrics, such as uptake of the NF1 flag, documentation completeness and specialist review times. Importantly, PDSA emphasises small-scale, manageable changes; thus, the pilot would be limited to a few wards rather than an immediate hospital-wide roll-out.</w:t>
      </w:r>
    </w:p>
    <w:p w14:paraId="295FC6DA" w14:textId="685BD92D"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Study</w:t>
      </w:r>
    </w:p>
    <w:p w14:paraId="5A5C5669" w14:textId="015F2D3E"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In the Study phase, quantitative and qualitative data would be analysed. Outcome measures could include time to recognition of deterioration, ICU transfers and serious incident reports among NF1 patients before and after the pilot. Process measures may capture the proportion of NF1 admissions with documented NF1 flags and specialist involvement. Staff feedback would be gathered to understand usability, workload impact and unintended consequences. This structured reflection enables the organisation to determine whether the intervention is achieving its aims, needs refinement or risks introducing new hazards.</w:t>
      </w:r>
    </w:p>
    <w:p w14:paraId="236BE359" w14:textId="26A775CE"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Act</w:t>
      </w:r>
    </w:p>
    <w:p w14:paraId="7CFD81B4" w14:textId="1E97E4DC" w:rsidR="00FB4534" w:rsidRDefault="00FB4534" w:rsidP="00FB4534">
      <w:pPr>
        <w:pStyle w:val="paragraph"/>
        <w:spacing w:before="0" w:beforeAutospacing="0" w:after="0" w:afterAutospacing="0" w:line="360" w:lineRule="auto"/>
        <w:jc w:val="both"/>
        <w:textAlignment w:val="baseline"/>
        <w:rPr>
          <w:rStyle w:val="eop"/>
          <w:bdr w:val="none" w:sz="0" w:space="0" w:color="auto" w:frame="1"/>
          <w:shd w:val="clear" w:color="auto" w:fill="C6C6C6"/>
          <w:lang w:val="en-US"/>
        </w:rPr>
      </w:pPr>
      <w:r w:rsidRPr="00FB4534">
        <w:rPr>
          <w:rStyle w:val="normaltextrun"/>
          <w:lang w:val="en-US"/>
        </w:rPr>
        <w:t>Finally, in the Act phase, the organisation would decide whether to spread, adapt or halt the interventions. If the pilot shows improved timeliness of specialist review and no adverse workflow impacts, the NF1 flag and pathway could be extended to other wards and to additional rare-disease groups. If problems emerge-for instance, alert fatigue or technical issues-changes could be iterated before wider adoption. Embedding the PDSA cycle into routine governance encourages ongoing learning and prevents static implementation of complex digital and pathway changes.</w:t>
      </w:r>
    </w:p>
    <w:p w14:paraId="1C9DFC79" w14:textId="77777777" w:rsidR="00FB4534" w:rsidRDefault="00FB4534" w:rsidP="00FB4534">
      <w:pPr>
        <w:pStyle w:val="Heading5"/>
        <w:rPr>
          <w:lang w:val="en-US"/>
        </w:rPr>
      </w:pPr>
    </w:p>
    <w:p w14:paraId="00D95876" w14:textId="4E4DABD4" w:rsidR="00FB4534" w:rsidRDefault="00FB4534" w:rsidP="00FB4534">
      <w:pPr>
        <w:rPr>
          <w:rStyle w:val="eop"/>
          <w:rFonts w:ascii="Times New Roman" w:hAnsi="Times New Roman" w:cs="Times New Roman"/>
          <w:color w:val="0F4761"/>
          <w:bdr w:val="none" w:sz="0" w:space="0" w:color="auto" w:frame="1"/>
          <w:shd w:val="clear" w:color="auto" w:fill="C6C6C6"/>
        </w:rPr>
      </w:pPr>
      <w:r w:rsidRPr="00FB4534">
        <w:rPr>
          <w:rStyle w:val="normaltextrun"/>
          <w:rFonts w:ascii="Times New Roman" w:hAnsi="Times New Roman" w:cs="Times New Roman"/>
          <w:color w:val="0F4761"/>
          <w:shd w:val="clear" w:color="auto" w:fill="FFFFFF"/>
          <w:lang w:val="en-US"/>
        </w:rPr>
        <w:t>2.5 Kotter’s 8-Step Change Model</w:t>
      </w:r>
    </w:p>
    <w:p w14:paraId="5F8D5545" w14:textId="2F15E025"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While PDSA focuses on the operational mechanics of testing changes, Kotter’s 8-Step Change Model offers a strategic framework for leading large-scale organisational transformation (Kotter, 1996; Hamilton et al., 2020). Implementing sustainable improvements in NF1 and EMR-enabled rare-disease care will require attention to leadership, culture and stakeholder engagement as well as technical design. </w:t>
      </w:r>
    </w:p>
    <w:p w14:paraId="4C0D33C6" w14:textId="65791BB9"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31880880" w14:textId="7544AE0D"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The sentinel NF1 death should be explicitly framed as evidence of a serious safety gap in rare-disease and digital care, not an isolated misfortune. Presenting data on NF1 prevalence, complication risks and MDT benefits can help leaders and staff recognise that existing systems are inadequate (Hirbe and Gutmann, 2014; Lalvani et al., 2024). Linking local findings to national rare-disease priorities increases urgency.</w:t>
      </w:r>
    </w:p>
    <w:p w14:paraId="4ABADA9C" w14:textId="66D614EB"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b/>
          <w:bCs/>
          <w:lang w:val="en-US"/>
        </w:rPr>
        <w:t>2. Build a guiding coalition</w:t>
      </w:r>
    </w:p>
    <w:p w14:paraId="7D6170C7" w14:textId="3DED604D"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A multidisciplinary coalition is needed, including NF specialists, acute physicians, nurses, IT leads, governance staff, and-critically-patients or carers with lived experience. Evidence from NF1 MDT models suggests that such coalitions are essential for coordinating complex care and ensuring that multiple perspectives shape service redesign (Stewart et al., 2018; Lalvani et al., 2024).</w:t>
      </w:r>
    </w:p>
    <w:p w14:paraId="1E3087E4" w14:textId="1C3D59EC"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46DA0A92" w14:textId="56943726"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A clear vision could be that “every person with NF1 receives safe, coordinated and digitally supported care, with timely specialist input whenever they present to the organisation.” Concrete goals might include universal NF1 EMR flagging, standardised NF1 pathways and integration of NF1 metrics into the organisation’s quality dashboard.</w:t>
      </w:r>
    </w:p>
    <w:p w14:paraId="35D46D97" w14:textId="565D2826"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317CF892" w14:textId="0F148A18"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The vision and planned changes must be communicated repeatedly via grand rounds, ward meetings, digital newsletters and patient-facing materials. Communication should emphasise how EMR tools and NF1 pathways support clinicians rather than adding bureaucratic burden. Sharing stories from patients and staff can help humanise the case for change.</w:t>
      </w:r>
    </w:p>
    <w:p w14:paraId="2258D427" w14:textId="153870D6"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44CFB136" w14:textId="220273AB"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Empowerment requires removing practical barriers such as inadequate IT support, time for training and ambiguity over referral processes. Frontline staff should be encouraged to suggest improvements to NF1 workflows and EMR interfaces, with rapid feedback loops so that they see their input leading to tangible changes.</w:t>
      </w:r>
    </w:p>
    <w:p w14:paraId="6ECE44AC" w14:textId="18920942"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7A2D7570" w14:textId="6AEF6A7D"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Early wins might include successful configuration of NF1 flags, completion of staff training in pilot wards and documented reductions in time to NF specialist review. Publicising these achievements helps maintain momentum and counters change fatigue.</w:t>
      </w:r>
    </w:p>
    <w:p w14:paraId="3CFF4CBD" w14:textId="4D640B94"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27657C9B" w14:textId="541CAB96"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r w:rsidRPr="00FB4534">
        <w:rPr>
          <w:rStyle w:val="normaltextrun"/>
          <w:lang w:val="en-US"/>
        </w:rPr>
        <w:t>Rather than declaring victory after initial pilots, the organisation should progressively expand rare-disease EMR tools and pathways, incorporate NF1 metrics into board reports and align appraisal and education systems with the new model of care. Lessons from NF1 can be applied to other rare conditions.</w:t>
      </w:r>
    </w:p>
    <w:p w14:paraId="4D9B2664" w14:textId="77777777" w:rsidR="00FB4534" w:rsidRPr="00FB4534" w:rsidRDefault="00FB4534" w:rsidP="00FB4534">
      <w:pPr>
        <w:pStyle w:val="paragraph"/>
        <w:spacing w:before="0" w:beforeAutospacing="0" w:after="0" w:afterAutospacing="0" w:line="360" w:lineRule="auto"/>
        <w:jc w:val="both"/>
        <w:textAlignment w:val="baseline"/>
        <w:rPr>
          <w:sz w:val="18"/>
          <w:szCs w:val="18"/>
          <w:lang w:val="en-US"/>
        </w:rPr>
      </w:pPr>
    </w:p>
    <w:p w14:paraId="7B6A1EA5" w14:textId="531C1C65" w:rsidR="00FB4534" w:rsidRDefault="00FB4534" w:rsidP="00FB4534">
      <w:pPr>
        <w:pStyle w:val="paragraph"/>
        <w:spacing w:before="0" w:beforeAutospacing="0" w:after="0" w:afterAutospacing="0" w:line="360" w:lineRule="auto"/>
        <w:jc w:val="both"/>
        <w:textAlignment w:val="baseline"/>
        <w:rPr>
          <w:rStyle w:val="normaltextrun"/>
          <w:lang w:val="en-US"/>
        </w:rPr>
      </w:pPr>
      <w:r w:rsidRPr="00FB4534">
        <w:rPr>
          <w:rStyle w:val="normaltextrun"/>
          <w:lang w:val="en-US"/>
        </w:rPr>
        <w:t>Finally, NF1 awareness and rare-disease safety should be embedded into induction, annual updates and clinical governance processes. Including NF1 cases in regular M&amp;M meetings, adding rare-disease content to training curricula and ensuring that NF1 leads have formal roles in governance structures will help stabilise the change.</w:t>
      </w:r>
    </w:p>
    <w:p w14:paraId="14C68FD0" w14:textId="77777777" w:rsidR="00FB4534" w:rsidRDefault="00FB4534" w:rsidP="00FB4534">
      <w:pPr>
        <w:pStyle w:val="Heading6"/>
        <w:rPr>
          <w:lang w:val="en-US"/>
        </w:rPr>
      </w:pPr>
    </w:p>
    <w:p w14:paraId="66EBBA55" w14:textId="2823D482" w:rsidR="00FB4534" w:rsidRPr="00FB4534" w:rsidRDefault="00FB4534" w:rsidP="00FB4534">
      <w:pPr>
        <w:pStyle w:val="Heading6"/>
        <w:rPr>
          <w:rFonts w:ascii="Times New Roman" w:hAnsi="Times New Roman" w:cs="Times New Roman"/>
          <w:b/>
          <w:bCs/>
          <w:i w:val="0"/>
          <w:iCs w:val="0"/>
          <w:sz w:val="28"/>
          <w:szCs w:val="28"/>
          <w:lang w:val="en-US"/>
        </w:rPr>
      </w:pPr>
      <w:r w:rsidRPr="00FB4534">
        <w:rPr>
          <w:rStyle w:val="normaltextrun"/>
          <w:rFonts w:ascii="Times New Roman" w:hAnsi="Times New Roman" w:cs="Times New Roman"/>
          <w:b/>
          <w:bCs/>
          <w:i w:val="0"/>
          <w:iCs w:val="0"/>
          <w:color w:val="0F4761"/>
          <w:sz w:val="28"/>
          <w:szCs w:val="28"/>
          <w:shd w:val="clear" w:color="auto" w:fill="FFFFFF"/>
          <w:lang w:val="en-US"/>
        </w:rPr>
        <w:t>3. Recommendations</w:t>
      </w:r>
    </w:p>
    <w:p w14:paraId="655B2733" w14:textId="19B5635C" w:rsidR="00FB4534" w:rsidRDefault="00FB4534" w:rsidP="00FB4534">
      <w:pPr>
        <w:pStyle w:val="Subtitle"/>
        <w:rPr>
          <w:rStyle w:val="normaltextrun"/>
          <w:rFonts w:ascii="Times New Roman" w:hAnsi="Times New Roman" w:cs="Times New Roman"/>
          <w:color w:val="0F4761"/>
          <w:sz w:val="24"/>
          <w:szCs w:val="24"/>
          <w:shd w:val="clear" w:color="auto" w:fill="FFFFFF"/>
          <w:lang w:val="en-US"/>
        </w:rPr>
      </w:pPr>
      <w:r w:rsidRPr="00FB4534">
        <w:rPr>
          <w:rStyle w:val="normaltextrun"/>
          <w:rFonts w:ascii="Times New Roman" w:hAnsi="Times New Roman" w:cs="Times New Roman"/>
          <w:color w:val="0F4761"/>
          <w:sz w:val="24"/>
          <w:szCs w:val="24"/>
          <w:shd w:val="clear" w:color="auto" w:fill="FFFFFF"/>
          <w:lang w:val="en-US"/>
        </w:rPr>
        <w:t>3.1 Strengthening Healthcare Workforce Capacity</w:t>
      </w:r>
    </w:p>
    <w:p w14:paraId="7B87D193" w14:textId="4DB6D06F" w:rsidR="001E38A4" w:rsidRPr="001E38A4" w:rsidRDefault="001E38A4" w:rsidP="001E38A4">
      <w:pPr>
        <w:pStyle w:val="paragraph"/>
        <w:spacing w:before="0" w:beforeAutospacing="0" w:after="0" w:afterAutospacing="0"/>
        <w:jc w:val="both"/>
        <w:textAlignment w:val="baseline"/>
        <w:rPr>
          <w:sz w:val="18"/>
          <w:szCs w:val="18"/>
          <w:lang w:val="en-US"/>
        </w:rPr>
      </w:pPr>
      <w:r w:rsidRPr="001E38A4">
        <w:rPr>
          <w:rStyle w:val="normaltextrun"/>
          <w:lang w:val="en-US"/>
        </w:rPr>
        <w:t>A core recommendation is to build workforce capacity for NF1 and rare-disease care. Clinical staff across emergency, acute medicine and primary care should receive targeted education on NF1 manifestations, red-flag symptoms and escalation thresholds, drawing on consensus guidelines and MDT practice resources (Ferner et al., 2007; Stewart et al., 2018). Mandatory training on EMR use should be enhanced to include rare-disease scenarios, ensuring that clinicians understand how to view NF1 summaries, interpret flags and document key information accurately.</w:t>
      </w:r>
    </w:p>
    <w:p w14:paraId="10CC0D3D" w14:textId="77777777" w:rsidR="001E38A4" w:rsidRDefault="001E38A4" w:rsidP="001E38A4">
      <w:pPr>
        <w:pStyle w:val="paragraph"/>
        <w:spacing w:before="0" w:beforeAutospacing="0" w:after="0" w:afterAutospacing="0"/>
        <w:jc w:val="both"/>
        <w:textAlignment w:val="baseline"/>
        <w:rPr>
          <w:rStyle w:val="normaltextrun"/>
          <w:lang w:val="en-US"/>
        </w:rPr>
      </w:pPr>
    </w:p>
    <w:p w14:paraId="247FF642" w14:textId="7CEC5028" w:rsidR="001E38A4" w:rsidRPr="001E38A4" w:rsidRDefault="001E38A4" w:rsidP="001E38A4">
      <w:pPr>
        <w:pStyle w:val="paragraph"/>
        <w:spacing w:before="0" w:beforeAutospacing="0" w:after="0" w:afterAutospacing="0"/>
        <w:jc w:val="both"/>
        <w:textAlignment w:val="baseline"/>
        <w:rPr>
          <w:sz w:val="18"/>
          <w:szCs w:val="18"/>
          <w:lang w:val="en-US"/>
        </w:rPr>
      </w:pPr>
      <w:r w:rsidRPr="001E38A4">
        <w:rPr>
          <w:rStyle w:val="normaltextrun"/>
          <w:lang w:val="en-US"/>
        </w:rPr>
        <w:t>In parallel, the organisation should designate NF1 leads-such as a consultant with NF expertise and a specialist nurse-to act as points of contact for staff, coordinate MDT meetings and support complex case discussions (Lalvani et al., 2024). Over time, developing a small NF1/rare-disease team could alleviate pressure on generalists and provide continuity of expertise. </w:t>
      </w:r>
    </w:p>
    <w:p w14:paraId="68BF4514" w14:textId="77777777" w:rsidR="001E38A4" w:rsidRDefault="001E38A4" w:rsidP="001E38A4">
      <w:pPr>
        <w:rPr>
          <w:lang w:val="en-US"/>
        </w:rPr>
      </w:pPr>
    </w:p>
    <w:p w14:paraId="39B3848B" w14:textId="2456B70D" w:rsidR="001E38A4" w:rsidRPr="001E38A4" w:rsidRDefault="001E38A4" w:rsidP="001E38A4">
      <w:pPr>
        <w:pStyle w:val="Heading7"/>
        <w:rPr>
          <w:lang w:val="en-US"/>
        </w:rPr>
      </w:pPr>
      <w:r>
        <w:rPr>
          <w:rStyle w:val="normaltextrun"/>
          <w:rFonts w:ascii="Aptos" w:hAnsi="Aptos"/>
          <w:color w:val="0F4761"/>
          <w:shd w:val="clear" w:color="auto" w:fill="FFFFFF"/>
          <w:lang w:val="en-US"/>
        </w:rPr>
        <w:t>3.2 Improving Emergency and Rare-Disease Clinical Services</w:t>
      </w:r>
    </w:p>
    <w:p w14:paraId="4355E624" w14:textId="77777777" w:rsidR="001E38A4" w:rsidRDefault="001E38A4" w:rsidP="001E38A4">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ascii="Georgia" w:hAnsi="Georgia" w:cs="Segoe UI"/>
          <w:lang w:val="en-US"/>
        </w:rPr>
        <w:t>Service redesign is needed to ensure that NF1 patients receive timely, coordinated care when they present with acute problems. An NF1 pathway should define steps from triage through to discharge, including mandatory flagging of NF1 status in EMR, early senior review for NF1 patients with infection, and automatic notification of the NF lead or MDT when certain triggers are met. Drawing on NF1 care-pathway documents and MDT models can guide the design of such pathways (ERN-Genturis, 2022; Lalvani et al., 2024).</w:t>
      </w:r>
      <w:r>
        <w:rPr>
          <w:rStyle w:val="eop"/>
          <w:rFonts w:ascii="Georgia" w:hAnsi="Georgia" w:cs="Segoe UI"/>
          <w:bdr w:val="none" w:sz="0" w:space="0" w:color="auto" w:frame="1"/>
          <w:shd w:val="clear" w:color="auto" w:fill="C6C6C6"/>
          <w:lang w:val="en-US"/>
        </w:rPr>
        <w:t> </w:t>
      </w:r>
    </w:p>
    <w:p w14:paraId="516ACC9E" w14:textId="5E9DFA0D" w:rsidR="001E38A4" w:rsidRDefault="001E38A4" w:rsidP="001E38A4">
      <w:pPr>
        <w:pStyle w:val="paragraph"/>
        <w:spacing w:before="0" w:beforeAutospacing="0" w:after="0" w:afterAutospacing="0" w:line="360" w:lineRule="auto"/>
        <w:jc w:val="both"/>
        <w:textAlignment w:val="baseline"/>
        <w:rPr>
          <w:rStyle w:val="eop"/>
          <w:color w:val="000000"/>
          <w:shd w:val="clear" w:color="auto" w:fill="FFFFFF"/>
        </w:rPr>
      </w:pPr>
      <w:r>
        <w:rPr>
          <w:rStyle w:val="normaltextrun"/>
          <w:rFonts w:ascii="Georgia" w:hAnsi="Georgia" w:cs="Segoe UI"/>
          <w:lang w:val="en-US"/>
        </w:rPr>
        <w:t>Emergency services should integrate NF1 into existing sepsis and deterioration protocols, for example by including “known NF1 with new systemic symptoms” as a high-risk category requiring urgent assessment. Clear referral criteria to NF expert centres should be agreed regionally, minimising </w:t>
      </w:r>
      <w:r w:rsidRPr="001E38A4">
        <w:rPr>
          <w:rStyle w:val="normaltextrun"/>
          <w:lang w:val="en-US"/>
        </w:rPr>
        <w:t xml:space="preserve">delay </w:t>
      </w:r>
      <w:r w:rsidRPr="001E38A4">
        <w:rPr>
          <w:rStyle w:val="normaltextrun"/>
          <w:color w:val="000000"/>
          <w:shd w:val="clear" w:color="auto" w:fill="FFFFFF"/>
          <w:lang w:val="en-US"/>
        </w:rPr>
        <w:t>when advanced imaging, neurosurgical or oncological input is required.</w:t>
      </w:r>
      <w:r w:rsidRPr="001E38A4">
        <w:rPr>
          <w:rStyle w:val="eop"/>
          <w:color w:val="000000"/>
          <w:shd w:val="clear" w:color="auto" w:fill="FFFFFF"/>
        </w:rPr>
        <w:t> </w:t>
      </w:r>
    </w:p>
    <w:p w14:paraId="079171C8" w14:textId="77777777" w:rsidR="001E38A4" w:rsidRDefault="001E38A4" w:rsidP="001E38A4">
      <w:pPr>
        <w:pStyle w:val="Heading8"/>
        <w:rPr>
          <w:lang w:val="en-US"/>
        </w:rPr>
      </w:pPr>
    </w:p>
    <w:p w14:paraId="68EBDFAF" w14:textId="2A8E7270" w:rsidR="001E38A4" w:rsidRDefault="001E38A4" w:rsidP="001E38A4">
      <w:pPr>
        <w:pStyle w:val="Heading8"/>
        <w:rPr>
          <w:rStyle w:val="normaltextrun"/>
          <w:rFonts w:ascii="Times New Roman" w:hAnsi="Times New Roman" w:cs="Times New Roman"/>
          <w:b/>
          <w:bCs/>
          <w:i w:val="0"/>
          <w:iCs w:val="0"/>
          <w:color w:val="0F4761"/>
          <w:shd w:val="clear" w:color="auto" w:fill="FFFFFF"/>
          <w:lang w:val="en-US"/>
        </w:rPr>
      </w:pPr>
      <w:r w:rsidRPr="001E38A4">
        <w:rPr>
          <w:rStyle w:val="normaltextrun"/>
          <w:rFonts w:ascii="Times New Roman" w:hAnsi="Times New Roman" w:cs="Times New Roman"/>
          <w:b/>
          <w:bCs/>
          <w:i w:val="0"/>
          <w:iCs w:val="0"/>
          <w:color w:val="0F4761"/>
          <w:shd w:val="clear" w:color="auto" w:fill="FFFFFF"/>
          <w:lang w:val="en-US"/>
        </w:rPr>
        <w:t>3.3 Strengthening Governance and Accountability</w:t>
      </w:r>
    </w:p>
    <w:p w14:paraId="0A3842D4" w14:textId="522B9F5E"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Governance structures must be strengthened so that NF1 and rare-disease safety receive consistent oversight. The organisation should establish a rare-disease or NF1 governance group to review serious incidents, near-misses and outcome data, and to monitor progress against improvement plans. NF1-related deaths and critical incidents should undergo structured review using root-cause analysis that explicitly incorporates Swiss Cheese thinking, ensuring that latent conditions are identified and addressed (Wiegmann and Shappell, 2022). </w:t>
      </w:r>
    </w:p>
    <w:p w14:paraId="2B6864A2" w14:textId="104F6D95"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Integrating NF1 indicators into existing quality dashboards-for example, number of NF1 admissions, proportion with specialist review, and time to escalation-will support ongoing accountability. Board-level reporting on rare-disease safety can help maintain leadership focus amid competing priorities.</w:t>
      </w:r>
    </w:p>
    <w:p w14:paraId="5EE9555E" w14:textId="07061B3B" w:rsidR="001E38A4" w:rsidRPr="001E38A4" w:rsidRDefault="001E38A4" w:rsidP="001E38A4">
      <w:pPr>
        <w:spacing w:after="0" w:line="360" w:lineRule="auto"/>
        <w:jc w:val="both"/>
        <w:textAlignment w:val="baseline"/>
        <w:rPr>
          <w:rFonts w:ascii="Times New Roman" w:eastAsia="Times New Roman" w:hAnsi="Times New Roman" w:cs="Times New Roman"/>
          <w:color w:val="0F4761"/>
          <w:kern w:val="0"/>
          <w:sz w:val="18"/>
          <w:szCs w:val="18"/>
          <w:lang w:val="en-US" w:eastAsia="en-GB"/>
          <w14:ligatures w14:val="none"/>
        </w:rPr>
      </w:pPr>
      <w:r w:rsidRPr="001E38A4">
        <w:rPr>
          <w:rFonts w:ascii="Times New Roman" w:eastAsia="Times New Roman" w:hAnsi="Times New Roman" w:cs="Times New Roman"/>
          <w:color w:val="0F4761"/>
          <w:kern w:val="0"/>
          <w:lang w:val="en-US" w:eastAsia="en-GB"/>
          <w14:ligatures w14:val="none"/>
        </w:rPr>
        <w:t>3.4 Patient and Community Awareness and Digital Access</w:t>
      </w:r>
    </w:p>
    <w:p w14:paraId="387CF208" w14:textId="6E8DBE1D"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Enhancing patient and carer knowledge is also crucial. Adults with NF1 should be provided with clear information about infection risks, warning signs and when to seek urgent care, aligned with guideline recommendations (Ferner et al., 2007; Radtke et al., 2023). Clinics could use digital tools such as patient portals to share personalised NF1 summaries, including key complications, current medications and agreed escalation plans, which can then be shown to clinicians in emergencies.</w:t>
      </w:r>
    </w:p>
    <w:p w14:paraId="2C5DF28D" w14:textId="4EC3426A"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Improving digital access also involves simplifying registration and consent processes so that NF1 patients can easily enrol in portals and registries. Collaborating with patient organisations may help co-design accessible educational materials and support self-advocacy during acute presentations.</w:t>
      </w:r>
    </w:p>
    <w:p w14:paraId="5FA17ECB"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382D6831"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333EF3F1"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44186BDA"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10C55055"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40197E8F"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361305F8"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212EC05D"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3C2273B7" w14:textId="77777777" w:rsidR="001E38A4" w:rsidRDefault="001E38A4" w:rsidP="001E38A4">
      <w:pPr>
        <w:spacing w:after="0" w:line="360" w:lineRule="auto"/>
        <w:jc w:val="both"/>
        <w:textAlignment w:val="baseline"/>
        <w:rPr>
          <w:rFonts w:ascii="Times New Roman" w:eastAsia="Times New Roman" w:hAnsi="Times New Roman" w:cs="Times New Roman"/>
          <w:color w:val="0F4761"/>
          <w:kern w:val="0"/>
          <w:lang w:val="en-US" w:eastAsia="en-GB"/>
          <w14:ligatures w14:val="none"/>
        </w:rPr>
      </w:pPr>
    </w:p>
    <w:p w14:paraId="2B2ED64D" w14:textId="19967565" w:rsidR="001E38A4" w:rsidRPr="001E38A4" w:rsidRDefault="001E38A4" w:rsidP="001E38A4">
      <w:pPr>
        <w:spacing w:after="0" w:line="360" w:lineRule="auto"/>
        <w:jc w:val="both"/>
        <w:textAlignment w:val="baseline"/>
        <w:rPr>
          <w:rFonts w:ascii="Times New Roman" w:eastAsia="Times New Roman" w:hAnsi="Times New Roman" w:cs="Times New Roman"/>
          <w:color w:val="0F4761"/>
          <w:kern w:val="0"/>
          <w:sz w:val="18"/>
          <w:szCs w:val="18"/>
          <w:lang w:val="en-US" w:eastAsia="en-GB"/>
          <w14:ligatures w14:val="none"/>
        </w:rPr>
      </w:pPr>
      <w:r w:rsidRPr="001E38A4">
        <w:rPr>
          <w:rFonts w:ascii="Times New Roman" w:eastAsia="Times New Roman" w:hAnsi="Times New Roman" w:cs="Times New Roman"/>
          <w:color w:val="0F4761"/>
          <w:kern w:val="0"/>
          <w:lang w:val="en-US" w:eastAsia="en-GB"/>
          <w14:ligatures w14:val="none"/>
        </w:rPr>
        <w:t>3.5 Benchmark Table - Before vs After</w:t>
      </w:r>
    </w:p>
    <w:p w14:paraId="3EE021F6" w14:textId="0C117AE8"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A benchmarking framework can clarify the expected impact of the proposed changes over time.</w:t>
      </w:r>
    </w:p>
    <w:tbl>
      <w:tblPr>
        <w:tblStyle w:val="GridTable4-Accent3"/>
        <w:tblW w:w="9619" w:type="dxa"/>
        <w:tblLook w:val="04A0" w:firstRow="1" w:lastRow="0" w:firstColumn="1" w:lastColumn="0" w:noHBand="0" w:noVBand="1"/>
      </w:tblPr>
      <w:tblGrid>
        <w:gridCol w:w="2155"/>
        <w:gridCol w:w="2540"/>
        <w:gridCol w:w="2726"/>
        <w:gridCol w:w="2198"/>
      </w:tblGrid>
      <w:tr w:rsidR="001E38A4" w:rsidRPr="001E38A4" w14:paraId="07DC8862" w14:textId="77777777" w:rsidTr="001E38A4">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155" w:type="dxa"/>
            <w:hideMark/>
          </w:tcPr>
          <w:p w14:paraId="3783B9FA" w14:textId="77777777" w:rsidR="001E38A4" w:rsidRPr="001E38A4" w:rsidRDefault="001E38A4" w:rsidP="001E38A4">
            <w:pPr>
              <w:pBdr>
                <w:top w:val="single" w:sz="6" w:space="4" w:color="000000"/>
                <w:left w:val="single" w:sz="6" w:space="4" w:color="000000"/>
                <w:right w:val="single" w:sz="6" w:space="4" w:color="000000"/>
              </w:pBdr>
              <w:spacing w:line="360" w:lineRule="auto"/>
              <w:jc w:val="both"/>
              <w:textAlignment w:val="baseline"/>
              <w:rPr>
                <w:rFonts w:ascii="Times New Roman" w:eastAsia="Times New Roman" w:hAnsi="Times New Roman" w:cs="Times New Roman"/>
                <w:kern w:val="0"/>
                <w:lang w:val="en-US" w:eastAsia="en-GB"/>
                <w14:ligatures w14:val="none"/>
              </w:rPr>
            </w:pPr>
            <w:r w:rsidRPr="001E38A4">
              <w:rPr>
                <w:rFonts w:ascii="Times New Roman" w:eastAsia="Times New Roman" w:hAnsi="Times New Roman" w:cs="Times New Roman"/>
                <w:kern w:val="0"/>
                <w:lang w:val="en-US" w:eastAsia="en-GB"/>
                <w14:ligatures w14:val="none"/>
              </w:rPr>
              <w:t>Indicator </w:t>
            </w:r>
          </w:p>
        </w:tc>
        <w:tc>
          <w:tcPr>
            <w:tcW w:w="2540" w:type="dxa"/>
            <w:hideMark/>
          </w:tcPr>
          <w:p w14:paraId="53827CF7" w14:textId="77777777" w:rsidR="001E38A4" w:rsidRPr="001E38A4" w:rsidRDefault="001E38A4" w:rsidP="001E38A4">
            <w:pPr>
              <w:pBdr>
                <w:left w:val="single" w:sz="6" w:space="4" w:color="000000"/>
                <w:right w:val="single" w:sz="6" w:space="4" w:color="000000"/>
              </w:pBdr>
              <w:spacing w:line="360" w:lineRule="auto"/>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eastAsia="en-GB"/>
                <w14:ligatures w14:val="none"/>
              </w:rPr>
            </w:pPr>
            <w:r w:rsidRPr="001E38A4">
              <w:rPr>
                <w:rFonts w:ascii="Times New Roman" w:eastAsia="Times New Roman" w:hAnsi="Times New Roman" w:cs="Times New Roman"/>
                <w:kern w:val="0"/>
                <w:lang w:val="en-US" w:eastAsia="en-GB"/>
                <w14:ligatures w14:val="none"/>
              </w:rPr>
              <w:t>Standard / Best Practice </w:t>
            </w:r>
          </w:p>
        </w:tc>
        <w:tc>
          <w:tcPr>
            <w:tcW w:w="2726" w:type="dxa"/>
            <w:hideMark/>
          </w:tcPr>
          <w:p w14:paraId="50010511" w14:textId="77777777" w:rsidR="001E38A4" w:rsidRPr="001E38A4" w:rsidRDefault="001E38A4" w:rsidP="001E38A4">
            <w:pPr>
              <w:pBdr>
                <w:left w:val="single" w:sz="6" w:space="4" w:color="000000"/>
                <w:right w:val="single" w:sz="6" w:space="4" w:color="000000"/>
              </w:pBd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eastAsia="en-GB"/>
                <w14:ligatures w14:val="none"/>
              </w:rPr>
            </w:pPr>
            <w:r w:rsidRPr="001E38A4">
              <w:rPr>
                <w:rFonts w:ascii="Times New Roman" w:eastAsia="Times New Roman" w:hAnsi="Times New Roman" w:cs="Times New Roman"/>
                <w:kern w:val="0"/>
                <w:lang w:val="en-US" w:eastAsia="en-GB"/>
                <w14:ligatures w14:val="none"/>
              </w:rPr>
              <w:t>Current (Before) </w:t>
            </w:r>
          </w:p>
        </w:tc>
        <w:tc>
          <w:tcPr>
            <w:tcW w:w="2198" w:type="dxa"/>
            <w:hideMark/>
          </w:tcPr>
          <w:p w14:paraId="522C483F" w14:textId="77777777" w:rsidR="001E38A4" w:rsidRPr="001E38A4" w:rsidRDefault="001E38A4" w:rsidP="001E38A4">
            <w:pPr>
              <w:pBdr>
                <w:left w:val="single" w:sz="6" w:space="4" w:color="000000"/>
                <w:right w:val="single" w:sz="6" w:space="4" w:color="000000"/>
              </w:pBdr>
              <w:spacing w:line="360" w:lineRule="auto"/>
              <w:jc w:val="both"/>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US" w:eastAsia="en-GB"/>
                <w14:ligatures w14:val="none"/>
              </w:rPr>
            </w:pPr>
            <w:r w:rsidRPr="001E38A4">
              <w:rPr>
                <w:rFonts w:ascii="Times New Roman" w:eastAsia="Times New Roman" w:hAnsi="Times New Roman" w:cs="Times New Roman"/>
                <w:kern w:val="0"/>
                <w:lang w:val="en-US" w:eastAsia="en-GB"/>
                <w14:ligatures w14:val="none"/>
              </w:rPr>
              <w:t>Target (After) </w:t>
            </w:r>
          </w:p>
        </w:tc>
      </w:tr>
      <w:tr w:rsidR="001E38A4" w:rsidRPr="001E38A4" w14:paraId="78932B07" w14:textId="77777777" w:rsidTr="001E38A4">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155" w:type="dxa"/>
            <w:hideMark/>
          </w:tcPr>
          <w:p w14:paraId="3268D5DE" w14:textId="77777777" w:rsidR="001E38A4" w:rsidRPr="001E38A4" w:rsidRDefault="001E38A4" w:rsidP="001E38A4">
            <w:pPr>
              <w:pBdr>
                <w:left w:val="single" w:sz="6" w:space="4" w:color="000000"/>
                <w:right w:val="single" w:sz="6" w:space="4" w:color="000000"/>
              </w:pBdr>
              <w:spacing w:line="360" w:lineRule="auto"/>
              <w:textAlignment w:val="baseline"/>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NF1 patients with EMR rare-disease flag </w:t>
            </w:r>
          </w:p>
        </w:tc>
        <w:tc>
          <w:tcPr>
            <w:tcW w:w="2540" w:type="dxa"/>
            <w:hideMark/>
          </w:tcPr>
          <w:p w14:paraId="7AE17D50"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100% of NF1 patients flagged in EMR (local standard) </w:t>
            </w:r>
          </w:p>
        </w:tc>
        <w:tc>
          <w:tcPr>
            <w:tcW w:w="2726" w:type="dxa"/>
            <w:hideMark/>
          </w:tcPr>
          <w:p w14:paraId="379153D5"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Fragmented, many NF1 cases unflagged or inconsistently coded </w:t>
            </w:r>
          </w:p>
        </w:tc>
        <w:tc>
          <w:tcPr>
            <w:tcW w:w="2198" w:type="dxa"/>
            <w:hideMark/>
          </w:tcPr>
          <w:p w14:paraId="5D49F043"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≥95% within 12 months </w:t>
            </w:r>
          </w:p>
        </w:tc>
      </w:tr>
      <w:tr w:rsidR="001E38A4" w:rsidRPr="001E38A4" w14:paraId="2ABD7242" w14:textId="77777777" w:rsidTr="001E38A4">
        <w:trPr>
          <w:trHeight w:val="394"/>
        </w:trPr>
        <w:tc>
          <w:tcPr>
            <w:cnfStyle w:val="001000000000" w:firstRow="0" w:lastRow="0" w:firstColumn="1" w:lastColumn="0" w:oddVBand="0" w:evenVBand="0" w:oddHBand="0" w:evenHBand="0" w:firstRowFirstColumn="0" w:firstRowLastColumn="0" w:lastRowFirstColumn="0" w:lastRowLastColumn="0"/>
            <w:tcW w:w="2155" w:type="dxa"/>
            <w:hideMark/>
          </w:tcPr>
          <w:p w14:paraId="40E6B2F0" w14:textId="77777777" w:rsidR="001E38A4" w:rsidRPr="001E38A4" w:rsidRDefault="001E38A4" w:rsidP="001E38A4">
            <w:pPr>
              <w:pBdr>
                <w:left w:val="single" w:sz="6" w:space="4" w:color="000000"/>
                <w:right w:val="single" w:sz="6" w:space="4" w:color="000000"/>
              </w:pBdr>
              <w:spacing w:line="360" w:lineRule="auto"/>
              <w:textAlignment w:val="baseline"/>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Time to NF specialist/MDT review </w:t>
            </w:r>
          </w:p>
        </w:tc>
        <w:tc>
          <w:tcPr>
            <w:tcW w:w="2540" w:type="dxa"/>
            <w:hideMark/>
          </w:tcPr>
          <w:p w14:paraId="6D6B83B7"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Review within 24 h of acute admission (expert opinion) </w:t>
            </w:r>
          </w:p>
        </w:tc>
        <w:tc>
          <w:tcPr>
            <w:tcW w:w="2726" w:type="dxa"/>
            <w:hideMark/>
          </w:tcPr>
          <w:p w14:paraId="50A8FE36"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Often no specialist involvement or only late consultation </w:t>
            </w:r>
          </w:p>
        </w:tc>
        <w:tc>
          <w:tcPr>
            <w:tcW w:w="2198" w:type="dxa"/>
            <w:hideMark/>
          </w:tcPr>
          <w:p w14:paraId="7E2D4BAF"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≥90% NF1 admissions reviewed within 24 h </w:t>
            </w:r>
          </w:p>
        </w:tc>
      </w:tr>
      <w:tr w:rsidR="001E38A4" w:rsidRPr="001E38A4" w14:paraId="16F82C61" w14:textId="77777777" w:rsidTr="001E38A4">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155" w:type="dxa"/>
            <w:hideMark/>
          </w:tcPr>
          <w:p w14:paraId="40D52737" w14:textId="77777777" w:rsidR="001E38A4" w:rsidRPr="001E38A4" w:rsidRDefault="001E38A4" w:rsidP="001E38A4">
            <w:pPr>
              <w:pBdr>
                <w:left w:val="single" w:sz="6" w:space="4" w:color="000000"/>
                <w:right w:val="single" w:sz="6" w:space="4" w:color="000000"/>
              </w:pBdr>
              <w:spacing w:line="360" w:lineRule="auto"/>
              <w:textAlignment w:val="baseline"/>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Documentation of NF1 summary in EMR </w:t>
            </w:r>
          </w:p>
        </w:tc>
        <w:tc>
          <w:tcPr>
            <w:tcW w:w="2540" w:type="dxa"/>
            <w:hideMark/>
          </w:tcPr>
          <w:p w14:paraId="4C4E4FA2"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Structured summary for all NF1 patients </w:t>
            </w:r>
          </w:p>
        </w:tc>
        <w:tc>
          <w:tcPr>
            <w:tcW w:w="2726" w:type="dxa"/>
            <w:hideMark/>
          </w:tcPr>
          <w:p w14:paraId="7351CDD8"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Incomplete, scattered across notes </w:t>
            </w:r>
          </w:p>
        </w:tc>
        <w:tc>
          <w:tcPr>
            <w:tcW w:w="2198" w:type="dxa"/>
            <w:hideMark/>
          </w:tcPr>
          <w:p w14:paraId="2452C910"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100% of known NF1 patients have summary page </w:t>
            </w:r>
          </w:p>
        </w:tc>
      </w:tr>
      <w:tr w:rsidR="001E38A4" w:rsidRPr="001E38A4" w14:paraId="62B379FF" w14:textId="77777777" w:rsidTr="001E38A4">
        <w:trPr>
          <w:trHeight w:val="394"/>
        </w:trPr>
        <w:tc>
          <w:tcPr>
            <w:cnfStyle w:val="001000000000" w:firstRow="0" w:lastRow="0" w:firstColumn="1" w:lastColumn="0" w:oddVBand="0" w:evenVBand="0" w:oddHBand="0" w:evenHBand="0" w:firstRowFirstColumn="0" w:firstRowLastColumn="0" w:lastRowFirstColumn="0" w:lastRowLastColumn="0"/>
            <w:tcW w:w="2155" w:type="dxa"/>
            <w:hideMark/>
          </w:tcPr>
          <w:p w14:paraId="49CB363E" w14:textId="77777777" w:rsidR="001E38A4" w:rsidRPr="001E38A4" w:rsidRDefault="001E38A4" w:rsidP="001E38A4">
            <w:pPr>
              <w:pBdr>
                <w:left w:val="single" w:sz="6" w:space="4" w:color="000000"/>
                <w:right w:val="single" w:sz="6" w:space="4" w:color="000000"/>
              </w:pBdr>
              <w:spacing w:line="360" w:lineRule="auto"/>
              <w:textAlignment w:val="baseline"/>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NF1 serious incidents with RCA </w:t>
            </w:r>
          </w:p>
        </w:tc>
        <w:tc>
          <w:tcPr>
            <w:tcW w:w="2540" w:type="dxa"/>
            <w:hideMark/>
          </w:tcPr>
          <w:p w14:paraId="13ECBA6C"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100% of NF1 deaths/serious harms formally reviewed </w:t>
            </w:r>
          </w:p>
        </w:tc>
        <w:tc>
          <w:tcPr>
            <w:tcW w:w="2726" w:type="dxa"/>
            <w:hideMark/>
          </w:tcPr>
          <w:p w14:paraId="7BB8892A"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Ad-hoc, not coded as rare-disease incidents </w:t>
            </w:r>
          </w:p>
        </w:tc>
        <w:tc>
          <w:tcPr>
            <w:tcW w:w="2198" w:type="dxa"/>
            <w:hideMark/>
          </w:tcPr>
          <w:p w14:paraId="7172F87B" w14:textId="77777777" w:rsidR="001E38A4" w:rsidRPr="001E38A4" w:rsidRDefault="001E38A4" w:rsidP="001E38A4">
            <w:pPr>
              <w:pBdr>
                <w:left w:val="single" w:sz="6" w:space="4" w:color="000000"/>
                <w:right w:val="single" w:sz="6" w:space="4" w:color="000000"/>
              </w:pBd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100% reviewed with action plans </w:t>
            </w:r>
          </w:p>
        </w:tc>
      </w:tr>
      <w:tr w:rsidR="001E38A4" w:rsidRPr="001E38A4" w14:paraId="47D46C9E" w14:textId="77777777" w:rsidTr="001E38A4">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2155" w:type="dxa"/>
            <w:hideMark/>
          </w:tcPr>
          <w:p w14:paraId="1A5C1A75" w14:textId="77777777" w:rsidR="001E38A4" w:rsidRPr="001E38A4" w:rsidRDefault="001E38A4" w:rsidP="001E38A4">
            <w:pPr>
              <w:pBdr>
                <w:left w:val="single" w:sz="6" w:space="4" w:color="000000"/>
                <w:right w:val="single" w:sz="6" w:space="4" w:color="000000"/>
              </w:pBdr>
              <w:spacing w:line="360" w:lineRule="auto"/>
              <w:textAlignment w:val="baseline"/>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Staff trained in NF1 and EMR use </w:t>
            </w:r>
          </w:p>
        </w:tc>
        <w:tc>
          <w:tcPr>
            <w:tcW w:w="2540" w:type="dxa"/>
            <w:hideMark/>
          </w:tcPr>
          <w:p w14:paraId="5A6FC6C8"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All relevant staff receive training </w:t>
            </w:r>
          </w:p>
        </w:tc>
        <w:tc>
          <w:tcPr>
            <w:tcW w:w="2726" w:type="dxa"/>
            <w:hideMark/>
          </w:tcPr>
          <w:p w14:paraId="0D29BD0D" w14:textId="77777777" w:rsidR="001E38A4" w:rsidRPr="001E38A4" w:rsidRDefault="001E38A4" w:rsidP="001E38A4">
            <w:pPr>
              <w:pBdr>
                <w:left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Training patchy, many report lack of confidence </w:t>
            </w:r>
          </w:p>
        </w:tc>
        <w:tc>
          <w:tcPr>
            <w:tcW w:w="2198" w:type="dxa"/>
            <w:hideMark/>
          </w:tcPr>
          <w:p w14:paraId="15465FC3" w14:textId="77777777" w:rsidR="001E38A4" w:rsidRPr="001E38A4" w:rsidRDefault="001E38A4" w:rsidP="001E38A4">
            <w:pPr>
              <w:pBdr>
                <w:left w:val="single" w:sz="6" w:space="4" w:color="000000"/>
                <w:bottom w:val="single" w:sz="6" w:space="4" w:color="000000"/>
                <w:right w:val="single" w:sz="6" w:space="4" w:color="000000"/>
              </w:pBd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9"/>
                <w:szCs w:val="19"/>
                <w:lang w:val="en-US" w:eastAsia="en-GB"/>
                <w14:ligatures w14:val="none"/>
              </w:rPr>
            </w:pPr>
            <w:r w:rsidRPr="001E38A4">
              <w:rPr>
                <w:rFonts w:ascii="Times New Roman" w:eastAsia="Times New Roman" w:hAnsi="Times New Roman" w:cs="Times New Roman"/>
                <w:kern w:val="0"/>
                <w:sz w:val="19"/>
                <w:szCs w:val="19"/>
                <w:lang w:val="en-US" w:eastAsia="en-GB"/>
                <w14:ligatures w14:val="none"/>
              </w:rPr>
              <w:t>≥85% training completion in key departments </w:t>
            </w:r>
          </w:p>
        </w:tc>
      </w:tr>
    </w:tbl>
    <w:p w14:paraId="02FEC014" w14:textId="77777777" w:rsidR="001E38A4" w:rsidRDefault="001E38A4" w:rsidP="001E38A4">
      <w:pPr>
        <w:spacing w:after="0" w:line="360" w:lineRule="auto"/>
        <w:textAlignment w:val="baseline"/>
        <w:rPr>
          <w:rFonts w:ascii="Times New Roman" w:eastAsia="Times New Roman" w:hAnsi="Times New Roman" w:cs="Times New Roman"/>
          <w:kern w:val="0"/>
          <w:sz w:val="20"/>
          <w:szCs w:val="20"/>
          <w:lang w:val="en-US" w:eastAsia="en-GB"/>
          <w14:ligatures w14:val="none"/>
        </w:rPr>
      </w:pPr>
      <w:r>
        <w:rPr>
          <w:rFonts w:ascii="Times New Roman" w:eastAsia="Times New Roman" w:hAnsi="Times New Roman" w:cs="Times New Roman"/>
          <w:kern w:val="0"/>
          <w:sz w:val="20"/>
          <w:szCs w:val="20"/>
          <w:lang w:val="en-US" w:eastAsia="en-GB"/>
          <w14:ligatures w14:val="none"/>
        </w:rPr>
        <w:t xml:space="preserve">                     </w:t>
      </w:r>
      <w:r w:rsidRPr="001E38A4">
        <w:rPr>
          <w:rFonts w:ascii="Times New Roman" w:eastAsia="Times New Roman" w:hAnsi="Times New Roman" w:cs="Times New Roman"/>
          <w:kern w:val="0"/>
          <w:sz w:val="20"/>
          <w:szCs w:val="20"/>
          <w:lang w:val="en-US" w:eastAsia="en-GB"/>
          <w14:ligatures w14:val="none"/>
        </w:rPr>
        <w:t>(Standards based on adaptation of NF1 care-pathway and MDT literature to local context</w:t>
      </w:r>
      <w:r>
        <w:rPr>
          <w:rFonts w:ascii="Times New Roman" w:eastAsia="Times New Roman" w:hAnsi="Times New Roman" w:cs="Times New Roman"/>
          <w:kern w:val="0"/>
          <w:sz w:val="20"/>
          <w:szCs w:val="20"/>
          <w:lang w:val="en-US" w:eastAsia="en-GB"/>
          <w14:ligatures w14:val="none"/>
        </w:rPr>
        <w:t xml:space="preserve">)                                        </w:t>
      </w:r>
      <w:r w:rsidRPr="001E38A4">
        <w:rPr>
          <w:rFonts w:ascii="Times New Roman" w:eastAsia="Times New Roman" w:hAnsi="Times New Roman" w:cs="Times New Roman"/>
          <w:kern w:val="0"/>
          <w:sz w:val="20"/>
          <w:szCs w:val="20"/>
          <w:lang w:val="en-US" w:eastAsia="en-GB"/>
          <w14:ligatures w14:val="none"/>
        </w:rPr>
        <w:t xml:space="preserve"> </w:t>
      </w:r>
      <w:r>
        <w:rPr>
          <w:rFonts w:ascii="Times New Roman" w:eastAsia="Times New Roman" w:hAnsi="Times New Roman" w:cs="Times New Roman"/>
          <w:kern w:val="0"/>
          <w:sz w:val="20"/>
          <w:szCs w:val="20"/>
          <w:lang w:val="en-US" w:eastAsia="en-GB"/>
          <w14:ligatures w14:val="none"/>
        </w:rPr>
        <w:t xml:space="preserve">                                   </w:t>
      </w:r>
    </w:p>
    <w:p w14:paraId="3B57CCC1" w14:textId="2033CD67" w:rsidR="001E38A4" w:rsidRPr="001E38A4" w:rsidRDefault="001E38A4" w:rsidP="001E38A4">
      <w:pPr>
        <w:spacing w:after="0" w:line="360" w:lineRule="auto"/>
        <w:textAlignment w:val="baseline"/>
        <w:rPr>
          <w:rFonts w:ascii="Times New Roman" w:eastAsia="Times New Roman" w:hAnsi="Times New Roman" w:cs="Times New Roman"/>
          <w:kern w:val="0"/>
          <w:sz w:val="20"/>
          <w:szCs w:val="20"/>
          <w:lang w:val="en-US" w:eastAsia="en-GB"/>
          <w14:ligatures w14:val="none"/>
        </w:rPr>
      </w:pPr>
      <w:r>
        <w:rPr>
          <w:rFonts w:ascii="Times New Roman" w:eastAsia="Times New Roman" w:hAnsi="Times New Roman" w:cs="Times New Roman"/>
          <w:kern w:val="0"/>
          <w:sz w:val="20"/>
          <w:szCs w:val="20"/>
          <w:lang w:val="en-US" w:eastAsia="en-GB"/>
          <w14:ligatures w14:val="none"/>
        </w:rPr>
        <w:t xml:space="preserve">                        (</w:t>
      </w:r>
      <w:r w:rsidRPr="001E38A4">
        <w:rPr>
          <w:rFonts w:ascii="Times New Roman" w:eastAsia="Times New Roman" w:hAnsi="Times New Roman" w:cs="Times New Roman"/>
          <w:kern w:val="0"/>
          <w:sz w:val="20"/>
          <w:szCs w:val="20"/>
          <w:lang w:val="en-US" w:eastAsia="en-GB"/>
          <w14:ligatures w14:val="none"/>
        </w:rPr>
        <w:t xml:space="preserve">Ferner et al., 2007; </w:t>
      </w:r>
      <w:r>
        <w:rPr>
          <w:rFonts w:ascii="Times New Roman" w:eastAsia="Times New Roman" w:hAnsi="Times New Roman" w:cs="Times New Roman"/>
          <w:kern w:val="0"/>
          <w:sz w:val="20"/>
          <w:szCs w:val="20"/>
          <w:lang w:val="en-US" w:eastAsia="en-GB"/>
          <w14:ligatures w14:val="none"/>
        </w:rPr>
        <w:t xml:space="preserve">     </w:t>
      </w:r>
      <w:r w:rsidRPr="001E38A4">
        <w:rPr>
          <w:rFonts w:ascii="Times New Roman" w:eastAsia="Times New Roman" w:hAnsi="Times New Roman" w:cs="Times New Roman"/>
          <w:kern w:val="0"/>
          <w:sz w:val="20"/>
          <w:szCs w:val="20"/>
          <w:lang w:val="en-US" w:eastAsia="en-GB"/>
          <w14:ligatures w14:val="none"/>
        </w:rPr>
        <w:t>ERN-Genturis, 2022; Stewart et al., 2018; Lalvani et al., 2024).)</w:t>
      </w:r>
    </w:p>
    <w:p w14:paraId="3256DC69" w14:textId="751811F4" w:rsidR="001E38A4" w:rsidRPr="001E38A4" w:rsidRDefault="001E38A4" w:rsidP="001E38A4">
      <w:pPr>
        <w:spacing w:after="0" w:line="360" w:lineRule="auto"/>
        <w:jc w:val="both"/>
        <w:textAlignment w:val="baseline"/>
        <w:rPr>
          <w:rFonts w:ascii="Times New Roman" w:eastAsia="Times New Roman" w:hAnsi="Times New Roman" w:cs="Times New Roman"/>
          <w:color w:val="0F4761"/>
          <w:kern w:val="0"/>
          <w:sz w:val="18"/>
          <w:szCs w:val="18"/>
          <w:lang w:val="en-US" w:eastAsia="en-GB"/>
          <w14:ligatures w14:val="none"/>
        </w:rPr>
      </w:pPr>
      <w:r w:rsidRPr="001E38A4">
        <w:rPr>
          <w:rFonts w:ascii="Times New Roman" w:eastAsia="Times New Roman" w:hAnsi="Times New Roman" w:cs="Times New Roman"/>
          <w:color w:val="0F4761"/>
          <w:kern w:val="0"/>
          <w:lang w:val="en-US" w:eastAsia="en-GB"/>
          <w14:ligatures w14:val="none"/>
        </w:rPr>
        <w:t>4. Conclusion</w:t>
      </w:r>
    </w:p>
    <w:p w14:paraId="495268E2" w14:textId="710C0491"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This report has demonstrated that the fatal deterioration of an adult with NF1 following infection reflects deep-rooted structural, process and outcome failures in the organisation’s approach to rare-disease management and EMR use. Using the Donabedian Model, Fishbone analysis and SWOT, it has shown how inadequate digital infrastructure, limited NF1 expertise, weak referral pathways and insufficient governance aligned to undermine patient safety. PDSA and Kotter’s change framework indicate that addressing these weaknesses will require both iterative testing of specific interventions-such as NF1 EMR flags and pathways-and broader cultural and leadership transformation.</w:t>
      </w:r>
    </w:p>
    <w:p w14:paraId="798E7D8A" w14:textId="3810A162" w:rsidR="001E38A4" w:rsidRPr="001E38A4" w:rsidRDefault="001E38A4" w:rsidP="001E38A4">
      <w:pPr>
        <w:spacing w:after="0" w:line="360" w:lineRule="auto"/>
        <w:jc w:val="both"/>
        <w:textAlignment w:val="baseline"/>
        <w:rPr>
          <w:rFonts w:ascii="Times New Roman" w:eastAsia="Times New Roman" w:hAnsi="Times New Roman" w:cs="Times New Roman"/>
          <w:kern w:val="0"/>
          <w:sz w:val="18"/>
          <w:szCs w:val="18"/>
          <w:lang w:val="en-US" w:eastAsia="en-GB"/>
          <w14:ligatures w14:val="none"/>
        </w:rPr>
      </w:pPr>
      <w:r w:rsidRPr="001E38A4">
        <w:rPr>
          <w:rFonts w:ascii="Times New Roman" w:eastAsia="Times New Roman" w:hAnsi="Times New Roman" w:cs="Times New Roman"/>
          <w:kern w:val="0"/>
          <w:lang w:val="en-US" w:eastAsia="en-GB"/>
          <w14:ligatures w14:val="none"/>
        </w:rPr>
        <w:t>Implementing the recommended workforce, service, governance and patient-engagement strategies, underpinned by clear benchmarks and ongoing evaluation, offers a realistic route to reducing preventable harm and improving outcomes for people with NF1. More broadly, the lessons from this sentinel event can inform the organisation’s wider approach to rare-disease safety and digital quality assurance, ensuring that EMR and MDT infrastructures function as robust safety barriers rather than additional slices of Swiss cheese.</w:t>
      </w:r>
    </w:p>
    <w:p w14:paraId="2C3A7A5B" w14:textId="77777777" w:rsidR="001E38A4" w:rsidRPr="001E38A4" w:rsidRDefault="001E38A4" w:rsidP="001E38A4">
      <w:pPr>
        <w:rPr>
          <w:lang w:val="en-US"/>
        </w:rPr>
      </w:pPr>
    </w:p>
    <w:p w14:paraId="49B0ABA3" w14:textId="77777777" w:rsidR="00FB4534" w:rsidRPr="00FB4534" w:rsidRDefault="00FB4534" w:rsidP="00FB4534"/>
    <w:p w14:paraId="064B720E" w14:textId="77777777" w:rsidR="00FB4534" w:rsidRPr="00FB4534" w:rsidRDefault="00FB4534" w:rsidP="00FB4534">
      <w:pPr>
        <w:rPr>
          <w:lang w:val="en-US"/>
        </w:rPr>
      </w:pPr>
    </w:p>
    <w:p w14:paraId="5A7DBF42" w14:textId="5A576E5A" w:rsidR="001E38A4" w:rsidRDefault="001E38A4">
      <w:r>
        <w:br w:type="page"/>
      </w:r>
    </w:p>
    <w:p w14:paraId="6731658F" w14:textId="5F10CC23" w:rsidR="000E707B" w:rsidRDefault="001E38A4" w:rsidP="001E38A4">
      <w:pPr>
        <w:pStyle w:val="Heading9"/>
        <w:rPr>
          <w:rFonts w:ascii="Times New Roman" w:hAnsi="Times New Roman" w:cs="Times New Roman"/>
          <w:b/>
          <w:bCs/>
          <w:color w:val="0F4761" w:themeColor="accent1" w:themeShade="BF"/>
          <w:sz w:val="40"/>
          <w:szCs w:val="40"/>
        </w:rPr>
      </w:pPr>
      <w:r>
        <w:rPr>
          <w:rFonts w:ascii="Times New Roman" w:hAnsi="Times New Roman" w:cs="Times New Roman"/>
          <w:b/>
          <w:bCs/>
          <w:sz w:val="40"/>
          <w:szCs w:val="40"/>
        </w:rPr>
        <w:t xml:space="preserve">                                    </w:t>
      </w:r>
      <w:r w:rsidRPr="001E38A4">
        <w:rPr>
          <w:rFonts w:ascii="Times New Roman" w:hAnsi="Times New Roman" w:cs="Times New Roman"/>
          <w:b/>
          <w:bCs/>
          <w:color w:val="0F4761" w:themeColor="accent1" w:themeShade="BF"/>
          <w:sz w:val="40"/>
          <w:szCs w:val="40"/>
        </w:rPr>
        <w:t>References</w:t>
      </w:r>
    </w:p>
    <w:p w14:paraId="289F2E97" w14:textId="77777777" w:rsidR="001E38A4" w:rsidRDefault="001E38A4" w:rsidP="001E38A4">
      <w:pPr>
        <w:pStyle w:val="my-2"/>
        <w:numPr>
          <w:ilvl w:val="0"/>
          <w:numId w:val="3"/>
        </w:numPr>
        <w:jc w:val="both"/>
        <w:rPr>
          <w:rFonts w:ascii="pplxSerif" w:hAnsi="pplxSerif" w:cs="Segoe UI"/>
        </w:rPr>
      </w:pPr>
      <w:r>
        <w:rPr>
          <w:rFonts w:ascii="pplxSerif" w:hAnsi="pplxSerif" w:cs="Segoe UI"/>
        </w:rPr>
        <w:t>Donabedian, A. (1988) ‘The quality of care: How can it be assessed?’, </w:t>
      </w:r>
      <w:r w:rsidRPr="001E38A4">
        <w:rPr>
          <w:rStyle w:val="Emphasis"/>
          <w:rFonts w:ascii="pplxSerif" w:hAnsi="pplxSerif" w:cs="Segoe UI"/>
        </w:rPr>
        <w:t>Journal of</w:t>
      </w:r>
      <w:r>
        <w:rPr>
          <w:rStyle w:val="Emphasis"/>
          <w:rFonts w:ascii="pplxSerif" w:hAnsi="pplxSerif" w:cs="Segoe UI"/>
          <w:bdr w:val="single" w:sz="2" w:space="0" w:color="auto" w:frame="1"/>
        </w:rPr>
        <w:t xml:space="preserve"> </w:t>
      </w:r>
      <w:r w:rsidRPr="001E38A4">
        <w:rPr>
          <w:rStyle w:val="Emphasis"/>
          <w:rFonts w:ascii="pplxSerif" w:hAnsi="pplxSerif" w:cs="Segoe UI"/>
        </w:rPr>
        <w:t>the American Medical Association</w:t>
      </w:r>
      <w:r>
        <w:rPr>
          <w:rFonts w:ascii="pplxSerif" w:hAnsi="pplxSerif" w:cs="Segoe UI"/>
        </w:rPr>
        <w:t>, 260(12), pp. 1743–1748.​</w:t>
      </w:r>
    </w:p>
    <w:p w14:paraId="7DCB1232" w14:textId="77777777" w:rsidR="001E38A4" w:rsidRDefault="001E38A4" w:rsidP="001E38A4">
      <w:pPr>
        <w:pStyle w:val="my-2"/>
        <w:numPr>
          <w:ilvl w:val="0"/>
          <w:numId w:val="3"/>
        </w:numPr>
        <w:jc w:val="both"/>
        <w:rPr>
          <w:rFonts w:ascii="pplxSerif" w:hAnsi="pplxSerif" w:cs="Segoe UI"/>
        </w:rPr>
      </w:pPr>
      <w:r>
        <w:rPr>
          <w:rFonts w:ascii="pplxSerif" w:hAnsi="pplxSerif" w:cs="Segoe UI"/>
        </w:rPr>
        <w:t>Ferner, R.E. </w:t>
      </w:r>
      <w:r w:rsidRPr="001E38A4">
        <w:rPr>
          <w:rStyle w:val="Emphasis"/>
          <w:rFonts w:ascii="pplxSerif" w:hAnsi="pplxSerif" w:cs="Segoe UI"/>
        </w:rPr>
        <w:t>et al.</w:t>
      </w:r>
      <w:r>
        <w:rPr>
          <w:rFonts w:ascii="pplxSerif" w:hAnsi="pplxSerif" w:cs="Segoe UI"/>
        </w:rPr>
        <w:t> (2007) ‘Guidelines for the diagnosis and management of individuals with neurofibromatosis 1’, </w:t>
      </w:r>
      <w:r w:rsidRPr="001E38A4">
        <w:rPr>
          <w:rStyle w:val="Emphasis"/>
          <w:rFonts w:ascii="pplxSerif" w:hAnsi="pplxSerif" w:cs="Segoe UI"/>
        </w:rPr>
        <w:t>Journal of Medical Genetics</w:t>
      </w:r>
      <w:r>
        <w:rPr>
          <w:rFonts w:ascii="pplxSerif" w:hAnsi="pplxSerif" w:cs="Segoe UI"/>
        </w:rPr>
        <w:t>, 44(2), pp. 81–88.​</w:t>
      </w:r>
    </w:p>
    <w:p w14:paraId="728602F8" w14:textId="77777777" w:rsidR="001E38A4" w:rsidRDefault="001E38A4" w:rsidP="001E38A4">
      <w:pPr>
        <w:pStyle w:val="my-2"/>
        <w:numPr>
          <w:ilvl w:val="0"/>
          <w:numId w:val="3"/>
        </w:numPr>
        <w:jc w:val="both"/>
        <w:rPr>
          <w:rFonts w:ascii="pplxSerif" w:hAnsi="pplxSerif" w:cs="Segoe UI"/>
        </w:rPr>
      </w:pPr>
      <w:r>
        <w:rPr>
          <w:rFonts w:ascii="pplxSerif" w:hAnsi="pplxSerif" w:cs="Segoe UI"/>
        </w:rPr>
        <w:t>Hirbe, A.C. and Gutmann, D.H. (2014) ‘Neurofibromatosis type 1: A multidisciplinary approach to care’, </w:t>
      </w:r>
      <w:r w:rsidRPr="001E38A4">
        <w:rPr>
          <w:rStyle w:val="Emphasis"/>
          <w:rFonts w:ascii="pplxSerif" w:hAnsi="pplxSerif" w:cs="Segoe UI"/>
        </w:rPr>
        <w:t>The Lancet Neurology</w:t>
      </w:r>
      <w:r>
        <w:rPr>
          <w:rFonts w:ascii="pplxSerif" w:hAnsi="pplxSerif" w:cs="Segoe UI"/>
        </w:rPr>
        <w:t>, 13(8), pp. 834–843.​</w:t>
      </w:r>
    </w:p>
    <w:p w14:paraId="1A2CD936" w14:textId="77777777" w:rsidR="001E38A4" w:rsidRDefault="001E38A4" w:rsidP="001E38A4">
      <w:pPr>
        <w:pStyle w:val="my-2"/>
        <w:numPr>
          <w:ilvl w:val="0"/>
          <w:numId w:val="3"/>
        </w:numPr>
        <w:jc w:val="both"/>
        <w:rPr>
          <w:rFonts w:ascii="pplxSerif" w:hAnsi="pplxSerif" w:cs="Segoe UI"/>
        </w:rPr>
      </w:pPr>
      <w:r>
        <w:rPr>
          <w:rFonts w:ascii="pplxSerif" w:hAnsi="pplxSerif" w:cs="Segoe UI"/>
        </w:rPr>
        <w:t>Stewart, D.R. </w:t>
      </w:r>
      <w:r w:rsidRPr="001E38A4">
        <w:rPr>
          <w:rStyle w:val="Emphasis"/>
          <w:rFonts w:ascii="pplxSerif" w:hAnsi="pplxSerif" w:cs="Segoe UI"/>
        </w:rPr>
        <w:t>et al.</w:t>
      </w:r>
      <w:r>
        <w:rPr>
          <w:rFonts w:ascii="pplxSerif" w:hAnsi="pplxSerif" w:cs="Segoe UI"/>
        </w:rPr>
        <w:t> (2018) ‘Care of adults with neurofibromatosis type 1: A clinical practice resource’, </w:t>
      </w:r>
      <w:r w:rsidRPr="001E38A4">
        <w:rPr>
          <w:rStyle w:val="Emphasis"/>
          <w:rFonts w:ascii="pplxSerif" w:hAnsi="pplxSerif" w:cs="Segoe UI"/>
        </w:rPr>
        <w:t>American Journal of Medical Genetics Part A</w:t>
      </w:r>
      <w:r w:rsidRPr="001E38A4">
        <w:rPr>
          <w:rFonts w:ascii="pplxSerif" w:hAnsi="pplxSerif" w:cs="Segoe UI"/>
        </w:rPr>
        <w:t>,</w:t>
      </w:r>
      <w:r>
        <w:rPr>
          <w:rFonts w:ascii="pplxSerif" w:hAnsi="pplxSerif" w:cs="Segoe UI"/>
        </w:rPr>
        <w:t xml:space="preserve"> 176(7), pp. 125–139.</w:t>
      </w:r>
    </w:p>
    <w:p w14:paraId="45959C7F" w14:textId="77777777" w:rsidR="001E38A4" w:rsidRDefault="001E38A4" w:rsidP="001E38A4">
      <w:pPr>
        <w:pStyle w:val="my-2"/>
        <w:numPr>
          <w:ilvl w:val="0"/>
          <w:numId w:val="3"/>
        </w:numPr>
        <w:jc w:val="both"/>
        <w:rPr>
          <w:rFonts w:ascii="pplxSerif" w:hAnsi="pplxSerif" w:cs="Segoe UI"/>
        </w:rPr>
      </w:pPr>
      <w:r>
        <w:rPr>
          <w:rFonts w:ascii="pplxSerif" w:hAnsi="pplxSerif" w:cs="Segoe UI"/>
        </w:rPr>
        <w:t>ERN</w:t>
      </w:r>
      <w:r>
        <w:rPr>
          <w:rFonts w:ascii="pplxSerif" w:hAnsi="pplxSerif" w:cs="Segoe UI"/>
        </w:rPr>
        <w:noBreakHyphen/>
        <w:t>Genturis (2022) </w:t>
      </w:r>
      <w:r w:rsidRPr="001E38A4">
        <w:rPr>
          <w:rStyle w:val="Emphasis"/>
          <w:rFonts w:ascii="pplxSerif" w:hAnsi="pplxSerif" w:cs="Segoe UI"/>
        </w:rPr>
        <w:t>Neurofibromatosis Type 1 Care Pathway</w:t>
      </w:r>
      <w:r w:rsidRPr="001E38A4">
        <w:rPr>
          <w:rFonts w:ascii="pplxSerif" w:hAnsi="pplxSerif" w:cs="Segoe UI"/>
        </w:rPr>
        <w:t xml:space="preserve">. </w:t>
      </w:r>
      <w:r>
        <w:rPr>
          <w:rFonts w:ascii="pplxSerif" w:hAnsi="pplxSerif" w:cs="Segoe UI"/>
        </w:rPr>
        <w:t>Version 1.8. Available at: </w:t>
      </w:r>
      <w:hyperlink r:id="rId10" w:tgtFrame="_blank" w:history="1">
        <w:r w:rsidRPr="001E38A4">
          <w:rPr>
            <w:rStyle w:val="text-box-trim-both"/>
            <w:rFonts w:ascii="unset" w:hAnsi="unset" w:cs="Segoe UI"/>
            <w:color w:val="0000FF"/>
            <w:u w:val="single"/>
          </w:rPr>
          <w:t>https://www.genturis.eu</w:t>
        </w:r>
      </w:hyperlink>
      <w:r>
        <w:rPr>
          <w:rFonts w:ascii="pplxSerif" w:hAnsi="pplxSerif" w:cs="Segoe UI"/>
        </w:rPr>
        <w:t> (Accessed 24 March 2026).​</w:t>
      </w:r>
    </w:p>
    <w:p w14:paraId="17A1909A" w14:textId="77777777" w:rsidR="001E38A4" w:rsidRDefault="001E38A4" w:rsidP="001E38A4">
      <w:pPr>
        <w:pStyle w:val="my-2"/>
        <w:numPr>
          <w:ilvl w:val="0"/>
          <w:numId w:val="3"/>
        </w:numPr>
        <w:jc w:val="both"/>
        <w:rPr>
          <w:rFonts w:ascii="pplxSerif" w:hAnsi="pplxSerif" w:cs="Segoe UI"/>
        </w:rPr>
      </w:pPr>
      <w:r>
        <w:rPr>
          <w:rFonts w:ascii="pplxSerif" w:hAnsi="pplxSerif" w:cs="Segoe UI"/>
        </w:rPr>
        <w:t>Lalvani, S. </w:t>
      </w:r>
      <w:r>
        <w:rPr>
          <w:rStyle w:val="Emphasis"/>
          <w:rFonts w:ascii="pplxSerif" w:hAnsi="pplxSerif" w:cs="Segoe UI"/>
          <w:bdr w:val="single" w:sz="2" w:space="0" w:color="auto" w:frame="1"/>
        </w:rPr>
        <w:t>et al.</w:t>
      </w:r>
      <w:r>
        <w:rPr>
          <w:rFonts w:ascii="pplxSerif" w:hAnsi="pplxSerif" w:cs="Segoe UI"/>
        </w:rPr>
        <w:t> (2024) ‘Neurofibromatosis Type 1: Optimizing management with a multidisciplinary approach’, </w:t>
      </w:r>
      <w:r w:rsidRPr="001E38A4">
        <w:rPr>
          <w:rStyle w:val="Emphasis"/>
          <w:rFonts w:ascii="pplxSerif" w:hAnsi="pplxSerif" w:cs="Segoe UI"/>
        </w:rPr>
        <w:t>Journal of Multidisciplinary Healthcare</w:t>
      </w:r>
      <w:r>
        <w:rPr>
          <w:rFonts w:ascii="pplxSerif" w:hAnsi="pplxSerif" w:cs="Segoe UI"/>
        </w:rPr>
        <w:t>, 17, pp. 123–140.</w:t>
      </w:r>
    </w:p>
    <w:p w14:paraId="2C351CF8" w14:textId="77777777" w:rsidR="001E38A4" w:rsidRDefault="001E38A4" w:rsidP="001E38A4">
      <w:pPr>
        <w:pStyle w:val="my-2"/>
        <w:numPr>
          <w:ilvl w:val="0"/>
          <w:numId w:val="3"/>
        </w:numPr>
        <w:jc w:val="both"/>
        <w:rPr>
          <w:rFonts w:ascii="pplxSerif" w:hAnsi="pplxSerif" w:cs="Segoe UI"/>
        </w:rPr>
      </w:pPr>
      <w:r>
        <w:rPr>
          <w:rFonts w:ascii="pplxSerif" w:hAnsi="pplxSerif" w:cs="Segoe UI"/>
        </w:rPr>
        <w:t>Radtke, H.B. </w:t>
      </w:r>
      <w:r w:rsidRPr="001E38A4">
        <w:rPr>
          <w:rStyle w:val="Emphasis"/>
          <w:rFonts w:ascii="pplxSerif" w:hAnsi="pplxSerif" w:cs="Segoe UI"/>
        </w:rPr>
        <w:t>et al.</w:t>
      </w:r>
      <w:r>
        <w:rPr>
          <w:rFonts w:ascii="pplxSerif" w:hAnsi="pplxSerif" w:cs="Segoe UI"/>
        </w:rPr>
        <w:t> (2023) ‘Neurofibromatosis type 1: Addressing the transition from paediatric to adult care’, </w:t>
      </w:r>
      <w:r w:rsidRPr="001E38A4">
        <w:rPr>
          <w:rStyle w:val="Emphasis"/>
          <w:rFonts w:ascii="pplxSerif" w:hAnsi="pplxSerif" w:cs="Segoe UI"/>
        </w:rPr>
        <w:t>Patient Preference and Adherence</w:t>
      </w:r>
      <w:r>
        <w:rPr>
          <w:rFonts w:ascii="pplxSerif" w:hAnsi="pplxSerif" w:cs="Segoe UI"/>
        </w:rPr>
        <w:t>, 17, pp. 1001–1014.</w:t>
      </w:r>
    </w:p>
    <w:p w14:paraId="0CA51257" w14:textId="77777777" w:rsidR="001E38A4" w:rsidRDefault="001E38A4" w:rsidP="001E38A4">
      <w:pPr>
        <w:pStyle w:val="my-2"/>
        <w:numPr>
          <w:ilvl w:val="0"/>
          <w:numId w:val="3"/>
        </w:numPr>
        <w:jc w:val="both"/>
        <w:rPr>
          <w:rFonts w:ascii="pplxSerif" w:hAnsi="pplxSerif" w:cs="Segoe UI"/>
        </w:rPr>
      </w:pPr>
      <w:r>
        <w:rPr>
          <w:rFonts w:ascii="pplxSerif" w:hAnsi="pplxSerif" w:cs="Segoe UI"/>
        </w:rPr>
        <w:t>Melhado, E.M. (2025) ‘Neurofibromatosis: A practical guide to diagnosis and management’, </w:t>
      </w:r>
      <w:r w:rsidRPr="001E38A4">
        <w:rPr>
          <w:rStyle w:val="Emphasis"/>
          <w:rFonts w:ascii="pplxSerif" w:hAnsi="pplxSerif" w:cs="Segoe UI"/>
        </w:rPr>
        <w:t>EC Neurology</w:t>
      </w:r>
      <w:r>
        <w:rPr>
          <w:rFonts w:ascii="pplxSerif" w:hAnsi="pplxSerif" w:cs="Segoe UI"/>
        </w:rPr>
        <w:t>, 17(4), pp. 45–58.​</w:t>
      </w:r>
    </w:p>
    <w:p w14:paraId="33BD4895" w14:textId="77777777" w:rsidR="001E38A4" w:rsidRDefault="001E38A4" w:rsidP="001E38A4">
      <w:pPr>
        <w:pStyle w:val="my-2"/>
        <w:numPr>
          <w:ilvl w:val="0"/>
          <w:numId w:val="3"/>
        </w:numPr>
        <w:jc w:val="both"/>
        <w:rPr>
          <w:rFonts w:ascii="pplxSerif" w:hAnsi="pplxSerif" w:cs="Segoe UI"/>
        </w:rPr>
      </w:pPr>
      <w:r>
        <w:rPr>
          <w:rFonts w:ascii="pplxSerif" w:hAnsi="pplxSerif" w:cs="Segoe UI"/>
        </w:rPr>
        <w:t>Nerve Tumours UK (2023) </w:t>
      </w:r>
      <w:r w:rsidRPr="001E38A4">
        <w:rPr>
          <w:rStyle w:val="Emphasis"/>
          <w:rFonts w:ascii="pplxSerif" w:hAnsi="pplxSerif" w:cs="Segoe UI"/>
        </w:rPr>
        <w:t>Neurofibromatosis Type 1 Review Guidelines for</w:t>
      </w:r>
      <w:r>
        <w:rPr>
          <w:rStyle w:val="Emphasis"/>
          <w:rFonts w:ascii="pplxSerif" w:hAnsi="pplxSerif" w:cs="Segoe UI"/>
          <w:bdr w:val="single" w:sz="2" w:space="0" w:color="auto" w:frame="1"/>
        </w:rPr>
        <w:t xml:space="preserve"> </w:t>
      </w:r>
      <w:r w:rsidRPr="001E38A4">
        <w:rPr>
          <w:rStyle w:val="Emphasis"/>
          <w:rFonts w:ascii="pplxSerif" w:hAnsi="pplxSerif" w:cs="Segoe UI"/>
        </w:rPr>
        <w:t>Children</w:t>
      </w:r>
      <w:r>
        <w:rPr>
          <w:rFonts w:ascii="pplxSerif" w:hAnsi="pplxSerif" w:cs="Segoe UI"/>
        </w:rPr>
        <w:t>. London: Nerve Tumours UK.​</w:t>
      </w:r>
    </w:p>
    <w:p w14:paraId="7F963FB6" w14:textId="77777777" w:rsidR="001E38A4" w:rsidRDefault="001E38A4" w:rsidP="001E38A4">
      <w:pPr>
        <w:pStyle w:val="my-2"/>
        <w:numPr>
          <w:ilvl w:val="0"/>
          <w:numId w:val="3"/>
        </w:numPr>
        <w:jc w:val="both"/>
        <w:rPr>
          <w:rFonts w:ascii="pplxSerif" w:hAnsi="pplxSerif" w:cs="Segoe UI"/>
        </w:rPr>
      </w:pPr>
      <w:r>
        <w:rPr>
          <w:rFonts w:ascii="pplxSerif" w:hAnsi="pplxSerif" w:cs="Segoe UI"/>
        </w:rPr>
        <w:t>NF Center (2016) ‘Understanding the diverse clinical features of neurofibromatosis type 1’, </w:t>
      </w:r>
      <w:r w:rsidRPr="001E38A4">
        <w:rPr>
          <w:rStyle w:val="Emphasis"/>
          <w:rFonts w:ascii="pplxSerif" w:hAnsi="pplxSerif" w:cs="Segoe UI"/>
        </w:rPr>
        <w:t>Washington University NF Center</w:t>
      </w:r>
      <w:r>
        <w:rPr>
          <w:rFonts w:ascii="pplxSerif" w:hAnsi="pplxSerif" w:cs="Segoe UI"/>
        </w:rPr>
        <w:t>.​</w:t>
      </w:r>
    </w:p>
    <w:p w14:paraId="4217232D" w14:textId="77777777" w:rsidR="001E38A4" w:rsidRDefault="001E38A4" w:rsidP="001E38A4">
      <w:pPr>
        <w:pStyle w:val="my-2"/>
        <w:numPr>
          <w:ilvl w:val="0"/>
          <w:numId w:val="3"/>
        </w:numPr>
        <w:jc w:val="both"/>
        <w:rPr>
          <w:rFonts w:ascii="pplxSerif" w:hAnsi="pplxSerif" w:cs="Segoe UI"/>
        </w:rPr>
      </w:pPr>
      <w:r>
        <w:rPr>
          <w:rFonts w:ascii="pplxSerif" w:hAnsi="pplxSerif" w:cs="Segoe UI"/>
        </w:rPr>
        <w:t>Wiegmann, D.A. and Shappell, S.A. (2022) ‘Understanding the “Swiss Cheese Model” and its application to patient safety’, </w:t>
      </w:r>
      <w:r w:rsidRPr="001E38A4">
        <w:rPr>
          <w:rStyle w:val="Emphasis"/>
          <w:rFonts w:ascii="pplxSerif" w:hAnsi="pplxSerif" w:cs="Segoe UI"/>
        </w:rPr>
        <w:t>Patient Safety in Surgery</w:t>
      </w:r>
      <w:r>
        <w:rPr>
          <w:rFonts w:ascii="pplxSerif" w:hAnsi="pplxSerif" w:cs="Segoe UI"/>
        </w:rPr>
        <w:t>, 16(1), p. 12.​</w:t>
      </w:r>
    </w:p>
    <w:p w14:paraId="0CAD4B25" w14:textId="77777777" w:rsidR="001E38A4" w:rsidRDefault="001E38A4" w:rsidP="001E38A4">
      <w:pPr>
        <w:pStyle w:val="my-2"/>
        <w:numPr>
          <w:ilvl w:val="0"/>
          <w:numId w:val="3"/>
        </w:numPr>
        <w:jc w:val="both"/>
        <w:rPr>
          <w:rFonts w:ascii="pplxSerif" w:hAnsi="pplxSerif" w:cs="Segoe UI"/>
        </w:rPr>
      </w:pPr>
      <w:r>
        <w:rPr>
          <w:rFonts w:ascii="pplxSerif" w:hAnsi="pplxSerif" w:cs="Segoe UI"/>
        </w:rPr>
        <w:t>Public Health Wales (2023) </w:t>
      </w:r>
      <w:r w:rsidRPr="001E38A4">
        <w:rPr>
          <w:rStyle w:val="Emphasis"/>
          <w:rFonts w:ascii="pplxSerif" w:hAnsi="pplxSerif" w:cs="Segoe UI"/>
        </w:rPr>
        <w:t>Reason’s Swiss Cheese Model: Improvement Cymru</w:t>
      </w:r>
      <w:r>
        <w:rPr>
          <w:rStyle w:val="Emphasis"/>
          <w:rFonts w:ascii="pplxSerif" w:hAnsi="pplxSerif" w:cs="Segoe UI"/>
          <w:bdr w:val="single" w:sz="2" w:space="0" w:color="auto" w:frame="1"/>
        </w:rPr>
        <w:t xml:space="preserve"> </w:t>
      </w:r>
      <w:r w:rsidRPr="001E38A4">
        <w:rPr>
          <w:rStyle w:val="Emphasis"/>
          <w:rFonts w:ascii="pplxSerif" w:hAnsi="pplxSerif" w:cs="Segoe UI"/>
        </w:rPr>
        <w:t>Academy Toolkit</w:t>
      </w:r>
      <w:r>
        <w:rPr>
          <w:rFonts w:ascii="pplxSerif" w:hAnsi="pplxSerif" w:cs="Segoe UI"/>
        </w:rPr>
        <w:t>. Cardiff: Public Health Wales NHS Trust.​</w:t>
      </w:r>
    </w:p>
    <w:p w14:paraId="6F287D17" w14:textId="77777777" w:rsidR="001E38A4" w:rsidRDefault="001E38A4" w:rsidP="001E38A4">
      <w:pPr>
        <w:pStyle w:val="my-2"/>
        <w:numPr>
          <w:ilvl w:val="0"/>
          <w:numId w:val="3"/>
        </w:numPr>
        <w:jc w:val="both"/>
        <w:rPr>
          <w:rFonts w:ascii="pplxSerif" w:hAnsi="pplxSerif" w:cs="Segoe UI"/>
        </w:rPr>
      </w:pPr>
      <w:r>
        <w:rPr>
          <w:rFonts w:ascii="pplxSerif" w:hAnsi="pplxSerif" w:cs="Segoe UI"/>
        </w:rPr>
        <w:t>Jackson</w:t>
      </w:r>
      <w:r>
        <w:rPr>
          <w:rFonts w:ascii="pplxSerif" w:hAnsi="pplxSerif" w:cs="Segoe UI"/>
        </w:rPr>
        <w:noBreakHyphen/>
        <w:t>Medical (2024) ‘The Swiss Cheese Model for patient safety’, </w:t>
      </w:r>
      <w:r w:rsidRPr="001E38A4">
        <w:rPr>
          <w:rStyle w:val="Emphasis"/>
          <w:rFonts w:ascii="pplxSerif" w:hAnsi="pplxSerif" w:cs="Segoe UI"/>
        </w:rPr>
        <w:t>Jackson</w:t>
      </w:r>
      <w:r>
        <w:rPr>
          <w:rStyle w:val="Emphasis"/>
          <w:rFonts w:ascii="pplxSerif" w:hAnsi="pplxSerif" w:cs="Segoe UI"/>
          <w:bdr w:val="single" w:sz="2" w:space="0" w:color="auto" w:frame="1"/>
        </w:rPr>
        <w:t xml:space="preserve"> </w:t>
      </w:r>
      <w:r w:rsidRPr="001E38A4">
        <w:rPr>
          <w:rStyle w:val="Emphasis"/>
          <w:rFonts w:ascii="pplxSerif" w:hAnsi="pplxSerif" w:cs="Segoe UI"/>
        </w:rPr>
        <w:t>Medical Blog</w:t>
      </w:r>
      <w:r>
        <w:rPr>
          <w:rFonts w:ascii="pplxSerif" w:hAnsi="pplxSerif" w:cs="Segoe UI"/>
        </w:rPr>
        <w:t>, 27 June.​</w:t>
      </w:r>
    </w:p>
    <w:p w14:paraId="7F53D376" w14:textId="77777777" w:rsidR="001E38A4" w:rsidRDefault="001E38A4" w:rsidP="001E38A4">
      <w:pPr>
        <w:pStyle w:val="my-2"/>
        <w:numPr>
          <w:ilvl w:val="0"/>
          <w:numId w:val="3"/>
        </w:numPr>
        <w:jc w:val="both"/>
        <w:rPr>
          <w:rFonts w:ascii="pplxSerif" w:hAnsi="pplxSerif" w:cs="Segoe UI"/>
        </w:rPr>
      </w:pPr>
      <w:r>
        <w:rPr>
          <w:rFonts w:ascii="pplxSerif" w:hAnsi="pplxSerif" w:cs="Segoe UI"/>
        </w:rPr>
        <w:t>Ishikawa, K. (1986) </w:t>
      </w:r>
      <w:r w:rsidRPr="001E38A4">
        <w:rPr>
          <w:rStyle w:val="Emphasis"/>
          <w:rFonts w:ascii="pplxSerif" w:hAnsi="pplxSerif" w:cs="Segoe UI"/>
        </w:rPr>
        <w:t>Guide to Quality Control</w:t>
      </w:r>
      <w:r>
        <w:rPr>
          <w:rFonts w:ascii="pplxSerif" w:hAnsi="pplxSerif" w:cs="Segoe UI"/>
        </w:rPr>
        <w:t>. 2nd edn. Tokyo: Asian Productivity Organization.</w:t>
      </w:r>
    </w:p>
    <w:p w14:paraId="4DE45CAA" w14:textId="77777777" w:rsidR="001E38A4" w:rsidRDefault="001E38A4" w:rsidP="001E38A4">
      <w:pPr>
        <w:pStyle w:val="my-2"/>
        <w:numPr>
          <w:ilvl w:val="0"/>
          <w:numId w:val="3"/>
        </w:numPr>
        <w:jc w:val="both"/>
        <w:rPr>
          <w:rFonts w:ascii="pplxSerif" w:hAnsi="pplxSerif" w:cs="Segoe UI"/>
        </w:rPr>
      </w:pPr>
      <w:r>
        <w:rPr>
          <w:rFonts w:ascii="pplxSerif" w:hAnsi="pplxSerif" w:cs="Segoe UI"/>
        </w:rPr>
        <w:t>Tague, N.R. (2005) </w:t>
      </w:r>
      <w:r w:rsidRPr="001E38A4">
        <w:rPr>
          <w:rStyle w:val="Emphasis"/>
          <w:rFonts w:ascii="pplxSerif" w:hAnsi="pplxSerif" w:cs="Segoe UI"/>
        </w:rPr>
        <w:t>The Quality Toolbox</w:t>
      </w:r>
      <w:r>
        <w:rPr>
          <w:rFonts w:ascii="pplxSerif" w:hAnsi="pplxSerif" w:cs="Segoe UI"/>
        </w:rPr>
        <w:t>. 2nd edn. Milwaukee: ASQ Quality Press.​</w:t>
      </w:r>
    </w:p>
    <w:p w14:paraId="4CC3B6E8" w14:textId="77777777" w:rsidR="001E38A4" w:rsidRDefault="001E38A4" w:rsidP="001E38A4">
      <w:pPr>
        <w:pStyle w:val="my-2"/>
        <w:numPr>
          <w:ilvl w:val="0"/>
          <w:numId w:val="3"/>
        </w:numPr>
        <w:jc w:val="both"/>
        <w:rPr>
          <w:rFonts w:ascii="pplxSerif" w:hAnsi="pplxSerif" w:cs="Segoe UI"/>
        </w:rPr>
      </w:pPr>
      <w:r>
        <w:rPr>
          <w:rFonts w:ascii="pplxSerif" w:hAnsi="pplxSerif" w:cs="Segoe UI"/>
        </w:rPr>
        <w:t>Helms, M.M. and Nixon, J. (2010) ‘Exploring SWOT analysis – where are we now?’, </w:t>
      </w:r>
      <w:r w:rsidRPr="001E38A4">
        <w:rPr>
          <w:rStyle w:val="Emphasis"/>
          <w:rFonts w:ascii="pplxSerif" w:hAnsi="pplxSerif" w:cs="Segoe UI"/>
        </w:rPr>
        <w:t>Journal of Strategy and Management</w:t>
      </w:r>
      <w:r>
        <w:rPr>
          <w:rFonts w:ascii="pplxSerif" w:hAnsi="pplxSerif" w:cs="Segoe UI"/>
        </w:rPr>
        <w:t>, 3(3), pp. 215–251.​</w:t>
      </w:r>
    </w:p>
    <w:p w14:paraId="0B4CB142" w14:textId="77777777" w:rsidR="001E38A4" w:rsidRDefault="001E38A4" w:rsidP="001E38A4">
      <w:pPr>
        <w:pStyle w:val="my-2"/>
        <w:numPr>
          <w:ilvl w:val="0"/>
          <w:numId w:val="3"/>
        </w:numPr>
        <w:jc w:val="both"/>
        <w:rPr>
          <w:rFonts w:ascii="pplxSerif" w:hAnsi="pplxSerif" w:cs="Segoe UI"/>
        </w:rPr>
      </w:pPr>
      <w:r>
        <w:rPr>
          <w:rFonts w:ascii="pplxSerif" w:hAnsi="pplxSerif" w:cs="Segoe UI"/>
        </w:rPr>
        <w:t>Dyson, R.G. (2004) ‘Strategic development and SWOT analysis at the University of Warwick’, </w:t>
      </w:r>
      <w:r w:rsidRPr="001E38A4">
        <w:rPr>
          <w:rStyle w:val="Emphasis"/>
          <w:rFonts w:ascii="pplxSerif" w:hAnsi="pplxSerif" w:cs="Segoe UI"/>
        </w:rPr>
        <w:t>European Journal of Operational Research</w:t>
      </w:r>
      <w:r w:rsidRPr="001E38A4">
        <w:rPr>
          <w:rFonts w:ascii="pplxSerif" w:hAnsi="pplxSerif" w:cs="Segoe UI"/>
        </w:rPr>
        <w:t>,</w:t>
      </w:r>
      <w:r>
        <w:rPr>
          <w:rFonts w:ascii="pplxSerif" w:hAnsi="pplxSerif" w:cs="Segoe UI"/>
        </w:rPr>
        <w:t xml:space="preserve"> 152(3), pp. 631–640.​</w:t>
      </w:r>
    </w:p>
    <w:p w14:paraId="1838F5B0" w14:textId="77777777" w:rsidR="001E38A4" w:rsidRDefault="001E38A4" w:rsidP="001E38A4">
      <w:pPr>
        <w:pStyle w:val="my-2"/>
        <w:numPr>
          <w:ilvl w:val="0"/>
          <w:numId w:val="3"/>
        </w:numPr>
        <w:jc w:val="both"/>
        <w:rPr>
          <w:rFonts w:ascii="pplxSerif" w:hAnsi="pplxSerif" w:cs="Segoe UI"/>
        </w:rPr>
      </w:pPr>
      <w:r>
        <w:rPr>
          <w:rFonts w:ascii="pplxSerif" w:hAnsi="pplxSerif" w:cs="Segoe UI"/>
        </w:rPr>
        <w:t>Taylor, M.J. </w:t>
      </w:r>
      <w:r w:rsidRPr="001E38A4">
        <w:rPr>
          <w:rStyle w:val="Emphasis"/>
          <w:rFonts w:ascii="pplxSerif" w:hAnsi="pplxSerif" w:cs="Segoe UI"/>
        </w:rPr>
        <w:t>et al.</w:t>
      </w:r>
      <w:r>
        <w:rPr>
          <w:rFonts w:ascii="pplxSerif" w:hAnsi="pplxSerif" w:cs="Segoe UI"/>
        </w:rPr>
        <w:t> (2014) ‘Systematic review of the application of the Plan–Do–Study–Act method to improve quality in healthcare’</w:t>
      </w:r>
      <w:r w:rsidRPr="001E38A4">
        <w:rPr>
          <w:rFonts w:ascii="pplxSerif" w:hAnsi="pplxSerif" w:cs="Segoe UI"/>
        </w:rPr>
        <w:t>, </w:t>
      </w:r>
      <w:r w:rsidRPr="001E38A4">
        <w:rPr>
          <w:rStyle w:val="Emphasis"/>
          <w:rFonts w:ascii="pplxSerif" w:hAnsi="pplxSerif" w:cs="Segoe UI"/>
        </w:rPr>
        <w:t>BMJ Quality &amp; Safety</w:t>
      </w:r>
      <w:r w:rsidRPr="001E38A4">
        <w:rPr>
          <w:rFonts w:ascii="pplxSerif" w:hAnsi="pplxSerif" w:cs="Segoe UI"/>
        </w:rPr>
        <w:t>,</w:t>
      </w:r>
      <w:r>
        <w:rPr>
          <w:rFonts w:ascii="pplxSerif" w:hAnsi="pplxSerif" w:cs="Segoe UI"/>
        </w:rPr>
        <w:t xml:space="preserve"> 23(4), pp. 290–298.​</w:t>
      </w:r>
    </w:p>
    <w:p w14:paraId="5C362A11" w14:textId="77777777" w:rsidR="001E38A4" w:rsidRDefault="001E38A4" w:rsidP="001E38A4">
      <w:pPr>
        <w:pStyle w:val="my-2"/>
        <w:numPr>
          <w:ilvl w:val="0"/>
          <w:numId w:val="3"/>
        </w:numPr>
        <w:jc w:val="both"/>
        <w:rPr>
          <w:rFonts w:ascii="pplxSerif" w:hAnsi="pplxSerif" w:cs="Segoe UI"/>
        </w:rPr>
      </w:pPr>
      <w:r>
        <w:rPr>
          <w:rFonts w:ascii="pplxSerif" w:hAnsi="pplxSerif" w:cs="Segoe UI"/>
        </w:rPr>
        <w:t>Manandi, A. </w:t>
      </w:r>
      <w:r w:rsidRPr="001E38A4">
        <w:rPr>
          <w:rStyle w:val="Emphasis"/>
          <w:rFonts w:ascii="pplxSerif" w:hAnsi="pplxSerif" w:cs="Segoe UI"/>
        </w:rPr>
        <w:t>et al.</w:t>
      </w:r>
      <w:r>
        <w:rPr>
          <w:rFonts w:ascii="pplxSerif" w:hAnsi="pplxSerif" w:cs="Segoe UI"/>
        </w:rPr>
        <w:t> (2023) ‘Using PDSA cycles to improve service delivery in resource</w:t>
      </w:r>
      <w:r>
        <w:rPr>
          <w:rFonts w:ascii="pplxSerif" w:hAnsi="pplxSerif" w:cs="Segoe UI"/>
        </w:rPr>
        <w:noBreakHyphen/>
        <w:t>constrained settings’, </w:t>
      </w:r>
      <w:r w:rsidRPr="001E38A4">
        <w:rPr>
          <w:rStyle w:val="Emphasis"/>
          <w:rFonts w:ascii="pplxSerif" w:hAnsi="pplxSerif" w:cs="Segoe UI"/>
        </w:rPr>
        <w:t>International Journal for Quality in Health Care</w:t>
      </w:r>
      <w:r>
        <w:rPr>
          <w:rFonts w:ascii="pplxSerif" w:hAnsi="pplxSerif" w:cs="Segoe UI"/>
        </w:rPr>
        <w:t>, 35(2), pp. 1–9.​</w:t>
      </w:r>
    </w:p>
    <w:p w14:paraId="24F8B2CE" w14:textId="77777777" w:rsidR="001E38A4" w:rsidRDefault="001E38A4" w:rsidP="001E38A4">
      <w:pPr>
        <w:pStyle w:val="my-2"/>
        <w:numPr>
          <w:ilvl w:val="0"/>
          <w:numId w:val="3"/>
        </w:numPr>
        <w:jc w:val="both"/>
        <w:rPr>
          <w:rFonts w:ascii="pplxSerif" w:hAnsi="pplxSerif" w:cs="Segoe UI"/>
        </w:rPr>
      </w:pPr>
      <w:r>
        <w:rPr>
          <w:rFonts w:ascii="pplxSerif" w:hAnsi="pplxSerif" w:cs="Segoe UI"/>
        </w:rPr>
        <w:t>Kotter, J.P. (1996) </w:t>
      </w:r>
      <w:r w:rsidRPr="001E38A4">
        <w:rPr>
          <w:rStyle w:val="Emphasis"/>
          <w:rFonts w:ascii="pplxSerif" w:hAnsi="pplxSerif" w:cs="Segoe UI"/>
        </w:rPr>
        <w:t>Leading Change</w:t>
      </w:r>
      <w:r>
        <w:rPr>
          <w:rFonts w:ascii="pplxSerif" w:hAnsi="pplxSerif" w:cs="Segoe UI"/>
        </w:rPr>
        <w:t>. Boston: Harvard Business School Press.​</w:t>
      </w:r>
    </w:p>
    <w:p w14:paraId="73F06080" w14:textId="77777777" w:rsidR="001E38A4" w:rsidRDefault="001E38A4" w:rsidP="001E38A4">
      <w:pPr>
        <w:pStyle w:val="my-2"/>
        <w:numPr>
          <w:ilvl w:val="0"/>
          <w:numId w:val="3"/>
        </w:numPr>
        <w:jc w:val="both"/>
        <w:rPr>
          <w:rFonts w:ascii="pplxSerif" w:hAnsi="pplxSerif" w:cs="Segoe UI"/>
        </w:rPr>
      </w:pPr>
      <w:r>
        <w:rPr>
          <w:rFonts w:ascii="pplxSerif" w:hAnsi="pplxSerif" w:cs="Segoe UI"/>
        </w:rPr>
        <w:t>Hamilton, P. </w:t>
      </w:r>
      <w:r w:rsidRPr="001E38A4">
        <w:rPr>
          <w:rStyle w:val="Emphasis"/>
          <w:rFonts w:ascii="pplxSerif" w:hAnsi="pplxSerif" w:cs="Segoe UI"/>
        </w:rPr>
        <w:t>et al</w:t>
      </w:r>
      <w:r>
        <w:rPr>
          <w:rStyle w:val="Emphasis"/>
          <w:rFonts w:ascii="pplxSerif" w:hAnsi="pplxSerif" w:cs="Segoe UI"/>
          <w:bdr w:val="single" w:sz="2" w:space="0" w:color="auto" w:frame="1"/>
        </w:rPr>
        <w:t>.</w:t>
      </w:r>
      <w:r>
        <w:rPr>
          <w:rFonts w:ascii="pplxSerif" w:hAnsi="pplxSerif" w:cs="Segoe UI"/>
        </w:rPr>
        <w:t> (2020) ‘Change management for quality improvement in healthcare’, </w:t>
      </w:r>
      <w:r w:rsidRPr="001E38A4">
        <w:rPr>
          <w:rStyle w:val="Emphasis"/>
          <w:rFonts w:ascii="pplxSerif" w:hAnsi="pplxSerif" w:cs="Segoe UI"/>
        </w:rPr>
        <w:t>Healthcare Management Forum</w:t>
      </w:r>
      <w:r>
        <w:rPr>
          <w:rFonts w:ascii="pplxSerif" w:hAnsi="pplxSerif" w:cs="Segoe UI"/>
        </w:rPr>
        <w:t>, 33(1), pp. 12–18.​</w:t>
      </w:r>
    </w:p>
    <w:p w14:paraId="67B2FC45" w14:textId="77777777" w:rsidR="001E38A4" w:rsidRDefault="001E38A4" w:rsidP="001E38A4">
      <w:pPr>
        <w:pStyle w:val="my-2"/>
        <w:numPr>
          <w:ilvl w:val="0"/>
          <w:numId w:val="3"/>
        </w:numPr>
        <w:jc w:val="both"/>
        <w:rPr>
          <w:rFonts w:ascii="pplxSerif" w:hAnsi="pplxSerif" w:cs="Segoe UI"/>
        </w:rPr>
      </w:pPr>
      <w:r>
        <w:rPr>
          <w:rFonts w:ascii="pplxSerif" w:hAnsi="pplxSerif" w:cs="Segoe UI"/>
        </w:rPr>
        <w:t>Donnelly, P. and Kirk, P. (2015) ‘Use of quality</w:t>
      </w:r>
      <w:r>
        <w:rPr>
          <w:rFonts w:ascii="pplxSerif" w:hAnsi="pplxSerif" w:cs="Segoe UI"/>
        </w:rPr>
        <w:noBreakHyphen/>
        <w:t>improvement methods to enhance EMR implementation’, </w:t>
      </w:r>
      <w:r w:rsidRPr="001E38A4">
        <w:rPr>
          <w:rStyle w:val="Emphasis"/>
          <w:rFonts w:ascii="pplxSerif" w:hAnsi="pplxSerif" w:cs="Segoe UI"/>
        </w:rPr>
        <w:t>BMJ Quality Improvement Reports</w:t>
      </w:r>
      <w:r>
        <w:rPr>
          <w:rFonts w:ascii="pplxSerif" w:hAnsi="pplxSerif" w:cs="Segoe UI"/>
        </w:rPr>
        <w:t>, 4(1), pp. 1–6.​</w:t>
      </w:r>
    </w:p>
    <w:p w14:paraId="5884C0F3" w14:textId="77777777" w:rsidR="001E38A4" w:rsidRDefault="001E38A4" w:rsidP="001E38A4">
      <w:pPr>
        <w:pStyle w:val="my-2"/>
        <w:numPr>
          <w:ilvl w:val="0"/>
          <w:numId w:val="3"/>
        </w:numPr>
        <w:jc w:val="both"/>
        <w:rPr>
          <w:rFonts w:ascii="pplxSerif" w:hAnsi="pplxSerif" w:cs="Segoe UI"/>
        </w:rPr>
      </w:pPr>
      <w:r>
        <w:rPr>
          <w:rFonts w:ascii="pplxSerif" w:hAnsi="pplxSerif" w:cs="Segoe UI"/>
        </w:rPr>
        <w:t>Wachter, R.M. (2015) </w:t>
      </w:r>
      <w:r w:rsidRPr="001E38A4">
        <w:rPr>
          <w:rStyle w:val="Emphasis"/>
          <w:rFonts w:ascii="pplxSerif" w:hAnsi="pplxSerif" w:cs="Segoe UI"/>
        </w:rPr>
        <w:t>The Digital Doctor: Hope, Hype, and Harm at the Dawn of</w:t>
      </w:r>
      <w:r>
        <w:rPr>
          <w:rStyle w:val="Emphasis"/>
          <w:rFonts w:ascii="pplxSerif" w:hAnsi="pplxSerif" w:cs="Segoe UI"/>
          <w:bdr w:val="single" w:sz="2" w:space="0" w:color="auto" w:frame="1"/>
        </w:rPr>
        <w:t xml:space="preserve"> </w:t>
      </w:r>
      <w:r w:rsidRPr="001E38A4">
        <w:rPr>
          <w:rStyle w:val="Emphasis"/>
          <w:rFonts w:ascii="pplxSerif" w:hAnsi="pplxSerif" w:cs="Segoe UI"/>
        </w:rPr>
        <w:t>Medicine’s Computer Age</w:t>
      </w:r>
      <w:r>
        <w:rPr>
          <w:rFonts w:ascii="pplxSerif" w:hAnsi="pplxSerif" w:cs="Segoe UI"/>
        </w:rPr>
        <w:t>. New York: McGraw</w:t>
      </w:r>
      <w:r>
        <w:rPr>
          <w:rFonts w:ascii="pplxSerif" w:hAnsi="pplxSerif" w:cs="Segoe UI"/>
        </w:rPr>
        <w:noBreakHyphen/>
        <w:t>Hill.​</w:t>
      </w:r>
    </w:p>
    <w:p w14:paraId="77EB1AF7" w14:textId="77777777" w:rsidR="001E38A4" w:rsidRDefault="001E38A4" w:rsidP="001E38A4">
      <w:pPr>
        <w:pStyle w:val="my-2"/>
        <w:numPr>
          <w:ilvl w:val="0"/>
          <w:numId w:val="3"/>
        </w:numPr>
        <w:jc w:val="both"/>
        <w:rPr>
          <w:rFonts w:ascii="pplxSerif" w:hAnsi="pplxSerif" w:cs="Segoe UI"/>
        </w:rPr>
      </w:pPr>
      <w:r>
        <w:rPr>
          <w:rFonts w:ascii="pplxSerif" w:hAnsi="pplxSerif" w:cs="Segoe UI"/>
        </w:rPr>
        <w:t>NHS England (2023) </w:t>
      </w:r>
      <w:r w:rsidRPr="001E38A4">
        <w:rPr>
          <w:rStyle w:val="Emphasis"/>
          <w:rFonts w:ascii="pplxSerif" w:hAnsi="pplxSerif" w:cs="Segoe UI"/>
        </w:rPr>
        <w:t>National Rare Diseases Action Plan for England</w:t>
      </w:r>
      <w:r>
        <w:rPr>
          <w:rFonts w:ascii="pplxSerif" w:hAnsi="pplxSerif" w:cs="Segoe UI"/>
        </w:rPr>
        <w:t>. London: NHS England.​</w:t>
      </w:r>
    </w:p>
    <w:p w14:paraId="11767D21" w14:textId="77777777" w:rsidR="001E38A4" w:rsidRDefault="001E38A4" w:rsidP="001E38A4">
      <w:pPr>
        <w:pStyle w:val="my-2"/>
        <w:numPr>
          <w:ilvl w:val="0"/>
          <w:numId w:val="3"/>
        </w:numPr>
        <w:jc w:val="both"/>
        <w:rPr>
          <w:rFonts w:ascii="pplxSerif" w:hAnsi="pplxSerif" w:cs="Segoe UI"/>
        </w:rPr>
      </w:pPr>
      <w:r>
        <w:rPr>
          <w:rFonts w:ascii="pplxSerif" w:hAnsi="pplxSerif" w:cs="Segoe UI"/>
        </w:rPr>
        <w:t>European Commission (2021) </w:t>
      </w:r>
      <w:r w:rsidRPr="001E38A4">
        <w:rPr>
          <w:rStyle w:val="Emphasis"/>
          <w:rFonts w:ascii="pplxSerif" w:hAnsi="pplxSerif" w:cs="Segoe UI"/>
        </w:rPr>
        <w:t>Recommendation on a European Action Plan for</w:t>
      </w:r>
      <w:r>
        <w:rPr>
          <w:rStyle w:val="Emphasis"/>
          <w:rFonts w:ascii="pplxSerif" w:hAnsi="pplxSerif" w:cs="Segoe UI"/>
          <w:bdr w:val="single" w:sz="2" w:space="0" w:color="auto" w:frame="1"/>
        </w:rPr>
        <w:t xml:space="preserve"> </w:t>
      </w:r>
      <w:r w:rsidRPr="001E38A4">
        <w:rPr>
          <w:rStyle w:val="Emphasis"/>
          <w:rFonts w:ascii="pplxSerif" w:hAnsi="pplxSerif" w:cs="Segoe UI"/>
        </w:rPr>
        <w:t>Rare Diseases</w:t>
      </w:r>
      <w:r>
        <w:rPr>
          <w:rFonts w:ascii="pplxSerif" w:hAnsi="pplxSerif" w:cs="Segoe UI"/>
        </w:rPr>
        <w:t>. Brussels: European Commission.​</w:t>
      </w:r>
    </w:p>
    <w:p w14:paraId="09AB1729" w14:textId="77777777" w:rsidR="001E38A4" w:rsidRDefault="001E38A4" w:rsidP="001E38A4">
      <w:pPr>
        <w:pStyle w:val="my-2"/>
        <w:numPr>
          <w:ilvl w:val="0"/>
          <w:numId w:val="3"/>
        </w:numPr>
        <w:jc w:val="both"/>
        <w:rPr>
          <w:rFonts w:ascii="pplxSerif" w:hAnsi="pplxSerif" w:cs="Segoe UI"/>
        </w:rPr>
      </w:pPr>
      <w:r>
        <w:rPr>
          <w:rFonts w:ascii="pplxSerif" w:hAnsi="pplxSerif" w:cs="Segoe UI"/>
        </w:rPr>
        <w:t>Institute of Medicine (2000) </w:t>
      </w:r>
      <w:r w:rsidRPr="001E38A4">
        <w:rPr>
          <w:rStyle w:val="Emphasis"/>
          <w:rFonts w:ascii="pplxSerif" w:hAnsi="pplxSerif" w:cs="Segoe UI"/>
        </w:rPr>
        <w:t>To Err is Human: Building a Safer Health System</w:t>
      </w:r>
      <w:r>
        <w:rPr>
          <w:rFonts w:ascii="pplxSerif" w:hAnsi="pplxSerif" w:cs="Segoe UI"/>
        </w:rPr>
        <w:t>. Washington, DC: National Academies Press.​</w:t>
      </w:r>
    </w:p>
    <w:p w14:paraId="03A42DE8" w14:textId="77777777" w:rsidR="001E38A4" w:rsidRDefault="001E38A4" w:rsidP="001E38A4">
      <w:pPr>
        <w:pStyle w:val="my-2"/>
        <w:numPr>
          <w:ilvl w:val="0"/>
          <w:numId w:val="3"/>
        </w:numPr>
        <w:jc w:val="both"/>
        <w:rPr>
          <w:rFonts w:ascii="pplxSerif" w:hAnsi="pplxSerif" w:cs="Segoe UI"/>
        </w:rPr>
      </w:pPr>
      <w:r>
        <w:rPr>
          <w:rFonts w:ascii="pplxSerif" w:hAnsi="pplxSerif" w:cs="Segoe UI"/>
        </w:rPr>
        <w:t>Vincent, C. (2010</w:t>
      </w:r>
      <w:r w:rsidRPr="001E38A4">
        <w:rPr>
          <w:rFonts w:ascii="pplxSerif" w:hAnsi="pplxSerif" w:cs="Segoe UI"/>
        </w:rPr>
        <w:t>) </w:t>
      </w:r>
      <w:r w:rsidRPr="001E38A4">
        <w:rPr>
          <w:rStyle w:val="Emphasis"/>
          <w:rFonts w:ascii="pplxSerif" w:hAnsi="pplxSerif" w:cs="Segoe UI"/>
        </w:rPr>
        <w:t>Patient Safety</w:t>
      </w:r>
      <w:r>
        <w:rPr>
          <w:rFonts w:ascii="pplxSerif" w:hAnsi="pplxSerif" w:cs="Segoe UI"/>
        </w:rPr>
        <w:t>. 2nd edn. Chichester: Wiley</w:t>
      </w:r>
      <w:r>
        <w:rPr>
          <w:rFonts w:ascii="pplxSerif" w:hAnsi="pplxSerif" w:cs="Segoe UI"/>
        </w:rPr>
        <w:noBreakHyphen/>
        <w:t>Blackwell.​</w:t>
      </w:r>
    </w:p>
    <w:p w14:paraId="4C81BEA0" w14:textId="77777777" w:rsidR="001E38A4" w:rsidRDefault="001E38A4" w:rsidP="001E38A4">
      <w:pPr>
        <w:pStyle w:val="my-2"/>
        <w:numPr>
          <w:ilvl w:val="0"/>
          <w:numId w:val="3"/>
        </w:numPr>
        <w:jc w:val="both"/>
        <w:rPr>
          <w:rFonts w:ascii="pplxSerif" w:hAnsi="pplxSerif" w:cs="Segoe UI"/>
        </w:rPr>
      </w:pPr>
      <w:r>
        <w:rPr>
          <w:rFonts w:ascii="pplxSerif" w:hAnsi="pplxSerif" w:cs="Segoe UI"/>
        </w:rPr>
        <w:t>Greenhalgh, T. </w:t>
      </w:r>
      <w:r w:rsidRPr="001E38A4">
        <w:rPr>
          <w:rStyle w:val="Emphasis"/>
          <w:rFonts w:ascii="pplxSerif" w:hAnsi="pplxSerif" w:cs="Segoe UI"/>
        </w:rPr>
        <w:t>et al</w:t>
      </w:r>
      <w:r>
        <w:rPr>
          <w:rStyle w:val="Emphasis"/>
          <w:rFonts w:ascii="pplxSerif" w:hAnsi="pplxSerif" w:cs="Segoe UI"/>
          <w:bdr w:val="single" w:sz="2" w:space="0" w:color="auto" w:frame="1"/>
        </w:rPr>
        <w:t>.</w:t>
      </w:r>
      <w:r>
        <w:rPr>
          <w:rFonts w:ascii="pplxSerif" w:hAnsi="pplxSerif" w:cs="Segoe UI"/>
        </w:rPr>
        <w:t> (2017) ‘Beyond adoption: A new framework for theorising and evaluating nonadoption, abandonment, and challenges to the scale</w:t>
      </w:r>
      <w:r>
        <w:rPr>
          <w:rFonts w:ascii="pplxSerif" w:hAnsi="pplxSerif" w:cs="Segoe UI"/>
        </w:rPr>
        <w:noBreakHyphen/>
        <w:t>up, spread, and sustainability of health and care technologies’, </w:t>
      </w:r>
      <w:r w:rsidRPr="001E38A4">
        <w:rPr>
          <w:rStyle w:val="Emphasis"/>
          <w:rFonts w:ascii="pplxSerif" w:hAnsi="pplxSerif" w:cs="Segoe UI"/>
        </w:rPr>
        <w:t>Journal of Medical</w:t>
      </w:r>
      <w:r>
        <w:rPr>
          <w:rStyle w:val="Emphasis"/>
          <w:rFonts w:ascii="pplxSerif" w:hAnsi="pplxSerif" w:cs="Segoe UI"/>
          <w:bdr w:val="single" w:sz="2" w:space="0" w:color="auto" w:frame="1"/>
        </w:rPr>
        <w:t xml:space="preserve"> </w:t>
      </w:r>
      <w:r w:rsidRPr="001E38A4">
        <w:rPr>
          <w:rStyle w:val="Emphasis"/>
          <w:rFonts w:ascii="pplxSerif" w:hAnsi="pplxSerif" w:cs="Segoe UI"/>
        </w:rPr>
        <w:t>Internet Research</w:t>
      </w:r>
      <w:r>
        <w:rPr>
          <w:rFonts w:ascii="pplxSerif" w:hAnsi="pplxSerif" w:cs="Segoe UI"/>
        </w:rPr>
        <w:t>, 19(11), e367.​</w:t>
      </w:r>
    </w:p>
    <w:p w14:paraId="287AD372" w14:textId="77777777" w:rsidR="001E38A4" w:rsidRDefault="001E38A4" w:rsidP="001E38A4">
      <w:pPr>
        <w:pStyle w:val="my-2"/>
        <w:numPr>
          <w:ilvl w:val="0"/>
          <w:numId w:val="3"/>
        </w:numPr>
        <w:jc w:val="both"/>
        <w:rPr>
          <w:rFonts w:ascii="pplxSerif" w:hAnsi="pplxSerif" w:cs="Segoe UI"/>
        </w:rPr>
      </w:pPr>
      <w:r>
        <w:rPr>
          <w:rFonts w:ascii="pplxSerif" w:hAnsi="pplxSerif" w:cs="Segoe UI"/>
        </w:rPr>
        <w:t>Craven, M.P. and Simons, L. (2018) ‘Electronic health records, rare diseases and data quality: Challenges and opportunities’, </w:t>
      </w:r>
      <w:r w:rsidRPr="001E38A4">
        <w:rPr>
          <w:rStyle w:val="Emphasis"/>
          <w:rFonts w:ascii="pplxSerif" w:hAnsi="pplxSerif" w:cs="Segoe UI"/>
        </w:rPr>
        <w:t>Health Informatics Journal</w:t>
      </w:r>
      <w:r w:rsidRPr="001E38A4">
        <w:rPr>
          <w:rFonts w:ascii="pplxSerif" w:hAnsi="pplxSerif" w:cs="Segoe UI"/>
        </w:rPr>
        <w:t xml:space="preserve">, </w:t>
      </w:r>
      <w:r>
        <w:rPr>
          <w:rFonts w:ascii="pplxSerif" w:hAnsi="pplxSerif" w:cs="Segoe UI"/>
        </w:rPr>
        <w:t>24(3), pp. 258–272.</w:t>
      </w:r>
    </w:p>
    <w:p w14:paraId="0B0E95A8" w14:textId="77777777" w:rsidR="001E38A4" w:rsidRDefault="001E38A4" w:rsidP="001E38A4">
      <w:pPr>
        <w:pStyle w:val="my-2"/>
        <w:numPr>
          <w:ilvl w:val="0"/>
          <w:numId w:val="3"/>
        </w:numPr>
        <w:jc w:val="both"/>
        <w:rPr>
          <w:rFonts w:ascii="pplxSerif" w:hAnsi="pplxSerif" w:cs="Segoe UI"/>
        </w:rPr>
      </w:pPr>
      <w:r>
        <w:rPr>
          <w:rFonts w:ascii="pplxSerif" w:hAnsi="pplxSerif" w:cs="Segoe UI"/>
        </w:rPr>
        <w:t>Shojania, K.G. and Grimshaw, J.M. (2005) ‘Evidence</w:t>
      </w:r>
      <w:r>
        <w:rPr>
          <w:rFonts w:ascii="pplxSerif" w:hAnsi="pplxSerif" w:cs="Segoe UI"/>
        </w:rPr>
        <w:noBreakHyphen/>
        <w:t>based quality improvement: The state of the science’, </w:t>
      </w:r>
      <w:r w:rsidRPr="001E38A4">
        <w:rPr>
          <w:rStyle w:val="Emphasis"/>
          <w:rFonts w:ascii="pplxSerif" w:hAnsi="pplxSerif" w:cs="Segoe UI"/>
        </w:rPr>
        <w:t>Health Affairs</w:t>
      </w:r>
      <w:r w:rsidRPr="001E38A4">
        <w:rPr>
          <w:rFonts w:ascii="pplxSerif" w:hAnsi="pplxSerif" w:cs="Segoe UI"/>
        </w:rPr>
        <w:t>,</w:t>
      </w:r>
      <w:r>
        <w:rPr>
          <w:rFonts w:ascii="pplxSerif" w:hAnsi="pplxSerif" w:cs="Segoe UI"/>
        </w:rPr>
        <w:t xml:space="preserve"> 24(1), pp. 138–150.</w:t>
      </w:r>
    </w:p>
    <w:p w14:paraId="14F13F27" w14:textId="77777777" w:rsidR="001E38A4" w:rsidRPr="001E38A4" w:rsidRDefault="001E38A4" w:rsidP="001E38A4"/>
    <w:sectPr w:rsidR="001E38A4" w:rsidRPr="001E3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7F347" w14:textId="77777777" w:rsidR="0084309A" w:rsidRDefault="0084309A" w:rsidP="001E38A4">
      <w:pPr>
        <w:spacing w:after="0" w:line="240" w:lineRule="auto"/>
      </w:pPr>
      <w:r>
        <w:separator/>
      </w:r>
    </w:p>
  </w:endnote>
  <w:endnote w:type="continuationSeparator" w:id="0">
    <w:p w14:paraId="4763F9B7" w14:textId="77777777" w:rsidR="0084309A" w:rsidRDefault="0084309A" w:rsidP="001E3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plxSerif">
    <w:altName w:val="Cambria"/>
    <w:charset w:val="00"/>
    <w:family w:val="roman"/>
    <w:pitch w:val="default"/>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unset">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56BDB" w14:textId="77777777" w:rsidR="0084309A" w:rsidRDefault="0084309A" w:rsidP="001E38A4">
      <w:pPr>
        <w:spacing w:after="0" w:line="240" w:lineRule="auto"/>
      </w:pPr>
      <w:r>
        <w:separator/>
      </w:r>
    </w:p>
  </w:footnote>
  <w:footnote w:type="continuationSeparator" w:id="0">
    <w:p w14:paraId="6815AEB3" w14:textId="77777777" w:rsidR="0084309A" w:rsidRDefault="0084309A" w:rsidP="001E38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130738"/>
    <w:multiLevelType w:val="multilevel"/>
    <w:tmpl w:val="2C760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BB7D68"/>
    <w:multiLevelType w:val="multilevel"/>
    <w:tmpl w:val="87E03D6C"/>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F83183"/>
    <w:multiLevelType w:val="hybridMultilevel"/>
    <w:tmpl w:val="31F884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72336442">
    <w:abstractNumId w:val="0"/>
  </w:num>
  <w:num w:numId="2" w16cid:durableId="1727143472">
    <w:abstractNumId w:val="1"/>
  </w:num>
  <w:num w:numId="3" w16cid:durableId="149369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07B"/>
    <w:rsid w:val="000E707B"/>
    <w:rsid w:val="00112CC0"/>
    <w:rsid w:val="001E38A4"/>
    <w:rsid w:val="001F6882"/>
    <w:rsid w:val="003113C0"/>
    <w:rsid w:val="00374795"/>
    <w:rsid w:val="0084309A"/>
    <w:rsid w:val="008E53B8"/>
    <w:rsid w:val="00B928E9"/>
    <w:rsid w:val="00F11319"/>
    <w:rsid w:val="00FB45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B01A"/>
  <w15:chartTrackingRefBased/>
  <w15:docId w15:val="{CF3CBCF5-15E9-3D4E-A3D1-079F10BED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7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7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E7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E7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E7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0E7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0E7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0E7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7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7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E7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E7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E7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0E707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0E7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0E707B"/>
    <w:rPr>
      <w:rFonts w:eastAsiaTheme="majorEastAsia" w:cstheme="majorBidi"/>
      <w:color w:val="272727" w:themeColor="text1" w:themeTint="D8"/>
    </w:rPr>
  </w:style>
  <w:style w:type="paragraph" w:styleId="Title">
    <w:name w:val="Title"/>
    <w:basedOn w:val="Normal"/>
    <w:next w:val="Normal"/>
    <w:link w:val="TitleChar"/>
    <w:uiPriority w:val="10"/>
    <w:qFormat/>
    <w:rsid w:val="000E7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07B"/>
    <w:pPr>
      <w:spacing w:before="160"/>
      <w:jc w:val="center"/>
    </w:pPr>
    <w:rPr>
      <w:i/>
      <w:iCs/>
      <w:color w:val="404040" w:themeColor="text1" w:themeTint="BF"/>
    </w:rPr>
  </w:style>
  <w:style w:type="character" w:customStyle="1" w:styleId="QuoteChar">
    <w:name w:val="Quote Char"/>
    <w:basedOn w:val="DefaultParagraphFont"/>
    <w:link w:val="Quote"/>
    <w:uiPriority w:val="29"/>
    <w:rsid w:val="000E707B"/>
    <w:rPr>
      <w:i/>
      <w:iCs/>
      <w:color w:val="404040" w:themeColor="text1" w:themeTint="BF"/>
    </w:rPr>
  </w:style>
  <w:style w:type="paragraph" w:styleId="ListParagraph">
    <w:name w:val="List Paragraph"/>
    <w:basedOn w:val="Normal"/>
    <w:uiPriority w:val="34"/>
    <w:qFormat/>
    <w:rsid w:val="000E707B"/>
    <w:pPr>
      <w:ind w:left="720"/>
      <w:contextualSpacing/>
    </w:pPr>
  </w:style>
  <w:style w:type="character" w:styleId="IntenseEmphasis">
    <w:name w:val="Intense Emphasis"/>
    <w:basedOn w:val="DefaultParagraphFont"/>
    <w:uiPriority w:val="21"/>
    <w:qFormat/>
    <w:rsid w:val="000E707B"/>
    <w:rPr>
      <w:i/>
      <w:iCs/>
      <w:color w:val="0F4761" w:themeColor="accent1" w:themeShade="BF"/>
    </w:rPr>
  </w:style>
  <w:style w:type="paragraph" w:styleId="IntenseQuote">
    <w:name w:val="Intense Quote"/>
    <w:basedOn w:val="Normal"/>
    <w:next w:val="Normal"/>
    <w:link w:val="IntenseQuoteChar"/>
    <w:uiPriority w:val="30"/>
    <w:qFormat/>
    <w:rsid w:val="000E7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07B"/>
    <w:rPr>
      <w:i/>
      <w:iCs/>
      <w:color w:val="0F4761" w:themeColor="accent1" w:themeShade="BF"/>
    </w:rPr>
  </w:style>
  <w:style w:type="character" w:styleId="IntenseReference">
    <w:name w:val="Intense Reference"/>
    <w:basedOn w:val="DefaultParagraphFont"/>
    <w:uiPriority w:val="32"/>
    <w:qFormat/>
    <w:rsid w:val="000E707B"/>
    <w:rPr>
      <w:b/>
      <w:bCs/>
      <w:smallCaps/>
      <w:color w:val="0F4761" w:themeColor="accent1" w:themeShade="BF"/>
      <w:spacing w:val="5"/>
    </w:rPr>
  </w:style>
  <w:style w:type="character" w:customStyle="1" w:styleId="normaltextrun">
    <w:name w:val="normaltextrun"/>
    <w:basedOn w:val="DefaultParagraphFont"/>
    <w:rsid w:val="000E707B"/>
  </w:style>
  <w:style w:type="character" w:customStyle="1" w:styleId="eop">
    <w:name w:val="eop"/>
    <w:basedOn w:val="DefaultParagraphFont"/>
    <w:rsid w:val="000E707B"/>
  </w:style>
  <w:style w:type="paragraph" w:customStyle="1" w:styleId="paragraph">
    <w:name w:val="paragraph"/>
    <w:basedOn w:val="Normal"/>
    <w:rsid w:val="000E707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GridTable4-Accent3">
    <w:name w:val="Grid Table 4 Accent 3"/>
    <w:basedOn w:val="TableNormal"/>
    <w:uiPriority w:val="49"/>
    <w:rsid w:val="001E38A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Strong">
    <w:name w:val="Strong"/>
    <w:basedOn w:val="DefaultParagraphFont"/>
    <w:uiPriority w:val="22"/>
    <w:qFormat/>
    <w:rsid w:val="001E38A4"/>
    <w:rPr>
      <w:b/>
      <w:bCs/>
    </w:rPr>
  </w:style>
  <w:style w:type="paragraph" w:styleId="Header">
    <w:name w:val="header"/>
    <w:basedOn w:val="Normal"/>
    <w:link w:val="HeaderChar"/>
    <w:uiPriority w:val="99"/>
    <w:unhideWhenUsed/>
    <w:rsid w:val="001E3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8A4"/>
  </w:style>
  <w:style w:type="paragraph" w:styleId="Footer">
    <w:name w:val="footer"/>
    <w:basedOn w:val="Normal"/>
    <w:link w:val="FooterChar"/>
    <w:uiPriority w:val="99"/>
    <w:unhideWhenUsed/>
    <w:rsid w:val="001E3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8A4"/>
  </w:style>
  <w:style w:type="paragraph" w:customStyle="1" w:styleId="my-2">
    <w:name w:val="my-2"/>
    <w:basedOn w:val="Normal"/>
    <w:rsid w:val="001E38A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E38A4"/>
    <w:rPr>
      <w:i/>
      <w:iCs/>
    </w:rPr>
  </w:style>
  <w:style w:type="character" w:customStyle="1" w:styleId="text-box-trim-both">
    <w:name w:val="text-box-trim-both"/>
    <w:basedOn w:val="DefaultParagraphFont"/>
    <w:rsid w:val="001E3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yperlink" Target="https://www.genturis.eu/" TargetMode="Externa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5531</Words>
  <Characters>31527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Bharath Pogula (2512745)</dc:creator>
  <cp:keywords/>
  <dc:description/>
  <cp:lastModifiedBy>JAIMIN JADAV</cp:lastModifiedBy>
  <cp:revision>2</cp:revision>
  <dcterms:created xsi:type="dcterms:W3CDTF">2026-04-02T08:34:00Z</dcterms:created>
  <dcterms:modified xsi:type="dcterms:W3CDTF">2026-04-02T08:34:00Z</dcterms:modified>
</cp:coreProperties>
</file>