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00" w:afterAutospacing="1" w:line="480" w:lineRule="auto"/>
        <w:jc w:val="both"/>
        <w:rPr>
          <w:rFonts w:ascii="Times New Roman" w:hAnsi="Times New Roman" w:cs="Times New Roman"/>
          <w:b/>
          <w:sz w:val="24"/>
          <w:szCs w:val="24"/>
        </w:rPr>
      </w:pPr>
      <w:r>
        <w:rPr>
          <w:rFonts w:ascii="Times New Roman" w:hAnsi="Times New Roman" w:cs="Times New Roman"/>
          <w:b/>
          <w:sz w:val="24"/>
          <w:szCs w:val="24"/>
        </w:rPr>
        <w:t>Factors Affecting Second Language Learning</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Introduction</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Second language learning is a complex process that is influenced by a wide variety of personal, social, and educational factors. In their article,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and Spada (2000) provide a comprehensive overview of these factors and their impact on the acquisition of a new language. This essay will first summarise the main factors discussed by the authors and then critically analyze the role of one factor - motivation - in greater depth. The discussion will consider both the strengths and limitations of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and Spada's treatment of this topic. Finally, some broader conclusions will be drawn regarding the overall value of the article.</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Overview of Key Factors</w:t>
      </w:r>
    </w:p>
    <w:p>
      <w:pPr>
        <w:spacing w:after="100" w:afterAutospacing="1" w:line="480" w:lineRule="auto"/>
        <w:ind w:firstLine="720"/>
        <w:rPr>
          <w:rFonts w:ascii="Times New Roman" w:hAnsi="Times New Roman" w:cs="Times New Roman"/>
          <w:sz w:val="24"/>
          <w:szCs w:val="24"/>
        </w:rPr>
      </w:pP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and Spada (2000) categorize the factors affecting second language learning into three main groups: those relating to the learner, the instructor or teacher, and the nature of the language itself. Learner factors include age, aptitude, personality, cognitive and learning styles, motivation, and ethnicity or culture. Younger children are generally believed to acquire native-like proficiency more easily than older learners. However, individual variation in aptitude also plays an important role. Personality traits like risk-taking, empathy, and anxiety can influence willingness to communicate. Learning style preferences for visual, auditory, or tactile input must be accommodated. Motivation, whether instrumental/practical or integrative or social, is a key driver of learner engagement and effort. Cultural backgrounds carry practical implications for teaching methods and content. Teacher factors include skills, teaching style, ability to scaffold learning, and constructive feedback. Teachers need pedagogical knowledge and skills in curriculum development, classroom implementation, and adaptation to different learning contexts. Scaffolding involves changing support for students as their abilities change. Ongoing formative assessment and setting of achievable goals help maintain motivation. Factors relating to the nature of language itself include differences between first and second languages, as well as variation between target languages in terms of grammatical complexity, vocabulary size, orthography, and phonology. Languages also have social and cultural dimensions that shape appropriate usage. The experiences and support are available in naturalistic versus classroom environments also influence outcomes. This summary indicates that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and Spada take a broad, holistic view of the contextual factors impacting the learning process. While acknowledging individual differences, their categorization provides a coherent framework for examining interrelationships between these variables. The level of detail in the explanations suggests extensive research has been synthesized to compile this overview.</w:t>
      </w:r>
      <w:r>
        <w:t xml:space="preserve"> </w:t>
      </w:r>
      <w:r>
        <w:rPr>
          <w:rFonts w:ascii="Times New Roman" w:hAnsi="Times New Roman" w:cs="Times New Roman"/>
          <w:sz w:val="24"/>
          <w:szCs w:val="24"/>
        </w:rPr>
        <w:t>Learner factors like age, aptitude, personality traits, cognitive abilities and beliefs demonstrably impact the rate and ultimate proficiency of acquisition. While findings on age remain complex, younger learners generally outperform older students in attaining native-like pronunciation and morphosyntax through naturalistic exposure. However, the advantages of cognitive maturity enable adult learners to progress faster initially through formal instruction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&amp; Spada, 2000). Relatedly, higher language aptitudes and strong abilities in areas like analytical reasoning, sound discrimination, and working memory correlate with accelerated development of features like grammar and phonology (Turker, Reiterer, Schneider, and Seither-Preisler, 2018, pp.119-148). Personality factors like extroversion and risk-taking promote engagement in communicative practices boosting fluency gains (Tao, 2023, pp.62-67). Conversely, inhibition and anxiety can constrain willingness to participate. Critically, learner beliefs about effective strategies align with their motivational dispositions, guiding their approach and regulating investment of effort (Singh, and Muis, 2024, pp.1-18). Overall, these individual differences require customizing techniques and materials to differentiate instruction for diverse profiles. Quality of instruction constitutes another prominent influence, with substantial evidence favoring communicative, comprehension-based approaches over traditional methods prioritizing grammar rules and drills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&amp; Spada, 2000). Educators must carefully structure meaningful input at an appropriate level, provide feedback opportunities fostering restructuring, and create low-anxiety environments nurturing motivation (Amini, and Helin, 2024; Gregersen, 2020, pp.67-87). </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Curriculum design also necessitates aligning content and sequences with findings on cross-linguistic influences and universal developmental progressions to prevent overwhelming processing capacities (Ferris, and Hedgcock, 2023; Lu, and Ke, 2018, pp.151-216). Overly complex input exceeding learners' "built-in syllabus" undermines progress, underscoring the need for principled scaffolding approaches sensitive to evolving interlanguage systems. Target language properties like typological differences from the learner's first language demonstrably modulate rates and error patterns as features undergo transfer, avoidance, or restructuring (Berwick, and Chomsky, 2016). For example, students lacking grammatical systems like articles understandably struggle to master such features in English initially (Stapleton, and Kin, 2019, pp.18-34). Overall, these linguistic differences necessitate considered sequencing and emphasis in instruction. Finally, the broader social environment constitutes a powerful variable regulating input quality, interaction opportunities, communities of practice engagement, and sociocultural identity factors impacting investment (Tomlinson, and Jackson, 2021, pp.885-900). Immersion contexts afford clear advantages, with the efficacy of classroom instruction partially depending on approximating these enriched conditions. While all these elements interactively shape developmental paths, motivation emerges as a central force catalyzing learning trajectories. The following section will examine motivation's unique significance in greater depth, analyzing its principal components, relationships to other variables, and profound pedagogical implications.</w:t>
      </w:r>
    </w:p>
    <w:p>
      <w:pPr>
        <w:spacing w:after="100" w:afterAutospacing="1" w:line="480" w:lineRule="auto"/>
        <w:rPr>
          <w:rFonts w:ascii="Times New Roman" w:hAnsi="Times New Roman" w:cs="Times New Roman"/>
          <w:sz w:val="24"/>
          <w:szCs w:val="24"/>
        </w:rPr>
      </w:pPr>
      <w:r>
        <w:rPr>
          <w:rFonts w:ascii="Times New Roman" w:hAnsi="Times New Roman" w:cs="Times New Roman"/>
          <w:b/>
          <w:sz w:val="24"/>
          <w:szCs w:val="24"/>
        </w:rPr>
        <w:t>In-depth discussion of learner motivation</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Amongst the many factors covered, learner motivation will now be discussed in more depth due to its significant role acknowledged throughout applied linguistics research.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and Spada emphasize motivation as a "powerful determinant" of L2 achievement (Uğurlu, and Görgülü, 2022). Two main theoretical perspectives on motivation are outlined - instrumentalist and integrative. The former focuses on practical goals like career advancement, and the latter on social and cultural identification with members of the target language community. In elaborating on these perspectives,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and Spada draw effectively on relevant empirical studies. For example, Gardner's (1985) large-scale Canadian survey provided support for integrative motivation being more facilitative of L2 proficiency, especially among non-immersion students. Support is also cited for intrinsic reasons like the enjoyment of learning itself or extrinsic goal-orientations both matter. However, it could be argued this latter point is not fully consistent with Gardner's socio-educational model, which places integrativeness at the core. Similarly, Dörnyei's (1994, pp273-284) process model of L2 motivation dynamics over time is mentioned rather than explained in detail, which limits the reader's understanding. Nonetheless,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and Spada are correct in highlighting motivation as multidimensional rather than a single trait. Indeed, more recent work sees it as a constantly evolving system (Dörnyei &amp; Ushioda, 2011). Their coverage of self-determination theory also helpfully incorporates the impact of social and educational environmental supports on sustaining intrinsic motivation versus reliance purely on extrinsic rewards. Recognizing the interplay between individual agency and contextual factors is key to a complete account of this issue. The potential role of emotion and embodied cognition in L2 motivation could have been explored further. Recent approaches emphasize affective components like enjoyment, anxiety, and flow experiences (Jusslin et al, 2022,</w:t>
      </w:r>
      <w:r>
        <w:t xml:space="preserve"> </w:t>
      </w:r>
      <w:r>
        <w:rPr>
          <w:rFonts w:ascii="Times New Roman" w:hAnsi="Times New Roman" w:cs="Times New Roman"/>
          <w:sz w:val="24"/>
          <w:szCs w:val="24"/>
        </w:rPr>
        <w:t xml:space="preserve">p.100480). Motivation also has physical manifestations through gestures, postures, and facial expressions which signal engagement levels. Adopting a more holistic, socio-cultural perspective may yield a richer, multi-dimensional understanding of motivation as situated social practice. However, space constraints in a short article likely precluded more extensive treatment here. Overall, this discussion indicates that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and Spada provide a detailed, research-informed analysis of learner motivation. While leaving some aspects like process dynamics and affective dimensions relatively underdeveloped, their treatment highlights motivation as a pivotal issue deserving thorough investigation. Subsequent work has added nuance recognizing, that it is socially embedded, evolving nature - reflecting the evolving research landscape itself. However, the breadth and clarity of coverage in this seminal work stands as a meaningful contribution.</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Motivation as a key factor in second language learning</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In the constellation-shifting learner, stimuli exert a uniquely influential force to induce sustained communication in the form of formidable language difficulties with post-linguistic programming efficiency Motivation acts as a primary motivator, and fosters the endurance necessary to determine the broader cognitive effort required by reorganizing existing knowledge structures. The effects of incentives appear to be surprisingly long-lasting, indicating a strong relationship between incentive strategies and growth rates at long-term and long-term scales. Learners with a strong motivational foundation demonstrate high resilience in the face of obstacles, maintain sustained effort despite the inherent difficulty of the language to be learned, and ultimately reach high levels of proficiency. Consequently, the nature and consequences of student motivation should be carefully examined. The dynamic nature of motivation further complicates its role in language acquisition. The motivational climate changes over time, with factors such as the learner’s self-efficacy beliefs, experiences of success or failure, and ability to engage and let go of a learning environment (Lazarides, and Warner, 2020). Language acquisition processes are ultimately influenced strongly by the nature and outcome of learner motivation. By developing embodied motivation, enhancing integrated instruction, and creating a stimulating learning environment that reinforces and sustains the foundation of motivation, teachers can provide opportunities for students to achieve the desired level of language proficiency has been achieved.</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 xml:space="preserve">Motivational Self-System Theory </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motivational self-system theory, the key components of a learner’s motivational capacity are the positive L2 self, for the self, and the L2 learning experience (Moskovsky, Assulaimani, and Harkins, 2016, pp641-654). This is consistent with the previous view of the combined motivations of acculturation and identity goals. In contrast, self-responsibility in its context reflects a set of representations of beliefs resulting from social pressure, consistent with the notion of instrumental motivation driven by external regulations Conclusion Absolutely, the L2 learning experience dimension includes factors of the immediate learning environment such as instructional delivery, peer together dynamics, institutional -Culture, and teacher-specific factors that affect attitudes and motivational characteristics. Overall, this process model illustrates the motivational effects of mutually reinforcing interactions between these dimensions that together enhance internal self-regulation to overcome motivational deficits and proceed through the "extra motivation" needed for skill development. </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A Cyclical Self-System</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Moreover, these motivational influences operate as a cyclical system constantly shaped by changing experiences and changing identities. Especially, because of the efforts in the insights required to understand Meta language, long-term pressure is the long-term strategy, and the teachers adopt the celebrity’s perspective. There are animals. Importantly, the model guides the motives themselves by creating "mental time travel" stimuli and generating explicit future possibilities. Through a vision of future competencies and intercultural communication often reinforced through meaningful practice, students internalize aspirations by stimulating the constant communication necessary for ultimate achievement (Jaiswal, 2019,</w:t>
      </w:r>
      <w:r>
        <w:t xml:space="preserve"> </w:t>
      </w:r>
      <w:r>
        <w:rPr>
          <w:rFonts w:ascii="Times New Roman" w:hAnsi="Times New Roman" w:cs="Times New Roman"/>
          <w:sz w:val="24"/>
          <w:szCs w:val="24"/>
        </w:rPr>
        <w:t>pp.1074-1080). This provides a conceptual framework of how other individual differences such as personality traits, age, and prior skills may mediate effects.</w:t>
      </w:r>
    </w:p>
    <w:p>
      <w:pPr>
        <w:spacing w:after="100" w:afterAutospacing="1" w:line="480" w:lineRule="auto"/>
        <w:rPr>
          <w:rFonts w:ascii="Times New Roman" w:hAnsi="Times New Roman" w:cs="Times New Roman"/>
          <w:b/>
          <w:sz w:val="24"/>
          <w:szCs w:val="24"/>
        </w:rPr>
      </w:pPr>
      <w:r>
        <w:rPr>
          <w:rFonts w:ascii="Times New Roman" w:hAnsi="Times New Roman" w:cs="Times New Roman"/>
          <w:b/>
          <w:sz w:val="24"/>
          <w:szCs w:val="24"/>
        </w:rPr>
        <w:t xml:space="preserve">Conditions Supporting Motivation </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Motivations in the broader social context are further regulated by perceived status differences, power dynamics, and identity networks, affecting engagement with the target language in practice witnessing the overcoming of students’ external and personal classroom experiences, and developing a sense of secure identity (Tavares, 2021). In an appropriate educational context, motivation depends on the extent to which classroom conditions align with students’ authentic selves, autonomy needs, and self-determination Environment that builds meaningful interaction, collaboration, and student empowerment, and emphasizes, its value reinforces people’s engagement with language. Reference -And overemphasis on external regulation through lack of learning can undermine motivation. Students from minority communities may experience conflicting pressures, where the desire to acquire the majority language for social mobility and economic development may be tempered by concerns about cultural identity and heritage language skills they will lose it. This internal struggle creates motivational barriers, resulting in resistance or withdrawal from language learning efforts. To meet these challenges, instruction needs to acknowledge and validate students’ cultures, encourage inclusive bilingualism, and promote the value of different languages. Furthermore, classroom dynamics and power structure can have a significant impact on motivation. Environments that foster a sense of autonomy, respect students’ autonomy, and provide opportunities for self-expression and identity reinforcement can increase investment motivation. Conversely, environments that reinforce cultural complexity or marginalize learner identity may inhibit motivation and language acquisition.</w:t>
      </w:r>
    </w:p>
    <w:p>
      <w:pPr>
        <w:spacing w:after="100" w:afterAutospacing="1" w:line="480" w:lineRule="auto"/>
        <w:ind w:firstLine="720"/>
        <w:rPr>
          <w:rFonts w:ascii="Times New Roman" w:hAnsi="Times New Roman" w:cs="Times New Roman"/>
          <w:sz w:val="24"/>
          <w:szCs w:val="24"/>
        </w:rPr>
      </w:pPr>
      <w:r>
        <w:rPr>
          <w:rFonts w:ascii="Times New Roman" w:hAnsi="Times New Roman" w:cs="Times New Roman"/>
          <w:sz w:val="24"/>
          <w:szCs w:val="24"/>
        </w:rPr>
        <w:t>Classroom practices and the appropriate identity of students in an appropriate teaching environment, or a vision of who they want to be, play an important role in creating motivation Furthermore, the conditions of language learning activities with students' goals, interests, and future aspirations align are likely to participate with great enthusiasm and determination. By providing choice, encouraging self-regulatory behaviors, and supporting students’ autonomy and self-determination can have provided intrinsic motivation as opposed to external regulation thereby contradicting excessive action, omission of context, and strict assessment procedures Too much control over emphasis on learning strategies can undermine learners’ self-determination and reduce motivation for input Effective language education must use meaningful communication, collaboration, and projects that link language learning with learner interest and real-world relevance. By fostering a sense of purpose and authenticity, these strategies reinforce the value of language acquisition and establish motivational engagement (Mercer, 2019, pp.643-660). Specifically, the social environment and instructional environment determine the learner’s greater motivation, which implies for discussion of identity, the need for autonomy, and self-determination.</w:t>
      </w:r>
    </w:p>
    <w:p>
      <w:pPr>
        <w:spacing w:after="100" w:afterAutospacing="1" w:line="480" w:lineRule="auto"/>
        <w:rPr>
          <w:rFonts w:ascii="Times New Roman" w:hAnsi="Times New Roman" w:cs="Times New Roman"/>
          <w:sz w:val="24"/>
          <w:szCs w:val="24"/>
        </w:rPr>
      </w:pPr>
      <w:r>
        <w:rPr>
          <w:rFonts w:ascii="Times New Roman" w:hAnsi="Times New Roman" w:cs="Times New Roman"/>
          <w:b/>
          <w:sz w:val="24"/>
          <w:szCs w:val="24"/>
        </w:rPr>
        <w:t>Conclusion</w:t>
      </w:r>
    </w:p>
    <w:p>
      <w:pPr>
        <w:spacing w:after="100" w:afterAutospacing="1" w:line="480" w:lineRule="auto"/>
        <w:ind w:firstLine="720"/>
        <w:rPr>
          <w:rFonts w:ascii="Times New Roman" w:hAnsi="Times New Roman" w:cs="Times New Roman"/>
          <w:b/>
          <w:sz w:val="24"/>
          <w:szCs w:val="24"/>
        </w:rPr>
      </w:pPr>
      <w:r>
        <w:rPr>
          <w:rFonts w:ascii="Times New Roman" w:hAnsi="Times New Roman" w:cs="Times New Roman"/>
          <w:sz w:val="24"/>
          <w:szCs w:val="24"/>
        </w:rPr>
        <w:t xml:space="preserve">In conclusion, the article by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and Spada (2000) provides a detailed analysis of the determinants of second language learning outcomes. This suggests that more integrated research has been undertaken to gather an inclusive, multifaceted assessment framework that addresses student factors, teacher practices, and target language resources. An in-depth discussion of motivation shows how empirical studies have been drawn upon to establish plausible theoretical implications. Overall, the article shows a great effort to add research to this challenging topic. While some reductionism may have been inevitable as restrictions and perspectives have evolved since then. </w:t>
      </w:r>
      <w:r>
        <w:rPr>
          <w:rFonts w:hint="eastAsia" w:ascii="Times New Roman" w:hAnsi="Times New Roman" w:eastAsia="宋体" w:cs="Times New Roman"/>
          <w:sz w:val="24"/>
          <w:szCs w:val="24"/>
          <w:lang w:eastAsia="zh-CN"/>
        </w:rPr>
        <w:t>Lightbown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and Spada have increased the awareness of applied linguists about the interdependent aspects of the contextual curriculum. The simplicity of this story also makes them a valuable and important reference point even today. However the criticisms highlight strategies for wider theoretical lenses, fewer categories, and greater awareness of internal diversity when future work on finer, more nuanced approaches to understanding is needed Quantitative methods are needed to better understand multidimensional realities. Overall, the legacy of the article has been the encouragement to continue collaborative inquiry into optimal conditions for individual and social SLLs.</w:t>
      </w:r>
    </w:p>
    <w:p>
      <w:pPr>
        <w:spacing w:after="100" w:afterAutospacing="1" w:line="480" w:lineRule="auto"/>
        <w:jc w:val="both"/>
        <w:rPr>
          <w:rFonts w:hint="eastAsia" w:ascii="Times New Roman" w:hAnsi="Times New Roman" w:eastAsia="宋体" w:cs="Times New Roman"/>
          <w:sz w:val="24"/>
          <w:szCs w:val="24"/>
          <w:lang w:val="en-US" w:eastAsia="zh-CN"/>
        </w:rPr>
      </w:pPr>
      <w:r>
        <w:rPr>
          <w:rFonts w:ascii="Times New Roman" w:hAnsi="Times New Roman" w:cs="Times New Roman"/>
          <w:bCs/>
          <w:sz w:val="24"/>
          <w:szCs w:val="24"/>
        </w:rPr>
        <w:t>Reference</w:t>
      </w:r>
      <w:r>
        <w:rPr>
          <w:rFonts w:hint="eastAsia" w:ascii="Times New Roman" w:hAnsi="Times New Roman" w:eastAsia="宋体" w:cs="Times New Roman"/>
          <w:bCs/>
          <w:sz w:val="24"/>
          <w:szCs w:val="24"/>
          <w:lang w:val="en-US" w:eastAsia="zh-CN"/>
        </w:rPr>
        <w:t>s</w:t>
      </w:r>
    </w:p>
    <w:p>
      <w:pPr>
        <w:spacing w:after="100" w:afterAutospacing="1" w:line="480" w:lineRule="auto"/>
        <w:ind w:left="720" w:hanging="720"/>
        <w:rPr>
          <w:rFonts w:ascii="Times New Roman" w:hAnsi="Times New Roman" w:cs="Times New Roman"/>
          <w:b/>
          <w:sz w:val="24"/>
          <w:szCs w:val="24"/>
        </w:rPr>
      </w:pPr>
      <w:r>
        <w:rPr>
          <w:rFonts w:hint="eastAsia" w:ascii="Times New Roman" w:hAnsi="Times New Roman" w:eastAsia="宋体" w:cs="Times New Roman"/>
          <w:sz w:val="24"/>
          <w:szCs w:val="24"/>
          <w:lang w:val="en-US" w:eastAsia="zh-CN"/>
        </w:rPr>
        <w:t>1.</w:t>
      </w:r>
      <w:r>
        <w:rPr>
          <w:rFonts w:ascii="Times New Roman" w:hAnsi="Times New Roman" w:cs="Times New Roman"/>
          <w:sz w:val="24"/>
          <w:szCs w:val="24"/>
        </w:rPr>
        <w:t>Amini, M</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and Bicen</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H.</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2024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The Impact of Collaborati</w:t>
      </w:r>
      <w:r>
        <w:rPr>
          <w:rFonts w:hint="eastAsia" w:ascii="Times New Roman" w:hAnsi="Times New Roman" w:eastAsia="宋体" w:cs="Times New Roman"/>
          <w:sz w:val="24"/>
          <w:szCs w:val="24"/>
          <w:lang w:eastAsia="zh-CN"/>
        </w:rPr>
        <w:t>z</w:t>
      </w:r>
      <w:r>
        <w:rPr>
          <w:rFonts w:ascii="Times New Roman" w:hAnsi="Times New Roman" w:cs="Times New Roman"/>
          <w:sz w:val="24"/>
          <w:szCs w:val="24"/>
        </w:rPr>
        <w:t>ve Learning on Motivation and Speaking Anxiety in the Young EFL Classroom.</w:t>
      </w:r>
      <w:r>
        <w:rPr>
          <w:rFonts w:ascii="Times New Roman" w:hAnsi="Times New Roman" w:eastAsia="宋体" w:cs="Times New Roman"/>
          <w:sz w:val="24"/>
          <w:szCs w:val="24"/>
          <w:lang w:eastAsia="zh-CN"/>
        </w:rPr>
        <w:t>’</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2.</w:t>
      </w:r>
      <w:r>
        <w:rPr>
          <w:rFonts w:ascii="Times New Roman" w:hAnsi="Times New Roman" w:cs="Times New Roman"/>
          <w:sz w:val="24"/>
          <w:szCs w:val="24"/>
        </w:rPr>
        <w:t xml:space="preserve">Berwick, R.C. and Chomsky, N.,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2016</w:t>
      </w:r>
      <w:r>
        <w:rPr>
          <w:rFonts w:hint="eastAsia" w:ascii="Times New Roman" w:hAnsi="Times New Roman" w:eastAsia="宋体" w:cs="Times New Roman"/>
          <w:sz w:val="24"/>
          <w:szCs w:val="24"/>
          <w:lang w:eastAsia="zh-CN"/>
        </w:rPr>
        <w:t xml:space="preserve">) </w:t>
      </w:r>
      <w:r>
        <w:rPr>
          <w:rFonts w:ascii="Times New Roman" w:hAnsi="Times New Roman" w:cs="Times New Roman"/>
          <w:i/>
          <w:iCs/>
          <w:sz w:val="24"/>
          <w:szCs w:val="24"/>
        </w:rPr>
        <w:t>Why only us: Language and evolution</w:t>
      </w:r>
      <w:r>
        <w:rPr>
          <w:rFonts w:ascii="Times New Roman" w:hAnsi="Times New Roman" w:cs="Times New Roman"/>
          <w:sz w:val="24"/>
          <w:szCs w:val="24"/>
        </w:rPr>
        <w:t>. MIT press.</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3.</w:t>
      </w:r>
      <w:r>
        <w:rPr>
          <w:rFonts w:ascii="Times New Roman" w:hAnsi="Times New Roman" w:cs="Times New Roman"/>
          <w:sz w:val="24"/>
          <w:szCs w:val="24"/>
        </w:rPr>
        <w:t xml:space="preserve">Dörnyei, Z. &amp; Ushioda, E. (2011) </w:t>
      </w:r>
      <w:r>
        <w:rPr>
          <w:rFonts w:ascii="Times New Roman" w:hAnsi="Times New Roman" w:cs="Times New Roman"/>
          <w:i/>
          <w:iCs/>
          <w:sz w:val="24"/>
          <w:szCs w:val="24"/>
        </w:rPr>
        <w:t>Teaching and researching: motivation</w:t>
      </w:r>
      <w:r>
        <w:rPr>
          <w:rFonts w:ascii="Times New Roman" w:hAnsi="Times New Roman" w:cs="Times New Roman"/>
          <w:sz w:val="24"/>
          <w:szCs w:val="24"/>
        </w:rPr>
        <w:t xml:space="preserve"> (2nd edition). Harlow: Pearson Education.</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4.</w:t>
      </w:r>
      <w:r>
        <w:rPr>
          <w:rFonts w:ascii="Times New Roman" w:hAnsi="Times New Roman" w:cs="Times New Roman"/>
          <w:sz w:val="24"/>
          <w:szCs w:val="24"/>
        </w:rPr>
        <w:t xml:space="preserve">Dörnyei, Z. (1994) </w:t>
      </w:r>
      <w:r>
        <w:rPr>
          <w:rFonts w:ascii="Times New Roman" w:hAnsi="Times New Roman" w:eastAsia="宋体" w:cs="Times New Roman"/>
          <w:sz w:val="24"/>
          <w:szCs w:val="24"/>
          <w:lang w:eastAsia="zh-CN"/>
        </w:rPr>
        <w:t>‘</w:t>
      </w:r>
      <w:r>
        <w:rPr>
          <w:rFonts w:ascii="Times New Roman" w:hAnsi="Times New Roman" w:cs="Times New Roman"/>
          <w:sz w:val="24"/>
          <w:szCs w:val="24"/>
        </w:rPr>
        <w:t>Motivation and motivating in the foreign language classroom.</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cs="Times New Roman"/>
          <w:i/>
          <w:iCs/>
          <w:sz w:val="24"/>
          <w:szCs w:val="24"/>
        </w:rPr>
        <w:t>Modern Language Journal,</w:t>
      </w:r>
      <w:r>
        <w:rPr>
          <w:rFonts w:ascii="Times New Roman" w:hAnsi="Times New Roman" w:cs="Times New Roman"/>
          <w:sz w:val="24"/>
          <w:szCs w:val="24"/>
        </w:rPr>
        <w:t xml:space="preserve"> 78(3), 273-284.</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5.</w:t>
      </w:r>
      <w:r>
        <w:rPr>
          <w:rFonts w:ascii="Times New Roman" w:hAnsi="Times New Roman" w:cs="Times New Roman"/>
          <w:sz w:val="24"/>
          <w:szCs w:val="24"/>
        </w:rPr>
        <w:t xml:space="preserve">Ferris, D.R. and Hedgcock, J.S.,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2023</w:t>
      </w:r>
      <w:r>
        <w:rPr>
          <w:rFonts w:hint="eastAsia" w:ascii="Times New Roman" w:hAnsi="Times New Roman" w:eastAsia="宋体" w:cs="Times New Roman"/>
          <w:sz w:val="24"/>
          <w:szCs w:val="24"/>
          <w:lang w:eastAsia="zh-CN"/>
        </w:rPr>
        <w:t xml:space="preserve">) </w:t>
      </w:r>
      <w:r>
        <w:rPr>
          <w:rFonts w:ascii="Times New Roman" w:hAnsi="Times New Roman" w:cs="Times New Roman"/>
          <w:i/>
          <w:iCs/>
          <w:sz w:val="24"/>
          <w:szCs w:val="24"/>
        </w:rPr>
        <w:t>Teaching L2 composition: Purpose, process, and practice</w:t>
      </w:r>
      <w:r>
        <w:rPr>
          <w:rFonts w:ascii="Times New Roman" w:hAnsi="Times New Roman" w:cs="Times New Roman"/>
          <w:sz w:val="24"/>
          <w:szCs w:val="24"/>
        </w:rPr>
        <w:t>. Routledge.</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6.</w:t>
      </w:r>
      <w:r>
        <w:rPr>
          <w:rFonts w:ascii="Times New Roman" w:hAnsi="Times New Roman" w:cs="Times New Roman"/>
          <w:sz w:val="24"/>
          <w:szCs w:val="24"/>
        </w:rPr>
        <w:t xml:space="preserve">Gardner, R. C. (1985) </w:t>
      </w:r>
      <w:r>
        <w:rPr>
          <w:rFonts w:ascii="Times New Roman" w:hAnsi="Times New Roman" w:cs="Times New Roman"/>
          <w:i/>
          <w:iCs/>
          <w:sz w:val="24"/>
          <w:szCs w:val="24"/>
        </w:rPr>
        <w:t xml:space="preserve">Social psychology and second language learning: The role of attitudes and motivation. </w:t>
      </w:r>
      <w:r>
        <w:rPr>
          <w:rFonts w:ascii="Times New Roman" w:hAnsi="Times New Roman" w:cs="Times New Roman"/>
          <w:sz w:val="24"/>
          <w:szCs w:val="24"/>
        </w:rPr>
        <w:t>London: Edward Arnold Publishers.</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7.</w:t>
      </w:r>
      <w:r>
        <w:rPr>
          <w:rFonts w:ascii="Times New Roman" w:hAnsi="Times New Roman" w:cs="Times New Roman"/>
          <w:sz w:val="24"/>
          <w:szCs w:val="24"/>
        </w:rPr>
        <w:t xml:space="preserve">Gregersen, T.,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2020</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Dynamic properties of language anxiety.</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Studies in Second Language Learning and Teaching</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(1), pp.67-87.</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8.</w:t>
      </w:r>
      <w:r>
        <w:rPr>
          <w:rFonts w:ascii="Times New Roman" w:hAnsi="Times New Roman" w:cs="Times New Roman"/>
          <w:sz w:val="24"/>
          <w:szCs w:val="24"/>
        </w:rPr>
        <w:t>Jaiswal, P., 2019. Using learner-centered instructional approach to foster students' performances. </w:t>
      </w:r>
      <w:r>
        <w:rPr>
          <w:rFonts w:ascii="Times New Roman" w:hAnsi="Times New Roman" w:cs="Times New Roman"/>
          <w:i/>
          <w:iCs/>
          <w:sz w:val="24"/>
          <w:szCs w:val="24"/>
        </w:rPr>
        <w:t>Theory and Practice in Language Studies</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(9), pp.1074-1080.</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9.</w:t>
      </w:r>
      <w:r>
        <w:rPr>
          <w:rFonts w:ascii="Times New Roman" w:hAnsi="Times New Roman" w:cs="Times New Roman"/>
          <w:sz w:val="24"/>
          <w:szCs w:val="24"/>
        </w:rPr>
        <w:t>Jusslin, S., Korpinen, K., Lilja, N., Martin, R., Lehtinen-Schnabel, J. and Anttila, E., 2022. Embodied learning and teaching approaches in language education: A mixed studies review. </w:t>
      </w:r>
      <w:r>
        <w:rPr>
          <w:rFonts w:ascii="Times New Roman" w:hAnsi="Times New Roman" w:cs="Times New Roman"/>
          <w:i/>
          <w:iCs/>
          <w:sz w:val="24"/>
          <w:szCs w:val="24"/>
        </w:rPr>
        <w:t>Educational Research Review</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 p.100480.</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10.</w:t>
      </w:r>
      <w:r>
        <w:rPr>
          <w:rFonts w:ascii="Times New Roman" w:hAnsi="Times New Roman" w:cs="Times New Roman"/>
          <w:sz w:val="24"/>
          <w:szCs w:val="24"/>
        </w:rPr>
        <w:t>Lazarides, R. and Warner, L.M., 2020. Teacher self-efficacy. In </w:t>
      </w:r>
      <w:r>
        <w:rPr>
          <w:rFonts w:ascii="Times New Roman" w:hAnsi="Times New Roman" w:cs="Times New Roman"/>
          <w:i/>
          <w:iCs/>
          <w:sz w:val="24"/>
          <w:szCs w:val="24"/>
        </w:rPr>
        <w:t>Oxford research encyclopedia of education</w:t>
      </w:r>
      <w:r>
        <w:rPr>
          <w:rFonts w:ascii="Times New Roman" w:hAnsi="Times New Roman" w:cs="Times New Roman"/>
          <w:sz w:val="24"/>
          <w:szCs w:val="24"/>
        </w:rPr>
        <w:t>.</w:t>
      </w:r>
    </w:p>
    <w:p>
      <w:pPr>
        <w:spacing w:after="100" w:afterAutospacing="1" w:line="480" w:lineRule="auto"/>
        <w:ind w:left="720" w:hanging="720"/>
        <w:rPr>
          <w:rFonts w:ascii="Times New Roman" w:hAnsi="Times New Roman" w:cs="Times New Roman"/>
          <w:sz w:val="24"/>
          <w:szCs w:val="24"/>
        </w:rPr>
      </w:pPr>
      <w:r>
        <w:rPr>
          <w:rFonts w:hint="eastAsia" w:ascii="Arial" w:hAnsi="Arial" w:eastAsia="宋体" w:cs="Arial"/>
          <w:color w:val="222222"/>
          <w:sz w:val="20"/>
          <w:szCs w:val="20"/>
          <w:shd w:val="clear" w:color="auto" w:fill="FFFFFF"/>
          <w:lang w:val="en-US" w:eastAsia="zh-CN"/>
        </w:rPr>
        <w:t>11.</w:t>
      </w:r>
      <w:r>
        <w:rPr>
          <w:rFonts w:ascii="Arial" w:hAnsi="Arial" w:cs="Arial"/>
          <w:color w:val="222222"/>
          <w:sz w:val="20"/>
          <w:szCs w:val="20"/>
          <w:shd w:val="clear" w:color="auto" w:fill="FFFFFF"/>
        </w:rPr>
        <w:t xml:space="preserve"> </w:t>
      </w:r>
      <w:r>
        <w:rPr>
          <w:rFonts w:ascii="Times New Roman" w:hAnsi="Times New Roman" w:cs="Times New Roman"/>
          <w:sz w:val="24"/>
          <w:szCs w:val="24"/>
        </w:rPr>
        <w:t>Lightbown, P. M., &amp; Spada, N. (2000). Do they know what they're doing? L2 learners' awareness of L1 influence. </w:t>
      </w:r>
      <w:r>
        <w:rPr>
          <w:rFonts w:ascii="Times New Roman" w:hAnsi="Times New Roman" w:cs="Times New Roman"/>
          <w:i/>
          <w:iCs/>
          <w:sz w:val="24"/>
          <w:szCs w:val="24"/>
        </w:rPr>
        <w:t>Language Awareness</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(4), 198-217.</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12.</w:t>
      </w:r>
      <w:r>
        <w:rPr>
          <w:rFonts w:ascii="Times New Roman" w:hAnsi="Times New Roman" w:cs="Times New Roman"/>
          <w:sz w:val="24"/>
          <w:szCs w:val="24"/>
        </w:rPr>
        <w:t xml:space="preserve">Lu, Y. and Ke, C., 2018. </w:t>
      </w:r>
      <w:r>
        <w:rPr>
          <w:rFonts w:ascii="Times New Roman" w:hAnsi="Times New Roman" w:eastAsia="宋体" w:cs="Times New Roman"/>
          <w:sz w:val="24"/>
          <w:szCs w:val="24"/>
          <w:lang w:eastAsia="zh-CN"/>
        </w:rPr>
        <w:t>‘</w:t>
      </w:r>
      <w:r>
        <w:rPr>
          <w:rFonts w:ascii="Times New Roman" w:hAnsi="Times New Roman" w:cs="Times New Roman"/>
          <w:sz w:val="24"/>
          <w:szCs w:val="24"/>
        </w:rPr>
        <w:t>L2 Chinese grammar development.</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The Routledge handbook of Chinese second language acquisition</w:t>
      </w:r>
      <w:r>
        <w:rPr>
          <w:rFonts w:ascii="Times New Roman" w:hAnsi="Times New Roman" w:cs="Times New Roman"/>
          <w:sz w:val="24"/>
          <w:szCs w:val="24"/>
        </w:rPr>
        <w:t>, pp.151-216.</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13.</w:t>
      </w:r>
      <w:r>
        <w:rPr>
          <w:rFonts w:ascii="Times New Roman" w:hAnsi="Times New Roman" w:cs="Times New Roman"/>
          <w:sz w:val="24"/>
          <w:szCs w:val="24"/>
        </w:rPr>
        <w:t>Mercer, S., 2019. Language learner engagement: Setting the scene. </w:t>
      </w:r>
      <w:r>
        <w:rPr>
          <w:rFonts w:ascii="Times New Roman" w:hAnsi="Times New Roman" w:cs="Times New Roman"/>
          <w:i/>
          <w:iCs/>
          <w:sz w:val="24"/>
          <w:szCs w:val="24"/>
        </w:rPr>
        <w:t>Second handbook of English language teaching</w:t>
      </w:r>
      <w:r>
        <w:rPr>
          <w:rFonts w:ascii="Times New Roman" w:hAnsi="Times New Roman" w:cs="Times New Roman"/>
          <w:sz w:val="24"/>
          <w:szCs w:val="24"/>
        </w:rPr>
        <w:t>, pp.643-660.</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14.</w:t>
      </w:r>
      <w:r>
        <w:rPr>
          <w:rFonts w:ascii="Times New Roman" w:hAnsi="Times New Roman" w:cs="Times New Roman"/>
          <w:sz w:val="24"/>
          <w:szCs w:val="24"/>
        </w:rPr>
        <w:t xml:space="preserve">Moskovsky, C., Assulaimani, T., Racheva, S. and Harkins, J., 2016. </w:t>
      </w:r>
      <w:r>
        <w:rPr>
          <w:rFonts w:ascii="Times New Roman" w:hAnsi="Times New Roman" w:eastAsia="宋体" w:cs="Times New Roman"/>
          <w:sz w:val="24"/>
          <w:szCs w:val="24"/>
          <w:lang w:eastAsia="zh-CN"/>
        </w:rPr>
        <w:t>‘</w:t>
      </w:r>
      <w:r>
        <w:rPr>
          <w:rFonts w:ascii="Times New Roman" w:hAnsi="Times New Roman" w:cs="Times New Roman"/>
          <w:sz w:val="24"/>
          <w:szCs w:val="24"/>
        </w:rPr>
        <w:t>The L2 motivational self system and L2 achievement: A study of Saudi EFL learners.</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The Modern Language Journal</w:t>
      </w:r>
      <w:r>
        <w:rPr>
          <w:rFonts w:ascii="Times New Roman" w:hAnsi="Times New Roman" w:cs="Times New Roman"/>
          <w:sz w:val="24"/>
          <w:szCs w:val="24"/>
        </w:rPr>
        <w:t>, </w:t>
      </w:r>
      <w:r>
        <w:rPr>
          <w:rFonts w:ascii="Times New Roman" w:hAnsi="Times New Roman" w:cs="Times New Roman"/>
          <w:i/>
          <w:iCs/>
          <w:sz w:val="24"/>
          <w:szCs w:val="24"/>
        </w:rPr>
        <w:t>100</w:t>
      </w:r>
      <w:r>
        <w:rPr>
          <w:rFonts w:ascii="Times New Roman" w:hAnsi="Times New Roman" w:cs="Times New Roman"/>
          <w:sz w:val="24"/>
          <w:szCs w:val="24"/>
        </w:rPr>
        <w:t>(3), pp.641-654.</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15.</w:t>
      </w:r>
      <w:r>
        <w:rPr>
          <w:rFonts w:ascii="Times New Roman" w:hAnsi="Times New Roman" w:cs="Times New Roman"/>
          <w:sz w:val="24"/>
          <w:szCs w:val="24"/>
        </w:rPr>
        <w:t xml:space="preserve">Singh, C.A. and Muis, K.R.,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2024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An integrated model of socially shared regulation of learning: The role of metacognition, affect, and motivation.</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Educational Psychologist</w:t>
      </w:r>
      <w:r>
        <w:rPr>
          <w:rFonts w:ascii="Times New Roman" w:hAnsi="Times New Roman" w:cs="Times New Roman"/>
          <w:sz w:val="24"/>
          <w:szCs w:val="24"/>
        </w:rPr>
        <w:t>, pp.1-18.</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16.</w:t>
      </w:r>
      <w:r>
        <w:rPr>
          <w:rFonts w:ascii="Times New Roman" w:hAnsi="Times New Roman" w:cs="Times New Roman"/>
          <w:sz w:val="24"/>
          <w:szCs w:val="24"/>
        </w:rPr>
        <w:t xml:space="preserve">Stapleton, P. and Kin, B.L.K.,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2019</w:t>
      </w:r>
      <w:r>
        <w:rPr>
          <w:rFonts w:hint="eastAsia" w:ascii="Times New Roman" w:hAnsi="Times New Roman" w:eastAsia="宋体" w:cs="Times New Roman"/>
          <w:sz w:val="24"/>
          <w:szCs w:val="24"/>
          <w:lang w:eastAsia="zh-CN"/>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Assessing the accuracy and teachers' impressions of Google Translate: A study of primary L2 writers in Hong Kong.</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English for Specific Purposes</w:t>
      </w:r>
      <w:r>
        <w:rPr>
          <w:rFonts w:ascii="Times New Roman" w:hAnsi="Times New Roman" w:cs="Times New Roman"/>
          <w:sz w:val="24"/>
          <w:szCs w:val="24"/>
        </w:rPr>
        <w:t>, </w:t>
      </w:r>
      <w:r>
        <w:rPr>
          <w:rFonts w:ascii="Times New Roman" w:hAnsi="Times New Roman" w:cs="Times New Roman"/>
          <w:i/>
          <w:iCs/>
          <w:sz w:val="24"/>
          <w:szCs w:val="24"/>
        </w:rPr>
        <w:t>56</w:t>
      </w:r>
      <w:r>
        <w:rPr>
          <w:rFonts w:ascii="Times New Roman" w:hAnsi="Times New Roman" w:cs="Times New Roman"/>
          <w:sz w:val="24"/>
          <w:szCs w:val="24"/>
        </w:rPr>
        <w:t>, pp.18-34.</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17.</w:t>
      </w:r>
      <w:r>
        <w:rPr>
          <w:rFonts w:ascii="Times New Roman" w:hAnsi="Times New Roman" w:cs="Times New Roman"/>
          <w:sz w:val="24"/>
          <w:szCs w:val="24"/>
        </w:rPr>
        <w:t xml:space="preserve">Tao, T.,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2023</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Application of personality in SLA and its research for teaching practice.</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Curriculum and Teaching Methodology</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(11), pp.62-67.</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18.</w:t>
      </w:r>
      <w:r>
        <w:rPr>
          <w:rFonts w:ascii="Times New Roman" w:hAnsi="Times New Roman" w:cs="Times New Roman"/>
          <w:sz w:val="24"/>
          <w:szCs w:val="24"/>
        </w:rPr>
        <w:t>Tavares, V., 2021. </w:t>
      </w:r>
      <w:r>
        <w:rPr>
          <w:rFonts w:ascii="Times New Roman" w:hAnsi="Times New Roman" w:cs="Times New Roman"/>
          <w:i/>
          <w:iCs/>
          <w:sz w:val="24"/>
          <w:szCs w:val="24"/>
        </w:rPr>
        <w:t>International students in higher education: Language, identity, and experience from a holistic perspective</w:t>
      </w:r>
      <w:r>
        <w:rPr>
          <w:rFonts w:ascii="Times New Roman" w:hAnsi="Times New Roman" w:cs="Times New Roman"/>
          <w:sz w:val="24"/>
          <w:szCs w:val="24"/>
        </w:rPr>
        <w:t>. Rowman &amp; Littlefield.</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19.</w:t>
      </w:r>
      <w:r>
        <w:rPr>
          <w:rFonts w:ascii="Times New Roman" w:hAnsi="Times New Roman" w:cs="Times New Roman"/>
          <w:sz w:val="24"/>
          <w:szCs w:val="24"/>
        </w:rPr>
        <w:t xml:space="preserve">Tomlinson, M. and Jackson, D.,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2021</w:t>
      </w:r>
      <w:r>
        <w:rPr>
          <w:rFonts w:hint="eastAsia" w:ascii="Times New Roman" w:hAnsi="Times New Roman" w:eastAsia="宋体" w:cs="Times New Roman"/>
          <w:sz w:val="24"/>
          <w:szCs w:val="24"/>
          <w:lang w:eastAsia="zh-CN"/>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Professional identity formation in contemporary higher education students.</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Studies in Higher Education</w:t>
      </w:r>
      <w:r>
        <w:rPr>
          <w:rFonts w:ascii="Times New Roman" w:hAnsi="Times New Roman" w:cs="Times New Roman"/>
          <w:sz w:val="24"/>
          <w:szCs w:val="24"/>
        </w:rPr>
        <w:t>, </w:t>
      </w:r>
      <w:r>
        <w:rPr>
          <w:rFonts w:ascii="Times New Roman" w:hAnsi="Times New Roman" w:cs="Times New Roman"/>
          <w:i/>
          <w:iCs/>
          <w:sz w:val="24"/>
          <w:szCs w:val="24"/>
        </w:rPr>
        <w:t>46</w:t>
      </w:r>
      <w:r>
        <w:rPr>
          <w:rFonts w:ascii="Times New Roman" w:hAnsi="Times New Roman" w:cs="Times New Roman"/>
          <w:sz w:val="24"/>
          <w:szCs w:val="24"/>
        </w:rPr>
        <w:t>(4), pp.885-900.</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20.</w:t>
      </w:r>
      <w:r>
        <w:rPr>
          <w:rFonts w:ascii="Times New Roman" w:hAnsi="Times New Roman" w:cs="Times New Roman"/>
          <w:sz w:val="24"/>
          <w:szCs w:val="24"/>
        </w:rPr>
        <w:t xml:space="preserve">Turker, S., Reiterer, S.M., Schneider, P. and Seither-Preisler, A., </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2018</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eastAsia="zh-CN"/>
        </w:rPr>
        <w:t>‘</w:t>
      </w:r>
      <w:r>
        <w:rPr>
          <w:rFonts w:ascii="Times New Roman" w:hAnsi="Times New Roman" w:cs="Times New Roman"/>
          <w:sz w:val="24"/>
          <w:szCs w:val="24"/>
        </w:rPr>
        <w:t>The neuroanatomical correlates of foreign language aptitude.</w:t>
      </w:r>
      <w:r>
        <w:rPr>
          <w:rFonts w:ascii="Times New Roman" w:hAnsi="Times New Roman" w:eastAsia="宋体" w:cs="Times New Roman"/>
          <w:sz w:val="24"/>
          <w:szCs w:val="24"/>
          <w:lang w:eastAsia="zh-CN"/>
        </w:rPr>
        <w:t>’</w:t>
      </w:r>
      <w:r>
        <w:rPr>
          <w:rFonts w:ascii="Times New Roman" w:hAnsi="Times New Roman" w:cs="Times New Roman"/>
          <w:sz w:val="24"/>
          <w:szCs w:val="24"/>
        </w:rPr>
        <w:t> </w:t>
      </w:r>
      <w:r>
        <w:rPr>
          <w:rFonts w:ascii="Times New Roman" w:hAnsi="Times New Roman" w:cs="Times New Roman"/>
          <w:i/>
          <w:iCs/>
          <w:sz w:val="24"/>
          <w:szCs w:val="24"/>
        </w:rPr>
        <w:t>Exploring language aptitude: Views from psychology, the language sciences, and cognitive neuroscience</w:t>
      </w:r>
      <w:r>
        <w:rPr>
          <w:rFonts w:ascii="Times New Roman" w:hAnsi="Times New Roman" w:cs="Times New Roman"/>
          <w:sz w:val="24"/>
          <w:szCs w:val="24"/>
        </w:rPr>
        <w:t>, pp.119-148.</w:t>
      </w:r>
    </w:p>
    <w:p>
      <w:pPr>
        <w:spacing w:after="100" w:afterAutospacing="1" w:line="480" w:lineRule="auto"/>
        <w:ind w:left="720" w:hanging="720"/>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21.</w:t>
      </w:r>
      <w:bookmarkStart w:id="0" w:name="_GoBack"/>
      <w:bookmarkEnd w:id="0"/>
      <w:r>
        <w:rPr>
          <w:rFonts w:ascii="Times New Roman" w:hAnsi="Times New Roman" w:cs="Times New Roman"/>
          <w:sz w:val="24"/>
          <w:szCs w:val="24"/>
        </w:rPr>
        <w:t>Uğurlu, K. and Görgülü, E., 2022. An Investigation into the Relationship between Learners’ Emotional Intelligence and Willingness to Communicate in terms of gender in the Turkish EFL Classroom. </w:t>
      </w:r>
      <w:r>
        <w:rPr>
          <w:rFonts w:ascii="Times New Roman" w:hAnsi="Times New Roman" w:cs="Times New Roman"/>
          <w:i/>
          <w:iCs/>
          <w:sz w:val="24"/>
          <w:szCs w:val="24"/>
        </w:rPr>
        <w:t>İZÜ Eğitim Dergisi/IZU Journal of Education</w:t>
      </w:r>
      <w:r>
        <w:rPr>
          <w:rFonts w:ascii="Times New Roman" w:hAnsi="Times New Roman" w:cs="Times New Roman"/>
          <w:sz w:val="24"/>
          <w:szCs w:val="24"/>
        </w:rPr>
        <w:t>.</w:t>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62052840"/>
    </w:sdtPr>
    <w:sdtContent>
      <w:p>
        <w:pPr>
          <w:pStyle w:val="3"/>
          <w:jc w:val="right"/>
        </w:pPr>
        <w:r>
          <w:fldChar w:fldCharType="begin"/>
        </w:r>
        <w:r>
          <w:instrText xml:space="preserve"> PAGE   \* MERGEFORMAT </w:instrText>
        </w:r>
        <w:r>
          <w:fldChar w:fldCharType="separate"/>
        </w:r>
        <w:r>
          <w:t>12</w:t>
        </w:r>
        <w:r>
          <w:fldChar w:fldCharType="end"/>
        </w:r>
      </w:p>
    </w:sdtContent>
  </w:sdt>
  <w:p>
    <w:pPr>
      <w:pStyle w:val="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c3OGQzZDJmOWY1MWRhNWQzMjE1MjM5OTA0MTRmZGMifQ=="/>
  </w:docVars>
  <w:rsids>
    <w:rsidRoot w:val="00DD58B6"/>
    <w:rsid w:val="00001900"/>
    <w:rsid w:val="0009544B"/>
    <w:rsid w:val="000A0A7F"/>
    <w:rsid w:val="0013420E"/>
    <w:rsid w:val="001E7A52"/>
    <w:rsid w:val="00204ADF"/>
    <w:rsid w:val="00232DF1"/>
    <w:rsid w:val="002C3B2C"/>
    <w:rsid w:val="002E21D7"/>
    <w:rsid w:val="00305F34"/>
    <w:rsid w:val="00333595"/>
    <w:rsid w:val="00364C3C"/>
    <w:rsid w:val="003676AE"/>
    <w:rsid w:val="003B7700"/>
    <w:rsid w:val="003C3A0C"/>
    <w:rsid w:val="00466D07"/>
    <w:rsid w:val="004A0670"/>
    <w:rsid w:val="00553E3C"/>
    <w:rsid w:val="005B2F4B"/>
    <w:rsid w:val="005C5229"/>
    <w:rsid w:val="006B0CBD"/>
    <w:rsid w:val="00735DDF"/>
    <w:rsid w:val="0076650B"/>
    <w:rsid w:val="008C4839"/>
    <w:rsid w:val="00930625"/>
    <w:rsid w:val="009B531E"/>
    <w:rsid w:val="009C48AC"/>
    <w:rsid w:val="009E434C"/>
    <w:rsid w:val="009F4DFF"/>
    <w:rsid w:val="00A56C47"/>
    <w:rsid w:val="00A6097B"/>
    <w:rsid w:val="00A82D95"/>
    <w:rsid w:val="00B04301"/>
    <w:rsid w:val="00B349B4"/>
    <w:rsid w:val="00B60BB4"/>
    <w:rsid w:val="00C108AA"/>
    <w:rsid w:val="00C34192"/>
    <w:rsid w:val="00D46F74"/>
    <w:rsid w:val="00D63223"/>
    <w:rsid w:val="00DB2FA1"/>
    <w:rsid w:val="00DD58B6"/>
    <w:rsid w:val="00DE79C3"/>
    <w:rsid w:val="00EC34A5"/>
    <w:rsid w:val="00F76BDA"/>
    <w:rsid w:val="0FF6566B"/>
    <w:rsid w:val="2CB3447C"/>
    <w:rsid w:val="2ED36A36"/>
    <w:rsid w:val="422A5A17"/>
    <w:rsid w:val="42BC318C"/>
    <w:rsid w:val="6056751D"/>
    <w:rsid w:val="64DD35B3"/>
    <w:rsid w:val="651E1B60"/>
    <w:rsid w:val="67EE0C36"/>
    <w:rsid w:val="7D952517"/>
    <w:rsid w:val="7E3965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5">
    <w:name w:val="Default Paragraph Font"/>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7"/>
    <w:autoRedefine/>
    <w:unhideWhenUsed/>
    <w:qFormat/>
    <w:uiPriority w:val="99"/>
    <w:pPr>
      <w:tabs>
        <w:tab w:val="center" w:pos="4680"/>
        <w:tab w:val="right" w:pos="9360"/>
      </w:tabs>
      <w:spacing w:after="0" w:line="240" w:lineRule="auto"/>
    </w:pPr>
  </w:style>
  <w:style w:type="paragraph" w:styleId="3">
    <w:name w:val="header"/>
    <w:basedOn w:val="1"/>
    <w:link w:val="6"/>
    <w:autoRedefine/>
    <w:unhideWhenUsed/>
    <w:qFormat/>
    <w:uiPriority w:val="99"/>
    <w:pPr>
      <w:tabs>
        <w:tab w:val="center" w:pos="4680"/>
        <w:tab w:val="right" w:pos="9360"/>
      </w:tabs>
      <w:spacing w:after="0" w:line="240" w:lineRule="auto"/>
    </w:pPr>
  </w:style>
  <w:style w:type="character" w:customStyle="1" w:styleId="6">
    <w:name w:val="Header Char"/>
    <w:basedOn w:val="5"/>
    <w:link w:val="3"/>
    <w:autoRedefine/>
    <w:qFormat/>
    <w:uiPriority w:val="99"/>
  </w:style>
  <w:style w:type="character" w:customStyle="1" w:styleId="7">
    <w:name w:val="Footer Char"/>
    <w:basedOn w:val="5"/>
    <w:link w:val="2"/>
    <w:autoRedefine/>
    <w:qFormat/>
    <w:uiPriority w:val="99"/>
  </w:style>
  <w:style w:type="paragraph" w:styleId="8">
    <w:name w:val="List Paragraph"/>
    <w:basedOn w:val="1"/>
    <w:autoRedefine/>
    <w:qFormat/>
    <w:uiPriority w:val="99"/>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18015-9A72-4DDF-BAC3-0EEF553EBD22}">
  <ds:schemaRefs/>
</ds:datastoreItem>
</file>

<file path=docProps/app.xml><?xml version="1.0" encoding="utf-8"?>
<Properties xmlns="http://schemas.openxmlformats.org/officeDocument/2006/extended-properties" xmlns:vt="http://schemas.openxmlformats.org/officeDocument/2006/docPropsVTypes">
  <Template>Normal</Template>
  <Pages>13</Pages>
  <Words>2753</Words>
  <Characters>18255</Characters>
  <Lines>264</Lines>
  <Paragraphs>51</Paragraphs>
  <TotalTime>4</TotalTime>
  <ScaleCrop>false</ScaleCrop>
  <LinksUpToDate>false</LinksUpToDate>
  <CharactersWithSpaces>20957</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2024-03-22T05:15:00Z</dcterms:created>
  <dc:creator>Windows User</dc:creator>
  <cp:lastModifiedBy>奥黛拉</cp:lastModifiedBy>
  <dcterms:modified xsi:type="dcterms:W3CDTF">2024-03-24T19:02:58Z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829f32c8-f784-4efc-8c01-47598d14070c</vt:lpwstr>
  </property>
  <property fmtid="{D5CDD505-2E9C-101B-9397-08002B2CF9AE}" pid="3" name="KSOProductBuildVer">
    <vt:lpwstr>2052-12.1.0.16417</vt:lpwstr>
  </property>
  <property fmtid="{D5CDD505-2E9C-101B-9397-08002B2CF9AE}" pid="4" name="ICV">
    <vt:lpwstr>236E1C4C2B2B4074A3B396A996AF90DB_13</vt:lpwstr>
  </property>
</Properties>
</file>