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EECA4" w14:textId="15183C4D" w:rsidR="009F4505" w:rsidRPr="00CA52D7" w:rsidRDefault="009F4505">
      <w:pPr>
        <w:spacing w:after="800"/>
        <w:jc w:val="center"/>
        <w:rPr>
          <w:lang w:val="en-GB"/>
        </w:rPr>
      </w:pPr>
    </w:p>
    <w:p w14:paraId="1DA1E55B" w14:textId="651AE218" w:rsidR="009F4505" w:rsidRPr="00FA307B" w:rsidRDefault="00CA52D7" w:rsidP="00CA52D7">
      <w:pPr>
        <w:jc w:val="center"/>
        <w:rPr>
          <w:b/>
          <w:bCs/>
          <w:sz w:val="48"/>
          <w:szCs w:val="48"/>
          <w:lang w:val="en-GB"/>
        </w:rPr>
      </w:pPr>
      <w:r w:rsidRPr="00FA307B">
        <w:rPr>
          <w:b/>
          <w:bCs/>
          <w:sz w:val="48"/>
          <w:szCs w:val="48"/>
          <w:lang w:val="en-GB"/>
        </w:rPr>
        <w:t xml:space="preserve">Assignment </w:t>
      </w:r>
    </w:p>
    <w:p w14:paraId="660257A8" w14:textId="77777777" w:rsidR="00CA52D7" w:rsidRDefault="00CA52D7" w:rsidP="00CA52D7">
      <w:pPr>
        <w:jc w:val="center"/>
        <w:rPr>
          <w:sz w:val="48"/>
          <w:szCs w:val="48"/>
          <w:lang w:val="en-GB"/>
        </w:rPr>
      </w:pPr>
      <w:r>
        <w:rPr>
          <w:sz w:val="48"/>
          <w:szCs w:val="48"/>
          <w:lang w:val="en-GB"/>
        </w:rPr>
        <w:t xml:space="preserve"> </w:t>
      </w:r>
    </w:p>
    <w:p w14:paraId="1F889969" w14:textId="77777777" w:rsidR="00CA52D7" w:rsidRPr="00FA307B" w:rsidRDefault="00CA52D7" w:rsidP="00CA52D7">
      <w:pPr>
        <w:jc w:val="center"/>
        <w:rPr>
          <w:b/>
          <w:bCs/>
          <w:sz w:val="48"/>
          <w:szCs w:val="48"/>
          <w:lang w:val="en-GB"/>
        </w:rPr>
      </w:pPr>
      <w:r w:rsidRPr="00FA307B">
        <w:rPr>
          <w:b/>
          <w:bCs/>
          <w:sz w:val="48"/>
          <w:szCs w:val="48"/>
          <w:lang w:val="en-GB"/>
        </w:rPr>
        <w:t>Network and Cybersecurity Essentials</w:t>
      </w:r>
    </w:p>
    <w:p w14:paraId="0357CB50" w14:textId="77777777" w:rsidR="00CA52D7" w:rsidRDefault="00CA52D7" w:rsidP="00CA52D7">
      <w:pPr>
        <w:jc w:val="center"/>
        <w:rPr>
          <w:sz w:val="48"/>
          <w:szCs w:val="48"/>
          <w:lang w:val="en-GB"/>
        </w:rPr>
      </w:pPr>
    </w:p>
    <w:p w14:paraId="1FF8F7C4" w14:textId="447532AC" w:rsidR="00CA52D7" w:rsidRPr="00CA52D7" w:rsidRDefault="00CA52D7" w:rsidP="00CA52D7">
      <w:pPr>
        <w:jc w:val="center"/>
        <w:rPr>
          <w:b/>
          <w:bCs/>
          <w:sz w:val="48"/>
          <w:szCs w:val="48"/>
          <w:lang w:val="en-GB"/>
        </w:rPr>
      </w:pPr>
      <w:r w:rsidRPr="00CA52D7">
        <w:rPr>
          <w:sz w:val="48"/>
          <w:szCs w:val="48"/>
          <w:lang w:val="en-GB"/>
        </w:rPr>
        <w:t>Module Name: Analysing and Solving Problems</w:t>
      </w:r>
      <w:r w:rsidRPr="00CA52D7">
        <w:rPr>
          <w:sz w:val="48"/>
          <w:szCs w:val="48"/>
          <w:lang w:val="en-GB"/>
        </w:rPr>
        <w:br/>
        <w:t>Module Code: ACCA4024</w:t>
      </w:r>
      <w:r w:rsidRPr="00CA52D7">
        <w:rPr>
          <w:sz w:val="48"/>
          <w:szCs w:val="48"/>
          <w:lang w:val="en-GB"/>
        </w:rPr>
        <w:br/>
        <w:t>Student Name: Nikodem Walkowiak</w:t>
      </w:r>
      <w:r w:rsidRPr="00CA52D7">
        <w:rPr>
          <w:sz w:val="48"/>
          <w:szCs w:val="48"/>
          <w:lang w:val="en-GB"/>
        </w:rPr>
        <w:br/>
        <w:t>Student ID: 2508837</w:t>
      </w:r>
      <w:r w:rsidRPr="00CA52D7">
        <w:rPr>
          <w:sz w:val="48"/>
          <w:szCs w:val="48"/>
          <w:lang w:val="en-GB"/>
        </w:rPr>
        <w:br/>
        <w:t>Group: 2</w:t>
      </w:r>
    </w:p>
    <w:p w14:paraId="3283C422" w14:textId="23C34124" w:rsidR="00CA52D7" w:rsidRPr="00CA52D7" w:rsidRDefault="00CA52D7" w:rsidP="00CA52D7">
      <w:pPr>
        <w:jc w:val="center"/>
        <w:rPr>
          <w:sz w:val="48"/>
          <w:szCs w:val="48"/>
          <w:lang w:val="en-GB"/>
        </w:rPr>
        <w:sectPr w:rsidR="00CA52D7" w:rsidRPr="00CA52D7">
          <w:pgSz w:w="12240" w:h="15840"/>
          <w:pgMar w:top="1440" w:right="1440" w:bottom="1440" w:left="1440" w:header="708" w:footer="708" w:gutter="0"/>
          <w:cols w:space="708"/>
          <w:docGrid w:linePitch="360"/>
        </w:sectPr>
      </w:pPr>
      <w:r w:rsidRPr="00CA52D7">
        <w:rPr>
          <w:sz w:val="48"/>
          <w:szCs w:val="48"/>
          <w:lang w:val="en-GB"/>
        </w:rPr>
        <w:t xml:space="preserve">Lecturer’s Name: </w:t>
      </w:r>
      <w:r>
        <w:rPr>
          <w:sz w:val="48"/>
          <w:szCs w:val="48"/>
          <w:lang w:val="en-GB"/>
        </w:rPr>
        <w:t xml:space="preserve"> </w:t>
      </w:r>
      <w:r w:rsidRPr="00CA52D7">
        <w:rPr>
          <w:sz w:val="48"/>
          <w:szCs w:val="48"/>
          <w:lang w:val="en-GB"/>
        </w:rPr>
        <w:t>Dr Amit Nai</w:t>
      </w:r>
      <w:r>
        <w:rPr>
          <w:sz w:val="48"/>
          <w:szCs w:val="48"/>
          <w:lang w:val="en-GB"/>
        </w:rPr>
        <w:t>l</w:t>
      </w:r>
    </w:p>
    <w:sdt>
      <w:sdtPr>
        <w:rPr>
          <w:rFonts w:ascii="Calibri" w:eastAsia="Calibri" w:hAnsi="Calibri" w:cs="Calibri"/>
          <w:color w:val="1A1A1A"/>
          <w:sz w:val="22"/>
          <w:szCs w:val="22"/>
          <w:lang w:val="en-GB"/>
        </w:rPr>
        <w:id w:val="-1695524862"/>
        <w:docPartObj>
          <w:docPartGallery w:val="Table of Contents"/>
          <w:docPartUnique/>
        </w:docPartObj>
      </w:sdtPr>
      <w:sdtEndPr>
        <w:rPr>
          <w:b/>
          <w:bCs/>
        </w:rPr>
      </w:sdtEndPr>
      <w:sdtContent>
        <w:p w14:paraId="1AFF6508" w14:textId="218D86CA" w:rsidR="00CA52D7" w:rsidRDefault="00CA52D7">
          <w:pPr>
            <w:pStyle w:val="TOCHeading"/>
          </w:pPr>
          <w:r>
            <w:rPr>
              <w:lang w:val="en-GB"/>
            </w:rPr>
            <w:t>Table of Contents</w:t>
          </w:r>
        </w:p>
        <w:p w14:paraId="6874F587" w14:textId="51897A86"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r>
            <w:fldChar w:fldCharType="begin"/>
          </w:r>
          <w:r>
            <w:instrText xml:space="preserve"> TOC \o "1-3" \h \z \u </w:instrText>
          </w:r>
          <w:r>
            <w:fldChar w:fldCharType="separate"/>
          </w:r>
          <w:hyperlink w:anchor="_Toc237350625" w:history="1">
            <w:r w:rsidRPr="00AD1512">
              <w:rPr>
                <w:rStyle w:val="Hyperlink"/>
                <w:noProof/>
                <w:lang w:val="en-GB"/>
              </w:rPr>
              <w:t>Setting the Scene</w:t>
            </w:r>
            <w:r>
              <w:rPr>
                <w:noProof/>
                <w:webHidden/>
              </w:rPr>
              <w:tab/>
            </w:r>
            <w:r>
              <w:rPr>
                <w:noProof/>
                <w:webHidden/>
              </w:rPr>
              <w:fldChar w:fldCharType="begin"/>
            </w:r>
            <w:r>
              <w:rPr>
                <w:noProof/>
                <w:webHidden/>
              </w:rPr>
              <w:instrText xml:space="preserve"> PAGEREF _Toc237350625 \h </w:instrText>
            </w:r>
            <w:r>
              <w:rPr>
                <w:noProof/>
                <w:webHidden/>
              </w:rPr>
            </w:r>
            <w:r>
              <w:rPr>
                <w:noProof/>
                <w:webHidden/>
              </w:rPr>
              <w:fldChar w:fldCharType="separate"/>
            </w:r>
            <w:r>
              <w:rPr>
                <w:noProof/>
                <w:webHidden/>
              </w:rPr>
              <w:t>3</w:t>
            </w:r>
            <w:r>
              <w:rPr>
                <w:noProof/>
                <w:webHidden/>
              </w:rPr>
              <w:fldChar w:fldCharType="end"/>
            </w:r>
          </w:hyperlink>
        </w:p>
        <w:p w14:paraId="69FC259D" w14:textId="6550EA42"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6" w:history="1">
            <w:r w:rsidRPr="00AD1512">
              <w:rPr>
                <w:rStyle w:val="Hyperlink"/>
                <w:noProof/>
                <w:lang w:val="en-GB"/>
              </w:rPr>
              <w:t>Where the Exposure Sits</w:t>
            </w:r>
            <w:r>
              <w:rPr>
                <w:noProof/>
                <w:webHidden/>
              </w:rPr>
              <w:tab/>
            </w:r>
            <w:r>
              <w:rPr>
                <w:noProof/>
                <w:webHidden/>
              </w:rPr>
              <w:fldChar w:fldCharType="begin"/>
            </w:r>
            <w:r>
              <w:rPr>
                <w:noProof/>
                <w:webHidden/>
              </w:rPr>
              <w:instrText xml:space="preserve"> PAGEREF _Toc237350626 \h </w:instrText>
            </w:r>
            <w:r>
              <w:rPr>
                <w:noProof/>
                <w:webHidden/>
              </w:rPr>
            </w:r>
            <w:r>
              <w:rPr>
                <w:noProof/>
                <w:webHidden/>
              </w:rPr>
              <w:fldChar w:fldCharType="separate"/>
            </w:r>
            <w:r>
              <w:rPr>
                <w:noProof/>
                <w:webHidden/>
              </w:rPr>
              <w:t>3</w:t>
            </w:r>
            <w:r>
              <w:rPr>
                <w:noProof/>
                <w:webHidden/>
              </w:rPr>
              <w:fldChar w:fldCharType="end"/>
            </w:r>
          </w:hyperlink>
        </w:p>
        <w:p w14:paraId="093BF59E" w14:textId="37300843"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7" w:history="1">
            <w:r w:rsidRPr="00AD1512">
              <w:rPr>
                <w:rStyle w:val="Hyperlink"/>
                <w:noProof/>
              </w:rPr>
              <w:t>Closing the Obvious Gaps: Policy</w:t>
            </w:r>
            <w:r>
              <w:rPr>
                <w:noProof/>
                <w:webHidden/>
              </w:rPr>
              <w:tab/>
            </w:r>
            <w:r>
              <w:rPr>
                <w:noProof/>
                <w:webHidden/>
              </w:rPr>
              <w:fldChar w:fldCharType="begin"/>
            </w:r>
            <w:r>
              <w:rPr>
                <w:noProof/>
                <w:webHidden/>
              </w:rPr>
              <w:instrText xml:space="preserve"> PAGEREF _Toc237350627 \h </w:instrText>
            </w:r>
            <w:r>
              <w:rPr>
                <w:noProof/>
                <w:webHidden/>
              </w:rPr>
            </w:r>
            <w:r>
              <w:rPr>
                <w:noProof/>
                <w:webHidden/>
              </w:rPr>
              <w:fldChar w:fldCharType="separate"/>
            </w:r>
            <w:r>
              <w:rPr>
                <w:noProof/>
                <w:webHidden/>
              </w:rPr>
              <w:t>4</w:t>
            </w:r>
            <w:r>
              <w:rPr>
                <w:noProof/>
                <w:webHidden/>
              </w:rPr>
              <w:fldChar w:fldCharType="end"/>
            </w:r>
          </w:hyperlink>
        </w:p>
        <w:p w14:paraId="5C4A725B" w14:textId="1C11446B"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8" w:history="1">
            <w:r w:rsidRPr="00AD1512">
              <w:rPr>
                <w:rStyle w:val="Hyperlink"/>
                <w:noProof/>
                <w:lang w:val="en-GB"/>
              </w:rPr>
              <w:t>What We Actually Do About It</w:t>
            </w:r>
            <w:r>
              <w:rPr>
                <w:noProof/>
                <w:webHidden/>
              </w:rPr>
              <w:tab/>
            </w:r>
            <w:r>
              <w:rPr>
                <w:noProof/>
                <w:webHidden/>
              </w:rPr>
              <w:fldChar w:fldCharType="begin"/>
            </w:r>
            <w:r>
              <w:rPr>
                <w:noProof/>
                <w:webHidden/>
              </w:rPr>
              <w:instrText xml:space="preserve"> PAGEREF _Toc237350628 \h </w:instrText>
            </w:r>
            <w:r>
              <w:rPr>
                <w:noProof/>
                <w:webHidden/>
              </w:rPr>
            </w:r>
            <w:r>
              <w:rPr>
                <w:noProof/>
                <w:webHidden/>
              </w:rPr>
              <w:fldChar w:fldCharType="separate"/>
            </w:r>
            <w:r>
              <w:rPr>
                <w:noProof/>
                <w:webHidden/>
              </w:rPr>
              <w:t>5</w:t>
            </w:r>
            <w:r>
              <w:rPr>
                <w:noProof/>
                <w:webHidden/>
              </w:rPr>
              <w:fldChar w:fldCharType="end"/>
            </w:r>
          </w:hyperlink>
        </w:p>
        <w:p w14:paraId="2F120399" w14:textId="3F6DFE66"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29" w:history="1">
            <w:r w:rsidRPr="00AD1512">
              <w:rPr>
                <w:rStyle w:val="Hyperlink"/>
                <w:noProof/>
                <w:lang w:val="en-GB"/>
              </w:rPr>
              <w:t>Watching the Network and Reacting When Something Goes Wrong</w:t>
            </w:r>
            <w:r>
              <w:rPr>
                <w:noProof/>
                <w:webHidden/>
              </w:rPr>
              <w:tab/>
            </w:r>
            <w:r>
              <w:rPr>
                <w:noProof/>
                <w:webHidden/>
              </w:rPr>
              <w:fldChar w:fldCharType="begin"/>
            </w:r>
            <w:r>
              <w:rPr>
                <w:noProof/>
                <w:webHidden/>
              </w:rPr>
              <w:instrText xml:space="preserve"> PAGEREF _Toc237350629 \h </w:instrText>
            </w:r>
            <w:r>
              <w:rPr>
                <w:noProof/>
                <w:webHidden/>
              </w:rPr>
            </w:r>
            <w:r>
              <w:rPr>
                <w:noProof/>
                <w:webHidden/>
              </w:rPr>
              <w:fldChar w:fldCharType="separate"/>
            </w:r>
            <w:r>
              <w:rPr>
                <w:noProof/>
                <w:webHidden/>
              </w:rPr>
              <w:t>6</w:t>
            </w:r>
            <w:r>
              <w:rPr>
                <w:noProof/>
                <w:webHidden/>
              </w:rPr>
              <w:fldChar w:fldCharType="end"/>
            </w:r>
          </w:hyperlink>
        </w:p>
        <w:p w14:paraId="6120C5B1" w14:textId="23B7FD7D"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0" w:history="1">
            <w:r w:rsidRPr="00AD1512">
              <w:rPr>
                <w:rStyle w:val="Hyperlink"/>
                <w:noProof/>
                <w:lang w:val="en-GB"/>
              </w:rPr>
              <w:t>The Human Layer</w:t>
            </w:r>
            <w:r>
              <w:rPr>
                <w:noProof/>
                <w:webHidden/>
              </w:rPr>
              <w:tab/>
            </w:r>
            <w:r>
              <w:rPr>
                <w:noProof/>
                <w:webHidden/>
              </w:rPr>
              <w:fldChar w:fldCharType="begin"/>
            </w:r>
            <w:r>
              <w:rPr>
                <w:noProof/>
                <w:webHidden/>
              </w:rPr>
              <w:instrText xml:space="preserve"> PAGEREF _Toc237350630 \h </w:instrText>
            </w:r>
            <w:r>
              <w:rPr>
                <w:noProof/>
                <w:webHidden/>
              </w:rPr>
            </w:r>
            <w:r>
              <w:rPr>
                <w:noProof/>
                <w:webHidden/>
              </w:rPr>
              <w:fldChar w:fldCharType="separate"/>
            </w:r>
            <w:r>
              <w:rPr>
                <w:noProof/>
                <w:webHidden/>
              </w:rPr>
              <w:t>7</w:t>
            </w:r>
            <w:r>
              <w:rPr>
                <w:noProof/>
                <w:webHidden/>
              </w:rPr>
              <w:fldChar w:fldCharType="end"/>
            </w:r>
          </w:hyperlink>
        </w:p>
        <w:p w14:paraId="414D1196" w14:textId="46D2D29E"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1" w:history="1">
            <w:r w:rsidRPr="00AD1512">
              <w:rPr>
                <w:rStyle w:val="Hyperlink"/>
                <w:noProof/>
                <w:lang w:val="en-GB"/>
              </w:rPr>
              <w:t>Is It Worth the Money? A Word on Cost</w:t>
            </w:r>
            <w:r>
              <w:rPr>
                <w:noProof/>
                <w:webHidden/>
              </w:rPr>
              <w:tab/>
            </w:r>
            <w:r>
              <w:rPr>
                <w:noProof/>
                <w:webHidden/>
              </w:rPr>
              <w:fldChar w:fldCharType="begin"/>
            </w:r>
            <w:r>
              <w:rPr>
                <w:noProof/>
                <w:webHidden/>
              </w:rPr>
              <w:instrText xml:space="preserve"> PAGEREF _Toc237350631 \h </w:instrText>
            </w:r>
            <w:r>
              <w:rPr>
                <w:noProof/>
                <w:webHidden/>
              </w:rPr>
            </w:r>
            <w:r>
              <w:rPr>
                <w:noProof/>
                <w:webHidden/>
              </w:rPr>
              <w:fldChar w:fldCharType="separate"/>
            </w:r>
            <w:r>
              <w:rPr>
                <w:noProof/>
                <w:webHidden/>
              </w:rPr>
              <w:t>8</w:t>
            </w:r>
            <w:r>
              <w:rPr>
                <w:noProof/>
                <w:webHidden/>
              </w:rPr>
              <w:fldChar w:fldCharType="end"/>
            </w:r>
          </w:hyperlink>
        </w:p>
        <w:p w14:paraId="44A86BC0" w14:textId="4FDF3AE3"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2" w:history="1">
            <w:r w:rsidRPr="00AD1512">
              <w:rPr>
                <w:rStyle w:val="Hyperlink"/>
                <w:noProof/>
                <w:lang w:val="en-GB"/>
              </w:rPr>
              <w:t>Where This Leaves Us</w:t>
            </w:r>
            <w:r>
              <w:rPr>
                <w:noProof/>
                <w:webHidden/>
              </w:rPr>
              <w:tab/>
            </w:r>
            <w:r>
              <w:rPr>
                <w:noProof/>
                <w:webHidden/>
              </w:rPr>
              <w:fldChar w:fldCharType="begin"/>
            </w:r>
            <w:r>
              <w:rPr>
                <w:noProof/>
                <w:webHidden/>
              </w:rPr>
              <w:instrText xml:space="preserve"> PAGEREF _Toc237350632 \h </w:instrText>
            </w:r>
            <w:r>
              <w:rPr>
                <w:noProof/>
                <w:webHidden/>
              </w:rPr>
            </w:r>
            <w:r>
              <w:rPr>
                <w:noProof/>
                <w:webHidden/>
              </w:rPr>
              <w:fldChar w:fldCharType="separate"/>
            </w:r>
            <w:r>
              <w:rPr>
                <w:noProof/>
                <w:webHidden/>
              </w:rPr>
              <w:t>8</w:t>
            </w:r>
            <w:r>
              <w:rPr>
                <w:noProof/>
                <w:webHidden/>
              </w:rPr>
              <w:fldChar w:fldCharType="end"/>
            </w:r>
          </w:hyperlink>
        </w:p>
        <w:p w14:paraId="0C3A90CD" w14:textId="39FBB414"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3" w:history="1">
            <w:r w:rsidRPr="00AD1512">
              <w:rPr>
                <w:rStyle w:val="Hyperlink"/>
                <w:noProof/>
                <w:lang w:val="en-GB"/>
              </w:rPr>
              <w:t>References</w:t>
            </w:r>
            <w:r>
              <w:rPr>
                <w:noProof/>
                <w:webHidden/>
              </w:rPr>
              <w:tab/>
            </w:r>
            <w:r>
              <w:rPr>
                <w:noProof/>
                <w:webHidden/>
              </w:rPr>
              <w:fldChar w:fldCharType="begin"/>
            </w:r>
            <w:r>
              <w:rPr>
                <w:noProof/>
                <w:webHidden/>
              </w:rPr>
              <w:instrText xml:space="preserve"> PAGEREF _Toc237350633 \h </w:instrText>
            </w:r>
            <w:r>
              <w:rPr>
                <w:noProof/>
                <w:webHidden/>
              </w:rPr>
            </w:r>
            <w:r>
              <w:rPr>
                <w:noProof/>
                <w:webHidden/>
              </w:rPr>
              <w:fldChar w:fldCharType="separate"/>
            </w:r>
            <w:r>
              <w:rPr>
                <w:noProof/>
                <w:webHidden/>
              </w:rPr>
              <w:t>8</w:t>
            </w:r>
            <w:r>
              <w:rPr>
                <w:noProof/>
                <w:webHidden/>
              </w:rPr>
              <w:fldChar w:fldCharType="end"/>
            </w:r>
          </w:hyperlink>
        </w:p>
        <w:p w14:paraId="3DD1B91A" w14:textId="6EDDD9E0" w:rsidR="00CA52D7" w:rsidRDefault="00CA52D7">
          <w:pPr>
            <w:pStyle w:val="TOC1"/>
            <w:tabs>
              <w:tab w:val="right" w:leader="dot" w:pos="9350"/>
            </w:tabs>
            <w:rPr>
              <w:rFonts w:asciiTheme="minorHAnsi" w:eastAsiaTheme="minorEastAsia" w:hAnsiTheme="minorHAnsi" w:cstheme="minorBidi"/>
              <w:noProof/>
              <w:color w:val="auto"/>
              <w:kern w:val="2"/>
              <w:sz w:val="24"/>
              <w:szCs w:val="24"/>
              <w14:ligatures w14:val="standardContextual"/>
            </w:rPr>
          </w:pPr>
          <w:hyperlink w:anchor="_Toc237350634" w:history="1">
            <w:r w:rsidRPr="00AD1512">
              <w:rPr>
                <w:rStyle w:val="Hyperlink"/>
                <w:noProof/>
                <w:lang w:val="en-GB"/>
              </w:rPr>
              <w:t>Appendix A: Board Presentation Slides</w:t>
            </w:r>
            <w:r>
              <w:rPr>
                <w:noProof/>
                <w:webHidden/>
              </w:rPr>
              <w:tab/>
            </w:r>
            <w:r>
              <w:rPr>
                <w:noProof/>
                <w:webHidden/>
              </w:rPr>
              <w:fldChar w:fldCharType="begin"/>
            </w:r>
            <w:r>
              <w:rPr>
                <w:noProof/>
                <w:webHidden/>
              </w:rPr>
              <w:instrText xml:space="preserve"> PAGEREF _Toc237350634 \h </w:instrText>
            </w:r>
            <w:r>
              <w:rPr>
                <w:noProof/>
                <w:webHidden/>
              </w:rPr>
            </w:r>
            <w:r>
              <w:rPr>
                <w:noProof/>
                <w:webHidden/>
              </w:rPr>
              <w:fldChar w:fldCharType="separate"/>
            </w:r>
            <w:r>
              <w:rPr>
                <w:noProof/>
                <w:webHidden/>
              </w:rPr>
              <w:t>10</w:t>
            </w:r>
            <w:r>
              <w:rPr>
                <w:noProof/>
                <w:webHidden/>
              </w:rPr>
              <w:fldChar w:fldCharType="end"/>
            </w:r>
          </w:hyperlink>
        </w:p>
        <w:p w14:paraId="52D3AACA" w14:textId="4FFC6A79" w:rsidR="00CA52D7" w:rsidRDefault="00CA52D7">
          <w:r>
            <w:rPr>
              <w:b/>
              <w:bCs/>
              <w:lang w:val="en-GB"/>
            </w:rPr>
            <w:fldChar w:fldCharType="end"/>
          </w:r>
        </w:p>
      </w:sdtContent>
    </w:sdt>
    <w:p w14:paraId="2E255A65" w14:textId="77777777" w:rsidR="009F4505" w:rsidRPr="00CA52D7" w:rsidRDefault="00065D9F">
      <w:pPr>
        <w:rPr>
          <w:lang w:val="en-GB"/>
        </w:rPr>
      </w:pPr>
      <w:r w:rsidRPr="00CA52D7">
        <w:rPr>
          <w:lang w:val="en-GB"/>
        </w:rPr>
        <w:br w:type="page"/>
      </w:r>
    </w:p>
    <w:p w14:paraId="6A09B3A0" w14:textId="77777777" w:rsidR="009F4505" w:rsidRPr="00CA52D7" w:rsidRDefault="00065D9F">
      <w:pPr>
        <w:pStyle w:val="Heading1"/>
        <w:rPr>
          <w:lang w:val="en-GB"/>
        </w:rPr>
      </w:pPr>
      <w:bookmarkStart w:id="0" w:name="_Toc237350625"/>
      <w:r w:rsidRPr="00CA52D7">
        <w:rPr>
          <w:lang w:val="en-GB"/>
        </w:rPr>
        <w:lastRenderedPageBreak/>
        <w:t>Setting the Scene</w:t>
      </w:r>
      <w:bookmarkEnd w:id="0"/>
    </w:p>
    <w:p w14:paraId="113CE04A" w14:textId="2B7D308D" w:rsidR="009F4505" w:rsidRPr="00CA52D7" w:rsidRDefault="00065D9F">
      <w:pPr>
        <w:spacing w:after="160" w:line="276" w:lineRule="auto"/>
        <w:rPr>
          <w:lang w:val="en-GB"/>
        </w:rPr>
      </w:pPr>
      <w:r w:rsidRPr="00CA52D7">
        <w:rPr>
          <w:lang w:val="en-GB"/>
        </w:rPr>
        <w:t xml:space="preserve">When </w:t>
      </w:r>
      <w:proofErr w:type="spellStart"/>
      <w:r w:rsidRPr="00CA52D7">
        <w:rPr>
          <w:lang w:val="en-GB"/>
        </w:rPr>
        <w:t>SteelForm</w:t>
      </w:r>
      <w:proofErr w:type="spellEnd"/>
      <w:r w:rsidRPr="00CA52D7">
        <w:rPr>
          <w:lang w:val="en-GB"/>
        </w:rPr>
        <w:t xml:space="preserve"> Manufacturing Ltd decided to modernise its production lines with IoT</w:t>
      </w:r>
      <w:r w:rsidR="004D04E7">
        <w:rPr>
          <w:lang w:val="en-GB"/>
        </w:rPr>
        <w:t xml:space="preserve"> </w:t>
      </w:r>
      <w:r w:rsidRPr="00CA52D7">
        <w:rPr>
          <w:lang w:val="en-GB"/>
        </w:rPr>
        <w:t>enabled sensors, automated machinery and a cloud-hosted production management system, the move made obvious commercial sense. Automotive and aerospace customers expect faster turnaround, tighter quality tolerances and real</w:t>
      </w:r>
      <w:r w:rsidR="004D04E7">
        <w:rPr>
          <w:lang w:val="en-GB"/>
        </w:rPr>
        <w:t xml:space="preserve"> </w:t>
      </w:r>
      <w:r w:rsidRPr="00CA52D7">
        <w:rPr>
          <w:lang w:val="en-GB"/>
        </w:rPr>
        <w:t xml:space="preserve">time visibility into order </w:t>
      </w:r>
      <w:proofErr w:type="gramStart"/>
      <w:r w:rsidRPr="00CA52D7">
        <w:rPr>
          <w:lang w:val="en-GB"/>
        </w:rPr>
        <w:t>status  none</w:t>
      </w:r>
      <w:proofErr w:type="gramEnd"/>
      <w:r w:rsidRPr="00CA52D7">
        <w:rPr>
          <w:lang w:val="en-GB"/>
        </w:rPr>
        <w:t xml:space="preserve"> of which is realistic on a factory floor running on paper and spreadsheets. But there is a catch that does not get talked about enough in the boardroom: every sensor, every remote login, every cloud dashboard is also a door. And over the last few months, several people have already tried those doors. We have seen malware infections on office machines, phishing emails aimed squarely at procurement staff, and repeated attempts to log into the production network from accounts that should not be logging in at all.</w:t>
      </w:r>
    </w:p>
    <w:p w14:paraId="67751E38" w14:textId="4170EBB9" w:rsidR="009F4505" w:rsidRPr="00CA52D7" w:rsidRDefault="00065D9F">
      <w:pPr>
        <w:spacing w:after="160" w:line="276" w:lineRule="auto"/>
        <w:rPr>
          <w:lang w:val="en-GB"/>
        </w:rPr>
      </w:pPr>
      <w:r w:rsidRPr="00CA52D7">
        <w:rPr>
          <w:lang w:val="en-GB"/>
        </w:rPr>
        <w:t>None of this is unusual for a manufacturer our size. What has changed is the scale of the problem across the sector. Manufacturing overtook almost every other industry as a ransomware target through 2025, with incident volumes climbing by more than half year</w:t>
      </w:r>
      <w:r w:rsidR="004D04E7">
        <w:rPr>
          <w:lang w:val="en-GB"/>
        </w:rPr>
        <w:t xml:space="preserve"> </w:t>
      </w:r>
      <w:r w:rsidRPr="00CA52D7">
        <w:rPr>
          <w:lang w:val="en-GB"/>
        </w:rPr>
        <w:t>on</w:t>
      </w:r>
      <w:r w:rsidR="004D04E7">
        <w:rPr>
          <w:lang w:val="en-GB"/>
        </w:rPr>
        <w:t xml:space="preserve"> a </w:t>
      </w:r>
      <w:r w:rsidRPr="00CA52D7">
        <w:rPr>
          <w:lang w:val="en-GB"/>
        </w:rPr>
        <w:t>year [1]. Dragos, which tracks industrial ransomware specifically, recorded manufacturing as the most-hit sector in back-to-back quarters, and flagged a case that should sound familiar to anyone in our industry: Nucor, the American steel producer, had to physically halt production in 2025 after a cyberattack forced it to contain and isolate affected systems [2]. If a company the size of Nucor, with presumably far deeper security budgets than ours, can be knocked offline, it would be naive to assume SFM is somehow out of reach.</w:t>
      </w:r>
    </w:p>
    <w:p w14:paraId="1315320C" w14:textId="19490CB2" w:rsidR="009F4505" w:rsidRPr="00CA52D7" w:rsidRDefault="00065D9F">
      <w:pPr>
        <w:spacing w:after="160" w:line="276" w:lineRule="auto"/>
        <w:rPr>
          <w:lang w:val="en-GB"/>
        </w:rPr>
      </w:pPr>
      <w:r w:rsidRPr="00CA52D7">
        <w:rPr>
          <w:lang w:val="en-GB"/>
        </w:rPr>
        <w:t xml:space="preserve">This report is my attempt, as IT Security Manager, to lay out where our exposure </w:t>
      </w:r>
      <w:proofErr w:type="gramStart"/>
      <w:r w:rsidRPr="00CA52D7">
        <w:rPr>
          <w:lang w:val="en-GB"/>
        </w:rPr>
        <w:t>actually sits</w:t>
      </w:r>
      <w:proofErr w:type="gramEnd"/>
      <w:r w:rsidRPr="00CA52D7">
        <w:rPr>
          <w:lang w:val="en-GB"/>
        </w:rPr>
        <w:t>, what we can realistically do about it in the next twelve months, and why I think the investment is justified rather than just prudent. I have tried to avoid the trap of writing a compliance document that nobody reads twice the aim here is something the Board can actually use to make a funding decision.</w:t>
      </w:r>
    </w:p>
    <w:p w14:paraId="2F2DB8D2" w14:textId="77777777" w:rsidR="009F4505" w:rsidRPr="00CA52D7" w:rsidRDefault="00065D9F">
      <w:pPr>
        <w:pStyle w:val="Heading1"/>
        <w:rPr>
          <w:lang w:val="en-GB"/>
        </w:rPr>
      </w:pPr>
      <w:bookmarkStart w:id="1" w:name="_Toc237350626"/>
      <w:r w:rsidRPr="00CA52D7">
        <w:rPr>
          <w:lang w:val="en-GB"/>
        </w:rPr>
        <w:t>Where the Exposure Sits</w:t>
      </w:r>
      <w:bookmarkEnd w:id="1"/>
    </w:p>
    <w:p w14:paraId="08182E8D" w14:textId="77777777" w:rsidR="009F4505" w:rsidRPr="00CA52D7" w:rsidRDefault="00065D9F">
      <w:pPr>
        <w:spacing w:after="160" w:line="276" w:lineRule="auto"/>
        <w:rPr>
          <w:lang w:val="en-GB"/>
        </w:rPr>
      </w:pPr>
      <w:r w:rsidRPr="00CA52D7">
        <w:rPr>
          <w:lang w:val="en-GB"/>
        </w:rPr>
        <w:t>It helps to split the risk into two buckets, because the fixes are quite different. One bucket is made up of people and processes already inside the organisation; the other is everything trying to get in from outside.</w:t>
      </w:r>
    </w:p>
    <w:p w14:paraId="22BE9E08" w14:textId="240FFE1D" w:rsidR="009F4505" w:rsidRPr="00CA52D7" w:rsidRDefault="00065D9F">
      <w:pPr>
        <w:spacing w:after="160" w:line="276" w:lineRule="auto"/>
        <w:rPr>
          <w:lang w:val="en-GB"/>
        </w:rPr>
      </w:pPr>
      <w:r w:rsidRPr="00CA52D7">
        <w:rPr>
          <w:lang w:val="en-GB"/>
        </w:rPr>
        <w:t xml:space="preserve">Inside the fence, most of what goes wrong is not </w:t>
      </w:r>
      <w:proofErr w:type="gramStart"/>
      <w:r w:rsidRPr="00CA52D7">
        <w:rPr>
          <w:lang w:val="en-GB"/>
        </w:rPr>
        <w:t>malicious  it</w:t>
      </w:r>
      <w:proofErr w:type="gramEnd"/>
      <w:r w:rsidRPr="00CA52D7">
        <w:rPr>
          <w:lang w:val="en-GB"/>
        </w:rPr>
        <w:t xml:space="preserve"> is tired staff misconfiguring a cloud storage bucket, or a shared password that has been sitting on a sticky note near a terminal since before I joined. That said, we should not pretend the malicious insider risk does not exist. A disgruntled employee, or worse, a former contractor whose access was never properly revoked, </w:t>
      </w:r>
      <w:proofErr w:type="gramStart"/>
      <w:r w:rsidRPr="00CA52D7">
        <w:rPr>
          <w:lang w:val="en-GB"/>
        </w:rPr>
        <w:t>is in a position to</w:t>
      </w:r>
      <w:proofErr w:type="gramEnd"/>
      <w:r w:rsidRPr="00CA52D7">
        <w:rPr>
          <w:lang w:val="en-GB"/>
        </w:rPr>
        <w:t xml:space="preserve"> walk off with design files that took years to develop. Shadow IT is another quiet problem: personal phones connected to guest </w:t>
      </w:r>
      <w:proofErr w:type="spellStart"/>
      <w:r w:rsidRPr="00CA52D7">
        <w:rPr>
          <w:lang w:val="en-GB"/>
        </w:rPr>
        <w:t>WiFi</w:t>
      </w:r>
      <w:proofErr w:type="spellEnd"/>
      <w:r w:rsidRPr="00CA52D7">
        <w:rPr>
          <w:lang w:val="en-GB"/>
        </w:rPr>
        <w:t>, or IoT sensors bought and installed by an engineer without going through IT, both bypass whatever controls we have put in place.</w:t>
      </w:r>
    </w:p>
    <w:p w14:paraId="05C16556" w14:textId="71E14A15" w:rsidR="009F4505" w:rsidRPr="00CA52D7" w:rsidRDefault="00065D9F">
      <w:pPr>
        <w:spacing w:after="160" w:line="276" w:lineRule="auto"/>
        <w:rPr>
          <w:lang w:val="en-GB"/>
        </w:rPr>
      </w:pPr>
      <w:r w:rsidRPr="00CA52D7">
        <w:rPr>
          <w:lang w:val="en-GB"/>
        </w:rPr>
        <w:t xml:space="preserve">Outside the fence, phishing remains the classic entry point, and procurement staff are an obvious target because they are used to receiving invoices and payment requests from unfamiliar addresses. Ransomware is the headline risk Sophos's 2025 study of manufacturing firms found that exploited </w:t>
      </w:r>
      <w:r w:rsidRPr="00CA52D7">
        <w:rPr>
          <w:lang w:val="en-GB"/>
        </w:rPr>
        <w:lastRenderedPageBreak/>
        <w:t>vulnerabilities, not phishing, are now the single biggest root cause of these attacks, overtaking malicious email for the first time [3]. That is a meaningful shift: it means patching discipline and legacy-system management matter just as much as staff awareness training. Supply-chain compromise is the threat I would flag as most likely to catch us off guard, since attackers increasingly go after the weakest supplier in a chain rather than the prime target directly, and we have several. Industrial espionage sits quietly behind all of this: our design specifications for aerospace components are not the kind of thing we want turning up on a competitor's desk.</w:t>
      </w:r>
    </w:p>
    <w:p w14:paraId="67595235" w14:textId="2E8C9951" w:rsidR="009F4505" w:rsidRPr="00CA52D7" w:rsidRDefault="00065D9F">
      <w:pPr>
        <w:spacing w:after="160" w:line="276" w:lineRule="auto"/>
        <w:rPr>
          <w:lang w:val="en-GB"/>
        </w:rPr>
      </w:pPr>
      <w:r w:rsidRPr="00CA52D7">
        <w:rPr>
          <w:lang w:val="en-GB"/>
        </w:rPr>
        <w:t xml:space="preserve">A short table pulls this together against the CIA triad confidentiality, integrity and availability which I have used throughout this report as a way of judging how serious any given threat </w:t>
      </w:r>
      <w:proofErr w:type="gramStart"/>
      <w:r w:rsidRPr="00CA52D7">
        <w:rPr>
          <w:lang w:val="en-GB"/>
        </w:rPr>
        <w:t>actually is</w:t>
      </w:r>
      <w:proofErr w:type="gramEnd"/>
      <w:r w:rsidRPr="00CA52D7">
        <w:rPr>
          <w:lang w:val="en-GB"/>
        </w:rPr>
        <w: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00"/>
        <w:gridCol w:w="2200"/>
        <w:gridCol w:w="3350"/>
      </w:tblGrid>
      <w:tr w:rsidR="009F4505" w14:paraId="1F08AB94" w14:textId="77777777">
        <w:trPr>
          <w:tblHeader/>
        </w:trPr>
        <w:tc>
          <w:tcPr>
            <w:tcW w:w="3800" w:type="dxa"/>
            <w:shd w:val="clear" w:color="auto" w:fill="1E2761"/>
            <w:tcMar>
              <w:top w:w="80" w:type="dxa"/>
              <w:left w:w="100" w:type="dxa"/>
              <w:bottom w:w="80" w:type="dxa"/>
              <w:right w:w="100" w:type="dxa"/>
            </w:tcMar>
          </w:tcPr>
          <w:p w14:paraId="68B39D68" w14:textId="77777777" w:rsidR="009F4505" w:rsidRDefault="00065D9F">
            <w:r>
              <w:rPr>
                <w:b/>
                <w:bCs/>
                <w:color w:val="FFFFFF"/>
                <w:sz w:val="20"/>
                <w:szCs w:val="20"/>
              </w:rPr>
              <w:t>Threat</w:t>
            </w:r>
          </w:p>
        </w:tc>
        <w:tc>
          <w:tcPr>
            <w:tcW w:w="2200" w:type="dxa"/>
            <w:shd w:val="clear" w:color="auto" w:fill="1E2761"/>
            <w:tcMar>
              <w:top w:w="80" w:type="dxa"/>
              <w:left w:w="100" w:type="dxa"/>
              <w:bottom w:w="80" w:type="dxa"/>
              <w:right w:w="100" w:type="dxa"/>
            </w:tcMar>
          </w:tcPr>
          <w:p w14:paraId="4DAA9D09" w14:textId="77777777" w:rsidR="009F4505" w:rsidRDefault="00065D9F">
            <w:r>
              <w:rPr>
                <w:b/>
                <w:bCs/>
                <w:color w:val="FFFFFF"/>
                <w:sz w:val="20"/>
                <w:szCs w:val="20"/>
              </w:rPr>
              <w:t>Origin</w:t>
            </w:r>
          </w:p>
        </w:tc>
        <w:tc>
          <w:tcPr>
            <w:tcW w:w="3350" w:type="dxa"/>
            <w:shd w:val="clear" w:color="auto" w:fill="1E2761"/>
            <w:tcMar>
              <w:top w:w="80" w:type="dxa"/>
              <w:left w:w="100" w:type="dxa"/>
              <w:bottom w:w="80" w:type="dxa"/>
              <w:right w:w="100" w:type="dxa"/>
            </w:tcMar>
          </w:tcPr>
          <w:p w14:paraId="25573E95" w14:textId="77777777" w:rsidR="009F4505" w:rsidRDefault="00065D9F">
            <w:r>
              <w:rPr>
                <w:b/>
                <w:bCs/>
                <w:color w:val="FFFFFF"/>
                <w:sz w:val="20"/>
                <w:szCs w:val="20"/>
              </w:rPr>
              <w:t>What It Threatens</w:t>
            </w:r>
          </w:p>
        </w:tc>
      </w:tr>
      <w:tr w:rsidR="009F4505" w14:paraId="4B79CAD7" w14:textId="77777777">
        <w:tc>
          <w:tcPr>
            <w:tcW w:w="3800" w:type="dxa"/>
            <w:shd w:val="clear" w:color="auto" w:fill="FFFFFF"/>
            <w:tcMar>
              <w:top w:w="80" w:type="dxa"/>
              <w:left w:w="100" w:type="dxa"/>
              <w:bottom w:w="80" w:type="dxa"/>
              <w:right w:w="100" w:type="dxa"/>
            </w:tcMar>
          </w:tcPr>
          <w:p w14:paraId="2AAB1140" w14:textId="77777777" w:rsidR="009F4505" w:rsidRDefault="00065D9F">
            <w:r>
              <w:rPr>
                <w:color w:val="000000"/>
                <w:sz w:val="20"/>
                <w:szCs w:val="20"/>
              </w:rPr>
              <w:t>Misconfiguration / human error</w:t>
            </w:r>
          </w:p>
        </w:tc>
        <w:tc>
          <w:tcPr>
            <w:tcW w:w="2200" w:type="dxa"/>
            <w:shd w:val="clear" w:color="auto" w:fill="FFFFFF"/>
            <w:tcMar>
              <w:top w:w="80" w:type="dxa"/>
              <w:left w:w="100" w:type="dxa"/>
              <w:bottom w:w="80" w:type="dxa"/>
              <w:right w:w="100" w:type="dxa"/>
            </w:tcMar>
          </w:tcPr>
          <w:p w14:paraId="7FC19ED6" w14:textId="77777777" w:rsidR="009F4505" w:rsidRDefault="00065D9F">
            <w:r>
              <w:rPr>
                <w:color w:val="000000"/>
                <w:sz w:val="20"/>
                <w:szCs w:val="20"/>
              </w:rPr>
              <w:t>Internal</w:t>
            </w:r>
          </w:p>
        </w:tc>
        <w:tc>
          <w:tcPr>
            <w:tcW w:w="3350" w:type="dxa"/>
            <w:shd w:val="clear" w:color="auto" w:fill="FFFFFF"/>
            <w:tcMar>
              <w:top w:w="80" w:type="dxa"/>
              <w:left w:w="100" w:type="dxa"/>
              <w:bottom w:w="80" w:type="dxa"/>
              <w:right w:w="100" w:type="dxa"/>
            </w:tcMar>
          </w:tcPr>
          <w:p w14:paraId="41F768BC" w14:textId="77777777" w:rsidR="009F4505" w:rsidRDefault="00065D9F">
            <w:r>
              <w:rPr>
                <w:color w:val="000000"/>
                <w:sz w:val="20"/>
                <w:szCs w:val="20"/>
              </w:rPr>
              <w:t>Integrity, Availability</w:t>
            </w:r>
          </w:p>
        </w:tc>
      </w:tr>
      <w:tr w:rsidR="009F4505" w14:paraId="3AF0AA09" w14:textId="77777777">
        <w:tc>
          <w:tcPr>
            <w:tcW w:w="3800" w:type="dxa"/>
            <w:shd w:val="clear" w:color="auto" w:fill="EEF1F8"/>
            <w:tcMar>
              <w:top w:w="80" w:type="dxa"/>
              <w:left w:w="100" w:type="dxa"/>
              <w:bottom w:w="80" w:type="dxa"/>
              <w:right w:w="100" w:type="dxa"/>
            </w:tcMar>
          </w:tcPr>
          <w:p w14:paraId="1A676C14" w14:textId="77777777" w:rsidR="009F4505" w:rsidRDefault="00065D9F">
            <w:r>
              <w:rPr>
                <w:color w:val="000000"/>
                <w:sz w:val="20"/>
                <w:szCs w:val="20"/>
              </w:rPr>
              <w:t>Insider misuse</w:t>
            </w:r>
          </w:p>
        </w:tc>
        <w:tc>
          <w:tcPr>
            <w:tcW w:w="2200" w:type="dxa"/>
            <w:shd w:val="clear" w:color="auto" w:fill="EEF1F8"/>
            <w:tcMar>
              <w:top w:w="80" w:type="dxa"/>
              <w:left w:w="100" w:type="dxa"/>
              <w:bottom w:w="80" w:type="dxa"/>
              <w:right w:w="100" w:type="dxa"/>
            </w:tcMar>
          </w:tcPr>
          <w:p w14:paraId="0CAA0A2B" w14:textId="77777777" w:rsidR="009F4505" w:rsidRDefault="00065D9F">
            <w:r>
              <w:rPr>
                <w:color w:val="000000"/>
                <w:sz w:val="20"/>
                <w:szCs w:val="20"/>
              </w:rPr>
              <w:t>Internal</w:t>
            </w:r>
          </w:p>
        </w:tc>
        <w:tc>
          <w:tcPr>
            <w:tcW w:w="3350" w:type="dxa"/>
            <w:shd w:val="clear" w:color="auto" w:fill="EEF1F8"/>
            <w:tcMar>
              <w:top w:w="80" w:type="dxa"/>
              <w:left w:w="100" w:type="dxa"/>
              <w:bottom w:w="80" w:type="dxa"/>
              <w:right w:w="100" w:type="dxa"/>
            </w:tcMar>
          </w:tcPr>
          <w:p w14:paraId="7254D15C" w14:textId="77777777" w:rsidR="009F4505" w:rsidRDefault="00065D9F">
            <w:r>
              <w:rPr>
                <w:color w:val="000000"/>
                <w:sz w:val="20"/>
                <w:szCs w:val="20"/>
              </w:rPr>
              <w:t>Confidentiality, Integrity</w:t>
            </w:r>
          </w:p>
        </w:tc>
      </w:tr>
      <w:tr w:rsidR="009F4505" w14:paraId="6612C188" w14:textId="77777777">
        <w:tc>
          <w:tcPr>
            <w:tcW w:w="3800" w:type="dxa"/>
            <w:shd w:val="clear" w:color="auto" w:fill="FFFFFF"/>
            <w:tcMar>
              <w:top w:w="80" w:type="dxa"/>
              <w:left w:w="100" w:type="dxa"/>
              <w:bottom w:w="80" w:type="dxa"/>
              <w:right w:w="100" w:type="dxa"/>
            </w:tcMar>
          </w:tcPr>
          <w:p w14:paraId="3DB7FF99" w14:textId="77777777" w:rsidR="009F4505" w:rsidRDefault="00065D9F">
            <w:r>
              <w:rPr>
                <w:color w:val="000000"/>
                <w:sz w:val="20"/>
                <w:szCs w:val="20"/>
              </w:rPr>
              <w:t>Credential reuse</w:t>
            </w:r>
          </w:p>
        </w:tc>
        <w:tc>
          <w:tcPr>
            <w:tcW w:w="2200" w:type="dxa"/>
            <w:shd w:val="clear" w:color="auto" w:fill="FFFFFF"/>
            <w:tcMar>
              <w:top w:w="80" w:type="dxa"/>
              <w:left w:w="100" w:type="dxa"/>
              <w:bottom w:w="80" w:type="dxa"/>
              <w:right w:w="100" w:type="dxa"/>
            </w:tcMar>
          </w:tcPr>
          <w:p w14:paraId="56D572BD" w14:textId="77777777" w:rsidR="009F4505" w:rsidRDefault="00065D9F">
            <w:r>
              <w:rPr>
                <w:color w:val="000000"/>
                <w:sz w:val="20"/>
                <w:szCs w:val="20"/>
              </w:rPr>
              <w:t>Internal</w:t>
            </w:r>
          </w:p>
        </w:tc>
        <w:tc>
          <w:tcPr>
            <w:tcW w:w="3350" w:type="dxa"/>
            <w:shd w:val="clear" w:color="auto" w:fill="FFFFFF"/>
            <w:tcMar>
              <w:top w:w="80" w:type="dxa"/>
              <w:left w:w="100" w:type="dxa"/>
              <w:bottom w:w="80" w:type="dxa"/>
              <w:right w:w="100" w:type="dxa"/>
            </w:tcMar>
          </w:tcPr>
          <w:p w14:paraId="559F948D" w14:textId="77777777" w:rsidR="009F4505" w:rsidRDefault="00065D9F">
            <w:r>
              <w:rPr>
                <w:color w:val="000000"/>
                <w:sz w:val="20"/>
                <w:szCs w:val="20"/>
              </w:rPr>
              <w:t>Confidentiality</w:t>
            </w:r>
          </w:p>
        </w:tc>
      </w:tr>
      <w:tr w:rsidR="009F4505" w14:paraId="45433DAE" w14:textId="77777777">
        <w:tc>
          <w:tcPr>
            <w:tcW w:w="3800" w:type="dxa"/>
            <w:shd w:val="clear" w:color="auto" w:fill="EEF1F8"/>
            <w:tcMar>
              <w:top w:w="80" w:type="dxa"/>
              <w:left w:w="100" w:type="dxa"/>
              <w:bottom w:w="80" w:type="dxa"/>
              <w:right w:w="100" w:type="dxa"/>
            </w:tcMar>
          </w:tcPr>
          <w:p w14:paraId="78977637" w14:textId="77777777" w:rsidR="009F4505" w:rsidRDefault="00065D9F">
            <w:r>
              <w:rPr>
                <w:color w:val="000000"/>
                <w:sz w:val="20"/>
                <w:szCs w:val="20"/>
              </w:rPr>
              <w:t>Shadow IT / unmanaged devices</w:t>
            </w:r>
          </w:p>
        </w:tc>
        <w:tc>
          <w:tcPr>
            <w:tcW w:w="2200" w:type="dxa"/>
            <w:shd w:val="clear" w:color="auto" w:fill="EEF1F8"/>
            <w:tcMar>
              <w:top w:w="80" w:type="dxa"/>
              <w:left w:w="100" w:type="dxa"/>
              <w:bottom w:w="80" w:type="dxa"/>
              <w:right w:w="100" w:type="dxa"/>
            </w:tcMar>
          </w:tcPr>
          <w:p w14:paraId="659F06D4" w14:textId="77777777" w:rsidR="009F4505" w:rsidRDefault="00065D9F">
            <w:r>
              <w:rPr>
                <w:color w:val="000000"/>
                <w:sz w:val="20"/>
                <w:szCs w:val="20"/>
              </w:rPr>
              <w:t>Internal</w:t>
            </w:r>
          </w:p>
        </w:tc>
        <w:tc>
          <w:tcPr>
            <w:tcW w:w="3350" w:type="dxa"/>
            <w:shd w:val="clear" w:color="auto" w:fill="EEF1F8"/>
            <w:tcMar>
              <w:top w:w="80" w:type="dxa"/>
              <w:left w:w="100" w:type="dxa"/>
              <w:bottom w:w="80" w:type="dxa"/>
              <w:right w:w="100" w:type="dxa"/>
            </w:tcMar>
          </w:tcPr>
          <w:p w14:paraId="20D5CDC2" w14:textId="77777777" w:rsidR="009F4505" w:rsidRDefault="00065D9F">
            <w:r>
              <w:rPr>
                <w:color w:val="000000"/>
                <w:sz w:val="20"/>
                <w:szCs w:val="20"/>
              </w:rPr>
              <w:t>Availability, Confidentiality</w:t>
            </w:r>
          </w:p>
        </w:tc>
      </w:tr>
      <w:tr w:rsidR="009F4505" w14:paraId="026092A2" w14:textId="77777777">
        <w:tc>
          <w:tcPr>
            <w:tcW w:w="3800" w:type="dxa"/>
            <w:shd w:val="clear" w:color="auto" w:fill="FFFFFF"/>
            <w:tcMar>
              <w:top w:w="80" w:type="dxa"/>
              <w:left w:w="100" w:type="dxa"/>
              <w:bottom w:w="80" w:type="dxa"/>
              <w:right w:w="100" w:type="dxa"/>
            </w:tcMar>
          </w:tcPr>
          <w:p w14:paraId="3FA20A83" w14:textId="77777777" w:rsidR="009F4505" w:rsidRDefault="00065D9F">
            <w:r>
              <w:rPr>
                <w:color w:val="000000"/>
                <w:sz w:val="20"/>
                <w:szCs w:val="20"/>
              </w:rPr>
              <w:t>Phishing &amp; social engineering</w:t>
            </w:r>
          </w:p>
        </w:tc>
        <w:tc>
          <w:tcPr>
            <w:tcW w:w="2200" w:type="dxa"/>
            <w:shd w:val="clear" w:color="auto" w:fill="FFFFFF"/>
            <w:tcMar>
              <w:top w:w="80" w:type="dxa"/>
              <w:left w:w="100" w:type="dxa"/>
              <w:bottom w:w="80" w:type="dxa"/>
              <w:right w:w="100" w:type="dxa"/>
            </w:tcMar>
          </w:tcPr>
          <w:p w14:paraId="467A1650" w14:textId="77777777" w:rsidR="009F4505" w:rsidRDefault="00065D9F">
            <w:r>
              <w:rPr>
                <w:color w:val="000000"/>
                <w:sz w:val="20"/>
                <w:szCs w:val="20"/>
              </w:rPr>
              <w:t>External</w:t>
            </w:r>
          </w:p>
        </w:tc>
        <w:tc>
          <w:tcPr>
            <w:tcW w:w="3350" w:type="dxa"/>
            <w:shd w:val="clear" w:color="auto" w:fill="FFFFFF"/>
            <w:tcMar>
              <w:top w:w="80" w:type="dxa"/>
              <w:left w:w="100" w:type="dxa"/>
              <w:bottom w:w="80" w:type="dxa"/>
              <w:right w:w="100" w:type="dxa"/>
            </w:tcMar>
          </w:tcPr>
          <w:p w14:paraId="54B6C2EB" w14:textId="77777777" w:rsidR="009F4505" w:rsidRDefault="00065D9F">
            <w:r>
              <w:rPr>
                <w:color w:val="000000"/>
                <w:sz w:val="20"/>
                <w:szCs w:val="20"/>
              </w:rPr>
              <w:t>Confidentiality, Integrity</w:t>
            </w:r>
          </w:p>
        </w:tc>
      </w:tr>
      <w:tr w:rsidR="009F4505" w14:paraId="0E8E719D" w14:textId="77777777">
        <w:tc>
          <w:tcPr>
            <w:tcW w:w="3800" w:type="dxa"/>
            <w:shd w:val="clear" w:color="auto" w:fill="EEF1F8"/>
            <w:tcMar>
              <w:top w:w="80" w:type="dxa"/>
              <w:left w:w="100" w:type="dxa"/>
              <w:bottom w:w="80" w:type="dxa"/>
              <w:right w:w="100" w:type="dxa"/>
            </w:tcMar>
          </w:tcPr>
          <w:p w14:paraId="4DE5FB7C" w14:textId="77777777" w:rsidR="009F4505" w:rsidRDefault="00065D9F">
            <w:r>
              <w:rPr>
                <w:color w:val="000000"/>
                <w:sz w:val="20"/>
                <w:szCs w:val="20"/>
              </w:rPr>
              <w:t>Ransomware</w:t>
            </w:r>
          </w:p>
        </w:tc>
        <w:tc>
          <w:tcPr>
            <w:tcW w:w="2200" w:type="dxa"/>
            <w:shd w:val="clear" w:color="auto" w:fill="EEF1F8"/>
            <w:tcMar>
              <w:top w:w="80" w:type="dxa"/>
              <w:left w:w="100" w:type="dxa"/>
              <w:bottom w:w="80" w:type="dxa"/>
              <w:right w:w="100" w:type="dxa"/>
            </w:tcMar>
          </w:tcPr>
          <w:p w14:paraId="0AEDAB74" w14:textId="77777777" w:rsidR="009F4505" w:rsidRDefault="00065D9F">
            <w:r>
              <w:rPr>
                <w:color w:val="000000"/>
                <w:sz w:val="20"/>
                <w:szCs w:val="20"/>
              </w:rPr>
              <w:t>External</w:t>
            </w:r>
          </w:p>
        </w:tc>
        <w:tc>
          <w:tcPr>
            <w:tcW w:w="3350" w:type="dxa"/>
            <w:shd w:val="clear" w:color="auto" w:fill="EEF1F8"/>
            <w:tcMar>
              <w:top w:w="80" w:type="dxa"/>
              <w:left w:w="100" w:type="dxa"/>
              <w:bottom w:w="80" w:type="dxa"/>
              <w:right w:w="100" w:type="dxa"/>
            </w:tcMar>
          </w:tcPr>
          <w:p w14:paraId="5AD73EBB" w14:textId="77777777" w:rsidR="009F4505" w:rsidRDefault="00065D9F">
            <w:r>
              <w:rPr>
                <w:color w:val="000000"/>
                <w:sz w:val="20"/>
                <w:szCs w:val="20"/>
              </w:rPr>
              <w:t>Availability</w:t>
            </w:r>
          </w:p>
        </w:tc>
      </w:tr>
      <w:tr w:rsidR="009F4505" w14:paraId="108CFBA7" w14:textId="77777777">
        <w:tc>
          <w:tcPr>
            <w:tcW w:w="3800" w:type="dxa"/>
            <w:shd w:val="clear" w:color="auto" w:fill="FFFFFF"/>
            <w:tcMar>
              <w:top w:w="80" w:type="dxa"/>
              <w:left w:w="100" w:type="dxa"/>
              <w:bottom w:w="80" w:type="dxa"/>
              <w:right w:w="100" w:type="dxa"/>
            </w:tcMar>
          </w:tcPr>
          <w:p w14:paraId="09A95A2C" w14:textId="77777777" w:rsidR="009F4505" w:rsidRDefault="00065D9F">
            <w:r>
              <w:rPr>
                <w:color w:val="000000"/>
                <w:sz w:val="20"/>
                <w:szCs w:val="20"/>
              </w:rPr>
              <w:t>Supply-chain compromise</w:t>
            </w:r>
          </w:p>
        </w:tc>
        <w:tc>
          <w:tcPr>
            <w:tcW w:w="2200" w:type="dxa"/>
            <w:shd w:val="clear" w:color="auto" w:fill="FFFFFF"/>
            <w:tcMar>
              <w:top w:w="80" w:type="dxa"/>
              <w:left w:w="100" w:type="dxa"/>
              <w:bottom w:w="80" w:type="dxa"/>
              <w:right w:w="100" w:type="dxa"/>
            </w:tcMar>
          </w:tcPr>
          <w:p w14:paraId="40F4FE0F" w14:textId="77777777" w:rsidR="009F4505" w:rsidRDefault="00065D9F">
            <w:r>
              <w:rPr>
                <w:color w:val="000000"/>
                <w:sz w:val="20"/>
                <w:szCs w:val="20"/>
              </w:rPr>
              <w:t>External</w:t>
            </w:r>
          </w:p>
        </w:tc>
        <w:tc>
          <w:tcPr>
            <w:tcW w:w="3350" w:type="dxa"/>
            <w:shd w:val="clear" w:color="auto" w:fill="FFFFFF"/>
            <w:tcMar>
              <w:top w:w="80" w:type="dxa"/>
              <w:left w:w="100" w:type="dxa"/>
              <w:bottom w:w="80" w:type="dxa"/>
              <w:right w:w="100" w:type="dxa"/>
            </w:tcMar>
          </w:tcPr>
          <w:p w14:paraId="11C36882" w14:textId="77777777" w:rsidR="009F4505" w:rsidRDefault="00065D9F">
            <w:r>
              <w:rPr>
                <w:color w:val="000000"/>
                <w:sz w:val="20"/>
                <w:szCs w:val="20"/>
              </w:rPr>
              <w:t>Confidentiality, Integrity</w:t>
            </w:r>
          </w:p>
        </w:tc>
      </w:tr>
      <w:tr w:rsidR="009F4505" w14:paraId="20A3AA02" w14:textId="77777777">
        <w:tc>
          <w:tcPr>
            <w:tcW w:w="3800" w:type="dxa"/>
            <w:shd w:val="clear" w:color="auto" w:fill="EEF1F8"/>
            <w:tcMar>
              <w:top w:w="80" w:type="dxa"/>
              <w:left w:w="100" w:type="dxa"/>
              <w:bottom w:w="80" w:type="dxa"/>
              <w:right w:w="100" w:type="dxa"/>
            </w:tcMar>
          </w:tcPr>
          <w:p w14:paraId="0B9EE088" w14:textId="77777777" w:rsidR="009F4505" w:rsidRDefault="00065D9F">
            <w:r>
              <w:rPr>
                <w:color w:val="000000"/>
                <w:sz w:val="20"/>
                <w:szCs w:val="20"/>
              </w:rPr>
              <w:t>Industrial espionage</w:t>
            </w:r>
          </w:p>
        </w:tc>
        <w:tc>
          <w:tcPr>
            <w:tcW w:w="2200" w:type="dxa"/>
            <w:shd w:val="clear" w:color="auto" w:fill="EEF1F8"/>
            <w:tcMar>
              <w:top w:w="80" w:type="dxa"/>
              <w:left w:w="100" w:type="dxa"/>
              <w:bottom w:w="80" w:type="dxa"/>
              <w:right w:w="100" w:type="dxa"/>
            </w:tcMar>
          </w:tcPr>
          <w:p w14:paraId="691870FC" w14:textId="77777777" w:rsidR="009F4505" w:rsidRDefault="00065D9F">
            <w:r>
              <w:rPr>
                <w:color w:val="000000"/>
                <w:sz w:val="20"/>
                <w:szCs w:val="20"/>
              </w:rPr>
              <w:t>External</w:t>
            </w:r>
          </w:p>
        </w:tc>
        <w:tc>
          <w:tcPr>
            <w:tcW w:w="3350" w:type="dxa"/>
            <w:shd w:val="clear" w:color="auto" w:fill="EEF1F8"/>
            <w:tcMar>
              <w:top w:w="80" w:type="dxa"/>
              <w:left w:w="100" w:type="dxa"/>
              <w:bottom w:w="80" w:type="dxa"/>
              <w:right w:w="100" w:type="dxa"/>
            </w:tcMar>
          </w:tcPr>
          <w:p w14:paraId="69B35A7F" w14:textId="77777777" w:rsidR="009F4505" w:rsidRDefault="00065D9F">
            <w:r>
              <w:rPr>
                <w:color w:val="000000"/>
                <w:sz w:val="20"/>
                <w:szCs w:val="20"/>
              </w:rPr>
              <w:t>Confidentiality</w:t>
            </w:r>
          </w:p>
        </w:tc>
      </w:tr>
      <w:tr w:rsidR="009F4505" w14:paraId="1F610A49" w14:textId="77777777">
        <w:tc>
          <w:tcPr>
            <w:tcW w:w="3800" w:type="dxa"/>
            <w:shd w:val="clear" w:color="auto" w:fill="FFFFFF"/>
            <w:tcMar>
              <w:top w:w="80" w:type="dxa"/>
              <w:left w:w="100" w:type="dxa"/>
              <w:bottom w:w="80" w:type="dxa"/>
              <w:right w:w="100" w:type="dxa"/>
            </w:tcMar>
          </w:tcPr>
          <w:p w14:paraId="41BDC978" w14:textId="77777777" w:rsidR="009F4505" w:rsidRDefault="00065D9F">
            <w:r>
              <w:rPr>
                <w:color w:val="000000"/>
                <w:sz w:val="20"/>
                <w:szCs w:val="20"/>
              </w:rPr>
              <w:t>Legacy OT / unpatched SCADA</w:t>
            </w:r>
          </w:p>
        </w:tc>
        <w:tc>
          <w:tcPr>
            <w:tcW w:w="2200" w:type="dxa"/>
            <w:shd w:val="clear" w:color="auto" w:fill="FFFFFF"/>
            <w:tcMar>
              <w:top w:w="80" w:type="dxa"/>
              <w:left w:w="100" w:type="dxa"/>
              <w:bottom w:w="80" w:type="dxa"/>
              <w:right w:w="100" w:type="dxa"/>
            </w:tcMar>
          </w:tcPr>
          <w:p w14:paraId="28E6EA05" w14:textId="77777777" w:rsidR="009F4505" w:rsidRDefault="00065D9F">
            <w:r>
              <w:rPr>
                <w:color w:val="000000"/>
                <w:sz w:val="20"/>
                <w:szCs w:val="20"/>
              </w:rPr>
              <w:t>External</w:t>
            </w:r>
          </w:p>
        </w:tc>
        <w:tc>
          <w:tcPr>
            <w:tcW w:w="3350" w:type="dxa"/>
            <w:shd w:val="clear" w:color="auto" w:fill="FFFFFF"/>
            <w:tcMar>
              <w:top w:w="80" w:type="dxa"/>
              <w:left w:w="100" w:type="dxa"/>
              <w:bottom w:w="80" w:type="dxa"/>
              <w:right w:w="100" w:type="dxa"/>
            </w:tcMar>
          </w:tcPr>
          <w:p w14:paraId="3DAC8B19" w14:textId="77777777" w:rsidR="009F4505" w:rsidRDefault="00065D9F">
            <w:r>
              <w:rPr>
                <w:color w:val="000000"/>
                <w:sz w:val="20"/>
                <w:szCs w:val="20"/>
              </w:rPr>
              <w:t>Availability, Integrity</w:t>
            </w:r>
          </w:p>
        </w:tc>
      </w:tr>
      <w:tr w:rsidR="009F4505" w14:paraId="2C5FAD37" w14:textId="77777777">
        <w:tc>
          <w:tcPr>
            <w:tcW w:w="3800" w:type="dxa"/>
            <w:shd w:val="clear" w:color="auto" w:fill="EEF1F8"/>
            <w:tcMar>
              <w:top w:w="80" w:type="dxa"/>
              <w:left w:w="100" w:type="dxa"/>
              <w:bottom w:w="80" w:type="dxa"/>
              <w:right w:w="100" w:type="dxa"/>
            </w:tcMar>
          </w:tcPr>
          <w:p w14:paraId="68D461F1" w14:textId="77777777" w:rsidR="009F4505" w:rsidRDefault="00065D9F">
            <w:r>
              <w:rPr>
                <w:color w:val="000000"/>
                <w:sz w:val="20"/>
                <w:szCs w:val="20"/>
              </w:rPr>
              <w:t>Credential stuffing / brute force</w:t>
            </w:r>
          </w:p>
        </w:tc>
        <w:tc>
          <w:tcPr>
            <w:tcW w:w="2200" w:type="dxa"/>
            <w:shd w:val="clear" w:color="auto" w:fill="EEF1F8"/>
            <w:tcMar>
              <w:top w:w="80" w:type="dxa"/>
              <w:left w:w="100" w:type="dxa"/>
              <w:bottom w:w="80" w:type="dxa"/>
              <w:right w:w="100" w:type="dxa"/>
            </w:tcMar>
          </w:tcPr>
          <w:p w14:paraId="36BE4912" w14:textId="77777777" w:rsidR="009F4505" w:rsidRDefault="00065D9F">
            <w:r>
              <w:rPr>
                <w:color w:val="000000"/>
                <w:sz w:val="20"/>
                <w:szCs w:val="20"/>
              </w:rPr>
              <w:t>External</w:t>
            </w:r>
          </w:p>
        </w:tc>
        <w:tc>
          <w:tcPr>
            <w:tcW w:w="3350" w:type="dxa"/>
            <w:shd w:val="clear" w:color="auto" w:fill="EEF1F8"/>
            <w:tcMar>
              <w:top w:w="80" w:type="dxa"/>
              <w:left w:w="100" w:type="dxa"/>
              <w:bottom w:w="80" w:type="dxa"/>
              <w:right w:w="100" w:type="dxa"/>
            </w:tcMar>
          </w:tcPr>
          <w:p w14:paraId="3D060E4E" w14:textId="77777777" w:rsidR="009F4505" w:rsidRDefault="00065D9F">
            <w:r>
              <w:rPr>
                <w:color w:val="000000"/>
                <w:sz w:val="20"/>
                <w:szCs w:val="20"/>
              </w:rPr>
              <w:t>Confidentiality</w:t>
            </w:r>
          </w:p>
        </w:tc>
      </w:tr>
    </w:tbl>
    <w:p w14:paraId="6D84D984" w14:textId="77777777" w:rsidR="009F4505" w:rsidRDefault="00065D9F">
      <w:pPr>
        <w:pStyle w:val="Heading1"/>
      </w:pPr>
      <w:bookmarkStart w:id="2" w:name="_Toc237350627"/>
      <w:r>
        <w:t>Closing the Obvious Gaps: Policy</w:t>
      </w:r>
      <w:bookmarkEnd w:id="2"/>
    </w:p>
    <w:p w14:paraId="1C99822F" w14:textId="2A295265" w:rsidR="009F4505" w:rsidRPr="00CA52D7" w:rsidRDefault="00065D9F">
      <w:pPr>
        <w:spacing w:after="160" w:line="276" w:lineRule="auto"/>
        <w:rPr>
          <w:lang w:val="en-GB"/>
        </w:rPr>
      </w:pPr>
      <w:r w:rsidRPr="00CA52D7">
        <w:rPr>
          <w:lang w:val="en-GB"/>
        </w:rPr>
        <w:t>I do not think SFM needs an enormous rulebook. What it needs is a handful of clearly written policies that map to standards our customers already recognise ISO 27001 [4], the NIST Cybersecurity Framework [5], and UK GDPR [6] so that when a prime contractor asks whether we can show them our security posture, we have an answer instead of an awkward pause.</w:t>
      </w:r>
    </w:p>
    <w:p w14:paraId="482407D6" w14:textId="0E4AB97F" w:rsidR="009F4505" w:rsidRPr="00CA52D7" w:rsidRDefault="00065D9F">
      <w:pPr>
        <w:spacing w:after="160" w:line="276" w:lineRule="auto"/>
        <w:rPr>
          <w:lang w:val="en-GB"/>
        </w:rPr>
      </w:pPr>
      <w:r w:rsidRPr="00CA52D7">
        <w:rPr>
          <w:lang w:val="en-GB"/>
        </w:rPr>
        <w:t>The core policy set I am proposing covers seven areas. An information security policy sets out our overall objectives and how we classify assets, since design IP and customer data need to be treated differently to a general email, consistent with ISO 27001 [4]. An access control policy enforces least privilege and mandatory multifactor authentication on anything remote or privileged, which frankly should have been in place already. A network and OT segmentation policy keeps the corporate network and the shop floor separated, so that a phishing email landing in someone's inbox in accounts does not have a direct path to a PLC controlling a production line. A data protection policy, aligned to UK GDPR [6], governs how we handle personal data and requires us to notify within 72 hours if something goes wrong.</w:t>
      </w:r>
    </w:p>
    <w:p w14:paraId="47ADFEF2" w14:textId="50FF0D3D" w:rsidR="000D5E47" w:rsidRPr="000D5E47" w:rsidRDefault="000D5E47" w:rsidP="000D5E47">
      <w:pPr>
        <w:rPr>
          <w:lang w:val="en-GB"/>
        </w:rPr>
      </w:pPr>
      <w:bookmarkStart w:id="3" w:name="_Toc237350628"/>
      <w:r w:rsidRPr="000D5E47">
        <w:rPr>
          <w:lang w:val="en-GB"/>
        </w:rPr>
        <w:lastRenderedPageBreak/>
        <w:t xml:space="preserve">Our acceptable use and </w:t>
      </w:r>
      <w:proofErr w:type="gramStart"/>
      <w:r w:rsidRPr="000D5E47">
        <w:rPr>
          <w:lang w:val="en-GB"/>
        </w:rPr>
        <w:t>third party</w:t>
      </w:r>
      <w:proofErr w:type="gramEnd"/>
      <w:r w:rsidRPr="000D5E47">
        <w:rPr>
          <w:lang w:val="en-GB"/>
        </w:rPr>
        <w:t xml:space="preserve"> policies address the issue of shadow IT and, more significantly, make it necessary for anyone who deals with our network infrastructure to first pass a security questionnaire. The patch management policy, in line with the Protect aspect of the NIST Cybersecurity Framework [5], obliges us to monthly patch whenever possible or document a workaround whenever this is not feasible, due to the un</w:t>
      </w:r>
      <w:r>
        <w:rPr>
          <w:lang w:val="en-GB"/>
        </w:rPr>
        <w:t xml:space="preserve"> </w:t>
      </w:r>
      <w:r w:rsidRPr="000D5E47">
        <w:rPr>
          <w:lang w:val="en-GB"/>
        </w:rPr>
        <w:t>patchable nature of many of our legacy OT devices that will otherwise trigger a production stoppage. What is needed here is an open approach to compensatory control instead of denial. This concludes the discussion and takes us to the next part</w:t>
      </w:r>
    </w:p>
    <w:p w14:paraId="1AE22E47" w14:textId="77777777" w:rsidR="009F4505" w:rsidRPr="00CA52D7" w:rsidRDefault="00065D9F">
      <w:pPr>
        <w:pStyle w:val="Heading1"/>
        <w:rPr>
          <w:lang w:val="en-GB"/>
        </w:rPr>
      </w:pPr>
      <w:r w:rsidRPr="00CA52D7">
        <w:rPr>
          <w:lang w:val="en-GB"/>
        </w:rPr>
        <w:t>What We Actually Do About It</w:t>
      </w:r>
      <w:bookmarkEnd w:id="3"/>
    </w:p>
    <w:p w14:paraId="721627B7" w14:textId="77777777" w:rsidR="009F4505" w:rsidRPr="00CA52D7" w:rsidRDefault="00065D9F">
      <w:pPr>
        <w:spacing w:after="160" w:line="276" w:lineRule="auto"/>
        <w:rPr>
          <w:lang w:val="en-GB"/>
        </w:rPr>
      </w:pPr>
      <w:r w:rsidRPr="00CA52D7">
        <w:rPr>
          <w:lang w:val="en-GB"/>
        </w:rPr>
        <w:t>Policies on paper do not stop an attacker. The technical and procedural side of this needs to work in layers, so that if one control fails, and eventually one will, there is something else behind it to catch the problem before it reaches production.</w:t>
      </w:r>
    </w:p>
    <w:p w14:paraId="56FE9416" w14:textId="77777777" w:rsidR="009F4505" w:rsidRDefault="00065D9F">
      <w:pPr>
        <w:spacing w:before="200" w:after="240"/>
        <w:jc w:val="center"/>
      </w:pPr>
      <w:r>
        <w:rPr>
          <w:noProof/>
        </w:rPr>
        <w:drawing>
          <wp:inline distT="0" distB="0" distL="0" distR="0" wp14:anchorId="2F406993" wp14:editId="551EEEDD">
            <wp:extent cx="6035040" cy="3749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035040" cy="3749040"/>
                    </a:xfrm>
                    <a:prstGeom prst="rect">
                      <a:avLst/>
                    </a:prstGeom>
                  </pic:spPr>
                </pic:pic>
              </a:graphicData>
            </a:graphic>
          </wp:inline>
        </w:drawing>
      </w:r>
    </w:p>
    <w:p w14:paraId="7F83EC86" w14:textId="270929CB" w:rsidR="009F4505" w:rsidRPr="00CA52D7" w:rsidRDefault="00065D9F">
      <w:pPr>
        <w:spacing w:after="160" w:line="276" w:lineRule="auto"/>
        <w:rPr>
          <w:lang w:val="en-GB"/>
        </w:rPr>
      </w:pPr>
      <w:r w:rsidRPr="00CA52D7">
        <w:rPr>
          <w:lang w:val="en-GB"/>
        </w:rPr>
        <w:t>Starting from the outside in a next</w:t>
      </w:r>
      <w:r w:rsidR="000D5E47">
        <w:rPr>
          <w:lang w:val="en-GB"/>
        </w:rPr>
        <w:t xml:space="preserve"> </w:t>
      </w:r>
      <w:r w:rsidRPr="00CA52D7">
        <w:rPr>
          <w:lang w:val="en-GB"/>
        </w:rPr>
        <w:t xml:space="preserve">generation firewall and VPN with MFA at the perimeter network segmentation between IT and OT with intrusion detection sitting in between endpoint detection and response on every workstation and server, plus firmware patching and device whitelisting for IoT sensors </w:t>
      </w:r>
      <w:proofErr w:type="gramStart"/>
      <w:r w:rsidRPr="00CA52D7">
        <w:rPr>
          <w:lang w:val="en-GB"/>
        </w:rPr>
        <w:t>role</w:t>
      </w:r>
      <w:r w:rsidR="000D5E47">
        <w:rPr>
          <w:lang w:val="en-GB"/>
        </w:rPr>
        <w:t xml:space="preserve"> </w:t>
      </w:r>
      <w:r w:rsidRPr="00CA52D7">
        <w:rPr>
          <w:lang w:val="en-GB"/>
        </w:rPr>
        <w:t>based</w:t>
      </w:r>
      <w:proofErr w:type="gramEnd"/>
      <w:r w:rsidRPr="00CA52D7">
        <w:rPr>
          <w:lang w:val="en-GB"/>
        </w:rPr>
        <w:t xml:space="preserve"> access control and encryption for anything touching sensitive data and a monitoring layer sitting across all of it, aggregating logs into a SIEM platform. None of these are exotic ideas, they are </w:t>
      </w:r>
      <w:proofErr w:type="gramStart"/>
      <w:r w:rsidRPr="00CA52D7">
        <w:rPr>
          <w:lang w:val="en-GB"/>
        </w:rPr>
        <w:t>fairly standard</w:t>
      </w:r>
      <w:proofErr w:type="gramEnd"/>
      <w:r w:rsidRPr="00CA52D7">
        <w:rPr>
          <w:lang w:val="en-GB"/>
        </w:rPr>
        <w:t xml:space="preserve"> defence</w:t>
      </w:r>
      <w:r w:rsidR="000D5E47">
        <w:rPr>
          <w:lang w:val="en-GB"/>
        </w:rPr>
        <w:t xml:space="preserve"> </w:t>
      </w:r>
      <w:r w:rsidRPr="00CA52D7">
        <w:rPr>
          <w:lang w:val="en-GB"/>
        </w:rPr>
        <w:t>in</w:t>
      </w:r>
      <w:r w:rsidR="000D5E47">
        <w:rPr>
          <w:lang w:val="en-GB"/>
        </w:rPr>
        <w:t xml:space="preserve"> </w:t>
      </w:r>
      <w:r w:rsidRPr="00CA52D7">
        <w:rPr>
          <w:lang w:val="en-GB"/>
        </w:rPr>
        <w:t xml:space="preserve">depth thinking, but the value is </w:t>
      </w:r>
      <w:r w:rsidR="000D5E47" w:rsidRPr="00CA52D7">
        <w:rPr>
          <w:lang w:val="en-GB"/>
        </w:rPr>
        <w:t>implementing</w:t>
      </w:r>
      <w:r w:rsidRPr="00CA52D7">
        <w:rPr>
          <w:lang w:val="en-GB"/>
        </w:rPr>
        <w:t xml:space="preserve"> all six layers rather than picking one or two and calling it done.</w:t>
      </w:r>
    </w:p>
    <w:p w14:paraId="0315DD66" w14:textId="368ADD9C" w:rsidR="009F4505" w:rsidRPr="00CA52D7" w:rsidRDefault="00065D9F">
      <w:pPr>
        <w:spacing w:after="160" w:line="276" w:lineRule="auto"/>
        <w:rPr>
          <w:lang w:val="en-GB"/>
        </w:rPr>
      </w:pPr>
      <w:r w:rsidRPr="00CA52D7">
        <w:rPr>
          <w:lang w:val="en-GB"/>
        </w:rPr>
        <w:lastRenderedPageBreak/>
        <w:t>Against the specific threats identified above, the priority order I would suggest is email filtering and phishing simulation first, since it is the cheapest and fastest to deploy and addresses the most common entry point immutable, air-gapped backups second, because even if ransomware does get through, a clean recovery point turns a catastrophe into an inconvenience and network segmentation third, since it limits how far any single compromise can spread. MFA, endpoint detection and data loss prevention for design files can follow in parallel over the following few months. I would resist the temptation to buy every product on the market at once a phased twelve-month rollout, reviewed quarterly, is more realistic given our size and budget.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000"/>
        <w:gridCol w:w="3950"/>
      </w:tblGrid>
      <w:tr w:rsidR="009F4505" w14:paraId="06693C68" w14:textId="77777777">
        <w:trPr>
          <w:tblHeader/>
        </w:trPr>
        <w:tc>
          <w:tcPr>
            <w:tcW w:w="2400" w:type="dxa"/>
            <w:shd w:val="clear" w:color="auto" w:fill="1E2761"/>
            <w:tcMar>
              <w:top w:w="80" w:type="dxa"/>
              <w:left w:w="100" w:type="dxa"/>
              <w:bottom w:w="80" w:type="dxa"/>
              <w:right w:w="100" w:type="dxa"/>
            </w:tcMar>
          </w:tcPr>
          <w:p w14:paraId="78DB4A53" w14:textId="77777777" w:rsidR="009F4505" w:rsidRDefault="00065D9F">
            <w:r>
              <w:rPr>
                <w:b/>
                <w:bCs/>
                <w:color w:val="FFFFFF"/>
                <w:sz w:val="20"/>
                <w:szCs w:val="20"/>
              </w:rPr>
              <w:t>Threat Addressed</w:t>
            </w:r>
          </w:p>
        </w:tc>
        <w:tc>
          <w:tcPr>
            <w:tcW w:w="3000" w:type="dxa"/>
            <w:shd w:val="clear" w:color="auto" w:fill="1E2761"/>
            <w:tcMar>
              <w:top w:w="80" w:type="dxa"/>
              <w:left w:w="100" w:type="dxa"/>
              <w:bottom w:w="80" w:type="dxa"/>
              <w:right w:w="100" w:type="dxa"/>
            </w:tcMar>
          </w:tcPr>
          <w:p w14:paraId="0FBF3BCF" w14:textId="77777777" w:rsidR="009F4505" w:rsidRDefault="00065D9F">
            <w:r>
              <w:rPr>
                <w:b/>
                <w:bCs/>
                <w:color w:val="FFFFFF"/>
                <w:sz w:val="20"/>
                <w:szCs w:val="20"/>
              </w:rPr>
              <w:t>Mitigation Measure</w:t>
            </w:r>
          </w:p>
        </w:tc>
        <w:tc>
          <w:tcPr>
            <w:tcW w:w="3950" w:type="dxa"/>
            <w:shd w:val="clear" w:color="auto" w:fill="1E2761"/>
            <w:tcMar>
              <w:top w:w="80" w:type="dxa"/>
              <w:left w:w="100" w:type="dxa"/>
              <w:bottom w:w="80" w:type="dxa"/>
              <w:right w:w="100" w:type="dxa"/>
            </w:tcMar>
          </w:tcPr>
          <w:p w14:paraId="36661CBD" w14:textId="77777777" w:rsidR="009F4505" w:rsidRDefault="00065D9F">
            <w:r>
              <w:rPr>
                <w:b/>
                <w:bCs/>
                <w:color w:val="FFFFFF"/>
                <w:sz w:val="20"/>
                <w:szCs w:val="20"/>
              </w:rPr>
              <w:t>Implementation</w:t>
            </w:r>
          </w:p>
        </w:tc>
      </w:tr>
      <w:tr w:rsidR="009F4505" w:rsidRPr="00C67E3A" w14:paraId="595593D3" w14:textId="77777777">
        <w:tc>
          <w:tcPr>
            <w:tcW w:w="2400" w:type="dxa"/>
            <w:shd w:val="clear" w:color="auto" w:fill="FFFFFF"/>
            <w:tcMar>
              <w:top w:w="80" w:type="dxa"/>
              <w:left w:w="100" w:type="dxa"/>
              <w:bottom w:w="80" w:type="dxa"/>
              <w:right w:w="100" w:type="dxa"/>
            </w:tcMar>
          </w:tcPr>
          <w:p w14:paraId="0E3F08AC" w14:textId="77777777" w:rsidR="009F4505" w:rsidRDefault="00065D9F">
            <w:r>
              <w:rPr>
                <w:color w:val="000000"/>
                <w:sz w:val="20"/>
                <w:szCs w:val="20"/>
              </w:rPr>
              <w:t>Phishing / social engineering</w:t>
            </w:r>
          </w:p>
        </w:tc>
        <w:tc>
          <w:tcPr>
            <w:tcW w:w="3000" w:type="dxa"/>
            <w:shd w:val="clear" w:color="auto" w:fill="FFFFFF"/>
            <w:tcMar>
              <w:top w:w="80" w:type="dxa"/>
              <w:left w:w="100" w:type="dxa"/>
              <w:bottom w:w="80" w:type="dxa"/>
              <w:right w:w="100" w:type="dxa"/>
            </w:tcMar>
          </w:tcPr>
          <w:p w14:paraId="233C6C61" w14:textId="77777777" w:rsidR="009F4505" w:rsidRPr="00CA52D7" w:rsidRDefault="00065D9F">
            <w:pPr>
              <w:rPr>
                <w:lang w:val="en-GB"/>
              </w:rPr>
            </w:pPr>
            <w:r w:rsidRPr="00CA52D7">
              <w:rPr>
                <w:color w:val="000000"/>
                <w:sz w:val="20"/>
                <w:szCs w:val="20"/>
                <w:lang w:val="en-GB"/>
              </w:rPr>
              <w:t>Email security gateway + simulated phishing tests</w:t>
            </w:r>
          </w:p>
        </w:tc>
        <w:tc>
          <w:tcPr>
            <w:tcW w:w="3950" w:type="dxa"/>
            <w:shd w:val="clear" w:color="auto" w:fill="FFFFFF"/>
            <w:tcMar>
              <w:top w:w="80" w:type="dxa"/>
              <w:left w:w="100" w:type="dxa"/>
              <w:bottom w:w="80" w:type="dxa"/>
              <w:right w:w="100" w:type="dxa"/>
            </w:tcMar>
          </w:tcPr>
          <w:p w14:paraId="60167A10" w14:textId="77777777" w:rsidR="009F4505" w:rsidRPr="00CA52D7" w:rsidRDefault="00065D9F">
            <w:pPr>
              <w:rPr>
                <w:lang w:val="en-GB"/>
              </w:rPr>
            </w:pPr>
            <w:r w:rsidRPr="00CA52D7">
              <w:rPr>
                <w:color w:val="000000"/>
                <w:sz w:val="20"/>
                <w:szCs w:val="20"/>
                <w:lang w:val="en-GB"/>
              </w:rPr>
              <w:t>Deploy cloud email filtering; run quarterly phishing simulations targeting procurement and finance staff</w:t>
            </w:r>
          </w:p>
        </w:tc>
      </w:tr>
      <w:tr w:rsidR="009F4505" w:rsidRPr="00C67E3A" w14:paraId="6D62CEBC" w14:textId="77777777">
        <w:tc>
          <w:tcPr>
            <w:tcW w:w="2400" w:type="dxa"/>
            <w:shd w:val="clear" w:color="auto" w:fill="EEF1F8"/>
            <w:tcMar>
              <w:top w:w="80" w:type="dxa"/>
              <w:left w:w="100" w:type="dxa"/>
              <w:bottom w:w="80" w:type="dxa"/>
              <w:right w:w="100" w:type="dxa"/>
            </w:tcMar>
          </w:tcPr>
          <w:p w14:paraId="4314E197" w14:textId="77777777" w:rsidR="009F4505" w:rsidRDefault="00065D9F">
            <w:r>
              <w:rPr>
                <w:color w:val="000000"/>
                <w:sz w:val="20"/>
                <w:szCs w:val="20"/>
              </w:rPr>
              <w:t>Ransomware</w:t>
            </w:r>
          </w:p>
        </w:tc>
        <w:tc>
          <w:tcPr>
            <w:tcW w:w="3000" w:type="dxa"/>
            <w:shd w:val="clear" w:color="auto" w:fill="EEF1F8"/>
            <w:tcMar>
              <w:top w:w="80" w:type="dxa"/>
              <w:left w:w="100" w:type="dxa"/>
              <w:bottom w:w="80" w:type="dxa"/>
              <w:right w:w="100" w:type="dxa"/>
            </w:tcMar>
          </w:tcPr>
          <w:p w14:paraId="131F32D4" w14:textId="77777777" w:rsidR="009F4505" w:rsidRDefault="00065D9F">
            <w:r>
              <w:rPr>
                <w:color w:val="000000"/>
                <w:sz w:val="20"/>
                <w:szCs w:val="20"/>
              </w:rPr>
              <w:t>Immutable, offline backups &amp; EDR</w:t>
            </w:r>
          </w:p>
        </w:tc>
        <w:tc>
          <w:tcPr>
            <w:tcW w:w="3950" w:type="dxa"/>
            <w:shd w:val="clear" w:color="auto" w:fill="EEF1F8"/>
            <w:tcMar>
              <w:top w:w="80" w:type="dxa"/>
              <w:left w:w="100" w:type="dxa"/>
              <w:bottom w:w="80" w:type="dxa"/>
              <w:right w:w="100" w:type="dxa"/>
            </w:tcMar>
          </w:tcPr>
          <w:p w14:paraId="2EEDA1BE" w14:textId="77777777" w:rsidR="009F4505" w:rsidRPr="00CA52D7" w:rsidRDefault="00065D9F">
            <w:pPr>
              <w:rPr>
                <w:lang w:val="en-GB"/>
              </w:rPr>
            </w:pPr>
            <w:r w:rsidRPr="00CA52D7">
              <w:rPr>
                <w:color w:val="000000"/>
                <w:sz w:val="20"/>
                <w:szCs w:val="20"/>
                <w:lang w:val="en-GB"/>
              </w:rPr>
              <w:t>3-2-1 backup strategy with an air-gapped copy; endpoint detection and response on all servers and workstations</w:t>
            </w:r>
          </w:p>
        </w:tc>
      </w:tr>
      <w:tr w:rsidR="009F4505" w:rsidRPr="00C67E3A" w14:paraId="5C9BCF7B" w14:textId="77777777">
        <w:tc>
          <w:tcPr>
            <w:tcW w:w="2400" w:type="dxa"/>
            <w:shd w:val="clear" w:color="auto" w:fill="FFFFFF"/>
            <w:tcMar>
              <w:top w:w="80" w:type="dxa"/>
              <w:left w:w="100" w:type="dxa"/>
              <w:bottom w:w="80" w:type="dxa"/>
              <w:right w:w="100" w:type="dxa"/>
            </w:tcMar>
          </w:tcPr>
          <w:p w14:paraId="02A204E7" w14:textId="77777777" w:rsidR="009F4505" w:rsidRDefault="00065D9F">
            <w:r>
              <w:rPr>
                <w:color w:val="000000"/>
                <w:sz w:val="20"/>
                <w:szCs w:val="20"/>
              </w:rPr>
              <w:t>Unpatched OT / legacy systems</w:t>
            </w:r>
          </w:p>
        </w:tc>
        <w:tc>
          <w:tcPr>
            <w:tcW w:w="3000" w:type="dxa"/>
            <w:shd w:val="clear" w:color="auto" w:fill="FFFFFF"/>
            <w:tcMar>
              <w:top w:w="80" w:type="dxa"/>
              <w:left w:w="100" w:type="dxa"/>
              <w:bottom w:w="80" w:type="dxa"/>
              <w:right w:w="100" w:type="dxa"/>
            </w:tcMar>
          </w:tcPr>
          <w:p w14:paraId="1CA2B61C" w14:textId="77777777" w:rsidR="009F4505" w:rsidRDefault="00065D9F">
            <w:r>
              <w:rPr>
                <w:color w:val="000000"/>
                <w:sz w:val="20"/>
                <w:szCs w:val="20"/>
              </w:rPr>
              <w:t>Network segmentation + virtual patching</w:t>
            </w:r>
          </w:p>
        </w:tc>
        <w:tc>
          <w:tcPr>
            <w:tcW w:w="3950" w:type="dxa"/>
            <w:shd w:val="clear" w:color="auto" w:fill="FFFFFF"/>
            <w:tcMar>
              <w:top w:w="80" w:type="dxa"/>
              <w:left w:w="100" w:type="dxa"/>
              <w:bottom w:w="80" w:type="dxa"/>
              <w:right w:w="100" w:type="dxa"/>
            </w:tcMar>
          </w:tcPr>
          <w:p w14:paraId="29311FC0" w14:textId="77777777" w:rsidR="009F4505" w:rsidRPr="00CA52D7" w:rsidRDefault="00065D9F">
            <w:pPr>
              <w:rPr>
                <w:lang w:val="en-GB"/>
              </w:rPr>
            </w:pPr>
            <w:r w:rsidRPr="00CA52D7">
              <w:rPr>
                <w:color w:val="000000"/>
                <w:sz w:val="20"/>
                <w:szCs w:val="20"/>
                <w:lang w:val="en-GB"/>
              </w:rPr>
              <w:t>Firewall rules isolating OT from IT; intrusion-prevention signatures compensating where patches are unavailable</w:t>
            </w:r>
          </w:p>
        </w:tc>
      </w:tr>
      <w:tr w:rsidR="009F4505" w:rsidRPr="00C67E3A" w14:paraId="1FEC85E2" w14:textId="77777777">
        <w:tc>
          <w:tcPr>
            <w:tcW w:w="2400" w:type="dxa"/>
            <w:shd w:val="clear" w:color="auto" w:fill="EEF1F8"/>
            <w:tcMar>
              <w:top w:w="80" w:type="dxa"/>
              <w:left w:w="100" w:type="dxa"/>
              <w:bottom w:w="80" w:type="dxa"/>
              <w:right w:w="100" w:type="dxa"/>
            </w:tcMar>
          </w:tcPr>
          <w:p w14:paraId="60738D81" w14:textId="77777777" w:rsidR="009F4505" w:rsidRDefault="00065D9F">
            <w:r>
              <w:rPr>
                <w:color w:val="000000"/>
                <w:sz w:val="20"/>
                <w:szCs w:val="20"/>
              </w:rPr>
              <w:t>Insider threats</w:t>
            </w:r>
          </w:p>
        </w:tc>
        <w:tc>
          <w:tcPr>
            <w:tcW w:w="3000" w:type="dxa"/>
            <w:shd w:val="clear" w:color="auto" w:fill="EEF1F8"/>
            <w:tcMar>
              <w:top w:w="80" w:type="dxa"/>
              <w:left w:w="100" w:type="dxa"/>
              <w:bottom w:w="80" w:type="dxa"/>
              <w:right w:w="100" w:type="dxa"/>
            </w:tcMar>
          </w:tcPr>
          <w:p w14:paraId="4C087650" w14:textId="77777777" w:rsidR="009F4505" w:rsidRPr="00CA52D7" w:rsidRDefault="00065D9F">
            <w:pPr>
              <w:rPr>
                <w:lang w:val="en-GB"/>
              </w:rPr>
            </w:pPr>
            <w:r w:rsidRPr="00CA52D7">
              <w:rPr>
                <w:color w:val="000000"/>
                <w:sz w:val="20"/>
                <w:szCs w:val="20"/>
                <w:lang w:val="en-GB"/>
              </w:rPr>
              <w:t>Least-privilege access + user activity monitoring</w:t>
            </w:r>
          </w:p>
        </w:tc>
        <w:tc>
          <w:tcPr>
            <w:tcW w:w="3950" w:type="dxa"/>
            <w:shd w:val="clear" w:color="auto" w:fill="EEF1F8"/>
            <w:tcMar>
              <w:top w:w="80" w:type="dxa"/>
              <w:left w:w="100" w:type="dxa"/>
              <w:bottom w:w="80" w:type="dxa"/>
              <w:right w:w="100" w:type="dxa"/>
            </w:tcMar>
          </w:tcPr>
          <w:p w14:paraId="7BAFBCD7" w14:textId="77777777" w:rsidR="009F4505" w:rsidRPr="00CA52D7" w:rsidRDefault="00065D9F">
            <w:pPr>
              <w:rPr>
                <w:lang w:val="en-GB"/>
              </w:rPr>
            </w:pPr>
            <w:r w:rsidRPr="00CA52D7">
              <w:rPr>
                <w:color w:val="000000"/>
                <w:sz w:val="20"/>
                <w:szCs w:val="20"/>
                <w:lang w:val="en-GB"/>
              </w:rPr>
              <w:t>Role-based access control, privileged access management, and logging of access to design/IP repositories</w:t>
            </w:r>
          </w:p>
        </w:tc>
      </w:tr>
      <w:tr w:rsidR="009F4505" w:rsidRPr="00C67E3A" w14:paraId="7E39C6F0" w14:textId="77777777">
        <w:tc>
          <w:tcPr>
            <w:tcW w:w="2400" w:type="dxa"/>
            <w:shd w:val="clear" w:color="auto" w:fill="FFFFFF"/>
            <w:tcMar>
              <w:top w:w="80" w:type="dxa"/>
              <w:left w:w="100" w:type="dxa"/>
              <w:bottom w:w="80" w:type="dxa"/>
              <w:right w:w="100" w:type="dxa"/>
            </w:tcMar>
          </w:tcPr>
          <w:p w14:paraId="4FD8F9A8" w14:textId="77777777" w:rsidR="009F4505" w:rsidRDefault="00065D9F">
            <w:r>
              <w:rPr>
                <w:color w:val="000000"/>
                <w:sz w:val="20"/>
                <w:szCs w:val="20"/>
              </w:rPr>
              <w:t>Supply-chain compromise</w:t>
            </w:r>
          </w:p>
        </w:tc>
        <w:tc>
          <w:tcPr>
            <w:tcW w:w="3000" w:type="dxa"/>
            <w:shd w:val="clear" w:color="auto" w:fill="FFFFFF"/>
            <w:tcMar>
              <w:top w:w="80" w:type="dxa"/>
              <w:left w:w="100" w:type="dxa"/>
              <w:bottom w:w="80" w:type="dxa"/>
              <w:right w:w="100" w:type="dxa"/>
            </w:tcMar>
          </w:tcPr>
          <w:p w14:paraId="51EE719B" w14:textId="77777777" w:rsidR="009F4505" w:rsidRPr="00CA52D7" w:rsidRDefault="00065D9F">
            <w:pPr>
              <w:rPr>
                <w:lang w:val="en-GB"/>
              </w:rPr>
            </w:pPr>
            <w:r w:rsidRPr="00CA52D7">
              <w:rPr>
                <w:color w:val="000000"/>
                <w:sz w:val="20"/>
                <w:szCs w:val="20"/>
                <w:lang w:val="en-GB"/>
              </w:rPr>
              <w:t>Vendor risk assessment + restricted remote access</w:t>
            </w:r>
          </w:p>
        </w:tc>
        <w:tc>
          <w:tcPr>
            <w:tcW w:w="3950" w:type="dxa"/>
            <w:shd w:val="clear" w:color="auto" w:fill="FFFFFF"/>
            <w:tcMar>
              <w:top w:w="80" w:type="dxa"/>
              <w:left w:w="100" w:type="dxa"/>
              <w:bottom w:w="80" w:type="dxa"/>
              <w:right w:w="100" w:type="dxa"/>
            </w:tcMar>
          </w:tcPr>
          <w:p w14:paraId="43891D67" w14:textId="77777777" w:rsidR="009F4505" w:rsidRPr="00CA52D7" w:rsidRDefault="00065D9F">
            <w:pPr>
              <w:rPr>
                <w:lang w:val="en-GB"/>
              </w:rPr>
            </w:pPr>
            <w:r w:rsidRPr="00CA52D7">
              <w:rPr>
                <w:color w:val="000000"/>
                <w:sz w:val="20"/>
                <w:szCs w:val="20"/>
                <w:lang w:val="en-GB"/>
              </w:rPr>
              <w:t>Security questionnaires before onboarding; time-limited, monitored VPN access for suppliers/contractors</w:t>
            </w:r>
          </w:p>
        </w:tc>
      </w:tr>
      <w:tr w:rsidR="009F4505" w:rsidRPr="00C67E3A" w14:paraId="0FC8E5C2" w14:textId="77777777">
        <w:tc>
          <w:tcPr>
            <w:tcW w:w="2400" w:type="dxa"/>
            <w:shd w:val="clear" w:color="auto" w:fill="EEF1F8"/>
            <w:tcMar>
              <w:top w:w="80" w:type="dxa"/>
              <w:left w:w="100" w:type="dxa"/>
              <w:bottom w:w="80" w:type="dxa"/>
              <w:right w:w="100" w:type="dxa"/>
            </w:tcMar>
          </w:tcPr>
          <w:p w14:paraId="0991F32E" w14:textId="77777777" w:rsidR="009F4505" w:rsidRDefault="00065D9F">
            <w:r>
              <w:rPr>
                <w:color w:val="000000"/>
                <w:sz w:val="20"/>
                <w:szCs w:val="20"/>
              </w:rPr>
              <w:t>Weak credentials</w:t>
            </w:r>
          </w:p>
        </w:tc>
        <w:tc>
          <w:tcPr>
            <w:tcW w:w="3000" w:type="dxa"/>
            <w:shd w:val="clear" w:color="auto" w:fill="EEF1F8"/>
            <w:tcMar>
              <w:top w:w="80" w:type="dxa"/>
              <w:left w:w="100" w:type="dxa"/>
              <w:bottom w:w="80" w:type="dxa"/>
              <w:right w:w="100" w:type="dxa"/>
            </w:tcMar>
          </w:tcPr>
          <w:p w14:paraId="3F2AE748" w14:textId="77777777" w:rsidR="009F4505" w:rsidRPr="00CA52D7" w:rsidRDefault="00065D9F">
            <w:pPr>
              <w:rPr>
                <w:lang w:val="en-GB"/>
              </w:rPr>
            </w:pPr>
            <w:r w:rsidRPr="00CA52D7">
              <w:rPr>
                <w:color w:val="000000"/>
                <w:sz w:val="20"/>
                <w:szCs w:val="20"/>
                <w:lang w:val="en-GB"/>
              </w:rPr>
              <w:t>MFA and password policy enforcement</w:t>
            </w:r>
          </w:p>
        </w:tc>
        <w:tc>
          <w:tcPr>
            <w:tcW w:w="3950" w:type="dxa"/>
            <w:shd w:val="clear" w:color="auto" w:fill="EEF1F8"/>
            <w:tcMar>
              <w:top w:w="80" w:type="dxa"/>
              <w:left w:w="100" w:type="dxa"/>
              <w:bottom w:w="80" w:type="dxa"/>
              <w:right w:w="100" w:type="dxa"/>
            </w:tcMar>
          </w:tcPr>
          <w:p w14:paraId="6BF77824" w14:textId="77777777" w:rsidR="009F4505" w:rsidRPr="00CA52D7" w:rsidRDefault="00065D9F">
            <w:pPr>
              <w:rPr>
                <w:lang w:val="en-GB"/>
              </w:rPr>
            </w:pPr>
            <w:r w:rsidRPr="00CA52D7">
              <w:rPr>
                <w:color w:val="000000"/>
                <w:sz w:val="20"/>
                <w:szCs w:val="20"/>
                <w:lang w:val="en-GB"/>
              </w:rPr>
              <w:t>MFA on all remote and cloud accounts; minimum 14-character passphrases enforced via Active Directory</w:t>
            </w:r>
          </w:p>
        </w:tc>
      </w:tr>
      <w:tr w:rsidR="009F4505" w:rsidRPr="00C67E3A" w14:paraId="505734D1" w14:textId="77777777">
        <w:tc>
          <w:tcPr>
            <w:tcW w:w="2400" w:type="dxa"/>
            <w:shd w:val="clear" w:color="auto" w:fill="FFFFFF"/>
            <w:tcMar>
              <w:top w:w="80" w:type="dxa"/>
              <w:left w:w="100" w:type="dxa"/>
              <w:bottom w:w="80" w:type="dxa"/>
              <w:right w:w="100" w:type="dxa"/>
            </w:tcMar>
          </w:tcPr>
          <w:p w14:paraId="2922ED83" w14:textId="77777777" w:rsidR="009F4505" w:rsidRDefault="00065D9F">
            <w:r>
              <w:rPr>
                <w:color w:val="000000"/>
                <w:sz w:val="20"/>
                <w:szCs w:val="20"/>
              </w:rPr>
              <w:t>Data exfiltration / espionage</w:t>
            </w:r>
          </w:p>
        </w:tc>
        <w:tc>
          <w:tcPr>
            <w:tcW w:w="3000" w:type="dxa"/>
            <w:shd w:val="clear" w:color="auto" w:fill="FFFFFF"/>
            <w:tcMar>
              <w:top w:w="80" w:type="dxa"/>
              <w:left w:w="100" w:type="dxa"/>
              <w:bottom w:w="80" w:type="dxa"/>
              <w:right w:w="100" w:type="dxa"/>
            </w:tcMar>
          </w:tcPr>
          <w:p w14:paraId="3BFE909C" w14:textId="77777777" w:rsidR="009F4505" w:rsidRPr="00CA52D7" w:rsidRDefault="00065D9F">
            <w:pPr>
              <w:rPr>
                <w:lang w:val="en-GB"/>
              </w:rPr>
            </w:pPr>
            <w:r w:rsidRPr="00CA52D7">
              <w:rPr>
                <w:color w:val="000000"/>
                <w:sz w:val="20"/>
                <w:szCs w:val="20"/>
                <w:lang w:val="en-GB"/>
              </w:rPr>
              <w:t>Data Loss Prevention (DLP) and encryption</w:t>
            </w:r>
          </w:p>
        </w:tc>
        <w:tc>
          <w:tcPr>
            <w:tcW w:w="3950" w:type="dxa"/>
            <w:shd w:val="clear" w:color="auto" w:fill="FFFFFF"/>
            <w:tcMar>
              <w:top w:w="80" w:type="dxa"/>
              <w:left w:w="100" w:type="dxa"/>
              <w:bottom w:w="80" w:type="dxa"/>
              <w:right w:w="100" w:type="dxa"/>
            </w:tcMar>
          </w:tcPr>
          <w:p w14:paraId="2FFE783B" w14:textId="77777777" w:rsidR="009F4505" w:rsidRPr="00CA52D7" w:rsidRDefault="00065D9F">
            <w:pPr>
              <w:rPr>
                <w:lang w:val="en-GB"/>
              </w:rPr>
            </w:pPr>
            <w:r w:rsidRPr="00CA52D7">
              <w:rPr>
                <w:color w:val="000000"/>
                <w:sz w:val="20"/>
                <w:szCs w:val="20"/>
                <w:lang w:val="en-GB"/>
              </w:rPr>
              <w:t>DLP rules on email/USB egress; encryption of CAD/design files at rest and in transit</w:t>
            </w:r>
          </w:p>
        </w:tc>
      </w:tr>
    </w:tbl>
    <w:p w14:paraId="2250C199" w14:textId="77777777" w:rsidR="002F6BA6" w:rsidRDefault="002F6BA6">
      <w:pPr>
        <w:pStyle w:val="Heading1"/>
        <w:rPr>
          <w:lang w:val="en-GB"/>
        </w:rPr>
      </w:pPr>
      <w:bookmarkStart w:id="4" w:name="_Toc237350629"/>
    </w:p>
    <w:p w14:paraId="52F2D2C8" w14:textId="77777777" w:rsidR="002F6BA6" w:rsidRDefault="002F6BA6">
      <w:pPr>
        <w:pStyle w:val="Heading1"/>
        <w:rPr>
          <w:lang w:val="en-GB"/>
        </w:rPr>
      </w:pPr>
    </w:p>
    <w:p w14:paraId="6768B2DE" w14:textId="77777777" w:rsidR="002F6BA6" w:rsidRDefault="002F6BA6">
      <w:pPr>
        <w:pStyle w:val="Heading1"/>
        <w:rPr>
          <w:lang w:val="en-GB"/>
        </w:rPr>
      </w:pPr>
    </w:p>
    <w:p w14:paraId="22C35D9A" w14:textId="77777777" w:rsidR="002F6BA6" w:rsidRDefault="002F6BA6">
      <w:pPr>
        <w:pStyle w:val="Heading1"/>
        <w:rPr>
          <w:lang w:val="en-GB"/>
        </w:rPr>
      </w:pPr>
    </w:p>
    <w:p w14:paraId="35E63507" w14:textId="77777777" w:rsidR="002F6BA6" w:rsidRDefault="002F6BA6">
      <w:pPr>
        <w:pStyle w:val="Heading1"/>
        <w:rPr>
          <w:lang w:val="en-GB"/>
        </w:rPr>
      </w:pPr>
    </w:p>
    <w:p w14:paraId="3C921768" w14:textId="3BEAB31D" w:rsidR="009F4505" w:rsidRPr="00CA52D7" w:rsidRDefault="00065D9F">
      <w:pPr>
        <w:pStyle w:val="Heading1"/>
        <w:rPr>
          <w:lang w:val="en-GB"/>
        </w:rPr>
      </w:pPr>
      <w:r w:rsidRPr="00CA52D7">
        <w:rPr>
          <w:lang w:val="en-GB"/>
        </w:rPr>
        <w:lastRenderedPageBreak/>
        <w:t>Watching the Network and Reacting When Something Goes Wrong</w:t>
      </w:r>
      <w:bookmarkEnd w:id="4"/>
    </w:p>
    <w:p w14:paraId="4B98D6AF" w14:textId="086475F4" w:rsidR="009F4505" w:rsidRPr="00CA52D7" w:rsidRDefault="00065D9F">
      <w:pPr>
        <w:spacing w:after="160" w:line="276" w:lineRule="auto"/>
        <w:rPr>
          <w:lang w:val="en-GB"/>
        </w:rPr>
      </w:pPr>
      <w:r w:rsidRPr="00CA52D7">
        <w:rPr>
          <w:lang w:val="en-GB"/>
        </w:rPr>
        <w:t xml:space="preserve">Buying tools is the easy part someone </w:t>
      </w:r>
      <w:proofErr w:type="gramStart"/>
      <w:r w:rsidRPr="00CA52D7">
        <w:rPr>
          <w:lang w:val="en-GB"/>
        </w:rPr>
        <w:t>has to</w:t>
      </w:r>
      <w:proofErr w:type="gramEnd"/>
      <w:r w:rsidRPr="00CA52D7">
        <w:rPr>
          <w:lang w:val="en-GB"/>
        </w:rPr>
        <w:t xml:space="preserve"> </w:t>
      </w:r>
      <w:proofErr w:type="gramStart"/>
      <w:r w:rsidRPr="00CA52D7">
        <w:rPr>
          <w:lang w:val="en-GB"/>
        </w:rPr>
        <w:t>actually be</w:t>
      </w:r>
      <w:proofErr w:type="gramEnd"/>
      <w:r w:rsidRPr="00CA52D7">
        <w:rPr>
          <w:lang w:val="en-GB"/>
        </w:rPr>
        <w:t xml:space="preserve"> watching them. A SIEM platform is only useful if alerts are triaged by a person, or a managed provider given we are not large enough to run a 24/7 in-house SOC, who knows what a genuine incident looks like versus background noise.</w:t>
      </w:r>
    </w:p>
    <w:p w14:paraId="4170D29D" w14:textId="4092A6B0" w:rsidR="009F4505" w:rsidRDefault="002F6BA6" w:rsidP="002F6BA6">
      <w:pPr>
        <w:spacing w:before="200" w:after="240"/>
      </w:pPr>
      <w:r>
        <w:rPr>
          <w:noProof/>
        </w:rPr>
        <w:drawing>
          <wp:inline distT="0" distB="0" distL="0" distR="0" wp14:anchorId="0A399299" wp14:editId="4CE27ED2">
            <wp:extent cx="5928360" cy="2476500"/>
            <wp:effectExtent l="0" t="0" r="0" b="0"/>
            <wp:docPr id="11429588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28360" cy="2476500"/>
                    </a:xfrm>
                    <a:prstGeom prst="rect">
                      <a:avLst/>
                    </a:prstGeom>
                    <a:noFill/>
                    <a:ln>
                      <a:noFill/>
                    </a:ln>
                  </pic:spPr>
                </pic:pic>
              </a:graphicData>
            </a:graphic>
          </wp:inline>
        </w:drawing>
      </w:r>
    </w:p>
    <w:p w14:paraId="204C9F1D" w14:textId="6DBE508B" w:rsidR="009F4505" w:rsidRPr="00CA52D7" w:rsidRDefault="00582DF7">
      <w:pPr>
        <w:spacing w:after="160" w:line="276" w:lineRule="auto"/>
        <w:rPr>
          <w:lang w:val="en-GB"/>
        </w:rPr>
      </w:pPr>
      <w:r w:rsidRPr="00582DF7">
        <w:rPr>
          <w:lang w:val="en-GB"/>
        </w:rPr>
        <w:t xml:space="preserve">Once an issue is verified, the reaction goes through a fairly standard lifecycle, using NIST’s guidelines [7] for incident handling - detect, determine, contain, eradicate the cause, recover from the clean backup and finally, the one thing nobody ever does, learn from it and put it back into the policy. This final step is more important than anyone realizes. Every issue we have is a free lesson </w:t>
      </w:r>
      <w:proofErr w:type="gramStart"/>
      <w:r w:rsidRPr="00582DF7">
        <w:rPr>
          <w:lang w:val="en-GB"/>
        </w:rPr>
        <w:t>as long as</w:t>
      </w:r>
      <w:proofErr w:type="gramEnd"/>
      <w:r w:rsidRPr="00582DF7">
        <w:rPr>
          <w:lang w:val="en-GB"/>
        </w:rPr>
        <w:t xml:space="preserve"> we take the time to document it and learn from it</w:t>
      </w:r>
      <w:r w:rsidR="00065D9F" w:rsidRPr="00CA52D7">
        <w:rPr>
          <w:lang w:val="en-GB"/>
        </w:rPr>
        <w:t>.</w:t>
      </w:r>
    </w:p>
    <w:p w14:paraId="3680D95A" w14:textId="661DC488" w:rsidR="009F4505" w:rsidRPr="00CA52D7" w:rsidRDefault="00065D9F">
      <w:pPr>
        <w:spacing w:after="160" w:line="276" w:lineRule="auto"/>
        <w:rPr>
          <w:lang w:val="en-GB"/>
        </w:rPr>
      </w:pPr>
      <w:r w:rsidRPr="00CA52D7">
        <w:rPr>
          <w:lang w:val="en-GB"/>
        </w:rPr>
        <w:t>I would also recommend running a tabletop exercise at least once a year a simulated ransomware event, walked through on a whiteboard rather than live systems — so that when a real incident happens, people are not improvising the escalation path for the first time under pressure.</w:t>
      </w:r>
    </w:p>
    <w:p w14:paraId="081F25EB" w14:textId="77777777" w:rsidR="009F4505" w:rsidRPr="00CA52D7" w:rsidRDefault="00065D9F">
      <w:pPr>
        <w:pStyle w:val="Heading1"/>
        <w:rPr>
          <w:lang w:val="en-GB"/>
        </w:rPr>
      </w:pPr>
      <w:bookmarkStart w:id="5" w:name="_Toc237350630"/>
      <w:r w:rsidRPr="00CA52D7">
        <w:rPr>
          <w:lang w:val="en-GB"/>
        </w:rPr>
        <w:t>The Human Layer</w:t>
      </w:r>
      <w:bookmarkEnd w:id="5"/>
    </w:p>
    <w:p w14:paraId="2DFE6224" w14:textId="65BA144C" w:rsidR="009F4505" w:rsidRPr="00CA52D7" w:rsidRDefault="00065D9F">
      <w:pPr>
        <w:spacing w:after="160" w:line="276" w:lineRule="auto"/>
        <w:rPr>
          <w:lang w:val="en-GB"/>
        </w:rPr>
      </w:pPr>
      <w:r w:rsidRPr="00CA52D7">
        <w:rPr>
          <w:lang w:val="en-GB"/>
        </w:rPr>
        <w:t xml:space="preserve">I will be </w:t>
      </w:r>
      <w:r w:rsidR="000D5E47">
        <w:rPr>
          <w:lang w:val="en-GB"/>
        </w:rPr>
        <w:t>clear,</w:t>
      </w:r>
      <w:r w:rsidRPr="00CA52D7">
        <w:rPr>
          <w:lang w:val="en-GB"/>
        </w:rPr>
        <w:t xml:space="preserve"> most of what goes wrong starts with a person clicking something they should not have, and no amount of firewall spend fixes that on its own. Training needs to be pitched differently depending on who is receiving it.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350"/>
        <w:gridCol w:w="3800"/>
      </w:tblGrid>
      <w:tr w:rsidR="009F4505" w14:paraId="705844DA" w14:textId="77777777">
        <w:trPr>
          <w:tblHeader/>
        </w:trPr>
        <w:tc>
          <w:tcPr>
            <w:tcW w:w="2200" w:type="dxa"/>
            <w:shd w:val="clear" w:color="auto" w:fill="1E2761"/>
            <w:tcMar>
              <w:top w:w="80" w:type="dxa"/>
              <w:left w:w="100" w:type="dxa"/>
              <w:bottom w:w="80" w:type="dxa"/>
              <w:right w:w="100" w:type="dxa"/>
            </w:tcMar>
          </w:tcPr>
          <w:p w14:paraId="1307DAA5" w14:textId="77777777" w:rsidR="009F4505" w:rsidRDefault="00065D9F">
            <w:r>
              <w:rPr>
                <w:b/>
                <w:bCs/>
                <w:color w:val="FFFFFF"/>
                <w:sz w:val="20"/>
                <w:szCs w:val="20"/>
              </w:rPr>
              <w:t>Audience</w:t>
            </w:r>
          </w:p>
        </w:tc>
        <w:tc>
          <w:tcPr>
            <w:tcW w:w="3350" w:type="dxa"/>
            <w:shd w:val="clear" w:color="auto" w:fill="1E2761"/>
            <w:tcMar>
              <w:top w:w="80" w:type="dxa"/>
              <w:left w:w="100" w:type="dxa"/>
              <w:bottom w:w="80" w:type="dxa"/>
              <w:right w:w="100" w:type="dxa"/>
            </w:tcMar>
          </w:tcPr>
          <w:p w14:paraId="2F5B9E12" w14:textId="77777777" w:rsidR="009F4505" w:rsidRDefault="00065D9F">
            <w:r>
              <w:rPr>
                <w:b/>
                <w:bCs/>
                <w:color w:val="FFFFFF"/>
                <w:sz w:val="20"/>
                <w:szCs w:val="20"/>
              </w:rPr>
              <w:t>Format &amp; Frequency</w:t>
            </w:r>
          </w:p>
        </w:tc>
        <w:tc>
          <w:tcPr>
            <w:tcW w:w="3800" w:type="dxa"/>
            <w:shd w:val="clear" w:color="auto" w:fill="1E2761"/>
            <w:tcMar>
              <w:top w:w="80" w:type="dxa"/>
              <w:left w:w="100" w:type="dxa"/>
              <w:bottom w:w="80" w:type="dxa"/>
              <w:right w:w="100" w:type="dxa"/>
            </w:tcMar>
          </w:tcPr>
          <w:p w14:paraId="68CBDFDE" w14:textId="77777777" w:rsidR="009F4505" w:rsidRDefault="00065D9F">
            <w:r>
              <w:rPr>
                <w:b/>
                <w:bCs/>
                <w:color w:val="FFFFFF"/>
                <w:sz w:val="20"/>
                <w:szCs w:val="20"/>
              </w:rPr>
              <w:t>Core Content</w:t>
            </w:r>
          </w:p>
        </w:tc>
      </w:tr>
      <w:tr w:rsidR="009F4505" w:rsidRPr="00C67E3A" w14:paraId="08FADAB3" w14:textId="77777777">
        <w:tc>
          <w:tcPr>
            <w:tcW w:w="2200" w:type="dxa"/>
            <w:shd w:val="clear" w:color="auto" w:fill="FFFFFF"/>
            <w:tcMar>
              <w:top w:w="80" w:type="dxa"/>
              <w:left w:w="100" w:type="dxa"/>
              <w:bottom w:w="80" w:type="dxa"/>
              <w:right w:w="100" w:type="dxa"/>
            </w:tcMar>
          </w:tcPr>
          <w:p w14:paraId="05564D0B" w14:textId="77777777" w:rsidR="009F4505" w:rsidRDefault="00065D9F">
            <w:r>
              <w:rPr>
                <w:color w:val="000000"/>
                <w:sz w:val="20"/>
                <w:szCs w:val="20"/>
              </w:rPr>
              <w:t>All staff</w:t>
            </w:r>
          </w:p>
        </w:tc>
        <w:tc>
          <w:tcPr>
            <w:tcW w:w="3350" w:type="dxa"/>
            <w:shd w:val="clear" w:color="auto" w:fill="FFFFFF"/>
            <w:tcMar>
              <w:top w:w="80" w:type="dxa"/>
              <w:left w:w="100" w:type="dxa"/>
              <w:bottom w:w="80" w:type="dxa"/>
              <w:right w:w="100" w:type="dxa"/>
            </w:tcMar>
          </w:tcPr>
          <w:p w14:paraId="5AD65D8F" w14:textId="77777777" w:rsidR="009F4505" w:rsidRPr="00CA52D7" w:rsidRDefault="00065D9F">
            <w:pPr>
              <w:rPr>
                <w:lang w:val="en-GB"/>
              </w:rPr>
            </w:pPr>
            <w:r w:rsidRPr="00CA52D7">
              <w:rPr>
                <w:color w:val="000000"/>
                <w:sz w:val="20"/>
                <w:szCs w:val="20"/>
                <w:lang w:val="en-GB"/>
              </w:rPr>
              <w:t>Online induction module + annual refresher</w:t>
            </w:r>
          </w:p>
        </w:tc>
        <w:tc>
          <w:tcPr>
            <w:tcW w:w="3800" w:type="dxa"/>
            <w:shd w:val="clear" w:color="auto" w:fill="FFFFFF"/>
            <w:tcMar>
              <w:top w:w="80" w:type="dxa"/>
              <w:left w:w="100" w:type="dxa"/>
              <w:bottom w:w="80" w:type="dxa"/>
              <w:right w:w="100" w:type="dxa"/>
            </w:tcMar>
          </w:tcPr>
          <w:p w14:paraId="6CD02A7C" w14:textId="77777777" w:rsidR="009F4505" w:rsidRPr="00CA52D7" w:rsidRDefault="00065D9F">
            <w:pPr>
              <w:rPr>
                <w:lang w:val="en-GB"/>
              </w:rPr>
            </w:pPr>
            <w:r w:rsidRPr="00CA52D7">
              <w:rPr>
                <w:color w:val="000000"/>
                <w:sz w:val="20"/>
                <w:szCs w:val="20"/>
                <w:lang w:val="en-GB"/>
              </w:rPr>
              <w:t>Phishing recognition, password hygiene, reporting procedures, data-handling basics</w:t>
            </w:r>
          </w:p>
        </w:tc>
      </w:tr>
      <w:tr w:rsidR="009F4505" w:rsidRPr="00C67E3A" w14:paraId="1DEBCD20" w14:textId="77777777">
        <w:tc>
          <w:tcPr>
            <w:tcW w:w="2200" w:type="dxa"/>
            <w:shd w:val="clear" w:color="auto" w:fill="EEF1F8"/>
            <w:tcMar>
              <w:top w:w="80" w:type="dxa"/>
              <w:left w:w="100" w:type="dxa"/>
              <w:bottom w:w="80" w:type="dxa"/>
              <w:right w:w="100" w:type="dxa"/>
            </w:tcMar>
          </w:tcPr>
          <w:p w14:paraId="1AA4BE0D" w14:textId="77777777" w:rsidR="009F4505" w:rsidRDefault="00065D9F">
            <w:r>
              <w:rPr>
                <w:color w:val="000000"/>
                <w:sz w:val="20"/>
                <w:szCs w:val="20"/>
              </w:rPr>
              <w:t>Procurement &amp; finance</w:t>
            </w:r>
          </w:p>
        </w:tc>
        <w:tc>
          <w:tcPr>
            <w:tcW w:w="3350" w:type="dxa"/>
            <w:shd w:val="clear" w:color="auto" w:fill="EEF1F8"/>
            <w:tcMar>
              <w:top w:w="80" w:type="dxa"/>
              <w:left w:w="100" w:type="dxa"/>
              <w:bottom w:w="80" w:type="dxa"/>
              <w:right w:w="100" w:type="dxa"/>
            </w:tcMar>
          </w:tcPr>
          <w:p w14:paraId="3D1BB4F7" w14:textId="77777777" w:rsidR="009F4505" w:rsidRDefault="00065D9F">
            <w:r>
              <w:rPr>
                <w:color w:val="000000"/>
                <w:sz w:val="20"/>
                <w:szCs w:val="20"/>
              </w:rPr>
              <w:t>Quarterly workshop + simulated phishing</w:t>
            </w:r>
          </w:p>
        </w:tc>
        <w:tc>
          <w:tcPr>
            <w:tcW w:w="3800" w:type="dxa"/>
            <w:shd w:val="clear" w:color="auto" w:fill="EEF1F8"/>
            <w:tcMar>
              <w:top w:w="80" w:type="dxa"/>
              <w:left w:w="100" w:type="dxa"/>
              <w:bottom w:w="80" w:type="dxa"/>
              <w:right w:w="100" w:type="dxa"/>
            </w:tcMar>
          </w:tcPr>
          <w:p w14:paraId="6AFA4311" w14:textId="77777777" w:rsidR="009F4505" w:rsidRPr="00CA52D7" w:rsidRDefault="00065D9F">
            <w:pPr>
              <w:rPr>
                <w:lang w:val="en-GB"/>
              </w:rPr>
            </w:pPr>
            <w:r w:rsidRPr="00CA52D7">
              <w:rPr>
                <w:color w:val="000000"/>
                <w:sz w:val="20"/>
                <w:szCs w:val="20"/>
                <w:lang w:val="en-GB"/>
              </w:rPr>
              <w:t>Invoice fraud, business email compromise, verification procedures for payment changes</w:t>
            </w:r>
          </w:p>
        </w:tc>
      </w:tr>
      <w:tr w:rsidR="009F4505" w:rsidRPr="00C67E3A" w14:paraId="01097B73" w14:textId="77777777">
        <w:tc>
          <w:tcPr>
            <w:tcW w:w="2200" w:type="dxa"/>
            <w:shd w:val="clear" w:color="auto" w:fill="FFFFFF"/>
            <w:tcMar>
              <w:top w:w="80" w:type="dxa"/>
              <w:left w:w="100" w:type="dxa"/>
              <w:bottom w:w="80" w:type="dxa"/>
              <w:right w:w="100" w:type="dxa"/>
            </w:tcMar>
          </w:tcPr>
          <w:p w14:paraId="7A291877" w14:textId="77777777" w:rsidR="009F4505" w:rsidRDefault="00065D9F">
            <w:r>
              <w:rPr>
                <w:color w:val="000000"/>
                <w:sz w:val="20"/>
                <w:szCs w:val="20"/>
              </w:rPr>
              <w:lastRenderedPageBreak/>
              <w:t>Production / OT operators</w:t>
            </w:r>
          </w:p>
        </w:tc>
        <w:tc>
          <w:tcPr>
            <w:tcW w:w="3350" w:type="dxa"/>
            <w:shd w:val="clear" w:color="auto" w:fill="FFFFFF"/>
            <w:tcMar>
              <w:top w:w="80" w:type="dxa"/>
              <w:left w:w="100" w:type="dxa"/>
              <w:bottom w:w="80" w:type="dxa"/>
              <w:right w:w="100" w:type="dxa"/>
            </w:tcMar>
          </w:tcPr>
          <w:p w14:paraId="159C9740" w14:textId="77777777" w:rsidR="009F4505" w:rsidRDefault="00065D9F">
            <w:r>
              <w:rPr>
                <w:color w:val="000000"/>
                <w:sz w:val="20"/>
                <w:szCs w:val="20"/>
              </w:rPr>
              <w:t>Bi-annual toolbox talk</w:t>
            </w:r>
          </w:p>
        </w:tc>
        <w:tc>
          <w:tcPr>
            <w:tcW w:w="3800" w:type="dxa"/>
            <w:shd w:val="clear" w:color="auto" w:fill="FFFFFF"/>
            <w:tcMar>
              <w:top w:w="80" w:type="dxa"/>
              <w:left w:w="100" w:type="dxa"/>
              <w:bottom w:w="80" w:type="dxa"/>
              <w:right w:w="100" w:type="dxa"/>
            </w:tcMar>
          </w:tcPr>
          <w:p w14:paraId="33633C35" w14:textId="77777777" w:rsidR="009F4505" w:rsidRPr="00CA52D7" w:rsidRDefault="00065D9F">
            <w:pPr>
              <w:rPr>
                <w:lang w:val="en-GB"/>
              </w:rPr>
            </w:pPr>
            <w:r w:rsidRPr="00CA52D7">
              <w:rPr>
                <w:color w:val="000000"/>
                <w:sz w:val="20"/>
                <w:szCs w:val="20"/>
                <w:lang w:val="en-GB"/>
              </w:rPr>
              <w:t>Safe use of IoT devices, recognising abnormal machine behaviour, reporting unauthorised devices</w:t>
            </w:r>
          </w:p>
        </w:tc>
      </w:tr>
      <w:tr w:rsidR="009F4505" w:rsidRPr="00C67E3A" w14:paraId="77D4AE58" w14:textId="77777777">
        <w:tc>
          <w:tcPr>
            <w:tcW w:w="2200" w:type="dxa"/>
            <w:shd w:val="clear" w:color="auto" w:fill="EEF1F8"/>
            <w:tcMar>
              <w:top w:w="80" w:type="dxa"/>
              <w:left w:w="100" w:type="dxa"/>
              <w:bottom w:w="80" w:type="dxa"/>
              <w:right w:w="100" w:type="dxa"/>
            </w:tcMar>
          </w:tcPr>
          <w:p w14:paraId="63D1951C" w14:textId="77777777" w:rsidR="009F4505" w:rsidRDefault="00065D9F">
            <w:r>
              <w:rPr>
                <w:color w:val="000000"/>
                <w:sz w:val="20"/>
                <w:szCs w:val="20"/>
              </w:rPr>
              <w:t>IT &amp; engineering staff</w:t>
            </w:r>
          </w:p>
        </w:tc>
        <w:tc>
          <w:tcPr>
            <w:tcW w:w="3350" w:type="dxa"/>
            <w:shd w:val="clear" w:color="auto" w:fill="EEF1F8"/>
            <w:tcMar>
              <w:top w:w="80" w:type="dxa"/>
              <w:left w:w="100" w:type="dxa"/>
              <w:bottom w:w="80" w:type="dxa"/>
              <w:right w:w="100" w:type="dxa"/>
            </w:tcMar>
          </w:tcPr>
          <w:p w14:paraId="7A524510" w14:textId="77777777" w:rsidR="009F4505" w:rsidRDefault="00065D9F">
            <w:r>
              <w:rPr>
                <w:color w:val="000000"/>
                <w:sz w:val="20"/>
                <w:szCs w:val="20"/>
              </w:rPr>
              <w:t>Technical training + certifications</w:t>
            </w:r>
          </w:p>
        </w:tc>
        <w:tc>
          <w:tcPr>
            <w:tcW w:w="3800" w:type="dxa"/>
            <w:shd w:val="clear" w:color="auto" w:fill="EEF1F8"/>
            <w:tcMar>
              <w:top w:w="80" w:type="dxa"/>
              <w:left w:w="100" w:type="dxa"/>
              <w:bottom w:w="80" w:type="dxa"/>
              <w:right w:w="100" w:type="dxa"/>
            </w:tcMar>
          </w:tcPr>
          <w:p w14:paraId="41305FB6" w14:textId="77777777" w:rsidR="009F4505" w:rsidRPr="00CA52D7" w:rsidRDefault="00065D9F">
            <w:pPr>
              <w:rPr>
                <w:lang w:val="en-GB"/>
              </w:rPr>
            </w:pPr>
            <w:r w:rsidRPr="00CA52D7">
              <w:rPr>
                <w:color w:val="000000"/>
                <w:sz w:val="20"/>
                <w:szCs w:val="20"/>
                <w:lang w:val="en-GB"/>
              </w:rPr>
              <w:t>Secure configuration, patching discipline, secure coding for MES integrations</w:t>
            </w:r>
          </w:p>
        </w:tc>
      </w:tr>
      <w:tr w:rsidR="009F4505" w:rsidRPr="00C67E3A" w14:paraId="1FAA9F97" w14:textId="77777777">
        <w:tc>
          <w:tcPr>
            <w:tcW w:w="2200" w:type="dxa"/>
            <w:shd w:val="clear" w:color="auto" w:fill="FFFFFF"/>
            <w:tcMar>
              <w:top w:w="80" w:type="dxa"/>
              <w:left w:w="100" w:type="dxa"/>
              <w:bottom w:w="80" w:type="dxa"/>
              <w:right w:w="100" w:type="dxa"/>
            </w:tcMar>
          </w:tcPr>
          <w:p w14:paraId="35314F05" w14:textId="77777777" w:rsidR="009F4505" w:rsidRDefault="00065D9F">
            <w:r>
              <w:rPr>
                <w:color w:val="000000"/>
                <w:sz w:val="20"/>
                <w:szCs w:val="20"/>
              </w:rPr>
              <w:t>Senior management &amp; Board</w:t>
            </w:r>
          </w:p>
        </w:tc>
        <w:tc>
          <w:tcPr>
            <w:tcW w:w="3350" w:type="dxa"/>
            <w:shd w:val="clear" w:color="auto" w:fill="FFFFFF"/>
            <w:tcMar>
              <w:top w:w="80" w:type="dxa"/>
              <w:left w:w="100" w:type="dxa"/>
              <w:bottom w:w="80" w:type="dxa"/>
              <w:right w:w="100" w:type="dxa"/>
            </w:tcMar>
          </w:tcPr>
          <w:p w14:paraId="3FB13FC5" w14:textId="77777777" w:rsidR="009F4505" w:rsidRDefault="00065D9F">
            <w:r>
              <w:rPr>
                <w:color w:val="000000"/>
                <w:sz w:val="20"/>
                <w:szCs w:val="20"/>
              </w:rPr>
              <w:t>Annual briefing</w:t>
            </w:r>
          </w:p>
        </w:tc>
        <w:tc>
          <w:tcPr>
            <w:tcW w:w="3800" w:type="dxa"/>
            <w:shd w:val="clear" w:color="auto" w:fill="FFFFFF"/>
            <w:tcMar>
              <w:top w:w="80" w:type="dxa"/>
              <w:left w:w="100" w:type="dxa"/>
              <w:bottom w:w="80" w:type="dxa"/>
              <w:right w:w="100" w:type="dxa"/>
            </w:tcMar>
          </w:tcPr>
          <w:p w14:paraId="0DE830F3" w14:textId="77777777" w:rsidR="009F4505" w:rsidRPr="00CA52D7" w:rsidRDefault="00065D9F">
            <w:pPr>
              <w:rPr>
                <w:lang w:val="en-GB"/>
              </w:rPr>
            </w:pPr>
            <w:r w:rsidRPr="00CA52D7">
              <w:rPr>
                <w:color w:val="000000"/>
                <w:sz w:val="20"/>
                <w:szCs w:val="20"/>
                <w:lang w:val="en-GB"/>
              </w:rPr>
              <w:t>Cyber risk appetite, regulatory obligations (GDPR), incident-response responsibilities</w:t>
            </w:r>
          </w:p>
        </w:tc>
      </w:tr>
    </w:tbl>
    <w:p w14:paraId="737FC4E2" w14:textId="6021C165" w:rsidR="000D5E47" w:rsidRPr="000D5E47" w:rsidRDefault="000D5E47" w:rsidP="000D5E47">
      <w:pPr>
        <w:spacing w:after="160" w:line="276" w:lineRule="auto"/>
        <w:rPr>
          <w:lang w:val="en-GB"/>
        </w:rPr>
      </w:pPr>
      <w:r w:rsidRPr="000D5E47">
        <w:rPr>
          <w:lang w:val="en-GB"/>
        </w:rPr>
        <w:t xml:space="preserve">The general staff should have an annual training on phishing and password hygiene – again, nothing extravagant here, but </w:t>
      </w:r>
      <w:proofErr w:type="gramStart"/>
      <w:r w:rsidRPr="000D5E47">
        <w:rPr>
          <w:lang w:val="en-GB"/>
        </w:rPr>
        <w:t>regular</w:t>
      </w:r>
      <w:proofErr w:type="gramEnd"/>
      <w:r w:rsidRPr="000D5E47">
        <w:rPr>
          <w:lang w:val="en-GB"/>
        </w:rPr>
        <w:t xml:space="preserve"> nonetheless. Procurement and finance team members, having in mind that they form the most frequently attacked group, should be subject to quarterly training and a phishing test simulating attacks based on invoice tampering and payment changes. The production and OT operators would require a hands-on training on shop floors regarding spotting an unknown device connected to a machine. IT and engineering teams require actual technical training on secure configuration rather than general awareness training. Finally, senior management including myself needs annual training on risk appetite and regulatory requirements, as the budgeting decisions are being made precisely at that level.</w:t>
      </w:r>
    </w:p>
    <w:p w14:paraId="2ADAC863" w14:textId="00B14815" w:rsidR="009F4505" w:rsidRPr="00CA52D7" w:rsidRDefault="000D5E47" w:rsidP="000D5E47">
      <w:pPr>
        <w:spacing w:after="160" w:line="276" w:lineRule="auto"/>
        <w:rPr>
          <w:lang w:val="en-GB"/>
        </w:rPr>
      </w:pPr>
      <w:r w:rsidRPr="000D5E47">
        <w:rPr>
          <w:lang w:val="en-GB"/>
        </w:rPr>
        <w:t>Training efforts would prove their success not via attendance figures, but via measurable results, namely lower rates of clicking on phishing attacks during the simulations, as well as the increased number of reported near-misses. If our employees begin reporting about nearly clicked emails, then our culture works, and that means we have done the right thing.</w:t>
      </w:r>
    </w:p>
    <w:p w14:paraId="264658B4" w14:textId="07D52519" w:rsidR="009F4505" w:rsidRPr="00CA52D7" w:rsidRDefault="00065D9F">
      <w:pPr>
        <w:pStyle w:val="Heading1"/>
        <w:rPr>
          <w:lang w:val="en-GB"/>
        </w:rPr>
      </w:pPr>
      <w:bookmarkStart w:id="6" w:name="_Toc237350631"/>
      <w:r w:rsidRPr="00CA52D7">
        <w:rPr>
          <w:lang w:val="en-GB"/>
        </w:rPr>
        <w:t>Is It Worth the Money? A Word on Cost</w:t>
      </w:r>
      <w:bookmarkEnd w:id="6"/>
    </w:p>
    <w:p w14:paraId="73C5C9F4" w14:textId="77777777" w:rsidR="009F4505" w:rsidRPr="00CA52D7" w:rsidRDefault="00065D9F">
      <w:pPr>
        <w:spacing w:after="160" w:line="276" w:lineRule="auto"/>
        <w:rPr>
          <w:lang w:val="en-GB"/>
        </w:rPr>
      </w:pPr>
      <w:r w:rsidRPr="00CA52D7">
        <w:rPr>
          <w:lang w:val="en-GB"/>
        </w:rPr>
        <w:t>This section was not asked for explicitly, but it needs to be here because the Board's real question, underneath all of this, is whether the spend is justified. Sophos's 2025 data puts the average ransom payment for a manufacturer at around a million dollars, with recovery costs on top of that averaging a further $1.3 million, and that is before accounting for lost production time, contractual penalties from customers, or reputational damage with prime contractors who increasingly audit their suppliers' security posture before renewing contracts [8]. Set against that, a phased twelve-month investment in the controls described above is not a large number. I would rather make that case honestly now than explain after an incident why we did not.</w:t>
      </w:r>
    </w:p>
    <w:p w14:paraId="05E18A4F" w14:textId="77777777" w:rsidR="009F4505" w:rsidRPr="00CA52D7" w:rsidRDefault="00065D9F">
      <w:pPr>
        <w:pStyle w:val="Heading1"/>
        <w:rPr>
          <w:lang w:val="en-GB"/>
        </w:rPr>
      </w:pPr>
      <w:bookmarkStart w:id="7" w:name="_Toc237350632"/>
      <w:r w:rsidRPr="00CA52D7">
        <w:rPr>
          <w:lang w:val="en-GB"/>
        </w:rPr>
        <w:t>Where This Leaves Us</w:t>
      </w:r>
      <w:bookmarkEnd w:id="7"/>
    </w:p>
    <w:p w14:paraId="0D4CAC45" w14:textId="2C5EACBD" w:rsidR="009B1974" w:rsidRDefault="009B1974" w:rsidP="009B1974">
      <w:pPr>
        <w:spacing w:after="160" w:line="276" w:lineRule="auto"/>
        <w:rPr>
          <w:lang w:val="en-GB"/>
        </w:rPr>
      </w:pPr>
      <w:r w:rsidRPr="009B1974">
        <w:rPr>
          <w:lang w:val="en-GB"/>
        </w:rPr>
        <w:t xml:space="preserve">It was correct on SFM's part to venture into the field of smart manufacturing, but this approach has altered the nature of security as far as our organization is concerned, and now it does not solely pertain to securing the server room. There are actual and documented threats within the industry, and there are feasible and reasonable solutions to these if the implementation process is done sequentially. This is precisely the task that I am requesting from the Board: to adopt the seven policies mentioned above, to </w:t>
      </w:r>
      <w:r w:rsidRPr="009B1974">
        <w:rPr>
          <w:lang w:val="en-GB"/>
        </w:rPr>
        <w:lastRenderedPageBreak/>
        <w:t>invest in the monitoring and backup processes discussed in the mitigations, to make the training program compulsory in accessing the system, and to review the entire process after twelve months</w:t>
      </w:r>
      <w:r w:rsidR="00065D9F" w:rsidRPr="00CA52D7">
        <w:rPr>
          <w:lang w:val="en-GB"/>
        </w:rPr>
        <w:t>.</w:t>
      </w:r>
      <w:bookmarkStart w:id="8" w:name="_Toc237350633"/>
    </w:p>
    <w:p w14:paraId="7620F699" w14:textId="77777777" w:rsidR="009B1974" w:rsidRDefault="009B1974" w:rsidP="009B1974">
      <w:pPr>
        <w:spacing w:after="160" w:line="276" w:lineRule="auto"/>
        <w:rPr>
          <w:lang w:val="en-GB"/>
        </w:rPr>
      </w:pPr>
    </w:p>
    <w:p w14:paraId="2D62D82D" w14:textId="7EDD5D2E" w:rsidR="009F4505" w:rsidRPr="00CA52D7" w:rsidRDefault="00065D9F">
      <w:pPr>
        <w:pStyle w:val="Heading1"/>
        <w:rPr>
          <w:lang w:val="en-GB"/>
        </w:rPr>
      </w:pPr>
      <w:r w:rsidRPr="00CA52D7">
        <w:rPr>
          <w:lang w:val="en-GB"/>
        </w:rPr>
        <w:t>References</w:t>
      </w:r>
      <w:bookmarkEnd w:id="8"/>
    </w:p>
    <w:p w14:paraId="440C137C" w14:textId="77777777" w:rsidR="009F4505" w:rsidRPr="00F017CB" w:rsidRDefault="00065D9F">
      <w:pPr>
        <w:spacing w:after="120" w:line="276" w:lineRule="auto"/>
        <w:rPr>
          <w:lang w:val="en-GB"/>
        </w:rPr>
      </w:pPr>
      <w:r w:rsidRPr="00F017CB">
        <w:rPr>
          <w:lang w:val="en-GB"/>
        </w:rPr>
        <w:t>[1] Industrial Cyber, "Manufacturing absorbs 56% ransomware surge of global attacks in 2025," Industrial Cyber, 2026.</w:t>
      </w:r>
    </w:p>
    <w:p w14:paraId="1E544D6C" w14:textId="77777777" w:rsidR="009F4505" w:rsidRPr="00F017CB" w:rsidRDefault="00065D9F">
      <w:pPr>
        <w:spacing w:after="120" w:line="276" w:lineRule="auto"/>
        <w:rPr>
          <w:lang w:val="en-GB"/>
        </w:rPr>
      </w:pPr>
      <w:r w:rsidRPr="00F017CB">
        <w:rPr>
          <w:lang w:val="en-GB"/>
        </w:rPr>
        <w:t>[2] Dragos, Inc., "Industrial Ransomware Analysis: Q1 and Q2 2025," Dragos, 2025.</w:t>
      </w:r>
    </w:p>
    <w:p w14:paraId="232AE5C1" w14:textId="77777777" w:rsidR="009F4505" w:rsidRPr="00F017CB" w:rsidRDefault="00065D9F">
      <w:pPr>
        <w:spacing w:after="120" w:line="276" w:lineRule="auto"/>
        <w:rPr>
          <w:lang w:val="en-GB"/>
        </w:rPr>
      </w:pPr>
      <w:r w:rsidRPr="00F017CB">
        <w:rPr>
          <w:lang w:val="en-GB"/>
        </w:rPr>
        <w:t>[3] Sophos Ltd., "The State of Ransomware in Manufacturing and Production 2025," Sophos, 2025.</w:t>
      </w:r>
    </w:p>
    <w:p w14:paraId="3FBCD576" w14:textId="77777777" w:rsidR="009F4505" w:rsidRPr="00F017CB" w:rsidRDefault="00065D9F">
      <w:pPr>
        <w:spacing w:after="120" w:line="276" w:lineRule="auto"/>
        <w:rPr>
          <w:lang w:val="en-GB"/>
        </w:rPr>
      </w:pPr>
      <w:r w:rsidRPr="00F017CB">
        <w:rPr>
          <w:lang w:val="en-GB"/>
        </w:rPr>
        <w:t>[4] International Organization for Standardization, ISO/IEC 27001:2022 — Information Security Management Systems — Requirements. Geneva, Switzerland: ISO, 2022.</w:t>
      </w:r>
    </w:p>
    <w:p w14:paraId="4A55DA1F" w14:textId="77777777" w:rsidR="009F4505" w:rsidRPr="00F017CB" w:rsidRDefault="00065D9F">
      <w:pPr>
        <w:spacing w:after="120" w:line="276" w:lineRule="auto"/>
        <w:rPr>
          <w:lang w:val="en-GB"/>
        </w:rPr>
      </w:pPr>
      <w:r w:rsidRPr="00F017CB">
        <w:rPr>
          <w:lang w:val="en-GB"/>
        </w:rPr>
        <w:t>[5] National Institute of Standards and Technology, Framework for Improving Critical Infrastructure Cybersecurity (Cybersecurity Framework), NIST, Gaithersburg, MD, USA.</w:t>
      </w:r>
    </w:p>
    <w:p w14:paraId="5A9DB153" w14:textId="77777777" w:rsidR="009F4505" w:rsidRPr="00F017CB" w:rsidRDefault="00065D9F">
      <w:pPr>
        <w:spacing w:after="120" w:line="276" w:lineRule="auto"/>
        <w:rPr>
          <w:lang w:val="en-GB"/>
        </w:rPr>
      </w:pPr>
      <w:r w:rsidRPr="00F017CB">
        <w:rPr>
          <w:lang w:val="en-GB"/>
        </w:rPr>
        <w:t>[6] UK Government, Data Protection Act 2018 (incorporating UK GDPR). London, U.K.: HMSO, 2018.</w:t>
      </w:r>
    </w:p>
    <w:p w14:paraId="6EA8A3BA" w14:textId="77777777" w:rsidR="009F4505" w:rsidRPr="00F017CB" w:rsidRDefault="00065D9F">
      <w:pPr>
        <w:spacing w:after="120" w:line="276" w:lineRule="auto"/>
        <w:rPr>
          <w:lang w:val="en-GB"/>
        </w:rPr>
      </w:pPr>
      <w:r w:rsidRPr="00F017CB">
        <w:rPr>
          <w:lang w:val="en-GB"/>
        </w:rPr>
        <w:t>[7] National Institute of Standards and Technology, Computer Security Incident Handling Guide, NIST Special Publication 800-61 Rev. 2, Gaithersburg, MD, USA, 2012.</w:t>
      </w:r>
    </w:p>
    <w:p w14:paraId="569E09F5" w14:textId="77777777" w:rsidR="009F4505" w:rsidRPr="00CA52D7" w:rsidRDefault="00065D9F">
      <w:pPr>
        <w:spacing w:after="120" w:line="276" w:lineRule="auto"/>
        <w:rPr>
          <w:lang w:val="en-GB"/>
        </w:rPr>
      </w:pPr>
      <w:r w:rsidRPr="00F017CB">
        <w:rPr>
          <w:lang w:val="en-GB"/>
        </w:rPr>
        <w:t>[8]</w:t>
      </w:r>
      <w:r w:rsidRPr="00CA52D7">
        <w:rPr>
          <w:b/>
          <w:bCs/>
          <w:lang w:val="en-GB"/>
        </w:rPr>
        <w:t xml:space="preserve"> </w:t>
      </w:r>
      <w:proofErr w:type="spellStart"/>
      <w:r w:rsidRPr="00CA52D7">
        <w:rPr>
          <w:lang w:val="en-GB"/>
        </w:rPr>
        <w:t>Kiteworks</w:t>
      </w:r>
      <w:proofErr w:type="spellEnd"/>
      <w:r w:rsidRPr="00CA52D7">
        <w:rPr>
          <w:lang w:val="en-GB"/>
        </w:rPr>
        <w:t xml:space="preserve">, "Ransomware in Manufacturing 2025: Data Security and Compliance Crisis," </w:t>
      </w:r>
      <w:proofErr w:type="spellStart"/>
      <w:r w:rsidRPr="00CA52D7">
        <w:rPr>
          <w:lang w:val="en-GB"/>
        </w:rPr>
        <w:t>Kiteworks</w:t>
      </w:r>
      <w:proofErr w:type="spellEnd"/>
      <w:r w:rsidRPr="00CA52D7">
        <w:rPr>
          <w:lang w:val="en-GB"/>
        </w:rPr>
        <w:t>, 2025.</w:t>
      </w:r>
    </w:p>
    <w:p w14:paraId="07F0F1B8" w14:textId="77777777" w:rsidR="009F4505" w:rsidRPr="00CA52D7" w:rsidRDefault="00065D9F">
      <w:pPr>
        <w:rPr>
          <w:lang w:val="en-GB"/>
        </w:rPr>
      </w:pPr>
      <w:r w:rsidRPr="00CA52D7">
        <w:rPr>
          <w:lang w:val="en-GB"/>
        </w:rPr>
        <w:br w:type="page"/>
      </w:r>
    </w:p>
    <w:p w14:paraId="4175E108" w14:textId="77777777" w:rsidR="009F4505" w:rsidRPr="00CA52D7" w:rsidRDefault="00065D9F" w:rsidP="00CA52D7">
      <w:pPr>
        <w:pStyle w:val="Heading1"/>
        <w:pBdr>
          <w:bottom w:val="single" w:sz="6" w:space="6" w:color="1E2761"/>
        </w:pBdr>
        <w:rPr>
          <w:lang w:val="en-GB"/>
        </w:rPr>
      </w:pPr>
      <w:bookmarkStart w:id="9" w:name="_Toc237350634"/>
      <w:r w:rsidRPr="00CA52D7">
        <w:rPr>
          <w:lang w:val="en-GB"/>
        </w:rPr>
        <w:lastRenderedPageBreak/>
        <w:t>Appendix A: Board Presentation Slides</w:t>
      </w:r>
      <w:bookmarkEnd w:id="9"/>
    </w:p>
    <w:p w14:paraId="6246CACB" w14:textId="77777777" w:rsidR="009F4505" w:rsidRDefault="00065D9F">
      <w:pPr>
        <w:spacing w:after="160" w:line="276" w:lineRule="auto"/>
      </w:pPr>
      <w:r w:rsidRPr="00CA52D7">
        <w:rPr>
          <w:lang w:val="en-GB"/>
        </w:rPr>
        <w:t xml:space="preserve">The following slides summarise this report for the Board of Directors and accompany the full written report. </w:t>
      </w:r>
      <w:r>
        <w:t>The native PowerPoint file is provided separately.</w:t>
      </w:r>
    </w:p>
    <w:p w14:paraId="50DEB43F" w14:textId="6A8CAAC3" w:rsidR="009F4505" w:rsidRDefault="00C67E3A">
      <w:pPr>
        <w:spacing w:before="200" w:after="240"/>
        <w:jc w:val="center"/>
      </w:pPr>
      <w:r w:rsidRPr="00C67E3A">
        <w:drawing>
          <wp:inline distT="0" distB="0" distL="0" distR="0" wp14:anchorId="317FE83D" wp14:editId="1D69D8AD">
            <wp:extent cx="5943600" cy="3137535"/>
            <wp:effectExtent l="0" t="0" r="0" b="5715"/>
            <wp:docPr id="1501639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639489" name=""/>
                    <pic:cNvPicPr/>
                  </pic:nvPicPr>
                  <pic:blipFill>
                    <a:blip r:embed="rId13"/>
                    <a:stretch>
                      <a:fillRect/>
                    </a:stretch>
                  </pic:blipFill>
                  <pic:spPr>
                    <a:xfrm>
                      <a:off x="0" y="0"/>
                      <a:ext cx="5943600" cy="3137535"/>
                    </a:xfrm>
                    <a:prstGeom prst="rect">
                      <a:avLst/>
                    </a:prstGeom>
                  </pic:spPr>
                </pic:pic>
              </a:graphicData>
            </a:graphic>
          </wp:inline>
        </w:drawing>
      </w:r>
    </w:p>
    <w:p w14:paraId="0AB5C150" w14:textId="77777777" w:rsidR="009F4505" w:rsidRDefault="00065D9F">
      <w:pPr>
        <w:spacing w:before="200" w:after="240"/>
        <w:jc w:val="center"/>
      </w:pPr>
      <w:r>
        <w:rPr>
          <w:noProof/>
        </w:rPr>
        <w:drawing>
          <wp:inline distT="0" distB="0" distL="0" distR="0" wp14:anchorId="332CB998" wp14:editId="55D8D41C">
            <wp:extent cx="6217920" cy="3502152"/>
            <wp:effectExtent l="0" t="0" r="0" b="0"/>
            <wp:docPr id="2060149493" name="Picture 2060149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6217920" cy="3502152"/>
                    </a:xfrm>
                    <a:prstGeom prst="rect">
                      <a:avLst/>
                    </a:prstGeom>
                  </pic:spPr>
                </pic:pic>
              </a:graphicData>
            </a:graphic>
          </wp:inline>
        </w:drawing>
      </w:r>
    </w:p>
    <w:p w14:paraId="79C5C72B" w14:textId="77777777" w:rsidR="009F4505" w:rsidRDefault="00065D9F">
      <w:pPr>
        <w:spacing w:before="200" w:after="240"/>
        <w:jc w:val="center"/>
      </w:pPr>
      <w:r>
        <w:rPr>
          <w:noProof/>
        </w:rPr>
        <w:lastRenderedPageBreak/>
        <w:drawing>
          <wp:inline distT="0" distB="0" distL="0" distR="0" wp14:anchorId="7A4E127B" wp14:editId="2027F07F">
            <wp:extent cx="6217920" cy="3502152"/>
            <wp:effectExtent l="0" t="0" r="0" b="0"/>
            <wp:docPr id="1858792953" name="Picture 1858792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6217920" cy="3502152"/>
                    </a:xfrm>
                    <a:prstGeom prst="rect">
                      <a:avLst/>
                    </a:prstGeom>
                  </pic:spPr>
                </pic:pic>
              </a:graphicData>
            </a:graphic>
          </wp:inline>
        </w:drawing>
      </w:r>
    </w:p>
    <w:p w14:paraId="3376A3CC" w14:textId="77777777" w:rsidR="009F4505" w:rsidRDefault="00065D9F">
      <w:pPr>
        <w:spacing w:before="200" w:after="240"/>
        <w:jc w:val="center"/>
      </w:pPr>
      <w:r>
        <w:rPr>
          <w:noProof/>
        </w:rPr>
        <w:drawing>
          <wp:inline distT="0" distB="0" distL="0" distR="0" wp14:anchorId="3741FCB2" wp14:editId="79881A38">
            <wp:extent cx="6217920" cy="3502152"/>
            <wp:effectExtent l="0" t="0" r="0" b="0"/>
            <wp:docPr id="1139640984" name="Picture 1139640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217920" cy="3502152"/>
                    </a:xfrm>
                    <a:prstGeom prst="rect">
                      <a:avLst/>
                    </a:prstGeom>
                  </pic:spPr>
                </pic:pic>
              </a:graphicData>
            </a:graphic>
          </wp:inline>
        </w:drawing>
      </w:r>
    </w:p>
    <w:p w14:paraId="6976A797" w14:textId="77777777" w:rsidR="009F4505" w:rsidRDefault="00065D9F">
      <w:pPr>
        <w:spacing w:before="200" w:after="240"/>
        <w:jc w:val="center"/>
      </w:pPr>
      <w:r>
        <w:rPr>
          <w:noProof/>
        </w:rPr>
        <w:lastRenderedPageBreak/>
        <w:drawing>
          <wp:inline distT="0" distB="0" distL="0" distR="0" wp14:anchorId="7562C336" wp14:editId="68E7EBF8">
            <wp:extent cx="6217920" cy="3502152"/>
            <wp:effectExtent l="0" t="0" r="0" b="0"/>
            <wp:docPr id="225525865" name="Picture 225525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6217920" cy="3502152"/>
                    </a:xfrm>
                    <a:prstGeom prst="rect">
                      <a:avLst/>
                    </a:prstGeom>
                  </pic:spPr>
                </pic:pic>
              </a:graphicData>
            </a:graphic>
          </wp:inline>
        </w:drawing>
      </w:r>
    </w:p>
    <w:p w14:paraId="08084DEF" w14:textId="77777777" w:rsidR="009F4505" w:rsidRDefault="00065D9F">
      <w:pPr>
        <w:spacing w:before="200" w:after="240"/>
        <w:jc w:val="center"/>
      </w:pPr>
      <w:r>
        <w:rPr>
          <w:noProof/>
        </w:rPr>
        <w:drawing>
          <wp:inline distT="0" distB="0" distL="0" distR="0" wp14:anchorId="245484F4" wp14:editId="597D41C8">
            <wp:extent cx="6217920" cy="3502152"/>
            <wp:effectExtent l="0" t="0" r="0" b="0"/>
            <wp:docPr id="1323595793" name="Picture 1323595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6217920" cy="3502152"/>
                    </a:xfrm>
                    <a:prstGeom prst="rect">
                      <a:avLst/>
                    </a:prstGeom>
                  </pic:spPr>
                </pic:pic>
              </a:graphicData>
            </a:graphic>
          </wp:inline>
        </w:drawing>
      </w:r>
    </w:p>
    <w:p w14:paraId="41A289E3" w14:textId="77777777" w:rsidR="009F4505" w:rsidRDefault="00065D9F">
      <w:pPr>
        <w:spacing w:before="200" w:after="240"/>
        <w:jc w:val="center"/>
      </w:pPr>
      <w:r>
        <w:rPr>
          <w:noProof/>
        </w:rPr>
        <w:lastRenderedPageBreak/>
        <w:drawing>
          <wp:inline distT="0" distB="0" distL="0" distR="0" wp14:anchorId="355177E3" wp14:editId="11711E54">
            <wp:extent cx="6217920" cy="3502152"/>
            <wp:effectExtent l="0" t="0" r="0" b="0"/>
            <wp:docPr id="94574750" name="Picture 94574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6217920" cy="3502152"/>
                    </a:xfrm>
                    <a:prstGeom prst="rect">
                      <a:avLst/>
                    </a:prstGeom>
                  </pic:spPr>
                </pic:pic>
              </a:graphicData>
            </a:graphic>
          </wp:inline>
        </w:drawing>
      </w:r>
    </w:p>
    <w:p w14:paraId="1390AEEC" w14:textId="1D4EEE04" w:rsidR="009F4505" w:rsidRDefault="00C67E3A">
      <w:pPr>
        <w:spacing w:before="200" w:after="240"/>
        <w:jc w:val="center"/>
      </w:pPr>
      <w:r w:rsidRPr="00C67E3A">
        <w:drawing>
          <wp:inline distT="0" distB="0" distL="0" distR="0" wp14:anchorId="780DC985" wp14:editId="72C3D383">
            <wp:extent cx="5943600" cy="3321050"/>
            <wp:effectExtent l="0" t="0" r="0" b="0"/>
            <wp:docPr id="1390646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46201" name=""/>
                    <pic:cNvPicPr/>
                  </pic:nvPicPr>
                  <pic:blipFill>
                    <a:blip r:embed="rId20"/>
                    <a:stretch>
                      <a:fillRect/>
                    </a:stretch>
                  </pic:blipFill>
                  <pic:spPr>
                    <a:xfrm>
                      <a:off x="0" y="0"/>
                      <a:ext cx="5943600" cy="3321050"/>
                    </a:xfrm>
                    <a:prstGeom prst="rect">
                      <a:avLst/>
                    </a:prstGeom>
                  </pic:spPr>
                </pic:pic>
              </a:graphicData>
            </a:graphic>
          </wp:inline>
        </w:drawing>
      </w:r>
    </w:p>
    <w:p w14:paraId="309344F7" w14:textId="77777777" w:rsidR="009F4505" w:rsidRDefault="00065D9F">
      <w:pPr>
        <w:spacing w:before="200" w:after="240"/>
        <w:jc w:val="center"/>
      </w:pPr>
      <w:r>
        <w:rPr>
          <w:noProof/>
        </w:rPr>
        <w:lastRenderedPageBreak/>
        <w:drawing>
          <wp:inline distT="0" distB="0" distL="0" distR="0" wp14:anchorId="696AA7B5" wp14:editId="3BB0B71A">
            <wp:extent cx="6217920" cy="3502152"/>
            <wp:effectExtent l="0" t="0" r="0" b="0"/>
            <wp:docPr id="2067512234" name="Picture 2067512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6217920" cy="3502152"/>
                    </a:xfrm>
                    <a:prstGeom prst="rect">
                      <a:avLst/>
                    </a:prstGeom>
                  </pic:spPr>
                </pic:pic>
              </a:graphicData>
            </a:graphic>
          </wp:inline>
        </w:drawing>
      </w:r>
    </w:p>
    <w:p w14:paraId="1CC9782C" w14:textId="77777777" w:rsidR="009F4505" w:rsidRDefault="00065D9F">
      <w:pPr>
        <w:spacing w:before="200" w:after="240"/>
        <w:jc w:val="center"/>
      </w:pPr>
      <w:r>
        <w:rPr>
          <w:noProof/>
        </w:rPr>
        <w:drawing>
          <wp:inline distT="0" distB="0" distL="0" distR="0" wp14:anchorId="056D2CF3" wp14:editId="48622B36">
            <wp:extent cx="6217920" cy="3502152"/>
            <wp:effectExtent l="0" t="0" r="0" b="0"/>
            <wp:docPr id="921611844" name="Picture 921611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6217920" cy="3502152"/>
                    </a:xfrm>
                    <a:prstGeom prst="rect">
                      <a:avLst/>
                    </a:prstGeom>
                  </pic:spPr>
                </pic:pic>
              </a:graphicData>
            </a:graphic>
          </wp:inline>
        </w:drawing>
      </w:r>
    </w:p>
    <w:p w14:paraId="7813EB8D" w14:textId="7B5D055A" w:rsidR="009F4505" w:rsidRDefault="00C67E3A">
      <w:pPr>
        <w:spacing w:before="200" w:after="240"/>
        <w:jc w:val="center"/>
      </w:pPr>
      <w:r w:rsidRPr="00C67E3A">
        <w:lastRenderedPageBreak/>
        <w:drawing>
          <wp:inline distT="0" distB="0" distL="0" distR="0" wp14:anchorId="3AA33985" wp14:editId="060DBBC1">
            <wp:extent cx="5943600" cy="3348990"/>
            <wp:effectExtent l="0" t="0" r="0" b="3810"/>
            <wp:docPr id="94793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35267" name=""/>
                    <pic:cNvPicPr/>
                  </pic:nvPicPr>
                  <pic:blipFill>
                    <a:blip r:embed="rId23"/>
                    <a:stretch>
                      <a:fillRect/>
                    </a:stretch>
                  </pic:blipFill>
                  <pic:spPr>
                    <a:xfrm>
                      <a:off x="0" y="0"/>
                      <a:ext cx="5943600" cy="3348990"/>
                    </a:xfrm>
                    <a:prstGeom prst="rect">
                      <a:avLst/>
                    </a:prstGeom>
                  </pic:spPr>
                </pic:pic>
              </a:graphicData>
            </a:graphic>
          </wp:inline>
        </w:drawing>
      </w:r>
    </w:p>
    <w:sectPr w:rsidR="009F4505">
      <w:headerReference w:type="default" r:id="rId24"/>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5FF85" w14:textId="77777777" w:rsidR="006B003F" w:rsidRDefault="006B003F">
      <w:r>
        <w:separator/>
      </w:r>
    </w:p>
  </w:endnote>
  <w:endnote w:type="continuationSeparator" w:id="0">
    <w:p w14:paraId="523A0A88" w14:textId="77777777" w:rsidR="006B003F" w:rsidRDefault="006B0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966FE" w14:textId="77777777" w:rsidR="009F4505" w:rsidRDefault="00065D9F">
    <w:pPr>
      <w:jc w:val="center"/>
    </w:pPr>
    <w:r>
      <w:rPr>
        <w:color w:val="595959"/>
        <w:sz w:val="16"/>
        <w:szCs w:val="16"/>
      </w:rPr>
      <w:t xml:space="preserve">Page </w:t>
    </w:r>
    <w:r>
      <w:rPr>
        <w:color w:val="595959"/>
        <w:sz w:val="16"/>
        <w:szCs w:val="16"/>
      </w:rPr>
      <w:fldChar w:fldCharType="begin"/>
    </w:r>
    <w:r>
      <w:rPr>
        <w:color w:val="595959"/>
        <w:sz w:val="16"/>
        <w:szCs w:val="16"/>
      </w:rPr>
      <w:instrText>PAGE</w:instrText>
    </w:r>
    <w:r>
      <w:rPr>
        <w:color w:val="595959"/>
        <w:sz w:val="16"/>
        <w:szCs w:val="16"/>
      </w:rPr>
      <w:fldChar w:fldCharType="separate"/>
    </w:r>
    <w:r w:rsidR="00CA52D7">
      <w:rPr>
        <w:noProof/>
        <w:color w:val="595959"/>
        <w:sz w:val="16"/>
        <w:szCs w:val="16"/>
      </w:rPr>
      <w:t>2</w:t>
    </w:r>
    <w:r>
      <w:rPr>
        <w:color w:val="595959"/>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13A81" w14:textId="77777777" w:rsidR="006B003F" w:rsidRDefault="006B003F">
      <w:r>
        <w:separator/>
      </w:r>
    </w:p>
  </w:footnote>
  <w:footnote w:type="continuationSeparator" w:id="0">
    <w:p w14:paraId="3D365ED3" w14:textId="77777777" w:rsidR="006B003F" w:rsidRDefault="006B00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75BC7" w14:textId="0796BE42" w:rsidR="009F4505" w:rsidRPr="00CA52D7" w:rsidRDefault="009F4505">
    <w:pPr>
      <w:jc w:val="righ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F5440A"/>
    <w:multiLevelType w:val="hybridMultilevel"/>
    <w:tmpl w:val="E334CC96"/>
    <w:lvl w:ilvl="0" w:tplc="55E48A98">
      <w:start w:val="1"/>
      <w:numFmt w:val="bullet"/>
      <w:lvlText w:val="●"/>
      <w:lvlJc w:val="left"/>
      <w:pPr>
        <w:ind w:left="720" w:hanging="360"/>
      </w:pPr>
    </w:lvl>
    <w:lvl w:ilvl="1" w:tplc="85D854BC">
      <w:start w:val="1"/>
      <w:numFmt w:val="bullet"/>
      <w:lvlText w:val="○"/>
      <w:lvlJc w:val="left"/>
      <w:pPr>
        <w:ind w:left="1440" w:hanging="360"/>
      </w:pPr>
    </w:lvl>
    <w:lvl w:ilvl="2" w:tplc="166467BA">
      <w:start w:val="1"/>
      <w:numFmt w:val="bullet"/>
      <w:lvlText w:val="■"/>
      <w:lvlJc w:val="left"/>
      <w:pPr>
        <w:ind w:left="2160" w:hanging="360"/>
      </w:pPr>
    </w:lvl>
    <w:lvl w:ilvl="3" w:tplc="D37E2110">
      <w:start w:val="1"/>
      <w:numFmt w:val="bullet"/>
      <w:lvlText w:val="●"/>
      <w:lvlJc w:val="left"/>
      <w:pPr>
        <w:ind w:left="2880" w:hanging="360"/>
      </w:pPr>
    </w:lvl>
    <w:lvl w:ilvl="4" w:tplc="B5E24A58">
      <w:start w:val="1"/>
      <w:numFmt w:val="bullet"/>
      <w:lvlText w:val="○"/>
      <w:lvlJc w:val="left"/>
      <w:pPr>
        <w:ind w:left="3600" w:hanging="360"/>
      </w:pPr>
    </w:lvl>
    <w:lvl w:ilvl="5" w:tplc="93CA2C30">
      <w:start w:val="1"/>
      <w:numFmt w:val="bullet"/>
      <w:lvlText w:val="■"/>
      <w:lvlJc w:val="left"/>
      <w:pPr>
        <w:ind w:left="4320" w:hanging="360"/>
      </w:pPr>
    </w:lvl>
    <w:lvl w:ilvl="6" w:tplc="7F045894">
      <w:start w:val="1"/>
      <w:numFmt w:val="bullet"/>
      <w:lvlText w:val="●"/>
      <w:lvlJc w:val="left"/>
      <w:pPr>
        <w:ind w:left="5040" w:hanging="360"/>
      </w:pPr>
    </w:lvl>
    <w:lvl w:ilvl="7" w:tplc="81A062CE">
      <w:start w:val="1"/>
      <w:numFmt w:val="bullet"/>
      <w:lvlText w:val="●"/>
      <w:lvlJc w:val="left"/>
      <w:pPr>
        <w:ind w:left="5760" w:hanging="360"/>
      </w:pPr>
    </w:lvl>
    <w:lvl w:ilvl="8" w:tplc="0B2C0F14">
      <w:start w:val="1"/>
      <w:numFmt w:val="bullet"/>
      <w:lvlText w:val="●"/>
      <w:lvlJc w:val="left"/>
      <w:pPr>
        <w:ind w:left="6480" w:hanging="360"/>
      </w:pPr>
    </w:lvl>
  </w:abstractNum>
  <w:num w:numId="1" w16cid:durableId="5834935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505"/>
    <w:rsid w:val="00065D9F"/>
    <w:rsid w:val="000D5E47"/>
    <w:rsid w:val="000F1BD0"/>
    <w:rsid w:val="0018243B"/>
    <w:rsid w:val="001C7A53"/>
    <w:rsid w:val="002E5D26"/>
    <w:rsid w:val="002F6BA6"/>
    <w:rsid w:val="003D3C09"/>
    <w:rsid w:val="004D04E7"/>
    <w:rsid w:val="00582DF7"/>
    <w:rsid w:val="006B003F"/>
    <w:rsid w:val="00873C46"/>
    <w:rsid w:val="009B1974"/>
    <w:rsid w:val="009F4505"/>
    <w:rsid w:val="00A02B0D"/>
    <w:rsid w:val="00B66F52"/>
    <w:rsid w:val="00BB357F"/>
    <w:rsid w:val="00C67E3A"/>
    <w:rsid w:val="00CA52D7"/>
    <w:rsid w:val="00F017CB"/>
    <w:rsid w:val="00FA307B"/>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5F197"/>
  <w15:docId w15:val="{8FBFAED9-232B-4FF0-8BCA-BD9F2CAE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1A1A"/>
        <w:sz w:val="22"/>
        <w:szCs w:val="22"/>
        <w:lang w:val="pl-PL" w:eastAsia="pl-PL"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1E2761"/>
      </w:pBdr>
      <w:spacing w:before="320" w:after="160"/>
      <w:outlineLvl w:val="0"/>
    </w:pPr>
    <w:rPr>
      <w:b/>
      <w:bCs/>
      <w:color w:val="1E2761"/>
      <w:sz w:val="30"/>
      <w:szCs w:val="30"/>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CA52D7"/>
    <w:rPr>
      <w:rFonts w:asciiTheme="minorHAnsi" w:eastAsiaTheme="minorEastAsia" w:hAnsiTheme="minorHAnsi" w:cstheme="minorBidi"/>
      <w:color w:val="auto"/>
    </w:rPr>
  </w:style>
  <w:style w:type="character" w:customStyle="1" w:styleId="NoSpacingChar">
    <w:name w:val="No Spacing Char"/>
    <w:basedOn w:val="DefaultParagraphFont"/>
    <w:link w:val="NoSpacing"/>
    <w:uiPriority w:val="1"/>
    <w:rsid w:val="00CA52D7"/>
    <w:rPr>
      <w:rFonts w:asciiTheme="minorHAnsi" w:eastAsiaTheme="minorEastAsia" w:hAnsiTheme="minorHAnsi" w:cstheme="minorBidi"/>
      <w:color w:val="auto"/>
    </w:rPr>
  </w:style>
  <w:style w:type="paragraph" w:styleId="Header">
    <w:name w:val="header"/>
    <w:basedOn w:val="Normal"/>
    <w:link w:val="HeaderChar"/>
    <w:uiPriority w:val="99"/>
    <w:unhideWhenUsed/>
    <w:rsid w:val="00CA52D7"/>
    <w:pPr>
      <w:tabs>
        <w:tab w:val="center" w:pos="4513"/>
        <w:tab w:val="right" w:pos="9026"/>
      </w:tabs>
    </w:pPr>
  </w:style>
  <w:style w:type="character" w:customStyle="1" w:styleId="HeaderChar">
    <w:name w:val="Header Char"/>
    <w:basedOn w:val="DefaultParagraphFont"/>
    <w:link w:val="Header"/>
    <w:uiPriority w:val="99"/>
    <w:rsid w:val="00CA52D7"/>
  </w:style>
  <w:style w:type="paragraph" w:styleId="Footer">
    <w:name w:val="footer"/>
    <w:basedOn w:val="Normal"/>
    <w:link w:val="FooterChar"/>
    <w:uiPriority w:val="99"/>
    <w:unhideWhenUsed/>
    <w:rsid w:val="00CA52D7"/>
    <w:pPr>
      <w:tabs>
        <w:tab w:val="center" w:pos="4513"/>
        <w:tab w:val="right" w:pos="9026"/>
      </w:tabs>
    </w:pPr>
  </w:style>
  <w:style w:type="character" w:customStyle="1" w:styleId="FooterChar">
    <w:name w:val="Footer Char"/>
    <w:basedOn w:val="DefaultParagraphFont"/>
    <w:link w:val="Footer"/>
    <w:uiPriority w:val="99"/>
    <w:rsid w:val="00CA52D7"/>
  </w:style>
  <w:style w:type="paragraph" w:styleId="TOCHeading">
    <w:name w:val="TOC Heading"/>
    <w:basedOn w:val="Heading1"/>
    <w:next w:val="Normal"/>
    <w:uiPriority w:val="39"/>
    <w:unhideWhenUsed/>
    <w:qFormat/>
    <w:rsid w:val="00CA52D7"/>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A52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2d8194813240213e12a53fbaba0d95c">
  <xsd:schema xmlns:xsd="http://www.w3.org/2001/XMLSchema" xmlns:xs="http://www.w3.org/2001/XMLSchema" xmlns:p="http://schemas.microsoft.com/office/2006/metadata/properties" xmlns:ns3="b4f9f7ee-5770-4a14-8925-17f3d16e50b7" targetNamespace="http://schemas.microsoft.com/office/2006/metadata/properties" ma:root="true" ma:fieldsID="b637240720abc7fbfbd58f4875212d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8F90B3-4ADA-45FA-9A49-6AF45DEAEE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A0D020-4F14-4848-BD66-EFBC3BD4DFD1}">
  <ds:schemaRefs>
    <ds:schemaRef ds:uri="http://schemas.openxmlformats.org/officeDocument/2006/bibliography"/>
  </ds:schemaRefs>
</ds:datastoreItem>
</file>

<file path=customXml/itemProps3.xml><?xml version="1.0" encoding="utf-8"?>
<ds:datastoreItem xmlns:ds="http://schemas.openxmlformats.org/officeDocument/2006/customXml" ds:itemID="{16CC433D-6169-4683-9262-F1B78E1EA401}">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BB11AF9E-9F49-4A09-9D49-8D0E925F56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2392</Words>
  <Characters>14352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Nikodem Walkowiak (2508837)</cp:lastModifiedBy>
  <cp:revision>2</cp:revision>
  <dcterms:created xsi:type="dcterms:W3CDTF">2026-08-11T14:14:00Z</dcterms:created>
  <dcterms:modified xsi:type="dcterms:W3CDTF">2026-08-11T14:14:00Z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