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color w:val="5B9BD5" w:themeColor="accent1"/>
          <w:sz w:val="24"/>
          <w:szCs w:val="24"/>
          <w:lang w:val="en-GB"/>
        </w:rPr>
        <w:id w:val="-1522475554"/>
        <w:docPartObj>
          <w:docPartGallery w:val="Cover Pages"/>
          <w:docPartUnique/>
        </w:docPartObj>
      </w:sdtPr>
      <w:sdtEndPr>
        <w:rPr>
          <w:rFonts w:asciiTheme="minorHAnsi" w:hAnsiTheme="minorHAnsi" w:cstheme="minorBidi"/>
          <w:color w:val="auto"/>
          <w:sz w:val="22"/>
          <w:szCs w:val="22"/>
        </w:rPr>
      </w:sdtEndPr>
      <w:sdtContent>
        <w:p w14:paraId="5384490A" w14:textId="77777777" w:rsidR="007D1947" w:rsidRPr="001014AA" w:rsidRDefault="007D1947" w:rsidP="006672DD">
          <w:pPr>
            <w:pStyle w:val="NoSpacing"/>
            <w:spacing w:line="480" w:lineRule="auto"/>
            <w:ind w:left="720" w:hanging="720"/>
            <w:jc w:val="center"/>
            <w:rPr>
              <w:rFonts w:ascii="Times New Roman" w:hAnsi="Times New Roman" w:cs="Times New Roman"/>
              <w:color w:val="5B9BD5" w:themeColor="accent1"/>
              <w:sz w:val="24"/>
              <w:szCs w:val="24"/>
            </w:rPr>
          </w:pPr>
          <w:r w:rsidRPr="001014AA">
            <w:rPr>
              <w:rFonts w:ascii="Times New Roman" w:hAnsi="Times New Roman" w:cs="Times New Roman"/>
              <w:noProof/>
              <w:color w:val="5B9BD5" w:themeColor="accent1"/>
              <w:sz w:val="24"/>
              <w:szCs w:val="24"/>
              <w:lang w:val="en-GB" w:eastAsia="en-GB"/>
            </w:rPr>
            <w:drawing>
              <wp:inline distT="0" distB="0" distL="0" distR="0" wp14:anchorId="47A2EE95" wp14:editId="403B687D">
                <wp:extent cx="1892951" cy="1002888"/>
                <wp:effectExtent l="0" t="0" r="0" b="698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908904" cy="1011340"/>
                        </a:xfrm>
                        <a:prstGeom prst="rect">
                          <a:avLst/>
                        </a:prstGeom>
                        <a:noFill/>
                        <a:ln>
                          <a:noFill/>
                        </a:ln>
                      </pic:spPr>
                    </pic:pic>
                  </a:graphicData>
                </a:graphic>
              </wp:inline>
            </w:drawing>
          </w:r>
        </w:p>
        <w:p w14:paraId="14F2F2DB" w14:textId="6BCD5420" w:rsidR="007D1947" w:rsidRPr="008364BD" w:rsidRDefault="00AB49E7" w:rsidP="00687044">
          <w:pPr>
            <w:pStyle w:val="NoSpacing"/>
            <w:pBdr>
              <w:top w:val="single" w:sz="6" w:space="6" w:color="5B9BD5" w:themeColor="accent1"/>
              <w:bottom w:val="single" w:sz="6" w:space="0" w:color="5B9BD5" w:themeColor="accent1"/>
            </w:pBdr>
            <w:spacing w:line="480" w:lineRule="auto"/>
            <w:ind w:left="720" w:hanging="720"/>
            <w:jc w:val="center"/>
            <w:rPr>
              <w:rFonts w:asciiTheme="majorHAnsi" w:eastAsiaTheme="majorEastAsia" w:hAnsiTheme="majorHAnsi" w:cstheme="majorHAnsi"/>
              <w:caps/>
              <w:color w:val="5B9BD5" w:themeColor="accent1"/>
              <w:sz w:val="44"/>
              <w:szCs w:val="44"/>
            </w:rPr>
          </w:pPr>
          <w:r w:rsidRPr="008364BD">
            <w:rPr>
              <w:rFonts w:asciiTheme="majorHAnsi" w:eastAsiaTheme="majorEastAsia" w:hAnsiTheme="majorHAnsi" w:cstheme="majorHAnsi"/>
              <w:caps/>
              <w:color w:val="5B9BD5" w:themeColor="accent1"/>
              <w:sz w:val="44"/>
              <w:szCs w:val="44"/>
            </w:rPr>
            <w:t>Finance for BUSINESS MANAGERS</w:t>
          </w:r>
        </w:p>
        <w:p w14:paraId="62FA7133" w14:textId="61F0D4A1" w:rsidR="008364BD" w:rsidRPr="008364BD" w:rsidRDefault="008364BD" w:rsidP="00687044">
          <w:pPr>
            <w:pStyle w:val="NoSpacing"/>
            <w:pBdr>
              <w:top w:val="single" w:sz="6" w:space="6" w:color="5B9BD5" w:themeColor="accent1"/>
              <w:bottom w:val="single" w:sz="6" w:space="0" w:color="5B9BD5" w:themeColor="accent1"/>
            </w:pBdr>
            <w:spacing w:line="480" w:lineRule="auto"/>
            <w:ind w:left="720" w:hanging="720"/>
            <w:jc w:val="center"/>
            <w:rPr>
              <w:rFonts w:asciiTheme="majorHAnsi" w:eastAsiaTheme="majorEastAsia" w:hAnsiTheme="majorHAnsi" w:cstheme="majorHAnsi"/>
              <w:caps/>
              <w:color w:val="5B9BD5" w:themeColor="accent1"/>
              <w:sz w:val="44"/>
              <w:szCs w:val="44"/>
            </w:rPr>
          </w:pPr>
          <w:r w:rsidRPr="008364BD">
            <w:rPr>
              <w:rFonts w:asciiTheme="majorHAnsi" w:eastAsiaTheme="majorEastAsia" w:hAnsiTheme="majorHAnsi" w:cstheme="majorHAnsi"/>
              <w:caps/>
              <w:color w:val="5B9BD5" w:themeColor="accent1"/>
              <w:sz w:val="44"/>
              <w:szCs w:val="44"/>
            </w:rPr>
            <w:t>(BMMB7005)</w:t>
          </w:r>
        </w:p>
        <w:p w14:paraId="475B7674" w14:textId="52CBCE6D" w:rsidR="007D1947" w:rsidRPr="008364BD" w:rsidRDefault="00E1091D" w:rsidP="006672DD">
          <w:pPr>
            <w:pStyle w:val="NoSpacing"/>
            <w:spacing w:line="480" w:lineRule="auto"/>
            <w:ind w:left="720" w:hanging="720"/>
            <w:jc w:val="center"/>
            <w:rPr>
              <w:rFonts w:asciiTheme="majorHAnsi" w:hAnsiTheme="majorHAnsi" w:cstheme="majorHAnsi"/>
              <w:color w:val="5B9BD5" w:themeColor="accent1"/>
              <w:sz w:val="32"/>
              <w:szCs w:val="32"/>
            </w:rPr>
          </w:pPr>
          <w:r w:rsidRPr="008364BD">
            <w:rPr>
              <w:rFonts w:asciiTheme="majorHAnsi" w:hAnsiTheme="majorHAnsi" w:cstheme="majorHAnsi"/>
              <w:color w:val="5B9BD5" w:themeColor="accent1"/>
              <w:sz w:val="32"/>
              <w:szCs w:val="32"/>
            </w:rPr>
            <w:t xml:space="preserve">Financial Analysis </w:t>
          </w:r>
          <w:r w:rsidR="008364BD" w:rsidRPr="008364BD">
            <w:rPr>
              <w:rFonts w:asciiTheme="majorHAnsi" w:hAnsiTheme="majorHAnsi" w:cstheme="majorHAnsi"/>
              <w:color w:val="5B9BD5" w:themeColor="accent1"/>
              <w:sz w:val="32"/>
              <w:szCs w:val="32"/>
            </w:rPr>
            <w:t>o</w:t>
          </w:r>
          <w:r w:rsidRPr="008364BD">
            <w:rPr>
              <w:rFonts w:asciiTheme="majorHAnsi" w:hAnsiTheme="majorHAnsi" w:cstheme="majorHAnsi"/>
              <w:color w:val="5B9BD5" w:themeColor="accent1"/>
              <w:sz w:val="32"/>
              <w:szCs w:val="32"/>
            </w:rPr>
            <w:t>f Unilever Plc and Westward Plc</w:t>
          </w:r>
        </w:p>
        <w:p w14:paraId="1ADC1124" w14:textId="62E36758" w:rsidR="007D1947" w:rsidRPr="001014AA" w:rsidRDefault="00687044" w:rsidP="006672DD">
          <w:pPr>
            <w:pStyle w:val="NoSpacing"/>
            <w:spacing w:line="480" w:lineRule="auto"/>
            <w:ind w:left="720" w:hanging="720"/>
            <w:jc w:val="center"/>
            <w:rPr>
              <w:rFonts w:ascii="Times New Roman" w:hAnsi="Times New Roman" w:cs="Times New Roman"/>
              <w:color w:val="5B9BD5" w:themeColor="accent1"/>
              <w:sz w:val="24"/>
              <w:szCs w:val="24"/>
            </w:rPr>
          </w:pPr>
          <w:r w:rsidRPr="001014AA">
            <w:rPr>
              <w:rFonts w:ascii="Times New Roman" w:hAnsi="Times New Roman" w:cs="Times New Roman"/>
              <w:noProof/>
              <w:color w:val="5B9BD5" w:themeColor="accent1"/>
              <w:sz w:val="24"/>
              <w:szCs w:val="24"/>
              <w:lang w:val="en-GB" w:eastAsia="en-GB"/>
            </w:rPr>
            <w:drawing>
              <wp:inline distT="0" distB="0" distL="0" distR="0" wp14:anchorId="49009853" wp14:editId="36E07D92">
                <wp:extent cx="1176502" cy="857250"/>
                <wp:effectExtent l="0" t="0" r="508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199080" cy="873701"/>
                        </a:xfrm>
                        <a:prstGeom prst="rect">
                          <a:avLst/>
                        </a:prstGeom>
                      </pic:spPr>
                    </pic:pic>
                  </a:graphicData>
                </a:graphic>
              </wp:inline>
            </w:drawing>
          </w:r>
          <w:r w:rsidR="007D1947" w:rsidRPr="001014AA">
            <w:rPr>
              <w:rFonts w:ascii="Times New Roman" w:hAnsi="Times New Roman" w:cs="Times New Roman"/>
              <w:noProof/>
              <w:color w:val="5B9BD5" w:themeColor="accent1"/>
              <w:sz w:val="24"/>
              <w:szCs w:val="24"/>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BAF8D9" w14:textId="1D3ED6B8" w:rsidR="007D1947" w:rsidRDefault="00687044">
                                <w:pPr>
                                  <w:pStyle w:val="NoSpacing"/>
                                  <w:spacing w:after="40"/>
                                  <w:jc w:val="center"/>
                                  <w:rPr>
                                    <w:caps/>
                                    <w:color w:val="5B9BD5" w:themeColor="accent1"/>
                                    <w:sz w:val="28"/>
                                    <w:szCs w:val="28"/>
                                  </w:rPr>
                                </w:pPr>
                                <w:r>
                                  <w:rPr>
                                    <w:caps/>
                                    <w:color w:val="5B9BD5" w:themeColor="accent1"/>
                                    <w:sz w:val="28"/>
                                    <w:szCs w:val="28"/>
                                  </w:rPr>
                                  <w:t>[12-01-2026]</w:t>
                                </w:r>
                              </w:p>
                              <w:p w14:paraId="69E98CB3" w14:textId="7C6D84D8" w:rsidR="007D1947" w:rsidRPr="00687044" w:rsidRDefault="004A11F6">
                                <w:pPr>
                                  <w:pStyle w:val="NoSpacing"/>
                                  <w:jc w:val="center"/>
                                  <w:rPr>
                                    <w:color w:val="5B9BD5" w:themeColor="accent1"/>
                                    <w:sz w:val="24"/>
                                    <w:szCs w:val="24"/>
                                  </w:rPr>
                                </w:pPr>
                                <w:r w:rsidRPr="00687044">
                                  <w:rPr>
                                    <w:caps/>
                                    <w:color w:val="5B9BD5" w:themeColor="accent1"/>
                                    <w:sz w:val="24"/>
                                    <w:szCs w:val="24"/>
                                    <w:lang w:val="en-GB"/>
                                  </w:rPr>
                                  <w:t>University of Wales Trinity Saint David</w:t>
                                </w:r>
                              </w:p>
                              <w:p w14:paraId="3FC79022" w14:textId="3F87BC56" w:rsidR="007D1947" w:rsidRPr="00687044" w:rsidRDefault="007D1947">
                                <w:pPr>
                                  <w:pStyle w:val="NoSpacing"/>
                                  <w:jc w:val="center"/>
                                  <w:rPr>
                                    <w:color w:val="5B9BD5" w:themeColor="accent1"/>
                                    <w:sz w:val="24"/>
                                    <w:szCs w:val="24"/>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p w14:paraId="52BAF8D9" w14:textId="1D3ED6B8" w:rsidR="007D1947" w:rsidRDefault="00687044">
                          <w:pPr>
                            <w:pStyle w:val="NoSpacing"/>
                            <w:spacing w:after="40"/>
                            <w:jc w:val="center"/>
                            <w:rPr>
                              <w:caps/>
                              <w:color w:val="5B9BD5" w:themeColor="accent1"/>
                              <w:sz w:val="28"/>
                              <w:szCs w:val="28"/>
                            </w:rPr>
                          </w:pPr>
                          <w:r>
                            <w:rPr>
                              <w:caps/>
                              <w:color w:val="5B9BD5" w:themeColor="accent1"/>
                              <w:sz w:val="28"/>
                              <w:szCs w:val="28"/>
                            </w:rPr>
                            <w:t>[12-01-2026]</w:t>
                          </w:r>
                        </w:p>
                        <w:p w14:paraId="69E98CB3" w14:textId="7C6D84D8" w:rsidR="007D1947" w:rsidRPr="00687044" w:rsidRDefault="004A11F6">
                          <w:pPr>
                            <w:pStyle w:val="NoSpacing"/>
                            <w:jc w:val="center"/>
                            <w:rPr>
                              <w:color w:val="5B9BD5" w:themeColor="accent1"/>
                              <w:sz w:val="24"/>
                              <w:szCs w:val="24"/>
                            </w:rPr>
                          </w:pPr>
                          <w:r w:rsidRPr="00687044">
                            <w:rPr>
                              <w:caps/>
                              <w:color w:val="5B9BD5" w:themeColor="accent1"/>
                              <w:sz w:val="24"/>
                              <w:szCs w:val="24"/>
                              <w:lang w:val="en-GB"/>
                            </w:rPr>
                            <w:t>University of Wales Trinity Saint David</w:t>
                          </w:r>
                        </w:p>
                        <w:p w14:paraId="3FC79022" w14:textId="3F87BC56" w:rsidR="007D1947" w:rsidRPr="00687044" w:rsidRDefault="007D1947">
                          <w:pPr>
                            <w:pStyle w:val="NoSpacing"/>
                            <w:jc w:val="center"/>
                            <w:rPr>
                              <w:color w:val="5B9BD5" w:themeColor="accent1"/>
                              <w:sz w:val="24"/>
                              <w:szCs w:val="24"/>
                            </w:rPr>
                          </w:pPr>
                        </w:p>
                      </w:txbxContent>
                    </v:textbox>
                    <w10:wrap anchorx="margin" anchory="page"/>
                  </v:shape>
                </w:pict>
              </mc:Fallback>
            </mc:AlternateContent>
          </w:r>
        </w:p>
        <w:p w14:paraId="078A531F" w14:textId="3C544FF5" w:rsidR="007D1947" w:rsidRPr="001014AA" w:rsidRDefault="007D1947" w:rsidP="001014AA">
          <w:pPr>
            <w:pStyle w:val="Heading1"/>
            <w:spacing w:before="0" w:line="480" w:lineRule="auto"/>
            <w:ind w:left="720" w:hanging="720"/>
            <w:rPr>
              <w:rFonts w:ascii="Times New Roman" w:hAnsi="Times New Roman" w:cs="Times New Roman"/>
              <w:b/>
              <w:bCs/>
              <w:sz w:val="24"/>
              <w:szCs w:val="24"/>
            </w:rPr>
          </w:pPr>
          <w:r w:rsidRPr="001014AA">
            <w:rPr>
              <w:rFonts w:ascii="Times New Roman" w:hAnsi="Times New Roman" w:cs="Times New Roman"/>
              <w:sz w:val="24"/>
              <w:szCs w:val="24"/>
            </w:rPr>
            <w:br w:type="page"/>
          </w:r>
          <w:bookmarkStart w:id="0" w:name="_Toc218616245"/>
          <w:r w:rsidRPr="001014AA">
            <w:rPr>
              <w:rFonts w:ascii="Times New Roman" w:hAnsi="Times New Roman" w:cs="Times New Roman"/>
              <w:b/>
              <w:bCs/>
              <w:color w:val="auto"/>
              <w:sz w:val="24"/>
              <w:szCs w:val="24"/>
            </w:rPr>
            <w:lastRenderedPageBreak/>
            <w:t>Executive Summary</w:t>
          </w:r>
          <w:bookmarkEnd w:id="0"/>
        </w:p>
        <w:p w14:paraId="4528BB44" w14:textId="0EC0A93A" w:rsidR="00495D24" w:rsidRPr="001014AA" w:rsidRDefault="00495D24" w:rsidP="008617B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 xml:space="preserve">In this report, </w:t>
          </w:r>
          <w:r w:rsidR="004F0DF6" w:rsidRPr="001014AA">
            <w:rPr>
              <w:rFonts w:ascii="Times New Roman" w:hAnsi="Times New Roman" w:cs="Times New Roman"/>
              <w:sz w:val="24"/>
              <w:szCs w:val="24"/>
            </w:rPr>
            <w:t>a</w:t>
          </w:r>
          <w:r w:rsidRPr="001014AA">
            <w:rPr>
              <w:rFonts w:ascii="Times New Roman" w:hAnsi="Times New Roman" w:cs="Times New Roman"/>
              <w:sz w:val="24"/>
              <w:szCs w:val="24"/>
            </w:rPr>
            <w:t xml:space="preserve"> comparative financial analysis has been conducted on Unilever Plc and Westward Plc using ratio analysis and investment appraisal methods to </w:t>
          </w:r>
          <w:r w:rsidR="004F0DF6" w:rsidRPr="001014AA">
            <w:rPr>
              <w:rFonts w:ascii="Times New Roman" w:hAnsi="Times New Roman" w:cs="Times New Roman"/>
              <w:sz w:val="24"/>
              <w:szCs w:val="24"/>
            </w:rPr>
            <w:t>analyse</w:t>
          </w:r>
          <w:r w:rsidRPr="001014AA">
            <w:rPr>
              <w:rFonts w:ascii="Times New Roman" w:hAnsi="Times New Roman" w:cs="Times New Roman"/>
              <w:sz w:val="24"/>
              <w:szCs w:val="24"/>
            </w:rPr>
            <w:t xml:space="preserve"> performance and strategies. In the case of Unilever, it can be seen that in the 2023 2024 financial statements, the turnover is projected to increase only slightly, whereas the operating profit and net profit attributable to shareholders are projected to fall. Ratio analysis indicates a shrinking operating margin and ROCE, liquid and steady, moderate deleveraging, and deteriorating efficiency, whereas investor ratios demonstrate the lower earnings per share with the same dividend yield. Such outcomes represent portfolio selloffs, cost discipline and external influences like emerging market resilience and currency translation effects. The workings of ratio assessment limitations as an obstacle to the perceptions of qualitative </w:t>
          </w:r>
          <w:r w:rsidR="004F0DF6" w:rsidRPr="001014AA">
            <w:rPr>
              <w:rFonts w:ascii="Times New Roman" w:hAnsi="Times New Roman" w:cs="Times New Roman"/>
              <w:sz w:val="24"/>
              <w:szCs w:val="24"/>
            </w:rPr>
            <w:t>trade-offs</w:t>
          </w:r>
          <w:r w:rsidRPr="001014AA">
            <w:rPr>
              <w:rFonts w:ascii="Times New Roman" w:hAnsi="Times New Roman" w:cs="Times New Roman"/>
              <w:sz w:val="24"/>
              <w:szCs w:val="24"/>
            </w:rPr>
            <w:t xml:space="preserve"> and </w:t>
          </w:r>
          <w:r w:rsidR="004F0DF6" w:rsidRPr="001014AA">
            <w:rPr>
              <w:rFonts w:ascii="Times New Roman" w:hAnsi="Times New Roman" w:cs="Times New Roman"/>
              <w:sz w:val="24"/>
              <w:szCs w:val="24"/>
            </w:rPr>
            <w:t>long-term</w:t>
          </w:r>
          <w:r w:rsidRPr="001014AA">
            <w:rPr>
              <w:rFonts w:ascii="Times New Roman" w:hAnsi="Times New Roman" w:cs="Times New Roman"/>
              <w:sz w:val="24"/>
              <w:szCs w:val="24"/>
            </w:rPr>
            <w:t xml:space="preserve"> sustainability are also highlighted in the analysis.</w:t>
          </w:r>
        </w:p>
        <w:p w14:paraId="46A4F7E5" w14:textId="1A7BEA1A" w:rsidR="00495D24" w:rsidRPr="001014AA" w:rsidRDefault="00495D24" w:rsidP="008617B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 xml:space="preserve">In the case of Westward Plc, Net Present Value (NPV) and Internal </w:t>
          </w:r>
          <w:r w:rsidR="004F0DF6" w:rsidRPr="001014AA">
            <w:rPr>
              <w:rFonts w:ascii="Times New Roman" w:hAnsi="Times New Roman" w:cs="Times New Roman"/>
              <w:sz w:val="24"/>
              <w:szCs w:val="24"/>
            </w:rPr>
            <w:t>Rate</w:t>
          </w:r>
          <w:r w:rsidRPr="001014AA">
            <w:rPr>
              <w:rFonts w:ascii="Times New Roman" w:hAnsi="Times New Roman" w:cs="Times New Roman"/>
              <w:sz w:val="24"/>
              <w:szCs w:val="24"/>
            </w:rPr>
            <w:t xml:space="preserve"> of Return (IRR) were used to evaluate three strategic investment options. The findings established Internet Sales Development (Option B) as the most viable financially, with the highest NPV, and IRR of 32.2, which is way above the cost of capital of the company. Capital rationing analysis proved that the maximisation of shareholder value during budget constraints is provided by prioritisation of the project which has the greatest profitability index. On the whole, the report proves that the sound financial analysis, with the help of strategic judgement, helps the directors to reconcile </w:t>
          </w:r>
          <w:r w:rsidR="004F0DF6" w:rsidRPr="001014AA">
            <w:rPr>
              <w:rFonts w:ascii="Times New Roman" w:hAnsi="Times New Roman" w:cs="Times New Roman"/>
              <w:sz w:val="24"/>
              <w:szCs w:val="24"/>
            </w:rPr>
            <w:t>short-term</w:t>
          </w:r>
          <w:r w:rsidRPr="001014AA">
            <w:rPr>
              <w:rFonts w:ascii="Times New Roman" w:hAnsi="Times New Roman" w:cs="Times New Roman"/>
              <w:sz w:val="24"/>
              <w:szCs w:val="24"/>
            </w:rPr>
            <w:t xml:space="preserve"> performance and </w:t>
          </w:r>
          <w:r w:rsidR="004F0DF6" w:rsidRPr="001014AA">
            <w:rPr>
              <w:rFonts w:ascii="Times New Roman" w:hAnsi="Times New Roman" w:cs="Times New Roman"/>
              <w:sz w:val="24"/>
              <w:szCs w:val="24"/>
            </w:rPr>
            <w:t>long-term</w:t>
          </w:r>
          <w:r w:rsidRPr="001014AA">
            <w:rPr>
              <w:rFonts w:ascii="Times New Roman" w:hAnsi="Times New Roman" w:cs="Times New Roman"/>
              <w:sz w:val="24"/>
              <w:szCs w:val="24"/>
            </w:rPr>
            <w:t xml:space="preserve"> value creation.</w:t>
          </w:r>
        </w:p>
        <w:p w14:paraId="62AB7F7D" w14:textId="77777777" w:rsidR="007D1947" w:rsidRPr="001014AA" w:rsidRDefault="007D1947" w:rsidP="001014AA">
          <w:pPr>
            <w:spacing w:after="0" w:line="480" w:lineRule="auto"/>
            <w:ind w:left="720" w:hanging="720"/>
            <w:rPr>
              <w:rFonts w:ascii="Times New Roman" w:hAnsi="Times New Roman" w:cs="Times New Roman"/>
              <w:sz w:val="24"/>
              <w:szCs w:val="24"/>
            </w:rPr>
          </w:pPr>
        </w:p>
        <w:p w14:paraId="6AD6DEAB" w14:textId="3040AAC1" w:rsidR="008617BD" w:rsidRDefault="008617BD" w:rsidP="001014AA">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br w:type="page"/>
          </w:r>
        </w:p>
        <w:p w14:paraId="3BE370E0" w14:textId="77777777" w:rsidR="00495D24" w:rsidRPr="001014AA" w:rsidRDefault="00495D24" w:rsidP="001014AA">
          <w:pPr>
            <w:spacing w:after="0" w:line="480" w:lineRule="auto"/>
            <w:ind w:left="720" w:hanging="720"/>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297214018"/>
            <w:docPartObj>
              <w:docPartGallery w:val="Table of Contents"/>
              <w:docPartUnique/>
            </w:docPartObj>
          </w:sdtPr>
          <w:sdtEndPr>
            <w:rPr>
              <w:b/>
              <w:bCs/>
              <w:noProof/>
            </w:rPr>
          </w:sdtEndPr>
          <w:sdtContent>
            <w:p w14:paraId="1DFECD67" w14:textId="77777777" w:rsidR="007D1947" w:rsidRPr="001426AB" w:rsidRDefault="007D1947" w:rsidP="00AB49E7">
              <w:pPr>
                <w:pStyle w:val="TOCHeading"/>
                <w:spacing w:before="0" w:line="480" w:lineRule="auto"/>
                <w:ind w:left="720" w:hanging="720"/>
                <w:jc w:val="center"/>
                <w:rPr>
                  <w:rFonts w:ascii="Times New Roman" w:hAnsi="Times New Roman" w:cs="Times New Roman"/>
                  <w:b/>
                  <w:bCs/>
                  <w:color w:val="auto"/>
                  <w:sz w:val="24"/>
                  <w:szCs w:val="24"/>
                </w:rPr>
              </w:pPr>
              <w:r w:rsidRPr="001426AB">
                <w:rPr>
                  <w:rFonts w:ascii="Times New Roman" w:hAnsi="Times New Roman" w:cs="Times New Roman"/>
                  <w:b/>
                  <w:bCs/>
                  <w:color w:val="auto"/>
                  <w:sz w:val="24"/>
                  <w:szCs w:val="24"/>
                </w:rPr>
                <w:t>Table of Contents</w:t>
              </w:r>
            </w:p>
            <w:p w14:paraId="4F4938EB" w14:textId="79D763B0" w:rsidR="00AB49E7" w:rsidRDefault="007D1947">
              <w:pPr>
                <w:pStyle w:val="TOC1"/>
                <w:tabs>
                  <w:tab w:val="right" w:leader="dot" w:pos="9016"/>
                </w:tabs>
                <w:rPr>
                  <w:rFonts w:eastAsiaTheme="minorEastAsia"/>
                  <w:noProof/>
                  <w:kern w:val="2"/>
                  <w:sz w:val="24"/>
                  <w:szCs w:val="24"/>
                  <w14:ligatures w14:val="standardContextual"/>
                </w:rPr>
              </w:pPr>
              <w:r w:rsidRPr="001014AA">
                <w:rPr>
                  <w:rFonts w:ascii="Times New Roman" w:hAnsi="Times New Roman" w:cs="Times New Roman"/>
                  <w:sz w:val="24"/>
                  <w:szCs w:val="24"/>
                </w:rPr>
                <w:fldChar w:fldCharType="begin"/>
              </w:r>
              <w:r w:rsidRPr="001014AA">
                <w:rPr>
                  <w:rFonts w:ascii="Times New Roman" w:hAnsi="Times New Roman" w:cs="Times New Roman"/>
                  <w:sz w:val="24"/>
                  <w:szCs w:val="24"/>
                </w:rPr>
                <w:instrText xml:space="preserve"> TOC \o "1-3" \h \z \u </w:instrText>
              </w:r>
              <w:r w:rsidRPr="001014AA">
                <w:rPr>
                  <w:rFonts w:ascii="Times New Roman" w:hAnsi="Times New Roman" w:cs="Times New Roman"/>
                  <w:sz w:val="24"/>
                  <w:szCs w:val="24"/>
                </w:rPr>
                <w:fldChar w:fldCharType="separate"/>
              </w:r>
              <w:hyperlink w:anchor="_Toc218616245" w:history="1">
                <w:r w:rsidR="00AB49E7" w:rsidRPr="00C53112">
                  <w:rPr>
                    <w:rStyle w:val="Hyperlink"/>
                    <w:rFonts w:ascii="Times New Roman" w:hAnsi="Times New Roman" w:cs="Times New Roman"/>
                    <w:b/>
                    <w:bCs/>
                    <w:noProof/>
                  </w:rPr>
                  <w:t>Executive Summary</w:t>
                </w:r>
                <w:r w:rsidR="00AB49E7">
                  <w:rPr>
                    <w:noProof/>
                    <w:webHidden/>
                  </w:rPr>
                  <w:tab/>
                </w:r>
                <w:r w:rsidR="00AB49E7">
                  <w:rPr>
                    <w:noProof/>
                    <w:webHidden/>
                  </w:rPr>
                  <w:fldChar w:fldCharType="begin"/>
                </w:r>
                <w:r w:rsidR="00AB49E7">
                  <w:rPr>
                    <w:noProof/>
                    <w:webHidden/>
                  </w:rPr>
                  <w:instrText xml:space="preserve"> PAGEREF _Toc218616245 \h </w:instrText>
                </w:r>
                <w:r w:rsidR="00AB49E7">
                  <w:rPr>
                    <w:noProof/>
                    <w:webHidden/>
                  </w:rPr>
                </w:r>
                <w:r w:rsidR="00AB49E7">
                  <w:rPr>
                    <w:noProof/>
                    <w:webHidden/>
                  </w:rPr>
                  <w:fldChar w:fldCharType="separate"/>
                </w:r>
                <w:r w:rsidR="00AB49E7">
                  <w:rPr>
                    <w:noProof/>
                    <w:webHidden/>
                  </w:rPr>
                  <w:t>1</w:t>
                </w:r>
                <w:r w:rsidR="00AB49E7">
                  <w:rPr>
                    <w:noProof/>
                    <w:webHidden/>
                  </w:rPr>
                  <w:fldChar w:fldCharType="end"/>
                </w:r>
              </w:hyperlink>
            </w:p>
            <w:p w14:paraId="47195F52" w14:textId="5BB15360" w:rsidR="00AB49E7" w:rsidRDefault="00AB49E7">
              <w:pPr>
                <w:pStyle w:val="TOC1"/>
                <w:tabs>
                  <w:tab w:val="right" w:leader="dot" w:pos="9016"/>
                </w:tabs>
                <w:rPr>
                  <w:rFonts w:eastAsiaTheme="minorEastAsia"/>
                  <w:noProof/>
                  <w:kern w:val="2"/>
                  <w:sz w:val="24"/>
                  <w:szCs w:val="24"/>
                  <w14:ligatures w14:val="standardContextual"/>
                </w:rPr>
              </w:pPr>
              <w:hyperlink w:anchor="_Toc218616246" w:history="1">
                <w:r w:rsidRPr="00C53112">
                  <w:rPr>
                    <w:rStyle w:val="Hyperlink"/>
                    <w:rFonts w:ascii="Times New Roman" w:hAnsi="Times New Roman" w:cs="Times New Roman"/>
                    <w:b/>
                    <w:bCs/>
                    <w:noProof/>
                  </w:rPr>
                  <w:t>1.0 Introduction</w:t>
                </w:r>
                <w:r>
                  <w:rPr>
                    <w:noProof/>
                    <w:webHidden/>
                  </w:rPr>
                  <w:tab/>
                </w:r>
                <w:r>
                  <w:rPr>
                    <w:noProof/>
                    <w:webHidden/>
                  </w:rPr>
                  <w:fldChar w:fldCharType="begin"/>
                </w:r>
                <w:r>
                  <w:rPr>
                    <w:noProof/>
                    <w:webHidden/>
                  </w:rPr>
                  <w:instrText xml:space="preserve"> PAGEREF _Toc218616246 \h </w:instrText>
                </w:r>
                <w:r>
                  <w:rPr>
                    <w:noProof/>
                    <w:webHidden/>
                  </w:rPr>
                </w:r>
                <w:r>
                  <w:rPr>
                    <w:noProof/>
                    <w:webHidden/>
                  </w:rPr>
                  <w:fldChar w:fldCharType="separate"/>
                </w:r>
                <w:r>
                  <w:rPr>
                    <w:noProof/>
                    <w:webHidden/>
                  </w:rPr>
                  <w:t>3</w:t>
                </w:r>
                <w:r>
                  <w:rPr>
                    <w:noProof/>
                    <w:webHidden/>
                  </w:rPr>
                  <w:fldChar w:fldCharType="end"/>
                </w:r>
              </w:hyperlink>
            </w:p>
            <w:p w14:paraId="336A9F5C" w14:textId="5719B6C2" w:rsidR="00AB49E7" w:rsidRDefault="00AB49E7">
              <w:pPr>
                <w:pStyle w:val="TOC1"/>
                <w:tabs>
                  <w:tab w:val="right" w:leader="dot" w:pos="9016"/>
                </w:tabs>
                <w:rPr>
                  <w:rFonts w:eastAsiaTheme="minorEastAsia"/>
                  <w:noProof/>
                  <w:kern w:val="2"/>
                  <w:sz w:val="24"/>
                  <w:szCs w:val="24"/>
                  <w14:ligatures w14:val="standardContextual"/>
                </w:rPr>
              </w:pPr>
              <w:hyperlink w:anchor="_Toc218616247" w:history="1">
                <w:r w:rsidRPr="00C53112">
                  <w:rPr>
                    <w:rStyle w:val="Hyperlink"/>
                    <w:rFonts w:ascii="Times New Roman" w:hAnsi="Times New Roman" w:cs="Times New Roman"/>
                    <w:b/>
                    <w:bCs/>
                    <w:noProof/>
                  </w:rPr>
                  <w:t>2.0 Main Findings</w:t>
                </w:r>
                <w:r>
                  <w:rPr>
                    <w:noProof/>
                    <w:webHidden/>
                  </w:rPr>
                  <w:tab/>
                </w:r>
                <w:r>
                  <w:rPr>
                    <w:noProof/>
                    <w:webHidden/>
                  </w:rPr>
                  <w:fldChar w:fldCharType="begin"/>
                </w:r>
                <w:r>
                  <w:rPr>
                    <w:noProof/>
                    <w:webHidden/>
                  </w:rPr>
                  <w:instrText xml:space="preserve"> PAGEREF _Toc218616247 \h </w:instrText>
                </w:r>
                <w:r>
                  <w:rPr>
                    <w:noProof/>
                    <w:webHidden/>
                  </w:rPr>
                </w:r>
                <w:r>
                  <w:rPr>
                    <w:noProof/>
                    <w:webHidden/>
                  </w:rPr>
                  <w:fldChar w:fldCharType="separate"/>
                </w:r>
                <w:r>
                  <w:rPr>
                    <w:noProof/>
                    <w:webHidden/>
                  </w:rPr>
                  <w:t>4</w:t>
                </w:r>
                <w:r>
                  <w:rPr>
                    <w:noProof/>
                    <w:webHidden/>
                  </w:rPr>
                  <w:fldChar w:fldCharType="end"/>
                </w:r>
              </w:hyperlink>
            </w:p>
            <w:p w14:paraId="1C706CB5" w14:textId="5F30C5D3" w:rsidR="00AB49E7" w:rsidRPr="00AB49E7" w:rsidRDefault="00AB49E7">
              <w:pPr>
                <w:pStyle w:val="TOC2"/>
                <w:tabs>
                  <w:tab w:val="right" w:leader="dot" w:pos="9016"/>
                </w:tabs>
                <w:rPr>
                  <w:rFonts w:eastAsiaTheme="minorEastAsia"/>
                  <w:noProof/>
                  <w:kern w:val="2"/>
                  <w:sz w:val="24"/>
                  <w:szCs w:val="24"/>
                  <w14:ligatures w14:val="standardContextual"/>
                </w:rPr>
              </w:pPr>
              <w:hyperlink w:anchor="_Toc218616248" w:history="1">
                <w:r w:rsidRPr="00AB49E7">
                  <w:rPr>
                    <w:rStyle w:val="Hyperlink"/>
                    <w:rFonts w:ascii="Times New Roman" w:hAnsi="Times New Roman" w:cs="Times New Roman"/>
                    <w:noProof/>
                  </w:rPr>
                  <w:t>2.1 Part 1: Unilever Plc Financial Analysis</w:t>
                </w:r>
                <w:r w:rsidRPr="00AB49E7">
                  <w:rPr>
                    <w:noProof/>
                    <w:webHidden/>
                  </w:rPr>
                  <w:tab/>
                </w:r>
                <w:r w:rsidRPr="00AB49E7">
                  <w:rPr>
                    <w:noProof/>
                    <w:webHidden/>
                  </w:rPr>
                  <w:fldChar w:fldCharType="begin"/>
                </w:r>
                <w:r w:rsidRPr="00AB49E7">
                  <w:rPr>
                    <w:noProof/>
                    <w:webHidden/>
                  </w:rPr>
                  <w:instrText xml:space="preserve"> PAGEREF _Toc218616248 \h </w:instrText>
                </w:r>
                <w:r w:rsidRPr="00AB49E7">
                  <w:rPr>
                    <w:noProof/>
                    <w:webHidden/>
                  </w:rPr>
                </w:r>
                <w:r w:rsidRPr="00AB49E7">
                  <w:rPr>
                    <w:noProof/>
                    <w:webHidden/>
                  </w:rPr>
                  <w:fldChar w:fldCharType="separate"/>
                </w:r>
                <w:r w:rsidRPr="00AB49E7">
                  <w:rPr>
                    <w:noProof/>
                    <w:webHidden/>
                  </w:rPr>
                  <w:t>4</w:t>
                </w:r>
                <w:r w:rsidRPr="00AB49E7">
                  <w:rPr>
                    <w:noProof/>
                    <w:webHidden/>
                  </w:rPr>
                  <w:fldChar w:fldCharType="end"/>
                </w:r>
              </w:hyperlink>
            </w:p>
            <w:p w14:paraId="20071EE4" w14:textId="4E2C1470" w:rsidR="00AB49E7" w:rsidRPr="00AB49E7" w:rsidRDefault="00AB49E7">
              <w:pPr>
                <w:pStyle w:val="TOC3"/>
                <w:tabs>
                  <w:tab w:val="right" w:leader="dot" w:pos="9016"/>
                </w:tabs>
                <w:rPr>
                  <w:noProof/>
                </w:rPr>
              </w:pPr>
              <w:hyperlink w:anchor="_Toc218616249" w:history="1">
                <w:r w:rsidRPr="00AB49E7">
                  <w:rPr>
                    <w:rStyle w:val="Hyperlink"/>
                    <w:rFonts w:ascii="Times New Roman" w:hAnsi="Times New Roman" w:cs="Times New Roman"/>
                    <w:noProof/>
                  </w:rPr>
                  <w:t>2.1.1 Financial Statements Overview</w:t>
                </w:r>
                <w:r w:rsidRPr="00AB49E7">
                  <w:rPr>
                    <w:noProof/>
                    <w:webHidden/>
                  </w:rPr>
                  <w:tab/>
                </w:r>
                <w:r w:rsidRPr="00AB49E7">
                  <w:rPr>
                    <w:noProof/>
                    <w:webHidden/>
                  </w:rPr>
                  <w:fldChar w:fldCharType="begin"/>
                </w:r>
                <w:r w:rsidRPr="00AB49E7">
                  <w:rPr>
                    <w:noProof/>
                    <w:webHidden/>
                  </w:rPr>
                  <w:instrText xml:space="preserve"> PAGEREF _Toc218616249 \h </w:instrText>
                </w:r>
                <w:r w:rsidRPr="00AB49E7">
                  <w:rPr>
                    <w:noProof/>
                    <w:webHidden/>
                  </w:rPr>
                </w:r>
                <w:r w:rsidRPr="00AB49E7">
                  <w:rPr>
                    <w:noProof/>
                    <w:webHidden/>
                  </w:rPr>
                  <w:fldChar w:fldCharType="separate"/>
                </w:r>
                <w:r w:rsidRPr="00AB49E7">
                  <w:rPr>
                    <w:noProof/>
                    <w:webHidden/>
                  </w:rPr>
                  <w:t>4</w:t>
                </w:r>
                <w:r w:rsidRPr="00AB49E7">
                  <w:rPr>
                    <w:noProof/>
                    <w:webHidden/>
                  </w:rPr>
                  <w:fldChar w:fldCharType="end"/>
                </w:r>
              </w:hyperlink>
            </w:p>
            <w:p w14:paraId="4C38E113" w14:textId="305C7138" w:rsidR="00AB49E7" w:rsidRPr="00AB49E7" w:rsidRDefault="00AB49E7">
              <w:pPr>
                <w:pStyle w:val="TOC3"/>
                <w:tabs>
                  <w:tab w:val="right" w:leader="dot" w:pos="9016"/>
                </w:tabs>
                <w:rPr>
                  <w:noProof/>
                </w:rPr>
              </w:pPr>
              <w:hyperlink w:anchor="_Toc218616250" w:history="1">
                <w:r w:rsidRPr="00AB49E7">
                  <w:rPr>
                    <w:rStyle w:val="Hyperlink"/>
                    <w:rFonts w:ascii="Times New Roman" w:hAnsi="Times New Roman" w:cs="Times New Roman"/>
                    <w:noProof/>
                  </w:rPr>
                  <w:t>2.1.2 Ratio Results &amp; Analysis</w:t>
                </w:r>
                <w:r w:rsidRPr="00AB49E7">
                  <w:rPr>
                    <w:noProof/>
                    <w:webHidden/>
                  </w:rPr>
                  <w:tab/>
                </w:r>
                <w:r w:rsidRPr="00AB49E7">
                  <w:rPr>
                    <w:noProof/>
                    <w:webHidden/>
                  </w:rPr>
                  <w:fldChar w:fldCharType="begin"/>
                </w:r>
                <w:r w:rsidRPr="00AB49E7">
                  <w:rPr>
                    <w:noProof/>
                    <w:webHidden/>
                  </w:rPr>
                  <w:instrText xml:space="preserve"> PAGEREF _Toc218616250 \h </w:instrText>
                </w:r>
                <w:r w:rsidRPr="00AB49E7">
                  <w:rPr>
                    <w:noProof/>
                    <w:webHidden/>
                  </w:rPr>
                </w:r>
                <w:r w:rsidRPr="00AB49E7">
                  <w:rPr>
                    <w:noProof/>
                    <w:webHidden/>
                  </w:rPr>
                  <w:fldChar w:fldCharType="separate"/>
                </w:r>
                <w:r w:rsidRPr="00AB49E7">
                  <w:rPr>
                    <w:noProof/>
                    <w:webHidden/>
                  </w:rPr>
                  <w:t>6</w:t>
                </w:r>
                <w:r w:rsidRPr="00AB49E7">
                  <w:rPr>
                    <w:noProof/>
                    <w:webHidden/>
                  </w:rPr>
                  <w:fldChar w:fldCharType="end"/>
                </w:r>
              </w:hyperlink>
            </w:p>
            <w:p w14:paraId="3D1F8459" w14:textId="1E29B0F5" w:rsidR="00AB49E7" w:rsidRPr="00AB49E7" w:rsidRDefault="00AB49E7">
              <w:pPr>
                <w:pStyle w:val="TOC3"/>
                <w:tabs>
                  <w:tab w:val="right" w:leader="dot" w:pos="9016"/>
                </w:tabs>
                <w:rPr>
                  <w:noProof/>
                </w:rPr>
              </w:pPr>
              <w:hyperlink w:anchor="_Toc218616251" w:history="1">
                <w:r w:rsidRPr="00AB49E7">
                  <w:rPr>
                    <w:rStyle w:val="Hyperlink"/>
                    <w:rFonts w:ascii="Times New Roman" w:hAnsi="Times New Roman" w:cs="Times New Roman"/>
                    <w:noProof/>
                  </w:rPr>
                  <w:t>2.1.3 Critical Evaluation of Unilever's Financial Ratios and Analytical Limitations</w:t>
                </w:r>
                <w:r w:rsidRPr="00AB49E7">
                  <w:rPr>
                    <w:noProof/>
                    <w:webHidden/>
                  </w:rPr>
                  <w:tab/>
                </w:r>
                <w:r w:rsidRPr="00AB49E7">
                  <w:rPr>
                    <w:noProof/>
                    <w:webHidden/>
                  </w:rPr>
                  <w:fldChar w:fldCharType="begin"/>
                </w:r>
                <w:r w:rsidRPr="00AB49E7">
                  <w:rPr>
                    <w:noProof/>
                    <w:webHidden/>
                  </w:rPr>
                  <w:instrText xml:space="preserve"> PAGEREF _Toc218616251 \h </w:instrText>
                </w:r>
                <w:r w:rsidRPr="00AB49E7">
                  <w:rPr>
                    <w:noProof/>
                    <w:webHidden/>
                  </w:rPr>
                </w:r>
                <w:r w:rsidRPr="00AB49E7">
                  <w:rPr>
                    <w:noProof/>
                    <w:webHidden/>
                  </w:rPr>
                  <w:fldChar w:fldCharType="separate"/>
                </w:r>
                <w:r w:rsidRPr="00AB49E7">
                  <w:rPr>
                    <w:noProof/>
                    <w:webHidden/>
                  </w:rPr>
                  <w:t>8</w:t>
                </w:r>
                <w:r w:rsidRPr="00AB49E7">
                  <w:rPr>
                    <w:noProof/>
                    <w:webHidden/>
                  </w:rPr>
                  <w:fldChar w:fldCharType="end"/>
                </w:r>
              </w:hyperlink>
            </w:p>
            <w:p w14:paraId="7D251A21" w14:textId="1AF50A44" w:rsidR="00AB49E7" w:rsidRPr="00AB49E7" w:rsidRDefault="00AB49E7">
              <w:pPr>
                <w:pStyle w:val="TOC3"/>
                <w:tabs>
                  <w:tab w:val="right" w:leader="dot" w:pos="9016"/>
                </w:tabs>
                <w:rPr>
                  <w:noProof/>
                </w:rPr>
              </w:pPr>
              <w:hyperlink w:anchor="_Toc218616252" w:history="1">
                <w:r w:rsidRPr="00AB49E7">
                  <w:rPr>
                    <w:rStyle w:val="Hyperlink"/>
                    <w:rFonts w:ascii="Times New Roman" w:hAnsi="Times New Roman" w:cs="Times New Roman"/>
                    <w:noProof/>
                  </w:rPr>
                  <w:t>2.1.4 Recommendations</w:t>
                </w:r>
                <w:r w:rsidRPr="00AB49E7">
                  <w:rPr>
                    <w:noProof/>
                    <w:webHidden/>
                  </w:rPr>
                  <w:tab/>
                </w:r>
                <w:r w:rsidRPr="00AB49E7">
                  <w:rPr>
                    <w:noProof/>
                    <w:webHidden/>
                  </w:rPr>
                  <w:fldChar w:fldCharType="begin"/>
                </w:r>
                <w:r w:rsidRPr="00AB49E7">
                  <w:rPr>
                    <w:noProof/>
                    <w:webHidden/>
                  </w:rPr>
                  <w:instrText xml:space="preserve"> PAGEREF _Toc218616252 \h </w:instrText>
                </w:r>
                <w:r w:rsidRPr="00AB49E7">
                  <w:rPr>
                    <w:noProof/>
                    <w:webHidden/>
                  </w:rPr>
                </w:r>
                <w:r w:rsidRPr="00AB49E7">
                  <w:rPr>
                    <w:noProof/>
                    <w:webHidden/>
                  </w:rPr>
                  <w:fldChar w:fldCharType="separate"/>
                </w:r>
                <w:r w:rsidRPr="00AB49E7">
                  <w:rPr>
                    <w:noProof/>
                    <w:webHidden/>
                  </w:rPr>
                  <w:t>10</w:t>
                </w:r>
                <w:r w:rsidRPr="00AB49E7">
                  <w:rPr>
                    <w:noProof/>
                    <w:webHidden/>
                  </w:rPr>
                  <w:fldChar w:fldCharType="end"/>
                </w:r>
              </w:hyperlink>
            </w:p>
            <w:p w14:paraId="13684EFD" w14:textId="64F736DC" w:rsidR="00AB49E7" w:rsidRDefault="00AB49E7">
              <w:pPr>
                <w:pStyle w:val="TOC2"/>
                <w:tabs>
                  <w:tab w:val="right" w:leader="dot" w:pos="9016"/>
                </w:tabs>
                <w:rPr>
                  <w:rFonts w:eastAsiaTheme="minorEastAsia"/>
                  <w:noProof/>
                  <w:kern w:val="2"/>
                  <w:sz w:val="24"/>
                  <w:szCs w:val="24"/>
                  <w14:ligatures w14:val="standardContextual"/>
                </w:rPr>
              </w:pPr>
              <w:hyperlink w:anchor="_Toc218616253" w:history="1">
                <w:r w:rsidRPr="00C53112">
                  <w:rPr>
                    <w:rStyle w:val="Hyperlink"/>
                    <w:rFonts w:ascii="Times New Roman" w:hAnsi="Times New Roman" w:cs="Times New Roman"/>
                    <w:b/>
                    <w:bCs/>
                    <w:noProof/>
                  </w:rPr>
                  <w:t>3.1 Part 2: Westward Plc Investment Appraisal.</w:t>
                </w:r>
                <w:r>
                  <w:rPr>
                    <w:noProof/>
                    <w:webHidden/>
                  </w:rPr>
                  <w:tab/>
                </w:r>
                <w:r>
                  <w:rPr>
                    <w:noProof/>
                    <w:webHidden/>
                  </w:rPr>
                  <w:fldChar w:fldCharType="begin"/>
                </w:r>
                <w:r>
                  <w:rPr>
                    <w:noProof/>
                    <w:webHidden/>
                  </w:rPr>
                  <w:instrText xml:space="preserve"> PAGEREF _Toc218616253 \h </w:instrText>
                </w:r>
                <w:r>
                  <w:rPr>
                    <w:noProof/>
                    <w:webHidden/>
                  </w:rPr>
                </w:r>
                <w:r>
                  <w:rPr>
                    <w:noProof/>
                    <w:webHidden/>
                  </w:rPr>
                  <w:fldChar w:fldCharType="separate"/>
                </w:r>
                <w:r>
                  <w:rPr>
                    <w:noProof/>
                    <w:webHidden/>
                  </w:rPr>
                  <w:t>12</w:t>
                </w:r>
                <w:r>
                  <w:rPr>
                    <w:noProof/>
                    <w:webHidden/>
                  </w:rPr>
                  <w:fldChar w:fldCharType="end"/>
                </w:r>
              </w:hyperlink>
            </w:p>
            <w:p w14:paraId="23AB0213" w14:textId="5BCF11DF" w:rsidR="00AB49E7" w:rsidRPr="00AB49E7" w:rsidRDefault="00AB49E7">
              <w:pPr>
                <w:pStyle w:val="TOC3"/>
                <w:tabs>
                  <w:tab w:val="right" w:leader="dot" w:pos="9016"/>
                </w:tabs>
                <w:rPr>
                  <w:noProof/>
                </w:rPr>
              </w:pPr>
              <w:hyperlink w:anchor="_Toc218616254" w:history="1">
                <w:r w:rsidRPr="00AB49E7">
                  <w:rPr>
                    <w:rStyle w:val="Hyperlink"/>
                    <w:rFonts w:ascii="Times New Roman" w:hAnsi="Times New Roman" w:cs="Times New Roman"/>
                    <w:noProof/>
                  </w:rPr>
                  <w:t>3.1.1 Investment Opportunity Evaluation on Net Present Value (NPV).</w:t>
                </w:r>
                <w:r w:rsidRPr="00AB49E7">
                  <w:rPr>
                    <w:noProof/>
                    <w:webHidden/>
                  </w:rPr>
                  <w:tab/>
                </w:r>
                <w:r w:rsidRPr="00AB49E7">
                  <w:rPr>
                    <w:noProof/>
                    <w:webHidden/>
                  </w:rPr>
                  <w:fldChar w:fldCharType="begin"/>
                </w:r>
                <w:r w:rsidRPr="00AB49E7">
                  <w:rPr>
                    <w:noProof/>
                    <w:webHidden/>
                  </w:rPr>
                  <w:instrText xml:space="preserve"> PAGEREF _Toc218616254 \h </w:instrText>
                </w:r>
                <w:r w:rsidRPr="00AB49E7">
                  <w:rPr>
                    <w:noProof/>
                    <w:webHidden/>
                  </w:rPr>
                </w:r>
                <w:r w:rsidRPr="00AB49E7">
                  <w:rPr>
                    <w:noProof/>
                    <w:webHidden/>
                  </w:rPr>
                  <w:fldChar w:fldCharType="separate"/>
                </w:r>
                <w:r w:rsidRPr="00AB49E7">
                  <w:rPr>
                    <w:noProof/>
                    <w:webHidden/>
                  </w:rPr>
                  <w:t>12</w:t>
                </w:r>
                <w:r w:rsidRPr="00AB49E7">
                  <w:rPr>
                    <w:noProof/>
                    <w:webHidden/>
                  </w:rPr>
                  <w:fldChar w:fldCharType="end"/>
                </w:r>
              </w:hyperlink>
            </w:p>
            <w:p w14:paraId="727B5549" w14:textId="7F0CF4A7" w:rsidR="00AB49E7" w:rsidRPr="00AB49E7" w:rsidRDefault="00AB49E7">
              <w:pPr>
                <w:pStyle w:val="TOC3"/>
                <w:tabs>
                  <w:tab w:val="right" w:leader="dot" w:pos="9016"/>
                </w:tabs>
                <w:rPr>
                  <w:noProof/>
                </w:rPr>
              </w:pPr>
              <w:hyperlink w:anchor="_Toc218616255" w:history="1">
                <w:r w:rsidRPr="00AB49E7">
                  <w:rPr>
                    <w:rStyle w:val="Hyperlink"/>
                    <w:rFonts w:ascii="Times New Roman" w:hAnsi="Times New Roman" w:cs="Times New Roman"/>
                    <w:noProof/>
                  </w:rPr>
                  <w:t>3.1.2 Internal Rate of Return (IRR) of the Chosen Project</w:t>
                </w:r>
                <w:r w:rsidRPr="00AB49E7">
                  <w:rPr>
                    <w:noProof/>
                    <w:webHidden/>
                  </w:rPr>
                  <w:tab/>
                </w:r>
                <w:r w:rsidRPr="00AB49E7">
                  <w:rPr>
                    <w:noProof/>
                    <w:webHidden/>
                  </w:rPr>
                  <w:fldChar w:fldCharType="begin"/>
                </w:r>
                <w:r w:rsidRPr="00AB49E7">
                  <w:rPr>
                    <w:noProof/>
                    <w:webHidden/>
                  </w:rPr>
                  <w:instrText xml:space="preserve"> PAGEREF _Toc218616255 \h </w:instrText>
                </w:r>
                <w:r w:rsidRPr="00AB49E7">
                  <w:rPr>
                    <w:noProof/>
                    <w:webHidden/>
                  </w:rPr>
                </w:r>
                <w:r w:rsidRPr="00AB49E7">
                  <w:rPr>
                    <w:noProof/>
                    <w:webHidden/>
                  </w:rPr>
                  <w:fldChar w:fldCharType="separate"/>
                </w:r>
                <w:r w:rsidRPr="00AB49E7">
                  <w:rPr>
                    <w:noProof/>
                    <w:webHidden/>
                  </w:rPr>
                  <w:t>14</w:t>
                </w:r>
                <w:r w:rsidRPr="00AB49E7">
                  <w:rPr>
                    <w:noProof/>
                    <w:webHidden/>
                  </w:rPr>
                  <w:fldChar w:fldCharType="end"/>
                </w:r>
              </w:hyperlink>
            </w:p>
            <w:p w14:paraId="0083CF2E" w14:textId="7C54262F" w:rsidR="00AB49E7" w:rsidRPr="00AB49E7" w:rsidRDefault="00AB49E7">
              <w:pPr>
                <w:pStyle w:val="TOC3"/>
                <w:tabs>
                  <w:tab w:val="right" w:leader="dot" w:pos="9016"/>
                </w:tabs>
                <w:rPr>
                  <w:noProof/>
                </w:rPr>
              </w:pPr>
              <w:hyperlink w:anchor="_Toc218616256" w:history="1">
                <w:r w:rsidRPr="00AB49E7">
                  <w:rPr>
                    <w:rStyle w:val="Hyperlink"/>
                    <w:rFonts w:ascii="Times New Roman" w:hAnsi="Times New Roman" w:cs="Times New Roman"/>
                    <w:noProof/>
                  </w:rPr>
                  <w:t>3.1.3 Theoretical Discussion and Interpretation of Results of Appraisal.</w:t>
                </w:r>
                <w:r w:rsidRPr="00AB49E7">
                  <w:rPr>
                    <w:noProof/>
                    <w:webHidden/>
                  </w:rPr>
                  <w:tab/>
                </w:r>
                <w:r w:rsidRPr="00AB49E7">
                  <w:rPr>
                    <w:noProof/>
                    <w:webHidden/>
                  </w:rPr>
                  <w:fldChar w:fldCharType="begin"/>
                </w:r>
                <w:r w:rsidRPr="00AB49E7">
                  <w:rPr>
                    <w:noProof/>
                    <w:webHidden/>
                  </w:rPr>
                  <w:instrText xml:space="preserve"> PAGEREF _Toc218616256 \h </w:instrText>
                </w:r>
                <w:r w:rsidRPr="00AB49E7">
                  <w:rPr>
                    <w:noProof/>
                    <w:webHidden/>
                  </w:rPr>
                </w:r>
                <w:r w:rsidRPr="00AB49E7">
                  <w:rPr>
                    <w:noProof/>
                    <w:webHidden/>
                  </w:rPr>
                  <w:fldChar w:fldCharType="separate"/>
                </w:r>
                <w:r w:rsidRPr="00AB49E7">
                  <w:rPr>
                    <w:noProof/>
                    <w:webHidden/>
                  </w:rPr>
                  <w:t>15</w:t>
                </w:r>
                <w:r w:rsidRPr="00AB49E7">
                  <w:rPr>
                    <w:noProof/>
                    <w:webHidden/>
                  </w:rPr>
                  <w:fldChar w:fldCharType="end"/>
                </w:r>
              </w:hyperlink>
            </w:p>
            <w:p w14:paraId="5BAFBC59" w14:textId="01BFBA60" w:rsidR="00AB49E7" w:rsidRPr="00AB49E7" w:rsidRDefault="00AB49E7">
              <w:pPr>
                <w:pStyle w:val="TOC3"/>
                <w:tabs>
                  <w:tab w:val="right" w:leader="dot" w:pos="9016"/>
                </w:tabs>
                <w:rPr>
                  <w:noProof/>
                </w:rPr>
              </w:pPr>
              <w:hyperlink w:anchor="_Toc218616257" w:history="1">
                <w:r w:rsidRPr="00AB49E7">
                  <w:rPr>
                    <w:rStyle w:val="Hyperlink"/>
                    <w:rFonts w:ascii="Times New Roman" w:hAnsi="Times New Roman" w:cs="Times New Roman"/>
                    <w:noProof/>
                  </w:rPr>
                  <w:t>3.1.4 Capital Rationing and Optimal Investment Policy</w:t>
                </w:r>
                <w:r w:rsidRPr="00AB49E7">
                  <w:rPr>
                    <w:noProof/>
                    <w:webHidden/>
                  </w:rPr>
                  <w:tab/>
                </w:r>
                <w:r w:rsidRPr="00AB49E7">
                  <w:rPr>
                    <w:noProof/>
                    <w:webHidden/>
                  </w:rPr>
                  <w:fldChar w:fldCharType="begin"/>
                </w:r>
                <w:r w:rsidRPr="00AB49E7">
                  <w:rPr>
                    <w:noProof/>
                    <w:webHidden/>
                  </w:rPr>
                  <w:instrText xml:space="preserve"> PAGEREF _Toc218616257 \h </w:instrText>
                </w:r>
                <w:r w:rsidRPr="00AB49E7">
                  <w:rPr>
                    <w:noProof/>
                    <w:webHidden/>
                  </w:rPr>
                </w:r>
                <w:r w:rsidRPr="00AB49E7">
                  <w:rPr>
                    <w:noProof/>
                    <w:webHidden/>
                  </w:rPr>
                  <w:fldChar w:fldCharType="separate"/>
                </w:r>
                <w:r w:rsidRPr="00AB49E7">
                  <w:rPr>
                    <w:noProof/>
                    <w:webHidden/>
                  </w:rPr>
                  <w:t>16</w:t>
                </w:r>
                <w:r w:rsidRPr="00AB49E7">
                  <w:rPr>
                    <w:noProof/>
                    <w:webHidden/>
                  </w:rPr>
                  <w:fldChar w:fldCharType="end"/>
                </w:r>
              </w:hyperlink>
            </w:p>
            <w:p w14:paraId="7FD99BB7" w14:textId="2C38690D" w:rsidR="00AB49E7" w:rsidRPr="00AB49E7" w:rsidRDefault="00AB49E7">
              <w:pPr>
                <w:pStyle w:val="TOC3"/>
                <w:tabs>
                  <w:tab w:val="right" w:leader="dot" w:pos="9016"/>
                </w:tabs>
                <w:rPr>
                  <w:noProof/>
                </w:rPr>
              </w:pPr>
              <w:hyperlink w:anchor="_Toc218616258" w:history="1">
                <w:r w:rsidRPr="00AB49E7">
                  <w:rPr>
                    <w:rStyle w:val="Hyperlink"/>
                    <w:rFonts w:ascii="Times New Roman" w:hAnsi="Times New Roman" w:cs="Times New Roman"/>
                    <w:noProof/>
                  </w:rPr>
                  <w:t>3.1.5 The Financing of the Investment Programme.</w:t>
                </w:r>
                <w:r w:rsidRPr="00AB49E7">
                  <w:rPr>
                    <w:noProof/>
                    <w:webHidden/>
                  </w:rPr>
                  <w:tab/>
                </w:r>
                <w:r w:rsidRPr="00AB49E7">
                  <w:rPr>
                    <w:noProof/>
                    <w:webHidden/>
                  </w:rPr>
                  <w:fldChar w:fldCharType="begin"/>
                </w:r>
                <w:r w:rsidRPr="00AB49E7">
                  <w:rPr>
                    <w:noProof/>
                    <w:webHidden/>
                  </w:rPr>
                  <w:instrText xml:space="preserve"> PAGEREF _Toc218616258 \h </w:instrText>
                </w:r>
                <w:r w:rsidRPr="00AB49E7">
                  <w:rPr>
                    <w:noProof/>
                    <w:webHidden/>
                  </w:rPr>
                </w:r>
                <w:r w:rsidRPr="00AB49E7">
                  <w:rPr>
                    <w:noProof/>
                    <w:webHidden/>
                  </w:rPr>
                  <w:fldChar w:fldCharType="separate"/>
                </w:r>
                <w:r w:rsidRPr="00AB49E7">
                  <w:rPr>
                    <w:noProof/>
                    <w:webHidden/>
                  </w:rPr>
                  <w:t>17</w:t>
                </w:r>
                <w:r w:rsidRPr="00AB49E7">
                  <w:rPr>
                    <w:noProof/>
                    <w:webHidden/>
                  </w:rPr>
                  <w:fldChar w:fldCharType="end"/>
                </w:r>
              </w:hyperlink>
            </w:p>
            <w:p w14:paraId="5A37AAAC" w14:textId="53DC928A" w:rsidR="00AB49E7" w:rsidRDefault="00AB49E7">
              <w:pPr>
                <w:pStyle w:val="TOC1"/>
                <w:tabs>
                  <w:tab w:val="right" w:leader="dot" w:pos="9016"/>
                </w:tabs>
                <w:rPr>
                  <w:rFonts w:eastAsiaTheme="minorEastAsia"/>
                  <w:noProof/>
                  <w:kern w:val="2"/>
                  <w:sz w:val="24"/>
                  <w:szCs w:val="24"/>
                  <w14:ligatures w14:val="standardContextual"/>
                </w:rPr>
              </w:pPr>
              <w:hyperlink w:anchor="_Toc218616259" w:history="1">
                <w:r w:rsidRPr="00C53112">
                  <w:rPr>
                    <w:rStyle w:val="Hyperlink"/>
                    <w:rFonts w:ascii="Times New Roman" w:hAnsi="Times New Roman" w:cs="Times New Roman"/>
                    <w:b/>
                    <w:bCs/>
                    <w:noProof/>
                  </w:rPr>
                  <w:t>4.0 Conclusion</w:t>
                </w:r>
                <w:r>
                  <w:rPr>
                    <w:noProof/>
                    <w:webHidden/>
                  </w:rPr>
                  <w:tab/>
                </w:r>
                <w:r>
                  <w:rPr>
                    <w:noProof/>
                    <w:webHidden/>
                  </w:rPr>
                  <w:fldChar w:fldCharType="begin"/>
                </w:r>
                <w:r>
                  <w:rPr>
                    <w:noProof/>
                    <w:webHidden/>
                  </w:rPr>
                  <w:instrText xml:space="preserve"> PAGEREF _Toc218616259 \h </w:instrText>
                </w:r>
                <w:r>
                  <w:rPr>
                    <w:noProof/>
                    <w:webHidden/>
                  </w:rPr>
                </w:r>
                <w:r>
                  <w:rPr>
                    <w:noProof/>
                    <w:webHidden/>
                  </w:rPr>
                  <w:fldChar w:fldCharType="separate"/>
                </w:r>
                <w:r>
                  <w:rPr>
                    <w:noProof/>
                    <w:webHidden/>
                  </w:rPr>
                  <w:t>19</w:t>
                </w:r>
                <w:r>
                  <w:rPr>
                    <w:noProof/>
                    <w:webHidden/>
                  </w:rPr>
                  <w:fldChar w:fldCharType="end"/>
                </w:r>
              </w:hyperlink>
            </w:p>
            <w:p w14:paraId="249B779B" w14:textId="0F8801F1" w:rsidR="00AB49E7" w:rsidRDefault="00AB49E7">
              <w:pPr>
                <w:pStyle w:val="TOC1"/>
                <w:tabs>
                  <w:tab w:val="right" w:leader="dot" w:pos="9016"/>
                </w:tabs>
                <w:rPr>
                  <w:rFonts w:eastAsiaTheme="minorEastAsia"/>
                  <w:noProof/>
                  <w:kern w:val="2"/>
                  <w:sz w:val="24"/>
                  <w:szCs w:val="24"/>
                  <w14:ligatures w14:val="standardContextual"/>
                </w:rPr>
              </w:pPr>
              <w:hyperlink w:anchor="_Toc218616260" w:history="1">
                <w:r w:rsidRPr="00C53112">
                  <w:rPr>
                    <w:rStyle w:val="Hyperlink"/>
                    <w:rFonts w:ascii="Times New Roman" w:hAnsi="Times New Roman" w:cs="Times New Roman"/>
                    <w:b/>
                    <w:bCs/>
                    <w:noProof/>
                  </w:rPr>
                  <w:t>5.0 Bibliography</w:t>
                </w:r>
                <w:r>
                  <w:rPr>
                    <w:noProof/>
                    <w:webHidden/>
                  </w:rPr>
                  <w:tab/>
                </w:r>
                <w:r>
                  <w:rPr>
                    <w:noProof/>
                    <w:webHidden/>
                  </w:rPr>
                  <w:fldChar w:fldCharType="begin"/>
                </w:r>
                <w:r>
                  <w:rPr>
                    <w:noProof/>
                    <w:webHidden/>
                  </w:rPr>
                  <w:instrText xml:space="preserve"> PAGEREF _Toc218616260 \h </w:instrText>
                </w:r>
                <w:r>
                  <w:rPr>
                    <w:noProof/>
                    <w:webHidden/>
                  </w:rPr>
                </w:r>
                <w:r>
                  <w:rPr>
                    <w:noProof/>
                    <w:webHidden/>
                  </w:rPr>
                  <w:fldChar w:fldCharType="separate"/>
                </w:r>
                <w:r>
                  <w:rPr>
                    <w:noProof/>
                    <w:webHidden/>
                  </w:rPr>
                  <w:t>21</w:t>
                </w:r>
                <w:r>
                  <w:rPr>
                    <w:noProof/>
                    <w:webHidden/>
                  </w:rPr>
                  <w:fldChar w:fldCharType="end"/>
                </w:r>
              </w:hyperlink>
            </w:p>
            <w:p w14:paraId="7B483718" w14:textId="14839226" w:rsidR="00AB49E7" w:rsidRDefault="00AB49E7">
              <w:pPr>
                <w:pStyle w:val="TOC1"/>
                <w:tabs>
                  <w:tab w:val="right" w:leader="dot" w:pos="9016"/>
                </w:tabs>
                <w:rPr>
                  <w:rFonts w:eastAsiaTheme="minorEastAsia"/>
                  <w:noProof/>
                  <w:kern w:val="2"/>
                  <w:sz w:val="24"/>
                  <w:szCs w:val="24"/>
                  <w14:ligatures w14:val="standardContextual"/>
                </w:rPr>
              </w:pPr>
              <w:hyperlink w:anchor="_Toc218616261" w:history="1">
                <w:r w:rsidRPr="00C53112">
                  <w:rPr>
                    <w:rStyle w:val="Hyperlink"/>
                    <w:rFonts w:ascii="Times New Roman" w:hAnsi="Times New Roman" w:cs="Times New Roman"/>
                    <w:b/>
                    <w:bCs/>
                    <w:noProof/>
                  </w:rPr>
                  <w:t>6. 0 Appendix</w:t>
                </w:r>
                <w:r>
                  <w:rPr>
                    <w:noProof/>
                    <w:webHidden/>
                  </w:rPr>
                  <w:tab/>
                </w:r>
                <w:r>
                  <w:rPr>
                    <w:noProof/>
                    <w:webHidden/>
                  </w:rPr>
                  <w:fldChar w:fldCharType="begin"/>
                </w:r>
                <w:r>
                  <w:rPr>
                    <w:noProof/>
                    <w:webHidden/>
                  </w:rPr>
                  <w:instrText xml:space="preserve"> PAGEREF _Toc218616261 \h </w:instrText>
                </w:r>
                <w:r>
                  <w:rPr>
                    <w:noProof/>
                    <w:webHidden/>
                  </w:rPr>
                </w:r>
                <w:r>
                  <w:rPr>
                    <w:noProof/>
                    <w:webHidden/>
                  </w:rPr>
                  <w:fldChar w:fldCharType="separate"/>
                </w:r>
                <w:r>
                  <w:rPr>
                    <w:noProof/>
                    <w:webHidden/>
                  </w:rPr>
                  <w:t>27</w:t>
                </w:r>
                <w:r>
                  <w:rPr>
                    <w:noProof/>
                    <w:webHidden/>
                  </w:rPr>
                  <w:fldChar w:fldCharType="end"/>
                </w:r>
              </w:hyperlink>
            </w:p>
            <w:p w14:paraId="1C767FFE" w14:textId="596E5CB9" w:rsidR="00AB49E7" w:rsidRPr="00AB49E7" w:rsidRDefault="00AB49E7">
              <w:pPr>
                <w:pStyle w:val="TOC2"/>
                <w:tabs>
                  <w:tab w:val="right" w:leader="dot" w:pos="9016"/>
                </w:tabs>
                <w:rPr>
                  <w:rFonts w:eastAsiaTheme="minorEastAsia"/>
                  <w:noProof/>
                  <w:kern w:val="2"/>
                  <w:sz w:val="24"/>
                  <w:szCs w:val="24"/>
                  <w14:ligatures w14:val="standardContextual"/>
                </w:rPr>
              </w:pPr>
              <w:hyperlink w:anchor="_Toc218616262" w:history="1">
                <w:r w:rsidRPr="00AB49E7">
                  <w:rPr>
                    <w:rStyle w:val="Hyperlink"/>
                    <w:rFonts w:ascii="Times New Roman" w:hAnsi="Times New Roman" w:cs="Times New Roman"/>
                    <w:noProof/>
                  </w:rPr>
                  <w:t>6.1 Consolidated Income Statement</w:t>
                </w:r>
                <w:r w:rsidRPr="00AB49E7">
                  <w:rPr>
                    <w:noProof/>
                    <w:webHidden/>
                  </w:rPr>
                  <w:tab/>
                </w:r>
                <w:r w:rsidRPr="00AB49E7">
                  <w:rPr>
                    <w:noProof/>
                    <w:webHidden/>
                  </w:rPr>
                  <w:fldChar w:fldCharType="begin"/>
                </w:r>
                <w:r w:rsidRPr="00AB49E7">
                  <w:rPr>
                    <w:noProof/>
                    <w:webHidden/>
                  </w:rPr>
                  <w:instrText xml:space="preserve"> PAGEREF _Toc218616262 \h </w:instrText>
                </w:r>
                <w:r w:rsidRPr="00AB49E7">
                  <w:rPr>
                    <w:noProof/>
                    <w:webHidden/>
                  </w:rPr>
                </w:r>
                <w:r w:rsidRPr="00AB49E7">
                  <w:rPr>
                    <w:noProof/>
                    <w:webHidden/>
                  </w:rPr>
                  <w:fldChar w:fldCharType="separate"/>
                </w:r>
                <w:r w:rsidRPr="00AB49E7">
                  <w:rPr>
                    <w:noProof/>
                    <w:webHidden/>
                  </w:rPr>
                  <w:t>27</w:t>
                </w:r>
                <w:r w:rsidRPr="00AB49E7">
                  <w:rPr>
                    <w:noProof/>
                    <w:webHidden/>
                  </w:rPr>
                  <w:fldChar w:fldCharType="end"/>
                </w:r>
              </w:hyperlink>
            </w:p>
            <w:p w14:paraId="0918F8E3" w14:textId="53E58465" w:rsidR="00AB49E7" w:rsidRPr="00AB49E7" w:rsidRDefault="00AB49E7">
              <w:pPr>
                <w:pStyle w:val="TOC2"/>
                <w:tabs>
                  <w:tab w:val="right" w:leader="dot" w:pos="9016"/>
                </w:tabs>
                <w:rPr>
                  <w:rFonts w:eastAsiaTheme="minorEastAsia"/>
                  <w:noProof/>
                  <w:kern w:val="2"/>
                  <w:sz w:val="24"/>
                  <w:szCs w:val="24"/>
                  <w14:ligatures w14:val="standardContextual"/>
                </w:rPr>
              </w:pPr>
              <w:hyperlink w:anchor="_Toc218616263" w:history="1">
                <w:r w:rsidRPr="00AB49E7">
                  <w:rPr>
                    <w:rStyle w:val="Hyperlink"/>
                    <w:rFonts w:ascii="Times New Roman" w:hAnsi="Times New Roman" w:cs="Times New Roman"/>
                    <w:noProof/>
                  </w:rPr>
                  <w:t>6.3 Consolidated cash flow statement</w:t>
                </w:r>
                <w:r w:rsidRPr="00AB49E7">
                  <w:rPr>
                    <w:noProof/>
                    <w:webHidden/>
                  </w:rPr>
                  <w:tab/>
                </w:r>
                <w:r w:rsidRPr="00AB49E7">
                  <w:rPr>
                    <w:noProof/>
                    <w:webHidden/>
                  </w:rPr>
                  <w:fldChar w:fldCharType="begin"/>
                </w:r>
                <w:r w:rsidRPr="00AB49E7">
                  <w:rPr>
                    <w:noProof/>
                    <w:webHidden/>
                  </w:rPr>
                  <w:instrText xml:space="preserve"> PAGEREF _Toc218616263 \h </w:instrText>
                </w:r>
                <w:r w:rsidRPr="00AB49E7">
                  <w:rPr>
                    <w:noProof/>
                    <w:webHidden/>
                  </w:rPr>
                </w:r>
                <w:r w:rsidRPr="00AB49E7">
                  <w:rPr>
                    <w:noProof/>
                    <w:webHidden/>
                  </w:rPr>
                  <w:fldChar w:fldCharType="separate"/>
                </w:r>
                <w:r w:rsidRPr="00AB49E7">
                  <w:rPr>
                    <w:noProof/>
                    <w:webHidden/>
                  </w:rPr>
                  <w:t>29</w:t>
                </w:r>
                <w:r w:rsidRPr="00AB49E7">
                  <w:rPr>
                    <w:noProof/>
                    <w:webHidden/>
                  </w:rPr>
                  <w:fldChar w:fldCharType="end"/>
                </w:r>
              </w:hyperlink>
            </w:p>
            <w:p w14:paraId="1E10C621" w14:textId="681A718F" w:rsidR="00AB49E7" w:rsidRPr="00AB49E7" w:rsidRDefault="00AB49E7">
              <w:pPr>
                <w:pStyle w:val="TOC2"/>
                <w:tabs>
                  <w:tab w:val="right" w:leader="dot" w:pos="9016"/>
                </w:tabs>
                <w:rPr>
                  <w:rFonts w:eastAsiaTheme="minorEastAsia"/>
                  <w:noProof/>
                  <w:kern w:val="2"/>
                  <w:sz w:val="24"/>
                  <w:szCs w:val="24"/>
                  <w14:ligatures w14:val="standardContextual"/>
                </w:rPr>
              </w:pPr>
              <w:hyperlink w:anchor="_Toc218616264" w:history="1">
                <w:r w:rsidRPr="00AB49E7">
                  <w:rPr>
                    <w:rStyle w:val="Hyperlink"/>
                    <w:rFonts w:ascii="Times New Roman" w:hAnsi="Times New Roman" w:cs="Times New Roman"/>
                    <w:noProof/>
                  </w:rPr>
                  <w:t>6.4 Balance Sheet</w:t>
                </w:r>
                <w:r w:rsidRPr="00AB49E7">
                  <w:rPr>
                    <w:noProof/>
                    <w:webHidden/>
                  </w:rPr>
                  <w:tab/>
                </w:r>
                <w:r w:rsidRPr="00AB49E7">
                  <w:rPr>
                    <w:noProof/>
                    <w:webHidden/>
                  </w:rPr>
                  <w:fldChar w:fldCharType="begin"/>
                </w:r>
                <w:r w:rsidRPr="00AB49E7">
                  <w:rPr>
                    <w:noProof/>
                    <w:webHidden/>
                  </w:rPr>
                  <w:instrText xml:space="preserve"> PAGEREF _Toc218616264 \h </w:instrText>
                </w:r>
                <w:r w:rsidRPr="00AB49E7">
                  <w:rPr>
                    <w:noProof/>
                    <w:webHidden/>
                  </w:rPr>
                </w:r>
                <w:r w:rsidRPr="00AB49E7">
                  <w:rPr>
                    <w:noProof/>
                    <w:webHidden/>
                  </w:rPr>
                  <w:fldChar w:fldCharType="separate"/>
                </w:r>
                <w:r w:rsidRPr="00AB49E7">
                  <w:rPr>
                    <w:noProof/>
                    <w:webHidden/>
                  </w:rPr>
                  <w:t>30</w:t>
                </w:r>
                <w:r w:rsidRPr="00AB49E7">
                  <w:rPr>
                    <w:noProof/>
                    <w:webHidden/>
                  </w:rPr>
                  <w:fldChar w:fldCharType="end"/>
                </w:r>
              </w:hyperlink>
            </w:p>
            <w:p w14:paraId="048D932B" w14:textId="2435178C" w:rsidR="00AB49E7" w:rsidRPr="00AB49E7" w:rsidRDefault="00AB49E7">
              <w:pPr>
                <w:pStyle w:val="TOC2"/>
                <w:tabs>
                  <w:tab w:val="right" w:leader="dot" w:pos="9016"/>
                </w:tabs>
                <w:rPr>
                  <w:rFonts w:eastAsiaTheme="minorEastAsia"/>
                  <w:noProof/>
                  <w:kern w:val="2"/>
                  <w:sz w:val="24"/>
                  <w:szCs w:val="24"/>
                  <w14:ligatures w14:val="standardContextual"/>
                </w:rPr>
              </w:pPr>
              <w:hyperlink w:anchor="_Toc218616265" w:history="1">
                <w:r w:rsidRPr="00AB49E7">
                  <w:rPr>
                    <w:rStyle w:val="Hyperlink"/>
                    <w:rFonts w:ascii="Times New Roman" w:hAnsi="Times New Roman" w:cs="Times New Roman"/>
                    <w:noProof/>
                  </w:rPr>
                  <w:t>6.5 Ratio Calculations</w:t>
                </w:r>
                <w:r w:rsidRPr="00AB49E7">
                  <w:rPr>
                    <w:noProof/>
                    <w:webHidden/>
                  </w:rPr>
                  <w:tab/>
                </w:r>
                <w:r w:rsidRPr="00AB49E7">
                  <w:rPr>
                    <w:noProof/>
                    <w:webHidden/>
                  </w:rPr>
                  <w:fldChar w:fldCharType="begin"/>
                </w:r>
                <w:r w:rsidRPr="00AB49E7">
                  <w:rPr>
                    <w:noProof/>
                    <w:webHidden/>
                  </w:rPr>
                  <w:instrText xml:space="preserve"> PAGEREF _Toc218616265 \h </w:instrText>
                </w:r>
                <w:r w:rsidRPr="00AB49E7">
                  <w:rPr>
                    <w:noProof/>
                    <w:webHidden/>
                  </w:rPr>
                </w:r>
                <w:r w:rsidRPr="00AB49E7">
                  <w:rPr>
                    <w:noProof/>
                    <w:webHidden/>
                  </w:rPr>
                  <w:fldChar w:fldCharType="separate"/>
                </w:r>
                <w:r w:rsidRPr="00AB49E7">
                  <w:rPr>
                    <w:noProof/>
                    <w:webHidden/>
                  </w:rPr>
                  <w:t>30</w:t>
                </w:r>
                <w:r w:rsidRPr="00AB49E7">
                  <w:rPr>
                    <w:noProof/>
                    <w:webHidden/>
                  </w:rPr>
                  <w:fldChar w:fldCharType="end"/>
                </w:r>
              </w:hyperlink>
            </w:p>
            <w:p w14:paraId="46538E6B" w14:textId="44153D64" w:rsidR="00AB49E7" w:rsidRPr="00AB49E7" w:rsidRDefault="00AB49E7">
              <w:pPr>
                <w:pStyle w:val="TOC2"/>
                <w:tabs>
                  <w:tab w:val="right" w:leader="dot" w:pos="9016"/>
                </w:tabs>
                <w:rPr>
                  <w:rFonts w:eastAsiaTheme="minorEastAsia"/>
                  <w:noProof/>
                  <w:kern w:val="2"/>
                  <w:sz w:val="24"/>
                  <w:szCs w:val="24"/>
                  <w14:ligatures w14:val="standardContextual"/>
                </w:rPr>
              </w:pPr>
              <w:hyperlink w:anchor="_Toc218616266" w:history="1">
                <w:r w:rsidRPr="00AB49E7">
                  <w:rPr>
                    <w:rStyle w:val="Hyperlink"/>
                    <w:rFonts w:ascii="Times New Roman" w:hAnsi="Times New Roman" w:cs="Times New Roman"/>
                    <w:noProof/>
                  </w:rPr>
                  <w:t>6.6 NPV calculations</w:t>
                </w:r>
                <w:r w:rsidRPr="00AB49E7">
                  <w:rPr>
                    <w:noProof/>
                    <w:webHidden/>
                  </w:rPr>
                  <w:tab/>
                </w:r>
                <w:r w:rsidRPr="00AB49E7">
                  <w:rPr>
                    <w:noProof/>
                    <w:webHidden/>
                  </w:rPr>
                  <w:fldChar w:fldCharType="begin"/>
                </w:r>
                <w:r w:rsidRPr="00AB49E7">
                  <w:rPr>
                    <w:noProof/>
                    <w:webHidden/>
                  </w:rPr>
                  <w:instrText xml:space="preserve"> PAGEREF _Toc218616266 \h </w:instrText>
                </w:r>
                <w:r w:rsidRPr="00AB49E7">
                  <w:rPr>
                    <w:noProof/>
                    <w:webHidden/>
                  </w:rPr>
                </w:r>
                <w:r w:rsidRPr="00AB49E7">
                  <w:rPr>
                    <w:noProof/>
                    <w:webHidden/>
                  </w:rPr>
                  <w:fldChar w:fldCharType="separate"/>
                </w:r>
                <w:r w:rsidRPr="00AB49E7">
                  <w:rPr>
                    <w:noProof/>
                    <w:webHidden/>
                  </w:rPr>
                  <w:t>31</w:t>
                </w:r>
                <w:r w:rsidRPr="00AB49E7">
                  <w:rPr>
                    <w:noProof/>
                    <w:webHidden/>
                  </w:rPr>
                  <w:fldChar w:fldCharType="end"/>
                </w:r>
              </w:hyperlink>
            </w:p>
            <w:p w14:paraId="0E8B88C0" w14:textId="3A06392D" w:rsidR="00AB49E7" w:rsidRPr="00AB49E7" w:rsidRDefault="00AB49E7">
              <w:pPr>
                <w:pStyle w:val="TOC2"/>
                <w:tabs>
                  <w:tab w:val="right" w:leader="dot" w:pos="9016"/>
                </w:tabs>
                <w:rPr>
                  <w:rFonts w:eastAsiaTheme="minorEastAsia"/>
                  <w:noProof/>
                  <w:kern w:val="2"/>
                  <w:sz w:val="24"/>
                  <w:szCs w:val="24"/>
                  <w14:ligatures w14:val="standardContextual"/>
                </w:rPr>
              </w:pPr>
              <w:hyperlink w:anchor="_Toc218616267" w:history="1">
                <w:r w:rsidRPr="00AB49E7">
                  <w:rPr>
                    <w:rStyle w:val="Hyperlink"/>
                    <w:rFonts w:ascii="Times New Roman" w:hAnsi="Times New Roman" w:cs="Times New Roman"/>
                    <w:noProof/>
                  </w:rPr>
                  <w:t>6.7 IRR for Option B</w:t>
                </w:r>
                <w:r w:rsidRPr="00AB49E7">
                  <w:rPr>
                    <w:noProof/>
                    <w:webHidden/>
                  </w:rPr>
                  <w:tab/>
                </w:r>
                <w:r w:rsidRPr="00AB49E7">
                  <w:rPr>
                    <w:noProof/>
                    <w:webHidden/>
                  </w:rPr>
                  <w:fldChar w:fldCharType="begin"/>
                </w:r>
                <w:r w:rsidRPr="00AB49E7">
                  <w:rPr>
                    <w:noProof/>
                    <w:webHidden/>
                  </w:rPr>
                  <w:instrText xml:space="preserve"> PAGEREF _Toc218616267 \h </w:instrText>
                </w:r>
                <w:r w:rsidRPr="00AB49E7">
                  <w:rPr>
                    <w:noProof/>
                    <w:webHidden/>
                  </w:rPr>
                </w:r>
                <w:r w:rsidRPr="00AB49E7">
                  <w:rPr>
                    <w:noProof/>
                    <w:webHidden/>
                  </w:rPr>
                  <w:fldChar w:fldCharType="separate"/>
                </w:r>
                <w:r w:rsidRPr="00AB49E7">
                  <w:rPr>
                    <w:noProof/>
                    <w:webHidden/>
                  </w:rPr>
                  <w:t>32</w:t>
                </w:r>
                <w:r w:rsidRPr="00AB49E7">
                  <w:rPr>
                    <w:noProof/>
                    <w:webHidden/>
                  </w:rPr>
                  <w:fldChar w:fldCharType="end"/>
                </w:r>
              </w:hyperlink>
            </w:p>
            <w:p w14:paraId="05194699" w14:textId="1A09D41E" w:rsidR="007D1947" w:rsidRPr="001014AA" w:rsidRDefault="007D1947"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b/>
                  <w:bCs/>
                  <w:noProof/>
                  <w:sz w:val="24"/>
                  <w:szCs w:val="24"/>
                </w:rPr>
                <w:fldChar w:fldCharType="end"/>
              </w:r>
            </w:p>
          </w:sdtContent>
        </w:sdt>
        <w:p w14:paraId="35B6052B" w14:textId="77777777" w:rsidR="007D1947" w:rsidRPr="001014AA" w:rsidRDefault="007D1947" w:rsidP="001014AA">
          <w:pPr>
            <w:spacing w:after="0" w:line="480" w:lineRule="auto"/>
            <w:ind w:left="720" w:hanging="720"/>
            <w:rPr>
              <w:rFonts w:ascii="Times New Roman" w:hAnsi="Times New Roman" w:cs="Times New Roman"/>
              <w:sz w:val="24"/>
              <w:szCs w:val="24"/>
            </w:rPr>
          </w:pPr>
        </w:p>
        <w:p w14:paraId="22F11532" w14:textId="77777777" w:rsidR="007D1947" w:rsidRPr="001014AA" w:rsidRDefault="007D1947" w:rsidP="001014AA">
          <w:pPr>
            <w:spacing w:after="0" w:line="480" w:lineRule="auto"/>
            <w:ind w:left="720" w:hanging="720"/>
            <w:rPr>
              <w:rFonts w:ascii="Times New Roman" w:hAnsi="Times New Roman" w:cs="Times New Roman"/>
              <w:sz w:val="24"/>
              <w:szCs w:val="24"/>
            </w:rPr>
          </w:pPr>
        </w:p>
        <w:p w14:paraId="15C6D916" w14:textId="77777777" w:rsidR="007D1947" w:rsidRPr="001014AA" w:rsidRDefault="007D1947" w:rsidP="001014AA">
          <w:pPr>
            <w:spacing w:after="0" w:line="480" w:lineRule="auto"/>
            <w:ind w:left="720" w:hanging="720"/>
            <w:rPr>
              <w:rFonts w:ascii="Times New Roman" w:hAnsi="Times New Roman" w:cs="Times New Roman"/>
              <w:sz w:val="24"/>
              <w:szCs w:val="24"/>
            </w:rPr>
          </w:pPr>
        </w:p>
        <w:p w14:paraId="0882E422" w14:textId="77777777" w:rsidR="007D1947" w:rsidRPr="001014AA" w:rsidRDefault="007D1947" w:rsidP="001014AA">
          <w:pPr>
            <w:spacing w:after="0" w:line="480" w:lineRule="auto"/>
            <w:ind w:left="720" w:hanging="720"/>
            <w:rPr>
              <w:rFonts w:ascii="Times New Roman" w:hAnsi="Times New Roman" w:cs="Times New Roman"/>
              <w:sz w:val="24"/>
              <w:szCs w:val="24"/>
            </w:rPr>
          </w:pPr>
        </w:p>
        <w:p w14:paraId="2076963D" w14:textId="77777777" w:rsidR="007D1947" w:rsidRPr="001014AA" w:rsidRDefault="007D1947" w:rsidP="001014AA">
          <w:pPr>
            <w:spacing w:after="0" w:line="480" w:lineRule="auto"/>
            <w:ind w:left="720" w:hanging="720"/>
            <w:rPr>
              <w:rFonts w:ascii="Times New Roman" w:hAnsi="Times New Roman" w:cs="Times New Roman"/>
              <w:sz w:val="24"/>
              <w:szCs w:val="24"/>
            </w:rPr>
          </w:pPr>
        </w:p>
        <w:p w14:paraId="006E6A3F" w14:textId="77777777" w:rsidR="007D1947" w:rsidRPr="001014AA" w:rsidRDefault="007D1947" w:rsidP="001014AA">
          <w:pPr>
            <w:spacing w:after="0" w:line="480" w:lineRule="auto"/>
            <w:ind w:left="720" w:hanging="720"/>
            <w:rPr>
              <w:rFonts w:ascii="Times New Roman" w:hAnsi="Times New Roman" w:cs="Times New Roman"/>
              <w:sz w:val="24"/>
              <w:szCs w:val="24"/>
            </w:rPr>
          </w:pPr>
        </w:p>
        <w:p w14:paraId="0ED321E6" w14:textId="43D5FC8D" w:rsidR="007D1947" w:rsidRPr="001014AA" w:rsidRDefault="00C35804" w:rsidP="001014AA">
          <w:pPr>
            <w:pStyle w:val="Heading1"/>
            <w:spacing w:before="0" w:line="480" w:lineRule="auto"/>
            <w:ind w:left="720" w:hanging="720"/>
            <w:rPr>
              <w:rFonts w:ascii="Times New Roman" w:hAnsi="Times New Roman" w:cs="Times New Roman"/>
              <w:b/>
              <w:bCs/>
              <w:sz w:val="24"/>
              <w:szCs w:val="24"/>
            </w:rPr>
          </w:pPr>
          <w:bookmarkStart w:id="1" w:name="_Toc218616246"/>
          <w:r w:rsidRPr="001014AA">
            <w:rPr>
              <w:rFonts w:ascii="Times New Roman" w:hAnsi="Times New Roman" w:cs="Times New Roman"/>
              <w:b/>
              <w:bCs/>
              <w:color w:val="auto"/>
              <w:sz w:val="24"/>
              <w:szCs w:val="24"/>
            </w:rPr>
            <w:lastRenderedPageBreak/>
            <w:t xml:space="preserve">1.0 </w:t>
          </w:r>
          <w:r w:rsidR="007D1947" w:rsidRPr="001014AA">
            <w:rPr>
              <w:rFonts w:ascii="Times New Roman" w:hAnsi="Times New Roman" w:cs="Times New Roman"/>
              <w:b/>
              <w:bCs/>
              <w:color w:val="auto"/>
              <w:sz w:val="24"/>
              <w:szCs w:val="24"/>
            </w:rPr>
            <w:t>Introduction</w:t>
          </w:r>
          <w:bookmarkEnd w:id="1"/>
          <w:r w:rsidR="00480872" w:rsidRPr="001014AA">
            <w:rPr>
              <w:rFonts w:ascii="Times New Roman" w:hAnsi="Times New Roman" w:cs="Times New Roman"/>
              <w:b/>
              <w:bCs/>
              <w:sz w:val="24"/>
              <w:szCs w:val="24"/>
            </w:rPr>
            <w:t xml:space="preserve"> </w:t>
          </w:r>
        </w:p>
        <w:p w14:paraId="13A9B431" w14:textId="77777777" w:rsidR="00C35804" w:rsidRPr="001014AA" w:rsidRDefault="0008607E" w:rsidP="008617B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 xml:space="preserve">Unilever PLC is a multinational </w:t>
          </w:r>
          <w:r w:rsidR="00642E10" w:rsidRPr="001014AA">
            <w:rPr>
              <w:rFonts w:ascii="Times New Roman" w:hAnsi="Times New Roman" w:cs="Times New Roman"/>
              <w:sz w:val="24"/>
              <w:szCs w:val="24"/>
            </w:rPr>
            <w:t>fast-moving</w:t>
          </w:r>
          <w:r w:rsidRPr="001014AA">
            <w:rPr>
              <w:rFonts w:ascii="Times New Roman" w:hAnsi="Times New Roman" w:cs="Times New Roman"/>
              <w:sz w:val="24"/>
              <w:szCs w:val="24"/>
            </w:rPr>
            <w:t xml:space="preserve"> consumer goods (FMCG) company based in the world with </w:t>
          </w:r>
          <w:r w:rsidR="00642E10" w:rsidRPr="001014AA">
            <w:rPr>
              <w:rFonts w:ascii="Times New Roman" w:hAnsi="Times New Roman" w:cs="Times New Roman"/>
              <w:sz w:val="24"/>
              <w:szCs w:val="24"/>
            </w:rPr>
            <w:t xml:space="preserve">a </w:t>
          </w:r>
          <w:r w:rsidRPr="001014AA">
            <w:rPr>
              <w:rFonts w:ascii="Times New Roman" w:hAnsi="Times New Roman" w:cs="Times New Roman"/>
              <w:sz w:val="24"/>
              <w:szCs w:val="24"/>
            </w:rPr>
            <w:t>varied range of products under its belt</w:t>
          </w:r>
          <w:r w:rsidR="00642E10" w:rsidRPr="001014AA">
            <w:rPr>
              <w:rFonts w:ascii="Times New Roman" w:hAnsi="Times New Roman" w:cs="Times New Roman"/>
              <w:sz w:val="24"/>
              <w:szCs w:val="24"/>
            </w:rPr>
            <w:t>,</w:t>
          </w:r>
          <w:r w:rsidRPr="001014AA">
            <w:rPr>
              <w:rFonts w:ascii="Times New Roman" w:hAnsi="Times New Roman" w:cs="Times New Roman"/>
              <w:sz w:val="24"/>
              <w:szCs w:val="24"/>
            </w:rPr>
            <w:t xml:space="preserve"> such as personal care, home care, and food. Based in London, Unilever trades on the London Stock Exchange (LSE) and is a member of the FTSE 100 Index, a list of the largest UK-based companies by market </w:t>
          </w:r>
          <w:r w:rsidR="00642E10" w:rsidRPr="001014AA">
            <w:rPr>
              <w:rFonts w:ascii="Times New Roman" w:hAnsi="Times New Roman" w:cs="Times New Roman"/>
              <w:sz w:val="24"/>
              <w:szCs w:val="24"/>
            </w:rPr>
            <w:t>capitalisation</w:t>
          </w:r>
          <w:r w:rsidRPr="001014AA">
            <w:rPr>
              <w:rFonts w:ascii="Times New Roman" w:hAnsi="Times New Roman" w:cs="Times New Roman"/>
              <w:sz w:val="24"/>
              <w:szCs w:val="24"/>
            </w:rPr>
            <w:t xml:space="preserve"> (FTSE Russell, 2025). The 2024 Annual Report of the company promotes its global presence with more than 190 countries being served by the company and focuses on its </w:t>
          </w:r>
          <w:r w:rsidR="00642E10" w:rsidRPr="001014AA">
            <w:rPr>
              <w:rFonts w:ascii="Times New Roman" w:hAnsi="Times New Roman" w:cs="Times New Roman"/>
              <w:sz w:val="24"/>
              <w:szCs w:val="24"/>
            </w:rPr>
            <w:t>category-focused</w:t>
          </w:r>
          <w:r w:rsidRPr="001014AA">
            <w:rPr>
              <w:rFonts w:ascii="Times New Roman" w:hAnsi="Times New Roman" w:cs="Times New Roman"/>
              <w:sz w:val="24"/>
              <w:szCs w:val="24"/>
            </w:rPr>
            <w:t xml:space="preserve"> structure that aims to enhance growth by accelerating through innovation and sustainability (Unilever, 2024). This ranking highlights the importance of Unilever as a market leader and also as an example of financial performance across the FTSE 100.</w:t>
          </w:r>
        </w:p>
        <w:p w14:paraId="50555A68" w14:textId="51B12372" w:rsidR="0008607E" w:rsidRPr="001014AA" w:rsidRDefault="0008607E" w:rsidP="008617B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Westward Plc</w:t>
          </w:r>
          <w:r w:rsidR="00642E10" w:rsidRPr="001014AA">
            <w:rPr>
              <w:rFonts w:ascii="Times New Roman" w:hAnsi="Times New Roman" w:cs="Times New Roman"/>
              <w:sz w:val="24"/>
              <w:szCs w:val="24"/>
            </w:rPr>
            <w:t>,</w:t>
          </w:r>
          <w:r w:rsidRPr="001014AA">
            <w:rPr>
              <w:rFonts w:ascii="Times New Roman" w:hAnsi="Times New Roman" w:cs="Times New Roman"/>
              <w:sz w:val="24"/>
              <w:szCs w:val="24"/>
            </w:rPr>
            <w:t xml:space="preserve"> on the other hand</w:t>
          </w:r>
          <w:r w:rsidR="00642E10" w:rsidRPr="001014AA">
            <w:rPr>
              <w:rFonts w:ascii="Times New Roman" w:hAnsi="Times New Roman" w:cs="Times New Roman"/>
              <w:sz w:val="24"/>
              <w:szCs w:val="24"/>
            </w:rPr>
            <w:t>,</w:t>
          </w:r>
          <w:r w:rsidRPr="001014AA">
            <w:rPr>
              <w:rFonts w:ascii="Times New Roman" w:hAnsi="Times New Roman" w:cs="Times New Roman"/>
              <w:sz w:val="24"/>
              <w:szCs w:val="24"/>
            </w:rPr>
            <w:t xml:space="preserve"> is a small and focused business that manufactures </w:t>
          </w:r>
          <w:r w:rsidR="00642E10" w:rsidRPr="001014AA">
            <w:rPr>
              <w:rFonts w:ascii="Times New Roman" w:hAnsi="Times New Roman" w:cs="Times New Roman"/>
              <w:sz w:val="24"/>
              <w:szCs w:val="24"/>
            </w:rPr>
            <w:t>high-quality</w:t>
          </w:r>
          <w:r w:rsidRPr="001014AA">
            <w:rPr>
              <w:rFonts w:ascii="Times New Roman" w:hAnsi="Times New Roman" w:cs="Times New Roman"/>
              <w:sz w:val="24"/>
              <w:szCs w:val="24"/>
            </w:rPr>
            <w:t xml:space="preserve"> curtains with the prospects of diversification and sales outlets. The directors have defined 3 strategic investment alternatives, which are expansion of retail stores, internet sales development, or manufacturing of wooden and Roman blinds. Both alternatives involve a lot of capital and have different </w:t>
          </w:r>
          <w:r w:rsidR="00642E10" w:rsidRPr="001014AA">
            <w:rPr>
              <w:rFonts w:ascii="Times New Roman" w:hAnsi="Times New Roman" w:cs="Times New Roman"/>
              <w:sz w:val="24"/>
              <w:szCs w:val="24"/>
            </w:rPr>
            <w:t>risk-return</w:t>
          </w:r>
          <w:r w:rsidRPr="001014AA">
            <w:rPr>
              <w:rFonts w:ascii="Times New Roman" w:hAnsi="Times New Roman" w:cs="Times New Roman"/>
              <w:sz w:val="24"/>
              <w:szCs w:val="24"/>
            </w:rPr>
            <w:t xml:space="preserve"> levels. Although Westward Plc is not as global as Unilever, its expansion plans underscore the need to be very strict in </w:t>
          </w:r>
          <w:r w:rsidR="00642E10" w:rsidRPr="001014AA">
            <w:rPr>
              <w:rFonts w:ascii="Times New Roman" w:hAnsi="Times New Roman" w:cs="Times New Roman"/>
              <w:sz w:val="24"/>
              <w:szCs w:val="24"/>
            </w:rPr>
            <w:t>investment</w:t>
          </w:r>
          <w:r w:rsidRPr="001014AA">
            <w:rPr>
              <w:rFonts w:ascii="Times New Roman" w:hAnsi="Times New Roman" w:cs="Times New Roman"/>
              <w:sz w:val="24"/>
              <w:szCs w:val="24"/>
            </w:rPr>
            <w:t xml:space="preserve"> appraisal to make sure that resources are allocated effectively and shareholder value is realised. Such a contrast of a multinational FMCG giant and a </w:t>
          </w:r>
          <w:r w:rsidR="00642E10" w:rsidRPr="001014AA">
            <w:rPr>
              <w:rFonts w:ascii="Times New Roman" w:hAnsi="Times New Roman" w:cs="Times New Roman"/>
              <w:sz w:val="24"/>
              <w:szCs w:val="24"/>
            </w:rPr>
            <w:t>localised</w:t>
          </w:r>
          <w:r w:rsidRPr="001014AA">
            <w:rPr>
              <w:rFonts w:ascii="Times New Roman" w:hAnsi="Times New Roman" w:cs="Times New Roman"/>
              <w:sz w:val="24"/>
              <w:szCs w:val="24"/>
            </w:rPr>
            <w:t xml:space="preserve"> domestic manufacturer creates a deep framework within the framework of which it is possible to consider the financial management on various levels of enterprise.</w:t>
          </w:r>
        </w:p>
        <w:p w14:paraId="757A1FBE" w14:textId="127AFA82" w:rsidR="0008607E" w:rsidRPr="001014AA" w:rsidRDefault="0008607E" w:rsidP="008617B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 xml:space="preserve">Financial analysis and investment appraisal are two tools that directors of both companies cannot do without in making informed </w:t>
          </w:r>
          <w:r w:rsidR="00642E10" w:rsidRPr="001014AA">
            <w:rPr>
              <w:rFonts w:ascii="Times New Roman" w:hAnsi="Times New Roman" w:cs="Times New Roman"/>
              <w:sz w:val="24"/>
              <w:szCs w:val="24"/>
            </w:rPr>
            <w:t>judgments</w:t>
          </w:r>
          <w:r w:rsidRPr="001014AA">
            <w:rPr>
              <w:rFonts w:ascii="Times New Roman" w:hAnsi="Times New Roman" w:cs="Times New Roman"/>
              <w:sz w:val="24"/>
              <w:szCs w:val="24"/>
            </w:rPr>
            <w:t xml:space="preserve">. The ratio analysis allows the directors to understand the financial statements that are not easily comprehensible to investors by compressing them into important measures of profitability, liquidity, gearing, efficiency, and returns to investors. In the same way, Net Present Value (NPV) and Internal </w:t>
          </w:r>
          <w:r w:rsidRPr="001014AA">
            <w:rPr>
              <w:rFonts w:ascii="Times New Roman" w:hAnsi="Times New Roman" w:cs="Times New Roman"/>
              <w:sz w:val="24"/>
              <w:szCs w:val="24"/>
            </w:rPr>
            <w:lastRenderedPageBreak/>
            <w:t>Rate of Return (IRR) are powerful methods of analy</w:t>
          </w:r>
          <w:r w:rsidR="008617BD">
            <w:rPr>
              <w:rFonts w:ascii="Times New Roman" w:hAnsi="Times New Roman" w:cs="Times New Roman"/>
              <w:sz w:val="24"/>
              <w:szCs w:val="24"/>
            </w:rPr>
            <w:t>s</w:t>
          </w:r>
          <w:r w:rsidRPr="001014AA">
            <w:rPr>
              <w:rFonts w:ascii="Times New Roman" w:hAnsi="Times New Roman" w:cs="Times New Roman"/>
              <w:sz w:val="24"/>
              <w:szCs w:val="24"/>
            </w:rPr>
            <w:t xml:space="preserve">ing long term investments that include the time value of money and risk element (Arjunan, 2022). These approaches are consistent between financial performance and strategic goals so that the directors are able to manage </w:t>
          </w:r>
          <w:r w:rsidR="00642E10" w:rsidRPr="001014AA">
            <w:rPr>
              <w:rFonts w:ascii="Times New Roman" w:hAnsi="Times New Roman" w:cs="Times New Roman"/>
              <w:sz w:val="24"/>
              <w:szCs w:val="24"/>
            </w:rPr>
            <w:t>short-term</w:t>
          </w:r>
          <w:r w:rsidRPr="001014AA">
            <w:rPr>
              <w:rFonts w:ascii="Times New Roman" w:hAnsi="Times New Roman" w:cs="Times New Roman"/>
              <w:sz w:val="24"/>
              <w:szCs w:val="24"/>
            </w:rPr>
            <w:t xml:space="preserve"> operating effectiveness with </w:t>
          </w:r>
          <w:r w:rsidR="00C35804" w:rsidRPr="001014AA">
            <w:rPr>
              <w:rFonts w:ascii="Times New Roman" w:hAnsi="Times New Roman" w:cs="Times New Roman"/>
              <w:sz w:val="24"/>
              <w:szCs w:val="24"/>
            </w:rPr>
            <w:t>long-term</w:t>
          </w:r>
          <w:r w:rsidRPr="001014AA">
            <w:rPr>
              <w:rFonts w:ascii="Times New Roman" w:hAnsi="Times New Roman" w:cs="Times New Roman"/>
              <w:sz w:val="24"/>
              <w:szCs w:val="24"/>
            </w:rPr>
            <w:t xml:space="preserve"> value creation.</w:t>
          </w:r>
        </w:p>
        <w:p w14:paraId="6920C5AA" w14:textId="68B19C3E" w:rsidR="0008607E" w:rsidRPr="001014AA" w:rsidRDefault="0008607E" w:rsidP="008617B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 xml:space="preserve">This report will be divided into two sections. Part A is about Unilever, where the analysis of the 2023 and 2024 financial statements of the company is conducted using a ratio analysis, critically assessing the trends and limitations, and providing recommendations </w:t>
          </w:r>
          <w:r w:rsidR="00642E10" w:rsidRPr="001014AA">
            <w:rPr>
              <w:rFonts w:ascii="Times New Roman" w:hAnsi="Times New Roman" w:cs="Times New Roman"/>
              <w:sz w:val="24"/>
              <w:szCs w:val="24"/>
            </w:rPr>
            <w:t>for</w:t>
          </w:r>
          <w:r w:rsidRPr="001014AA">
            <w:rPr>
              <w:rFonts w:ascii="Times New Roman" w:hAnsi="Times New Roman" w:cs="Times New Roman"/>
              <w:sz w:val="24"/>
              <w:szCs w:val="24"/>
            </w:rPr>
            <w:t xml:space="preserve"> better financial management. Part B discusses the investment alternatives of Westward Plc by applying NPV and IRR, </w:t>
          </w:r>
          <w:r w:rsidR="00C35804" w:rsidRPr="001014AA">
            <w:rPr>
              <w:rFonts w:ascii="Times New Roman" w:hAnsi="Times New Roman" w:cs="Times New Roman"/>
              <w:sz w:val="24"/>
              <w:szCs w:val="24"/>
            </w:rPr>
            <w:t>understanding</w:t>
          </w:r>
          <w:r w:rsidRPr="001014AA">
            <w:rPr>
              <w:rFonts w:ascii="Times New Roman" w:hAnsi="Times New Roman" w:cs="Times New Roman"/>
              <w:sz w:val="24"/>
              <w:szCs w:val="24"/>
            </w:rPr>
            <w:t xml:space="preserve"> theoretical and practical considerations, and </w:t>
          </w:r>
          <w:r w:rsidR="00642E10" w:rsidRPr="001014AA">
            <w:rPr>
              <w:rFonts w:ascii="Times New Roman" w:hAnsi="Times New Roman" w:cs="Times New Roman"/>
              <w:sz w:val="24"/>
              <w:szCs w:val="24"/>
            </w:rPr>
            <w:t>analysing</w:t>
          </w:r>
          <w:r w:rsidRPr="001014AA">
            <w:rPr>
              <w:rFonts w:ascii="Times New Roman" w:hAnsi="Times New Roman" w:cs="Times New Roman"/>
              <w:sz w:val="24"/>
              <w:szCs w:val="24"/>
            </w:rPr>
            <w:t xml:space="preserve"> the capital rationing and financing decision. The approach is a quantitative analysis approach with a critical analysis so that the recommendations are </w:t>
          </w:r>
          <w:r w:rsidR="00C35804" w:rsidRPr="001014AA">
            <w:rPr>
              <w:rFonts w:ascii="Times New Roman" w:hAnsi="Times New Roman" w:cs="Times New Roman"/>
              <w:sz w:val="24"/>
              <w:szCs w:val="24"/>
            </w:rPr>
            <w:t>evidence-based</w:t>
          </w:r>
          <w:r w:rsidRPr="001014AA">
            <w:rPr>
              <w:rFonts w:ascii="Times New Roman" w:hAnsi="Times New Roman" w:cs="Times New Roman"/>
              <w:sz w:val="24"/>
              <w:szCs w:val="24"/>
            </w:rPr>
            <w:t xml:space="preserve"> and that they are consistent with the best practice in corporate finance. Collectively, the analyses can offer directors with practical financial performance and strategic investment information.</w:t>
          </w:r>
        </w:p>
        <w:p w14:paraId="2E293EB9" w14:textId="11A23E03" w:rsidR="00480872" w:rsidRPr="001014AA" w:rsidRDefault="00C35804" w:rsidP="001014AA">
          <w:pPr>
            <w:pStyle w:val="Heading1"/>
            <w:spacing w:before="0" w:line="480" w:lineRule="auto"/>
            <w:ind w:left="720" w:hanging="720"/>
            <w:rPr>
              <w:rFonts w:ascii="Times New Roman" w:hAnsi="Times New Roman" w:cs="Times New Roman"/>
              <w:b/>
              <w:bCs/>
              <w:color w:val="auto"/>
              <w:sz w:val="24"/>
              <w:szCs w:val="24"/>
            </w:rPr>
          </w:pPr>
          <w:bookmarkStart w:id="2" w:name="_Toc218616247"/>
          <w:r w:rsidRPr="001014AA">
            <w:rPr>
              <w:rFonts w:ascii="Times New Roman" w:hAnsi="Times New Roman" w:cs="Times New Roman"/>
              <w:b/>
              <w:bCs/>
              <w:color w:val="auto"/>
              <w:sz w:val="24"/>
              <w:szCs w:val="24"/>
            </w:rPr>
            <w:t xml:space="preserve">2.0 </w:t>
          </w:r>
          <w:r w:rsidR="00480872" w:rsidRPr="001014AA">
            <w:rPr>
              <w:rFonts w:ascii="Times New Roman" w:hAnsi="Times New Roman" w:cs="Times New Roman"/>
              <w:b/>
              <w:bCs/>
              <w:color w:val="auto"/>
              <w:sz w:val="24"/>
              <w:szCs w:val="24"/>
            </w:rPr>
            <w:t>Main Findings</w:t>
          </w:r>
          <w:bookmarkEnd w:id="2"/>
        </w:p>
        <w:p w14:paraId="24C1CD33" w14:textId="6AD37148" w:rsidR="0008607E" w:rsidRPr="001014AA" w:rsidRDefault="00C35804" w:rsidP="001014AA">
          <w:pPr>
            <w:pStyle w:val="Heading2"/>
            <w:spacing w:before="0" w:line="480" w:lineRule="auto"/>
            <w:ind w:left="720" w:hanging="720"/>
            <w:rPr>
              <w:rFonts w:ascii="Times New Roman" w:hAnsi="Times New Roman" w:cs="Times New Roman"/>
              <w:b/>
              <w:bCs/>
              <w:color w:val="auto"/>
              <w:sz w:val="24"/>
              <w:szCs w:val="24"/>
            </w:rPr>
          </w:pPr>
          <w:bookmarkStart w:id="3" w:name="_Toc218616248"/>
          <w:r w:rsidRPr="001014AA">
            <w:rPr>
              <w:rFonts w:ascii="Times New Roman" w:hAnsi="Times New Roman" w:cs="Times New Roman"/>
              <w:b/>
              <w:bCs/>
              <w:color w:val="auto"/>
              <w:sz w:val="24"/>
              <w:szCs w:val="24"/>
            </w:rPr>
            <w:t>2.1 Part</w:t>
          </w:r>
          <w:r w:rsidR="00CF0E48" w:rsidRPr="001014AA">
            <w:rPr>
              <w:rFonts w:ascii="Times New Roman" w:hAnsi="Times New Roman" w:cs="Times New Roman"/>
              <w:b/>
              <w:bCs/>
              <w:color w:val="auto"/>
              <w:sz w:val="24"/>
              <w:szCs w:val="24"/>
            </w:rPr>
            <w:t xml:space="preserve"> 1</w:t>
          </w:r>
          <w:r w:rsidR="0008607E" w:rsidRPr="001014AA">
            <w:rPr>
              <w:rFonts w:ascii="Times New Roman" w:hAnsi="Times New Roman" w:cs="Times New Roman"/>
              <w:b/>
              <w:bCs/>
              <w:color w:val="auto"/>
              <w:sz w:val="24"/>
              <w:szCs w:val="24"/>
            </w:rPr>
            <w:t>: Unilever Plc Financial Analysis</w:t>
          </w:r>
          <w:bookmarkEnd w:id="3"/>
        </w:p>
        <w:p w14:paraId="39E9E9E1" w14:textId="179C47CA" w:rsidR="0008607E" w:rsidRPr="001014AA" w:rsidRDefault="00C35804" w:rsidP="001014AA">
          <w:pPr>
            <w:pStyle w:val="Heading3"/>
            <w:spacing w:before="0" w:line="480" w:lineRule="auto"/>
            <w:ind w:left="720" w:hanging="720"/>
            <w:rPr>
              <w:rFonts w:ascii="Times New Roman" w:hAnsi="Times New Roman" w:cs="Times New Roman"/>
              <w:b/>
              <w:bCs/>
              <w:color w:val="auto"/>
            </w:rPr>
          </w:pPr>
          <w:bookmarkStart w:id="4" w:name="_Toc218616249"/>
          <w:r w:rsidRPr="001014AA">
            <w:rPr>
              <w:rFonts w:ascii="Times New Roman" w:hAnsi="Times New Roman" w:cs="Times New Roman"/>
              <w:b/>
              <w:bCs/>
              <w:color w:val="auto"/>
            </w:rPr>
            <w:t xml:space="preserve">2.1.1 </w:t>
          </w:r>
          <w:r w:rsidR="0008607E" w:rsidRPr="001014AA">
            <w:rPr>
              <w:rFonts w:ascii="Times New Roman" w:hAnsi="Times New Roman" w:cs="Times New Roman"/>
              <w:b/>
              <w:bCs/>
              <w:color w:val="auto"/>
            </w:rPr>
            <w:t>Financial Statements Overview</w:t>
          </w:r>
          <w:bookmarkEnd w:id="4"/>
        </w:p>
        <w:p w14:paraId="5DBE3A19" w14:textId="69DAD1DC" w:rsidR="0008607E" w:rsidRPr="001014AA" w:rsidRDefault="0008607E" w:rsidP="008617B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 xml:space="preserve">The consolidated financial statements of Unilever 2023 and 2024 indicate the strength that the company has </w:t>
          </w:r>
          <w:r w:rsidR="00642E10" w:rsidRPr="001014AA">
            <w:rPr>
              <w:rFonts w:ascii="Times New Roman" w:hAnsi="Times New Roman" w:cs="Times New Roman"/>
              <w:sz w:val="24"/>
              <w:szCs w:val="24"/>
            </w:rPr>
            <w:t>shown in</w:t>
          </w:r>
          <w:r w:rsidRPr="001014AA">
            <w:rPr>
              <w:rFonts w:ascii="Times New Roman" w:hAnsi="Times New Roman" w:cs="Times New Roman"/>
              <w:sz w:val="24"/>
              <w:szCs w:val="24"/>
            </w:rPr>
            <w:t xml:space="preserve"> facing a difficult macroeconomic environment. A comparative examination of the income statement shows that there is a pattern of a low growth rate that is based on strategic pricing measures and changing brand portfolios (Baran, </w:t>
          </w:r>
          <w:proofErr w:type="spellStart"/>
          <w:r w:rsidRPr="001014AA">
            <w:rPr>
              <w:rFonts w:ascii="Times New Roman" w:hAnsi="Times New Roman" w:cs="Times New Roman"/>
              <w:sz w:val="24"/>
              <w:szCs w:val="24"/>
            </w:rPr>
            <w:t>Pastýr</w:t>
          </w:r>
          <w:proofErr w:type="spellEnd"/>
          <w:r w:rsidRPr="001014AA">
            <w:rPr>
              <w:rFonts w:ascii="Times New Roman" w:hAnsi="Times New Roman" w:cs="Times New Roman"/>
              <w:sz w:val="24"/>
              <w:szCs w:val="24"/>
            </w:rPr>
            <w:t xml:space="preserve"> and Baranova, 2016). In 2023, Unilever recorded a turnover of 59.6 billion Euro that has slightly increased to 60.8 billion </w:t>
          </w:r>
          <w:r w:rsidR="00642E10" w:rsidRPr="001014AA">
            <w:rPr>
              <w:rFonts w:ascii="Times New Roman" w:hAnsi="Times New Roman" w:cs="Times New Roman"/>
              <w:sz w:val="24"/>
              <w:szCs w:val="24"/>
            </w:rPr>
            <w:t>euros</w:t>
          </w:r>
          <w:r w:rsidRPr="001014AA">
            <w:rPr>
              <w:rFonts w:ascii="Times New Roman" w:hAnsi="Times New Roman" w:cs="Times New Roman"/>
              <w:sz w:val="24"/>
              <w:szCs w:val="24"/>
            </w:rPr>
            <w:t xml:space="preserve"> in 2024. This expansion came even after selling the portfolio activities</w:t>
          </w:r>
          <w:r w:rsidR="00642E10" w:rsidRPr="001014AA">
            <w:rPr>
              <w:rFonts w:ascii="Times New Roman" w:hAnsi="Times New Roman" w:cs="Times New Roman"/>
              <w:sz w:val="24"/>
              <w:szCs w:val="24"/>
            </w:rPr>
            <w:t>,</w:t>
          </w:r>
          <w:r w:rsidRPr="001014AA">
            <w:rPr>
              <w:rFonts w:ascii="Times New Roman" w:hAnsi="Times New Roman" w:cs="Times New Roman"/>
              <w:sz w:val="24"/>
              <w:szCs w:val="24"/>
            </w:rPr>
            <w:t xml:space="preserve"> such as the divestiture of the Elida Beauty section with Yellow Wood Partners in December 2023</w:t>
          </w:r>
          <w:r w:rsidR="00642E10" w:rsidRPr="001014AA">
            <w:rPr>
              <w:rFonts w:ascii="Times New Roman" w:hAnsi="Times New Roman" w:cs="Times New Roman"/>
              <w:sz w:val="24"/>
              <w:szCs w:val="24"/>
            </w:rPr>
            <w:t>, which</w:t>
          </w:r>
          <w:r w:rsidRPr="001014AA">
            <w:rPr>
              <w:rFonts w:ascii="Times New Roman" w:hAnsi="Times New Roman" w:cs="Times New Roman"/>
              <w:sz w:val="24"/>
              <w:szCs w:val="24"/>
            </w:rPr>
            <w:t xml:space="preserve"> was finalised in 2024 (Unilever, 2024). Nonetheless, organic performance has been evident as underlying sales growth was not negative at any </w:t>
          </w:r>
          <w:r w:rsidRPr="001014AA">
            <w:rPr>
              <w:rFonts w:ascii="Times New Roman" w:hAnsi="Times New Roman" w:cs="Times New Roman"/>
              <w:sz w:val="24"/>
              <w:szCs w:val="24"/>
            </w:rPr>
            <w:lastRenderedPageBreak/>
            <w:t xml:space="preserve">point in 2023 and dropped to 4.2% in 2024 (Bloomberg, 2024). Operating profit dropped in 2023 (9.8billion) to 2024 (9.4billion) with losses attributable to disposals, but also aggressive cost-saving programmes such as Productivity for Growth. As such, the net profit after tax payable to the shareholders decreased by nearly half of its figure between 6.5 billion </w:t>
          </w:r>
          <w:r w:rsidR="00642E10" w:rsidRPr="001014AA">
            <w:rPr>
              <w:rFonts w:ascii="Times New Roman" w:hAnsi="Times New Roman" w:cs="Times New Roman"/>
              <w:sz w:val="24"/>
              <w:szCs w:val="24"/>
            </w:rPr>
            <w:t>and</w:t>
          </w:r>
          <w:r w:rsidRPr="001014AA">
            <w:rPr>
              <w:rFonts w:ascii="Times New Roman" w:hAnsi="Times New Roman" w:cs="Times New Roman"/>
              <w:sz w:val="24"/>
              <w:szCs w:val="24"/>
            </w:rPr>
            <w:t xml:space="preserve"> 5.7 billion during the same period</w:t>
          </w:r>
          <w:r w:rsidR="00642E10" w:rsidRPr="001014AA">
            <w:rPr>
              <w:rFonts w:ascii="Times New Roman" w:hAnsi="Times New Roman" w:cs="Times New Roman"/>
              <w:sz w:val="24"/>
              <w:szCs w:val="24"/>
            </w:rPr>
            <w:t>,</w:t>
          </w:r>
          <w:r w:rsidRPr="001014AA">
            <w:rPr>
              <w:rFonts w:ascii="Times New Roman" w:hAnsi="Times New Roman" w:cs="Times New Roman"/>
              <w:sz w:val="24"/>
              <w:szCs w:val="24"/>
            </w:rPr>
            <w:t xml:space="preserve"> and this highlights the margin pressures on the bottom-line effectiveness.</w:t>
          </w:r>
        </w:p>
        <w:p w14:paraId="65C7B75B" w14:textId="14BC9834" w:rsidR="0008607E" w:rsidRPr="001014AA" w:rsidRDefault="0008607E" w:rsidP="008617B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 xml:space="preserve">The consolidated balance sheet indicates a stable and highly managed financial base, which reinforces the strategic imperatives of the Group. The total assets went up to 79.8 billion in 2024 after </w:t>
          </w:r>
          <w:r w:rsidR="00642E10" w:rsidRPr="001014AA">
            <w:rPr>
              <w:rFonts w:ascii="Times New Roman" w:hAnsi="Times New Roman" w:cs="Times New Roman"/>
              <w:sz w:val="24"/>
              <w:szCs w:val="24"/>
            </w:rPr>
            <w:t>standing</w:t>
          </w:r>
          <w:r w:rsidRPr="001014AA">
            <w:rPr>
              <w:rFonts w:ascii="Times New Roman" w:hAnsi="Times New Roman" w:cs="Times New Roman"/>
              <w:sz w:val="24"/>
              <w:szCs w:val="24"/>
            </w:rPr>
            <w:t xml:space="preserve"> at 75.3 billion in 2023, as per changes in the portfolio. The liabilities have also increased to €57.2 billion, compared to €54.5 billion, and the equity of the shareholders has been strengthened to €22.6 billion against 20.8 billion, indicating a positive net asset value and financial strength (Unilever, 2024). This statement provides a true and fair picture</w:t>
          </w:r>
          <w:r w:rsidR="00642E10" w:rsidRPr="001014AA">
            <w:rPr>
              <w:rFonts w:ascii="Times New Roman" w:hAnsi="Times New Roman" w:cs="Times New Roman"/>
              <w:sz w:val="24"/>
              <w:szCs w:val="24"/>
            </w:rPr>
            <w:t>,</w:t>
          </w:r>
          <w:r w:rsidRPr="001014AA">
            <w:rPr>
              <w:rFonts w:ascii="Times New Roman" w:hAnsi="Times New Roman" w:cs="Times New Roman"/>
              <w:sz w:val="24"/>
              <w:szCs w:val="24"/>
            </w:rPr>
            <w:t xml:space="preserve"> and the </w:t>
          </w:r>
          <w:r w:rsidR="00EC2C83" w:rsidRPr="001014AA">
            <w:rPr>
              <w:rFonts w:ascii="Times New Roman" w:hAnsi="Times New Roman" w:cs="Times New Roman"/>
              <w:sz w:val="24"/>
              <w:szCs w:val="24"/>
            </w:rPr>
            <w:t>auditor's</w:t>
          </w:r>
          <w:r w:rsidRPr="001014AA">
            <w:rPr>
              <w:rFonts w:ascii="Times New Roman" w:hAnsi="Times New Roman" w:cs="Times New Roman"/>
              <w:sz w:val="24"/>
              <w:szCs w:val="24"/>
            </w:rPr>
            <w:t xml:space="preserve"> report does not contain any material misstatements</w:t>
          </w:r>
          <w:r w:rsidR="00642E10" w:rsidRPr="001014AA">
            <w:rPr>
              <w:rFonts w:ascii="Times New Roman" w:hAnsi="Times New Roman" w:cs="Times New Roman"/>
              <w:sz w:val="24"/>
              <w:szCs w:val="24"/>
            </w:rPr>
            <w:t>,</w:t>
          </w:r>
          <w:r w:rsidRPr="001014AA">
            <w:rPr>
              <w:rFonts w:ascii="Times New Roman" w:hAnsi="Times New Roman" w:cs="Times New Roman"/>
              <w:sz w:val="24"/>
              <w:szCs w:val="24"/>
            </w:rPr>
            <w:t xml:space="preserve"> thus confirming the integrity of these figures (PricewaterhouseCoopers LLP, 2024).</w:t>
          </w:r>
        </w:p>
        <w:p w14:paraId="39D21BF0" w14:textId="5C7D9A24" w:rsidR="0008607E" w:rsidRPr="001014AA" w:rsidRDefault="0008607E" w:rsidP="008617B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The cash flows statement shows that Unilever has a stable capacity to produce a strong operating liquidity, which finances strategic investments and dividend payments to shareholders. The net cash flow as a result of operating activities was also good</w:t>
          </w:r>
          <w:r w:rsidR="00642E10" w:rsidRPr="001014AA">
            <w:rPr>
              <w:rFonts w:ascii="Times New Roman" w:hAnsi="Times New Roman" w:cs="Times New Roman"/>
              <w:sz w:val="24"/>
              <w:szCs w:val="24"/>
            </w:rPr>
            <w:t>,</w:t>
          </w:r>
          <w:r w:rsidRPr="001014AA">
            <w:rPr>
              <w:rFonts w:ascii="Times New Roman" w:hAnsi="Times New Roman" w:cs="Times New Roman"/>
              <w:sz w:val="24"/>
              <w:szCs w:val="24"/>
            </w:rPr>
            <w:t xml:space="preserve"> with 9.4 billion in 2023 and 9.5 billion in 2024. The stable cash flow, which is a key business metric of core business health highlighted in the literature on financial statement analysis (Penman, 2013), allowed investment of 0.8 billion in acquisitions and 1.7 billion in property, plant and equipment in 2024. In addition, it funded steadfast dividends to shareholders, and in 2024 alone, it paid out 4.3 billion through dividends. Such a performance measures combination proves the solidity of the operations of Unilever and its ability to implement its own Growth Action Plan and remain financially disciplined (Unilever, 2024).</w:t>
          </w:r>
        </w:p>
        <w:p w14:paraId="4C86A605" w14:textId="64F09DF3" w:rsidR="0008607E" w:rsidRPr="001014AA" w:rsidRDefault="00C35804" w:rsidP="001014AA">
          <w:pPr>
            <w:pStyle w:val="Heading3"/>
            <w:spacing w:before="0" w:line="480" w:lineRule="auto"/>
            <w:ind w:left="720" w:hanging="720"/>
            <w:rPr>
              <w:rFonts w:ascii="Times New Roman" w:hAnsi="Times New Roman" w:cs="Times New Roman"/>
              <w:b/>
              <w:bCs/>
              <w:color w:val="auto"/>
            </w:rPr>
          </w:pPr>
          <w:bookmarkStart w:id="5" w:name="_Toc218616250"/>
          <w:r w:rsidRPr="001014AA">
            <w:rPr>
              <w:rFonts w:ascii="Times New Roman" w:hAnsi="Times New Roman" w:cs="Times New Roman"/>
              <w:b/>
              <w:bCs/>
              <w:color w:val="auto"/>
            </w:rPr>
            <w:lastRenderedPageBreak/>
            <w:t xml:space="preserve">2.1.2 </w:t>
          </w:r>
          <w:r w:rsidR="0008607E" w:rsidRPr="001014AA">
            <w:rPr>
              <w:rFonts w:ascii="Times New Roman" w:hAnsi="Times New Roman" w:cs="Times New Roman"/>
              <w:b/>
              <w:bCs/>
              <w:color w:val="auto"/>
            </w:rPr>
            <w:t>Ratio Results &amp; Analysis</w:t>
          </w:r>
          <w:bookmarkEnd w:id="5"/>
        </w:p>
        <w:p w14:paraId="649BF3DE" w14:textId="2C1A9D50" w:rsidR="0008607E" w:rsidRPr="008617BD" w:rsidRDefault="00C35804" w:rsidP="001014AA">
          <w:pPr>
            <w:spacing w:after="0" w:line="480" w:lineRule="auto"/>
            <w:ind w:left="720" w:hanging="720"/>
            <w:rPr>
              <w:rFonts w:ascii="Times New Roman" w:hAnsi="Times New Roman" w:cs="Times New Roman"/>
              <w:b/>
              <w:bCs/>
              <w:sz w:val="24"/>
              <w:szCs w:val="24"/>
            </w:rPr>
          </w:pPr>
          <w:r w:rsidRPr="008617BD">
            <w:rPr>
              <w:rFonts w:ascii="Times New Roman" w:hAnsi="Times New Roman" w:cs="Times New Roman"/>
              <w:b/>
              <w:bCs/>
              <w:sz w:val="24"/>
              <w:szCs w:val="24"/>
            </w:rPr>
            <w:t xml:space="preserve"> </w:t>
          </w:r>
          <w:r w:rsidR="0008607E" w:rsidRPr="008617BD">
            <w:rPr>
              <w:rFonts w:ascii="Times New Roman" w:hAnsi="Times New Roman" w:cs="Times New Roman"/>
              <w:b/>
              <w:bCs/>
              <w:sz w:val="24"/>
              <w:szCs w:val="24"/>
            </w:rPr>
            <w:t xml:space="preserve">1. Profitability Ratios  </w:t>
          </w:r>
        </w:p>
        <w:p w14:paraId="4DE7749F" w14:textId="77777777" w:rsidR="0008607E" w:rsidRPr="008617BD" w:rsidRDefault="0008607E" w:rsidP="008617BD">
          <w:pPr>
            <w:spacing w:after="0" w:line="480" w:lineRule="auto"/>
            <w:rPr>
              <w:rFonts w:ascii="Times New Roman" w:hAnsi="Times New Roman" w:cs="Times New Roman"/>
              <w:sz w:val="24"/>
              <w:szCs w:val="24"/>
            </w:rPr>
          </w:pPr>
          <w:r w:rsidRPr="008617BD">
            <w:rPr>
              <w:rFonts w:ascii="Times New Roman" w:hAnsi="Times New Roman" w:cs="Times New Roman"/>
              <w:sz w:val="24"/>
              <w:szCs w:val="24"/>
            </w:rPr>
            <w:t>The profitability ratios of Unilever have a conflicting trend, indicating the company is resilient and also a consequence of portfolio restructuring.</w:t>
          </w:r>
        </w:p>
        <w:p w14:paraId="0F7CEE10" w14:textId="77777777" w:rsidR="00C35804" w:rsidRPr="008617BD" w:rsidRDefault="0008607E" w:rsidP="008617BD">
          <w:pPr>
            <w:pStyle w:val="ListParagraph"/>
            <w:numPr>
              <w:ilvl w:val="0"/>
              <w:numId w:val="12"/>
            </w:numPr>
            <w:spacing w:after="0" w:line="480" w:lineRule="auto"/>
            <w:rPr>
              <w:rFonts w:ascii="Times New Roman" w:hAnsi="Times New Roman" w:cs="Times New Roman"/>
              <w:sz w:val="24"/>
              <w:szCs w:val="24"/>
            </w:rPr>
          </w:pPr>
          <w:r w:rsidRPr="008617BD">
            <w:rPr>
              <w:rFonts w:ascii="Times New Roman" w:hAnsi="Times New Roman" w:cs="Times New Roman"/>
              <w:sz w:val="24"/>
              <w:szCs w:val="24"/>
            </w:rPr>
            <w:t>Operating Margin</w:t>
          </w:r>
          <w:r w:rsidR="00C35804" w:rsidRPr="008617BD">
            <w:rPr>
              <w:rFonts w:ascii="Times New Roman" w:hAnsi="Times New Roman" w:cs="Times New Roman"/>
              <w:sz w:val="24"/>
              <w:szCs w:val="24"/>
            </w:rPr>
            <w:t xml:space="preserve">: </w:t>
          </w:r>
          <w:r w:rsidRPr="008617BD">
            <w:rPr>
              <w:rFonts w:ascii="Times New Roman" w:hAnsi="Times New Roman" w:cs="Times New Roman"/>
              <w:sz w:val="24"/>
              <w:szCs w:val="24"/>
            </w:rPr>
            <w:t>It has fallen to 15.5% in 2024 compared to 16.4% in 2023 (Unilever, 2024). This reduction represents the short-term financial effect of the dispositions, which temporarily counterbalances the advantages of the programme on Net Productivity and brand mix (Buulolo and Nopiana, 2025).</w:t>
          </w:r>
        </w:p>
        <w:p w14:paraId="34E501A2" w14:textId="7D931AED" w:rsidR="00C35804" w:rsidRPr="008617BD" w:rsidRDefault="0008607E" w:rsidP="008617BD">
          <w:pPr>
            <w:pStyle w:val="ListParagraph"/>
            <w:numPr>
              <w:ilvl w:val="0"/>
              <w:numId w:val="12"/>
            </w:numPr>
            <w:spacing w:after="0" w:line="480" w:lineRule="auto"/>
            <w:rPr>
              <w:rFonts w:ascii="Times New Roman" w:hAnsi="Times New Roman" w:cs="Times New Roman"/>
              <w:sz w:val="24"/>
              <w:szCs w:val="24"/>
            </w:rPr>
          </w:pPr>
          <w:r w:rsidRPr="008617BD">
            <w:rPr>
              <w:rFonts w:ascii="Times New Roman" w:hAnsi="Times New Roman" w:cs="Times New Roman"/>
              <w:sz w:val="24"/>
              <w:szCs w:val="24"/>
            </w:rPr>
            <w:t>Return on Capital Employed (ROCE)</w:t>
          </w:r>
          <w:r w:rsidR="00C35804" w:rsidRPr="008617BD">
            <w:rPr>
              <w:rFonts w:ascii="Times New Roman" w:hAnsi="Times New Roman" w:cs="Times New Roman"/>
              <w:sz w:val="24"/>
              <w:szCs w:val="24"/>
            </w:rPr>
            <w:t xml:space="preserve">: </w:t>
          </w:r>
          <w:r w:rsidRPr="008617BD">
            <w:rPr>
              <w:rFonts w:ascii="Times New Roman" w:hAnsi="Times New Roman" w:cs="Times New Roman"/>
              <w:sz w:val="24"/>
              <w:szCs w:val="24"/>
            </w:rPr>
            <w:t xml:space="preserve">Shrunk to around 16.9% as compared to 17.9%. This means the efficiency gains that come as a result of the strategic transformation are still not reflected </w:t>
          </w:r>
          <w:r w:rsidR="00EC2C83" w:rsidRPr="008617BD">
            <w:rPr>
              <w:rFonts w:ascii="Times New Roman" w:hAnsi="Times New Roman" w:cs="Times New Roman"/>
              <w:sz w:val="24"/>
              <w:szCs w:val="24"/>
            </w:rPr>
            <w:t>in</w:t>
          </w:r>
          <w:r w:rsidRPr="008617BD">
            <w:rPr>
              <w:rFonts w:ascii="Times New Roman" w:hAnsi="Times New Roman" w:cs="Times New Roman"/>
              <w:sz w:val="24"/>
              <w:szCs w:val="24"/>
            </w:rPr>
            <w:t xml:space="preserve"> the capital reinvested </w:t>
          </w:r>
          <w:r w:rsidR="00EC2C83" w:rsidRPr="008617BD">
            <w:rPr>
              <w:rFonts w:ascii="Times New Roman" w:hAnsi="Times New Roman" w:cs="Times New Roman"/>
              <w:sz w:val="24"/>
              <w:szCs w:val="24"/>
            </w:rPr>
            <w:t>in</w:t>
          </w:r>
          <w:r w:rsidRPr="008617BD">
            <w:rPr>
              <w:rFonts w:ascii="Times New Roman" w:hAnsi="Times New Roman" w:cs="Times New Roman"/>
              <w:sz w:val="24"/>
              <w:szCs w:val="24"/>
            </w:rPr>
            <w:t xml:space="preserve"> the streamlined portfolio</w:t>
          </w:r>
          <w:r w:rsidR="00EC2C83" w:rsidRPr="008617BD">
            <w:rPr>
              <w:rFonts w:ascii="Times New Roman" w:hAnsi="Times New Roman" w:cs="Times New Roman"/>
              <w:sz w:val="24"/>
              <w:szCs w:val="24"/>
            </w:rPr>
            <w:t>,</w:t>
          </w:r>
          <w:r w:rsidRPr="008617BD">
            <w:rPr>
              <w:rFonts w:ascii="Times New Roman" w:hAnsi="Times New Roman" w:cs="Times New Roman"/>
              <w:sz w:val="24"/>
              <w:szCs w:val="24"/>
            </w:rPr>
            <w:t xml:space="preserve"> and the capital reinvested has not yet paid off in suppositively higher operating returns. This has further increased the distance between the company and its major rival</w:t>
          </w:r>
          <w:r w:rsidR="00EC2C83" w:rsidRPr="008617BD">
            <w:rPr>
              <w:rFonts w:ascii="Times New Roman" w:hAnsi="Times New Roman" w:cs="Times New Roman"/>
              <w:sz w:val="24"/>
              <w:szCs w:val="24"/>
            </w:rPr>
            <w:t>,</w:t>
          </w:r>
          <w:r w:rsidRPr="008617BD">
            <w:rPr>
              <w:rFonts w:ascii="Times New Roman" w:hAnsi="Times New Roman" w:cs="Times New Roman"/>
              <w:sz w:val="24"/>
              <w:szCs w:val="24"/>
            </w:rPr>
            <w:t xml:space="preserve"> such as Procter &amp; Gamble (Procter &amp; Gamble, 2024).</w:t>
          </w:r>
        </w:p>
        <w:p w14:paraId="41A498F3" w14:textId="2BD8BD5A" w:rsidR="0008607E" w:rsidRPr="008617BD" w:rsidRDefault="0008607E" w:rsidP="008617BD">
          <w:pPr>
            <w:pStyle w:val="ListParagraph"/>
            <w:numPr>
              <w:ilvl w:val="0"/>
              <w:numId w:val="12"/>
            </w:numPr>
            <w:spacing w:after="0" w:line="480" w:lineRule="auto"/>
            <w:rPr>
              <w:rFonts w:ascii="Times New Roman" w:hAnsi="Times New Roman" w:cs="Times New Roman"/>
              <w:sz w:val="24"/>
              <w:szCs w:val="24"/>
            </w:rPr>
          </w:pPr>
          <w:r w:rsidRPr="008617BD">
            <w:rPr>
              <w:rFonts w:ascii="Times New Roman" w:hAnsi="Times New Roman" w:cs="Times New Roman"/>
              <w:sz w:val="24"/>
              <w:szCs w:val="24"/>
            </w:rPr>
            <w:t>Gross Margin</w:t>
          </w:r>
          <w:r w:rsidR="00C35804" w:rsidRPr="008617BD">
            <w:rPr>
              <w:rFonts w:ascii="Times New Roman" w:hAnsi="Times New Roman" w:cs="Times New Roman"/>
              <w:sz w:val="24"/>
              <w:szCs w:val="24"/>
            </w:rPr>
            <w:t xml:space="preserve">: </w:t>
          </w:r>
          <w:r w:rsidRPr="008617BD">
            <w:rPr>
              <w:rFonts w:ascii="Times New Roman" w:hAnsi="Times New Roman" w:cs="Times New Roman"/>
              <w:sz w:val="24"/>
              <w:szCs w:val="24"/>
            </w:rPr>
            <w:t xml:space="preserve">It is not explicitly shown in the statements, but the ability to maintain operating margins during the instability related to the costs of inputs speaks in </w:t>
          </w:r>
          <w:r w:rsidR="00EC2C83" w:rsidRPr="008617BD">
            <w:rPr>
              <w:rFonts w:ascii="Times New Roman" w:hAnsi="Times New Roman" w:cs="Times New Roman"/>
              <w:sz w:val="24"/>
              <w:szCs w:val="24"/>
            </w:rPr>
            <w:t>favour</w:t>
          </w:r>
          <w:r w:rsidRPr="008617BD">
            <w:rPr>
              <w:rFonts w:ascii="Times New Roman" w:hAnsi="Times New Roman" w:cs="Times New Roman"/>
              <w:sz w:val="24"/>
              <w:szCs w:val="24"/>
            </w:rPr>
            <w:t xml:space="preserve"> of good pricing policies and portfolio management (Unilever, 2024; Evmenchik et al., 2021).</w:t>
          </w:r>
        </w:p>
        <w:p w14:paraId="628C828F" w14:textId="77777777" w:rsidR="0008607E" w:rsidRPr="001014AA" w:rsidRDefault="0008607E" w:rsidP="001014AA">
          <w:pPr>
            <w:spacing w:after="0" w:line="480" w:lineRule="auto"/>
            <w:ind w:left="720" w:hanging="720"/>
            <w:rPr>
              <w:rFonts w:ascii="Times New Roman" w:hAnsi="Times New Roman" w:cs="Times New Roman"/>
              <w:b/>
              <w:bCs/>
              <w:sz w:val="24"/>
              <w:szCs w:val="24"/>
            </w:rPr>
          </w:pPr>
          <w:r w:rsidRPr="001014AA">
            <w:rPr>
              <w:rFonts w:ascii="Times New Roman" w:hAnsi="Times New Roman" w:cs="Times New Roman"/>
              <w:b/>
              <w:bCs/>
              <w:sz w:val="24"/>
              <w:szCs w:val="24"/>
            </w:rPr>
            <w:t xml:space="preserve">2. Liquidity &amp; Gearing  </w:t>
          </w:r>
        </w:p>
        <w:p w14:paraId="43799173" w14:textId="77777777" w:rsidR="0008607E" w:rsidRPr="008617BD" w:rsidRDefault="0008607E" w:rsidP="008617BD">
          <w:pPr>
            <w:spacing w:after="0" w:line="480" w:lineRule="auto"/>
            <w:rPr>
              <w:rFonts w:ascii="Times New Roman" w:hAnsi="Times New Roman" w:cs="Times New Roman"/>
              <w:sz w:val="24"/>
              <w:szCs w:val="24"/>
            </w:rPr>
          </w:pPr>
          <w:r w:rsidRPr="008617BD">
            <w:rPr>
              <w:rFonts w:ascii="Times New Roman" w:hAnsi="Times New Roman" w:cs="Times New Roman"/>
              <w:sz w:val="24"/>
              <w:szCs w:val="24"/>
            </w:rPr>
            <w:t>The liquidity and leverage ratios show that the company has a safe yet consistent balance sheet position.</w:t>
          </w:r>
        </w:p>
        <w:p w14:paraId="29CDB907" w14:textId="77777777" w:rsidR="0008607E" w:rsidRPr="008617BD" w:rsidRDefault="0008607E" w:rsidP="008617BD">
          <w:pPr>
            <w:spacing w:after="0" w:line="480" w:lineRule="auto"/>
            <w:rPr>
              <w:rFonts w:ascii="Times New Roman" w:hAnsi="Times New Roman" w:cs="Times New Roman"/>
              <w:sz w:val="24"/>
              <w:szCs w:val="24"/>
            </w:rPr>
          </w:pPr>
          <w:r w:rsidRPr="008617BD">
            <w:rPr>
              <w:rFonts w:ascii="Times New Roman" w:hAnsi="Times New Roman" w:cs="Times New Roman"/>
              <w:sz w:val="24"/>
              <w:szCs w:val="24"/>
            </w:rPr>
            <w:t>Liquidity Position</w:t>
          </w:r>
        </w:p>
        <w:p w14:paraId="544009A0" w14:textId="2A2715FB" w:rsidR="0008607E" w:rsidRPr="008617BD" w:rsidRDefault="0008607E" w:rsidP="008617BD">
          <w:pPr>
            <w:pStyle w:val="ListParagraph"/>
            <w:numPr>
              <w:ilvl w:val="0"/>
              <w:numId w:val="13"/>
            </w:numPr>
            <w:spacing w:after="0" w:line="480" w:lineRule="auto"/>
            <w:rPr>
              <w:rFonts w:ascii="Times New Roman" w:hAnsi="Times New Roman" w:cs="Times New Roman"/>
              <w:sz w:val="24"/>
              <w:szCs w:val="24"/>
            </w:rPr>
          </w:pPr>
          <w:r w:rsidRPr="008617BD">
            <w:rPr>
              <w:rFonts w:ascii="Times New Roman" w:hAnsi="Times New Roman" w:cs="Times New Roman"/>
              <w:sz w:val="24"/>
              <w:szCs w:val="24"/>
            </w:rPr>
            <w:t xml:space="preserve">Current Ratio: The 2023 and 2024 ratios are 0.76, which is a stable value (Unilever, 2024). This is considered normal as long as </w:t>
          </w:r>
          <w:r w:rsidR="00EC2C83" w:rsidRPr="008617BD">
            <w:rPr>
              <w:rFonts w:ascii="Times New Roman" w:hAnsi="Times New Roman" w:cs="Times New Roman"/>
              <w:sz w:val="24"/>
              <w:szCs w:val="24"/>
            </w:rPr>
            <w:t xml:space="preserve">it is </w:t>
          </w:r>
          <w:r w:rsidRPr="008617BD">
            <w:rPr>
              <w:rFonts w:ascii="Times New Roman" w:hAnsi="Times New Roman" w:cs="Times New Roman"/>
              <w:sz w:val="24"/>
              <w:szCs w:val="24"/>
            </w:rPr>
            <w:t>below a theoretical standard of 1.0</w:t>
          </w:r>
          <w:r w:rsidR="00EC2C83" w:rsidRPr="008617BD">
            <w:rPr>
              <w:rFonts w:ascii="Times New Roman" w:hAnsi="Times New Roman" w:cs="Times New Roman"/>
              <w:sz w:val="24"/>
              <w:szCs w:val="24"/>
            </w:rPr>
            <w:t>,</w:t>
          </w:r>
          <w:r w:rsidRPr="008617BD">
            <w:rPr>
              <w:rFonts w:ascii="Times New Roman" w:hAnsi="Times New Roman" w:cs="Times New Roman"/>
              <w:sz w:val="24"/>
              <w:szCs w:val="24"/>
            </w:rPr>
            <w:t xml:space="preserve"> </w:t>
          </w:r>
          <w:r w:rsidRPr="008617BD">
            <w:rPr>
              <w:rFonts w:ascii="Times New Roman" w:hAnsi="Times New Roman" w:cs="Times New Roman"/>
              <w:sz w:val="24"/>
              <w:szCs w:val="24"/>
            </w:rPr>
            <w:lastRenderedPageBreak/>
            <w:t>since it is common among FMCG companies with high cash conversion cycles (Wahid, 2022).</w:t>
          </w:r>
        </w:p>
        <w:p w14:paraId="602204B2" w14:textId="77777777" w:rsidR="00C35804" w:rsidRPr="008617BD" w:rsidRDefault="0008607E" w:rsidP="008617BD">
          <w:pPr>
            <w:pStyle w:val="ListParagraph"/>
            <w:numPr>
              <w:ilvl w:val="0"/>
              <w:numId w:val="13"/>
            </w:numPr>
            <w:spacing w:after="0" w:line="480" w:lineRule="auto"/>
            <w:rPr>
              <w:rFonts w:ascii="Times New Roman" w:hAnsi="Times New Roman" w:cs="Times New Roman"/>
              <w:sz w:val="24"/>
              <w:szCs w:val="24"/>
            </w:rPr>
          </w:pPr>
          <w:r w:rsidRPr="008617BD">
            <w:rPr>
              <w:rFonts w:ascii="Times New Roman" w:hAnsi="Times New Roman" w:cs="Times New Roman"/>
              <w:sz w:val="24"/>
              <w:szCs w:val="24"/>
            </w:rPr>
            <w:t>Quick Ratio: It is increased by 0.54 to 0.56, and it validates that there are enough liquid assets, which can pay off immediate liabilities (Aniyah et al., 2020).</w:t>
          </w:r>
        </w:p>
        <w:p w14:paraId="114F5EBC" w14:textId="4DD42F29" w:rsidR="0008607E" w:rsidRPr="008617BD" w:rsidRDefault="0008607E" w:rsidP="008617BD">
          <w:pPr>
            <w:spacing w:after="0" w:line="480" w:lineRule="auto"/>
            <w:rPr>
              <w:rFonts w:ascii="Times New Roman" w:hAnsi="Times New Roman" w:cs="Times New Roman"/>
              <w:sz w:val="24"/>
              <w:szCs w:val="24"/>
            </w:rPr>
          </w:pPr>
          <w:r w:rsidRPr="008617BD">
            <w:rPr>
              <w:rFonts w:ascii="Times New Roman" w:hAnsi="Times New Roman" w:cs="Times New Roman"/>
              <w:sz w:val="24"/>
              <w:szCs w:val="24"/>
            </w:rPr>
            <w:t>Capital Structure &amp; Solvency</w:t>
          </w:r>
        </w:p>
        <w:p w14:paraId="2CF21476" w14:textId="77777777" w:rsidR="0008607E" w:rsidRPr="008617BD" w:rsidRDefault="0008607E" w:rsidP="008617BD">
          <w:pPr>
            <w:pStyle w:val="ListParagraph"/>
            <w:numPr>
              <w:ilvl w:val="0"/>
              <w:numId w:val="13"/>
            </w:numPr>
            <w:spacing w:after="0" w:line="480" w:lineRule="auto"/>
            <w:rPr>
              <w:rFonts w:ascii="Times New Roman" w:hAnsi="Times New Roman" w:cs="Times New Roman"/>
              <w:sz w:val="24"/>
              <w:szCs w:val="24"/>
            </w:rPr>
          </w:pPr>
          <w:r w:rsidRPr="008617BD">
            <w:rPr>
              <w:rFonts w:ascii="Times New Roman" w:hAnsi="Times New Roman" w:cs="Times New Roman"/>
              <w:sz w:val="24"/>
              <w:szCs w:val="24"/>
            </w:rPr>
            <w:t>Debt -to-Equity (D/E) Ratio: It declined slightly by approximately 1.6 to nearly 1.5, backed by robust operating cash flow and portfolio changes (Unilever, 2024).</w:t>
          </w:r>
        </w:p>
        <w:p w14:paraId="5E07B541" w14:textId="77777777" w:rsidR="0008607E" w:rsidRPr="008617BD" w:rsidRDefault="0008607E" w:rsidP="008617BD">
          <w:pPr>
            <w:pStyle w:val="ListParagraph"/>
            <w:numPr>
              <w:ilvl w:val="0"/>
              <w:numId w:val="13"/>
            </w:numPr>
            <w:spacing w:after="0" w:line="480" w:lineRule="auto"/>
            <w:rPr>
              <w:rFonts w:ascii="Times New Roman" w:hAnsi="Times New Roman" w:cs="Times New Roman"/>
              <w:sz w:val="24"/>
              <w:szCs w:val="24"/>
            </w:rPr>
          </w:pPr>
          <w:r w:rsidRPr="008617BD">
            <w:rPr>
              <w:rFonts w:ascii="Times New Roman" w:hAnsi="Times New Roman" w:cs="Times New Roman"/>
              <w:sz w:val="24"/>
              <w:szCs w:val="24"/>
            </w:rPr>
            <w:t>Interest Coverage Ratio: The ratio fell to 8.4x, which is less compared to 9.4x; it indicates poor operating profit compared to the finance costs, and it indicates sufficient earnings to settle debt (Auditor’s Report, 2024).</w:t>
          </w:r>
        </w:p>
        <w:p w14:paraId="68C155E7" w14:textId="77777777" w:rsidR="0008607E" w:rsidRPr="001014AA" w:rsidRDefault="0008607E" w:rsidP="001014AA">
          <w:pPr>
            <w:spacing w:after="0" w:line="480" w:lineRule="auto"/>
            <w:ind w:left="720" w:hanging="720"/>
            <w:rPr>
              <w:rFonts w:ascii="Times New Roman" w:hAnsi="Times New Roman" w:cs="Times New Roman"/>
              <w:b/>
              <w:bCs/>
              <w:sz w:val="24"/>
              <w:szCs w:val="24"/>
            </w:rPr>
          </w:pPr>
          <w:r w:rsidRPr="001014AA">
            <w:rPr>
              <w:rFonts w:ascii="Times New Roman" w:hAnsi="Times New Roman" w:cs="Times New Roman"/>
              <w:b/>
              <w:bCs/>
              <w:sz w:val="24"/>
              <w:szCs w:val="24"/>
            </w:rPr>
            <w:t>3. Efficiency &amp; Activity Ratios</w:t>
          </w:r>
        </w:p>
        <w:p w14:paraId="5C097035" w14:textId="35C97204" w:rsidR="0008607E" w:rsidRPr="008617BD" w:rsidRDefault="0008607E" w:rsidP="008617BD">
          <w:pPr>
            <w:spacing w:after="0" w:line="480" w:lineRule="auto"/>
            <w:rPr>
              <w:rFonts w:ascii="Times New Roman" w:hAnsi="Times New Roman" w:cs="Times New Roman"/>
              <w:sz w:val="24"/>
              <w:szCs w:val="24"/>
            </w:rPr>
          </w:pPr>
          <w:r w:rsidRPr="008617BD">
            <w:rPr>
              <w:rFonts w:ascii="Times New Roman" w:hAnsi="Times New Roman" w:cs="Times New Roman"/>
              <w:sz w:val="24"/>
              <w:szCs w:val="24"/>
            </w:rPr>
            <w:t>Efficiency ratios indicate that Unilever is efficient in terms of its capacity to derive sales out of its asset base</w:t>
          </w:r>
          <w:r w:rsidR="00EC2C83" w:rsidRPr="008617BD">
            <w:rPr>
              <w:rFonts w:ascii="Times New Roman" w:hAnsi="Times New Roman" w:cs="Times New Roman"/>
              <w:sz w:val="24"/>
              <w:szCs w:val="24"/>
            </w:rPr>
            <w:t>,</w:t>
          </w:r>
          <w:r w:rsidRPr="008617BD">
            <w:rPr>
              <w:rFonts w:ascii="Times New Roman" w:hAnsi="Times New Roman" w:cs="Times New Roman"/>
              <w:sz w:val="24"/>
              <w:szCs w:val="24"/>
            </w:rPr>
            <w:t xml:space="preserve"> but the growth momentum has reduced.</w:t>
          </w:r>
        </w:p>
        <w:p w14:paraId="712293AB" w14:textId="77777777" w:rsidR="0008607E" w:rsidRPr="008617BD" w:rsidRDefault="0008607E" w:rsidP="008617BD">
          <w:pPr>
            <w:pStyle w:val="ListParagraph"/>
            <w:numPr>
              <w:ilvl w:val="0"/>
              <w:numId w:val="14"/>
            </w:numPr>
            <w:spacing w:after="0" w:line="480" w:lineRule="auto"/>
            <w:rPr>
              <w:rFonts w:ascii="Times New Roman" w:hAnsi="Times New Roman" w:cs="Times New Roman"/>
              <w:sz w:val="24"/>
              <w:szCs w:val="24"/>
            </w:rPr>
          </w:pPr>
          <w:r w:rsidRPr="008617BD">
            <w:rPr>
              <w:rFonts w:ascii="Times New Roman" w:hAnsi="Times New Roman" w:cs="Times New Roman"/>
              <w:sz w:val="24"/>
              <w:szCs w:val="24"/>
            </w:rPr>
            <w:t xml:space="preserve">Asset Turnover: </w:t>
          </w:r>
        </w:p>
        <w:p w14:paraId="5687EEF8" w14:textId="0C27D85A" w:rsidR="0008607E" w:rsidRPr="008617BD" w:rsidRDefault="0008607E" w:rsidP="008617BD">
          <w:pPr>
            <w:spacing w:after="0" w:line="480" w:lineRule="auto"/>
            <w:rPr>
              <w:rFonts w:ascii="Times New Roman" w:hAnsi="Times New Roman" w:cs="Times New Roman"/>
              <w:sz w:val="24"/>
              <w:szCs w:val="24"/>
            </w:rPr>
          </w:pPr>
          <w:r w:rsidRPr="008617BD">
            <w:rPr>
              <w:rFonts w:ascii="Times New Roman" w:hAnsi="Times New Roman" w:cs="Times New Roman"/>
              <w:sz w:val="24"/>
              <w:szCs w:val="24"/>
            </w:rPr>
            <w:t xml:space="preserve">Decreased slightly in 2024 to 0.76 </w:t>
          </w:r>
          <w:r w:rsidR="00EC2C83" w:rsidRPr="008617BD">
            <w:rPr>
              <w:rFonts w:ascii="Times New Roman" w:hAnsi="Times New Roman" w:cs="Times New Roman"/>
              <w:sz w:val="24"/>
              <w:szCs w:val="24"/>
            </w:rPr>
            <w:t>in</w:t>
          </w:r>
          <w:r w:rsidRPr="008617BD">
            <w:rPr>
              <w:rFonts w:ascii="Times New Roman" w:hAnsi="Times New Roman" w:cs="Times New Roman"/>
              <w:sz w:val="24"/>
              <w:szCs w:val="24"/>
            </w:rPr>
            <w:t xml:space="preserve"> 2023</w:t>
          </w:r>
          <w:r w:rsidR="00EC2C83" w:rsidRPr="008617BD">
            <w:rPr>
              <w:rFonts w:ascii="Times New Roman" w:hAnsi="Times New Roman" w:cs="Times New Roman"/>
              <w:sz w:val="24"/>
              <w:szCs w:val="24"/>
            </w:rPr>
            <w:t>,</w:t>
          </w:r>
          <w:r w:rsidRPr="008617BD">
            <w:rPr>
              <w:rFonts w:ascii="Times New Roman" w:hAnsi="Times New Roman" w:cs="Times New Roman"/>
              <w:sz w:val="24"/>
              <w:szCs w:val="24"/>
            </w:rPr>
            <w:t xml:space="preserve"> with a lower efficiency in making sales per euro of assets. This is the implication of increased levels of </w:t>
          </w:r>
          <w:r w:rsidR="00EC2C83" w:rsidRPr="008617BD">
            <w:rPr>
              <w:rFonts w:ascii="Times New Roman" w:hAnsi="Times New Roman" w:cs="Times New Roman"/>
              <w:sz w:val="24"/>
              <w:szCs w:val="24"/>
            </w:rPr>
            <w:t>assets</w:t>
          </w:r>
          <w:r w:rsidRPr="008617BD">
            <w:rPr>
              <w:rFonts w:ascii="Times New Roman" w:hAnsi="Times New Roman" w:cs="Times New Roman"/>
              <w:sz w:val="24"/>
              <w:szCs w:val="24"/>
            </w:rPr>
            <w:t xml:space="preserve"> after adjustments in the portfolio (Sardar and Singh, 2020).</w:t>
          </w:r>
        </w:p>
        <w:p w14:paraId="37E79701" w14:textId="77777777" w:rsidR="0008607E" w:rsidRPr="008617BD" w:rsidRDefault="0008607E" w:rsidP="008617BD">
          <w:pPr>
            <w:pStyle w:val="ListParagraph"/>
            <w:numPr>
              <w:ilvl w:val="0"/>
              <w:numId w:val="14"/>
            </w:numPr>
            <w:spacing w:after="0" w:line="480" w:lineRule="auto"/>
            <w:rPr>
              <w:rFonts w:ascii="Times New Roman" w:hAnsi="Times New Roman" w:cs="Times New Roman"/>
              <w:sz w:val="24"/>
              <w:szCs w:val="24"/>
            </w:rPr>
          </w:pPr>
          <w:r w:rsidRPr="008617BD">
            <w:rPr>
              <w:rFonts w:ascii="Times New Roman" w:hAnsi="Times New Roman" w:cs="Times New Roman"/>
              <w:sz w:val="24"/>
              <w:szCs w:val="24"/>
            </w:rPr>
            <w:t xml:space="preserve">Inventory Turnover: </w:t>
          </w:r>
        </w:p>
        <w:p w14:paraId="4A98E551" w14:textId="52E00798" w:rsidR="0008607E" w:rsidRPr="008617BD" w:rsidRDefault="0008607E" w:rsidP="008617BD">
          <w:pPr>
            <w:spacing w:after="0" w:line="480" w:lineRule="auto"/>
            <w:rPr>
              <w:rFonts w:ascii="Times New Roman" w:hAnsi="Times New Roman" w:cs="Times New Roman"/>
              <w:sz w:val="24"/>
              <w:szCs w:val="24"/>
            </w:rPr>
          </w:pPr>
          <w:r w:rsidRPr="008617BD">
            <w:rPr>
              <w:rFonts w:ascii="Times New Roman" w:hAnsi="Times New Roman" w:cs="Times New Roman"/>
              <w:sz w:val="24"/>
              <w:szCs w:val="24"/>
            </w:rPr>
            <w:t>The inventory turnover cannot be calculated directly based on published data</w:t>
          </w:r>
          <w:r w:rsidR="00EC2C83" w:rsidRPr="008617BD">
            <w:rPr>
              <w:rFonts w:ascii="Times New Roman" w:hAnsi="Times New Roman" w:cs="Times New Roman"/>
              <w:sz w:val="24"/>
              <w:szCs w:val="24"/>
            </w:rPr>
            <w:t>;</w:t>
          </w:r>
          <w:r w:rsidRPr="008617BD">
            <w:rPr>
              <w:rFonts w:ascii="Times New Roman" w:hAnsi="Times New Roman" w:cs="Times New Roman"/>
              <w:sz w:val="24"/>
              <w:szCs w:val="24"/>
            </w:rPr>
            <w:t xml:space="preserve"> however, the commentary of the management indicates that further emphasis should be made on leaner supply chains to lower working capital needs and ease of obsolescence (Unilever, 2024).</w:t>
          </w:r>
        </w:p>
        <w:p w14:paraId="66A23A1A" w14:textId="77777777" w:rsidR="0008607E" w:rsidRPr="008617BD" w:rsidRDefault="0008607E" w:rsidP="008617BD">
          <w:pPr>
            <w:pStyle w:val="ListParagraph"/>
            <w:numPr>
              <w:ilvl w:val="0"/>
              <w:numId w:val="14"/>
            </w:numPr>
            <w:spacing w:after="0" w:line="480" w:lineRule="auto"/>
            <w:rPr>
              <w:rFonts w:ascii="Times New Roman" w:hAnsi="Times New Roman" w:cs="Times New Roman"/>
              <w:sz w:val="24"/>
              <w:szCs w:val="24"/>
            </w:rPr>
          </w:pPr>
          <w:r w:rsidRPr="008617BD">
            <w:rPr>
              <w:rFonts w:ascii="Times New Roman" w:hAnsi="Times New Roman" w:cs="Times New Roman"/>
              <w:sz w:val="24"/>
              <w:szCs w:val="24"/>
            </w:rPr>
            <w:t xml:space="preserve">Comparative Context: </w:t>
          </w:r>
        </w:p>
        <w:p w14:paraId="789BE3F0" w14:textId="1884BEB2" w:rsidR="0008607E" w:rsidRPr="008617BD" w:rsidRDefault="00EC2C83" w:rsidP="008617BD">
          <w:pPr>
            <w:spacing w:after="0" w:line="480" w:lineRule="auto"/>
            <w:rPr>
              <w:rFonts w:ascii="Times New Roman" w:hAnsi="Times New Roman" w:cs="Times New Roman"/>
              <w:sz w:val="24"/>
              <w:szCs w:val="24"/>
            </w:rPr>
          </w:pPr>
          <w:r w:rsidRPr="008617BD">
            <w:rPr>
              <w:rFonts w:ascii="Times New Roman" w:hAnsi="Times New Roman" w:cs="Times New Roman"/>
              <w:sz w:val="24"/>
              <w:szCs w:val="24"/>
            </w:rPr>
            <w:t>Unilever's</w:t>
          </w:r>
          <w:r w:rsidR="0008607E" w:rsidRPr="008617BD">
            <w:rPr>
              <w:rFonts w:ascii="Times New Roman" w:hAnsi="Times New Roman" w:cs="Times New Roman"/>
              <w:sz w:val="24"/>
              <w:szCs w:val="24"/>
            </w:rPr>
            <w:t xml:space="preserve"> asset efficiency is being kept at the level of peer Nestle (0.77 turnover), which means it operates competently in the global FMCG industry (PricewaterhouseCoopers LLP, 2024).</w:t>
          </w:r>
        </w:p>
        <w:p w14:paraId="0F846EFE" w14:textId="77777777" w:rsidR="0008607E" w:rsidRPr="001014AA" w:rsidRDefault="0008607E" w:rsidP="001014AA">
          <w:pPr>
            <w:spacing w:after="0" w:line="480" w:lineRule="auto"/>
            <w:ind w:left="720" w:hanging="720"/>
            <w:rPr>
              <w:rFonts w:ascii="Times New Roman" w:hAnsi="Times New Roman" w:cs="Times New Roman"/>
              <w:b/>
              <w:bCs/>
              <w:sz w:val="24"/>
              <w:szCs w:val="24"/>
            </w:rPr>
          </w:pPr>
          <w:r w:rsidRPr="001014AA">
            <w:rPr>
              <w:rFonts w:ascii="Times New Roman" w:hAnsi="Times New Roman" w:cs="Times New Roman"/>
              <w:b/>
              <w:bCs/>
              <w:sz w:val="24"/>
              <w:szCs w:val="24"/>
            </w:rPr>
            <w:lastRenderedPageBreak/>
            <w:t>4. Investor &amp; Market Ratios</w:t>
          </w:r>
        </w:p>
        <w:p w14:paraId="66A2C30A" w14:textId="77777777" w:rsidR="0008607E" w:rsidRPr="008617BD" w:rsidRDefault="0008607E" w:rsidP="008617BD">
          <w:pPr>
            <w:spacing w:after="0" w:line="480" w:lineRule="auto"/>
            <w:rPr>
              <w:rFonts w:ascii="Times New Roman" w:hAnsi="Times New Roman" w:cs="Times New Roman"/>
              <w:sz w:val="24"/>
              <w:szCs w:val="24"/>
            </w:rPr>
          </w:pPr>
          <w:r w:rsidRPr="008617BD">
            <w:rPr>
              <w:rFonts w:ascii="Times New Roman" w:hAnsi="Times New Roman" w:cs="Times New Roman"/>
              <w:sz w:val="24"/>
              <w:szCs w:val="24"/>
            </w:rPr>
            <w:t>The balanced capital allocation policy is displayed in investor-oriented measures, but there is pressure on earnings.</w:t>
          </w:r>
        </w:p>
        <w:p w14:paraId="0D213C64" w14:textId="77777777" w:rsidR="0008607E" w:rsidRPr="008617BD" w:rsidRDefault="0008607E" w:rsidP="008617BD">
          <w:pPr>
            <w:pStyle w:val="ListParagraph"/>
            <w:numPr>
              <w:ilvl w:val="0"/>
              <w:numId w:val="14"/>
            </w:numPr>
            <w:spacing w:after="0" w:line="480" w:lineRule="auto"/>
            <w:rPr>
              <w:rFonts w:ascii="Times New Roman" w:hAnsi="Times New Roman" w:cs="Times New Roman"/>
              <w:sz w:val="24"/>
              <w:szCs w:val="24"/>
            </w:rPr>
          </w:pPr>
          <w:r w:rsidRPr="008617BD">
            <w:rPr>
              <w:rFonts w:ascii="Times New Roman" w:hAnsi="Times New Roman" w:cs="Times New Roman"/>
              <w:sz w:val="24"/>
              <w:szCs w:val="24"/>
            </w:rPr>
            <w:t xml:space="preserve">Earnings Per Share (EPS): </w:t>
          </w:r>
        </w:p>
        <w:p w14:paraId="4F166F11" w14:textId="77777777" w:rsidR="0008607E" w:rsidRPr="008617BD" w:rsidRDefault="0008607E" w:rsidP="008617BD">
          <w:pPr>
            <w:spacing w:after="0" w:line="480" w:lineRule="auto"/>
            <w:rPr>
              <w:rFonts w:ascii="Times New Roman" w:hAnsi="Times New Roman" w:cs="Times New Roman"/>
              <w:sz w:val="24"/>
              <w:szCs w:val="24"/>
            </w:rPr>
          </w:pPr>
          <w:r w:rsidRPr="008617BD">
            <w:rPr>
              <w:rFonts w:ascii="Times New Roman" w:hAnsi="Times New Roman" w:cs="Times New Roman"/>
              <w:sz w:val="24"/>
              <w:szCs w:val="24"/>
            </w:rPr>
            <w:t>This decreased in 2024 to the levels of 2023 (2.58 to 2.30), which corresponds with reduced net profit attributable to shareholders (Unilever, 2024).</w:t>
          </w:r>
        </w:p>
        <w:p w14:paraId="2AAFB57F" w14:textId="77777777" w:rsidR="0008607E" w:rsidRPr="008617BD" w:rsidRDefault="0008607E" w:rsidP="008617BD">
          <w:pPr>
            <w:pStyle w:val="ListParagraph"/>
            <w:numPr>
              <w:ilvl w:val="0"/>
              <w:numId w:val="14"/>
            </w:numPr>
            <w:spacing w:after="0" w:line="480" w:lineRule="auto"/>
            <w:rPr>
              <w:rFonts w:ascii="Times New Roman" w:hAnsi="Times New Roman" w:cs="Times New Roman"/>
              <w:sz w:val="24"/>
              <w:szCs w:val="24"/>
            </w:rPr>
          </w:pPr>
          <w:r w:rsidRPr="008617BD">
            <w:rPr>
              <w:rFonts w:ascii="Times New Roman" w:hAnsi="Times New Roman" w:cs="Times New Roman"/>
              <w:sz w:val="24"/>
              <w:szCs w:val="24"/>
            </w:rPr>
            <w:t xml:space="preserve">Dividend Yield: </w:t>
          </w:r>
        </w:p>
        <w:p w14:paraId="31D28634" w14:textId="77777777" w:rsidR="0008607E" w:rsidRPr="008617BD" w:rsidRDefault="0008607E" w:rsidP="008617BD">
          <w:pPr>
            <w:spacing w:after="0" w:line="480" w:lineRule="auto"/>
            <w:rPr>
              <w:rFonts w:ascii="Times New Roman" w:hAnsi="Times New Roman" w:cs="Times New Roman"/>
              <w:sz w:val="24"/>
              <w:szCs w:val="24"/>
            </w:rPr>
          </w:pPr>
          <w:r w:rsidRPr="008617BD">
            <w:rPr>
              <w:rFonts w:ascii="Times New Roman" w:hAnsi="Times New Roman" w:cs="Times New Roman"/>
              <w:sz w:val="24"/>
              <w:szCs w:val="24"/>
            </w:rPr>
            <w:t>Targeted at 3.8% was consistent, which underscores the fact that Unilever is a dependable income stock (Investing, 2025).</w:t>
          </w:r>
        </w:p>
        <w:p w14:paraId="74735427" w14:textId="77777777" w:rsidR="0008607E" w:rsidRPr="008617BD" w:rsidRDefault="0008607E" w:rsidP="008617BD">
          <w:pPr>
            <w:pStyle w:val="ListParagraph"/>
            <w:numPr>
              <w:ilvl w:val="0"/>
              <w:numId w:val="14"/>
            </w:numPr>
            <w:spacing w:after="0" w:line="480" w:lineRule="auto"/>
            <w:rPr>
              <w:rFonts w:ascii="Times New Roman" w:hAnsi="Times New Roman" w:cs="Times New Roman"/>
              <w:sz w:val="24"/>
              <w:szCs w:val="24"/>
            </w:rPr>
          </w:pPr>
          <w:r w:rsidRPr="008617BD">
            <w:rPr>
              <w:rFonts w:ascii="Times New Roman" w:hAnsi="Times New Roman" w:cs="Times New Roman"/>
              <w:sz w:val="24"/>
              <w:szCs w:val="24"/>
            </w:rPr>
            <w:t xml:space="preserve">Price-to-Earnings (P/E) Ratio: </w:t>
          </w:r>
        </w:p>
        <w:p w14:paraId="07703F27" w14:textId="38815BF7" w:rsidR="0008607E" w:rsidRPr="008617BD" w:rsidRDefault="0008607E" w:rsidP="008617BD">
          <w:pPr>
            <w:spacing w:after="0" w:line="480" w:lineRule="auto"/>
            <w:rPr>
              <w:rFonts w:ascii="Times New Roman" w:hAnsi="Times New Roman" w:cs="Times New Roman"/>
              <w:sz w:val="24"/>
              <w:szCs w:val="24"/>
            </w:rPr>
          </w:pPr>
          <w:r w:rsidRPr="008617BD">
            <w:rPr>
              <w:rFonts w:ascii="Times New Roman" w:hAnsi="Times New Roman" w:cs="Times New Roman"/>
              <w:sz w:val="24"/>
              <w:szCs w:val="24"/>
            </w:rPr>
            <w:t>Has decreased by a point; 18.5x to 17.8x. This indicates that the market is not yet ready to give full re-rating to the stock</w:t>
          </w:r>
          <w:r w:rsidR="00EC2C83" w:rsidRPr="008617BD">
            <w:rPr>
              <w:rFonts w:ascii="Times New Roman" w:hAnsi="Times New Roman" w:cs="Times New Roman"/>
              <w:sz w:val="24"/>
              <w:szCs w:val="24"/>
            </w:rPr>
            <w:t>,</w:t>
          </w:r>
          <w:r w:rsidRPr="008617BD">
            <w:rPr>
              <w:rFonts w:ascii="Times New Roman" w:hAnsi="Times New Roman" w:cs="Times New Roman"/>
              <w:sz w:val="24"/>
              <w:szCs w:val="24"/>
            </w:rPr>
            <w:t xml:space="preserve"> even with better underlying fundamentals, but rather strong evidence of consistent top-line growth acceleration (</w:t>
          </w:r>
          <w:proofErr w:type="spellStart"/>
          <w:r w:rsidRPr="008617BD">
            <w:rPr>
              <w:rFonts w:ascii="Times New Roman" w:hAnsi="Times New Roman" w:cs="Times New Roman"/>
              <w:sz w:val="24"/>
              <w:szCs w:val="24"/>
            </w:rPr>
            <w:t>MarketScreener</w:t>
          </w:r>
          <w:proofErr w:type="spellEnd"/>
          <w:r w:rsidRPr="008617BD">
            <w:rPr>
              <w:rFonts w:ascii="Times New Roman" w:hAnsi="Times New Roman" w:cs="Times New Roman"/>
              <w:sz w:val="24"/>
              <w:szCs w:val="24"/>
            </w:rPr>
            <w:t>, 2025).</w:t>
          </w:r>
        </w:p>
        <w:p w14:paraId="78336CB1" w14:textId="64D05834" w:rsidR="0008607E" w:rsidRPr="001014AA" w:rsidRDefault="0006177D" w:rsidP="001014AA">
          <w:pPr>
            <w:pStyle w:val="Heading3"/>
            <w:spacing w:before="0" w:line="480" w:lineRule="auto"/>
            <w:ind w:left="720" w:hanging="720"/>
            <w:rPr>
              <w:rFonts w:ascii="Times New Roman" w:hAnsi="Times New Roman" w:cs="Times New Roman"/>
              <w:b/>
              <w:bCs/>
              <w:color w:val="auto"/>
            </w:rPr>
          </w:pPr>
          <w:bookmarkStart w:id="6" w:name="_Toc218616251"/>
          <w:r w:rsidRPr="001014AA">
            <w:rPr>
              <w:rFonts w:ascii="Times New Roman" w:hAnsi="Times New Roman" w:cs="Times New Roman"/>
              <w:b/>
              <w:bCs/>
              <w:color w:val="auto"/>
            </w:rPr>
            <w:t xml:space="preserve">2.1.3 </w:t>
          </w:r>
          <w:r w:rsidR="0008607E" w:rsidRPr="001014AA">
            <w:rPr>
              <w:rFonts w:ascii="Times New Roman" w:hAnsi="Times New Roman" w:cs="Times New Roman"/>
              <w:b/>
              <w:bCs/>
              <w:color w:val="auto"/>
            </w:rPr>
            <w:t>Critical Evaluation of Unilever's Financial Ratios and Analytical Limitations</w:t>
          </w:r>
          <w:bookmarkEnd w:id="6"/>
        </w:p>
        <w:p w14:paraId="67DDC4F9" w14:textId="39C967D4" w:rsidR="0008607E" w:rsidRPr="001014AA" w:rsidRDefault="0008607E" w:rsidP="008617B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A critical evaluation of Unilever's financial ratios for 2023-2024 reveals a narrative of successful strategic restructuring, though one that is nuanced and requires careful interpretation beyond the headline figures. The consistent improvement in core profitability and gearing ratios is commendable</w:t>
          </w:r>
          <w:r w:rsidR="00EC2C83" w:rsidRPr="001014AA">
            <w:rPr>
              <w:rFonts w:ascii="Times New Roman" w:hAnsi="Times New Roman" w:cs="Times New Roman"/>
              <w:sz w:val="24"/>
              <w:szCs w:val="24"/>
            </w:rPr>
            <w:t>,</w:t>
          </w:r>
          <w:r w:rsidRPr="001014AA">
            <w:rPr>
              <w:rFonts w:ascii="Times New Roman" w:hAnsi="Times New Roman" w:cs="Times New Roman"/>
              <w:sz w:val="24"/>
              <w:szCs w:val="24"/>
            </w:rPr>
            <w:t xml:space="preserve"> but must be </w:t>
          </w:r>
          <w:r w:rsidR="00642E10" w:rsidRPr="001014AA">
            <w:rPr>
              <w:rFonts w:ascii="Times New Roman" w:hAnsi="Times New Roman" w:cs="Times New Roman"/>
              <w:sz w:val="24"/>
              <w:szCs w:val="24"/>
            </w:rPr>
            <w:t>contextualised</w:t>
          </w:r>
          <w:r w:rsidRPr="001014AA">
            <w:rPr>
              <w:rFonts w:ascii="Times New Roman" w:hAnsi="Times New Roman" w:cs="Times New Roman"/>
              <w:sz w:val="24"/>
              <w:szCs w:val="24"/>
            </w:rPr>
            <w:t xml:space="preserve"> within significant portfolio changes and acknowledged limitations of the ratio analysis itself.</w:t>
          </w:r>
        </w:p>
        <w:p w14:paraId="41DA7C45" w14:textId="78C4230B" w:rsidR="0008607E" w:rsidRPr="001014AA" w:rsidRDefault="0008607E" w:rsidP="001014AA">
          <w:pPr>
            <w:spacing w:after="0" w:line="480" w:lineRule="auto"/>
            <w:ind w:left="720" w:hanging="720"/>
            <w:rPr>
              <w:rFonts w:ascii="Times New Roman" w:hAnsi="Times New Roman" w:cs="Times New Roman"/>
              <w:i/>
              <w:iCs/>
              <w:sz w:val="24"/>
              <w:szCs w:val="24"/>
            </w:rPr>
          </w:pPr>
          <w:r w:rsidRPr="001014AA">
            <w:rPr>
              <w:rFonts w:ascii="Times New Roman" w:hAnsi="Times New Roman" w:cs="Times New Roman"/>
              <w:b/>
              <w:bCs/>
              <w:i/>
              <w:iCs/>
              <w:sz w:val="24"/>
              <w:szCs w:val="24"/>
            </w:rPr>
            <w:t>Drivers of Ratio Changes: Strategic Actions and External Factors</w:t>
          </w:r>
        </w:p>
        <w:p w14:paraId="75DE278C" w14:textId="2526B637" w:rsidR="0008607E" w:rsidRPr="001014AA" w:rsidRDefault="0008607E" w:rsidP="008617B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The trends noticed are mainly due to the conscious implementation of the "Growth Action Plan" by the management. The small decrease in the Debt-to-Equity ratio (</w:t>
          </w:r>
          <w:r w:rsidR="00EC2C83" w:rsidRPr="001014AA">
            <w:rPr>
              <w:rFonts w:ascii="Times New Roman" w:hAnsi="Times New Roman" w:cs="Times New Roman"/>
              <w:sz w:val="24"/>
              <w:szCs w:val="24"/>
            </w:rPr>
            <w:t xml:space="preserve">from </w:t>
          </w:r>
          <w:r w:rsidRPr="001014AA">
            <w:rPr>
              <w:rFonts w:ascii="Times New Roman" w:hAnsi="Times New Roman" w:cs="Times New Roman"/>
              <w:sz w:val="24"/>
              <w:szCs w:val="24"/>
            </w:rPr>
            <w:t xml:space="preserve">around 1.6 to around 1.5) and the decrease in Interest Coverage (19.4x to 8.4x) point to the </w:t>
          </w:r>
          <w:r w:rsidR="00642E10" w:rsidRPr="001014AA">
            <w:rPr>
              <w:rFonts w:ascii="Times New Roman" w:hAnsi="Times New Roman" w:cs="Times New Roman"/>
              <w:sz w:val="24"/>
              <w:szCs w:val="24"/>
            </w:rPr>
            <w:t>rationalisation</w:t>
          </w:r>
          <w:r w:rsidRPr="001014AA">
            <w:rPr>
              <w:rFonts w:ascii="Times New Roman" w:hAnsi="Times New Roman" w:cs="Times New Roman"/>
              <w:sz w:val="24"/>
              <w:szCs w:val="24"/>
            </w:rPr>
            <w:t xml:space="preserve"> of the portfolio (</w:t>
          </w:r>
          <w:proofErr w:type="spellStart"/>
          <w:r w:rsidRPr="001014AA">
            <w:rPr>
              <w:rFonts w:ascii="Times New Roman" w:hAnsi="Times New Roman" w:cs="Times New Roman"/>
              <w:sz w:val="24"/>
              <w:szCs w:val="24"/>
            </w:rPr>
            <w:t>Nof</w:t>
          </w:r>
          <w:proofErr w:type="spellEnd"/>
          <w:r w:rsidRPr="001014AA">
            <w:rPr>
              <w:rFonts w:ascii="Times New Roman" w:hAnsi="Times New Roman" w:cs="Times New Roman"/>
              <w:sz w:val="24"/>
              <w:szCs w:val="24"/>
            </w:rPr>
            <w:t xml:space="preserve"> et al., 2015), such as the sale of non-core assets</w:t>
          </w:r>
          <w:r w:rsidR="00EC2C83" w:rsidRPr="001014AA">
            <w:rPr>
              <w:rFonts w:ascii="Times New Roman" w:hAnsi="Times New Roman" w:cs="Times New Roman"/>
              <w:sz w:val="24"/>
              <w:szCs w:val="24"/>
            </w:rPr>
            <w:t>,</w:t>
          </w:r>
          <w:r w:rsidRPr="001014AA">
            <w:rPr>
              <w:rFonts w:ascii="Times New Roman" w:hAnsi="Times New Roman" w:cs="Times New Roman"/>
              <w:sz w:val="24"/>
              <w:szCs w:val="24"/>
            </w:rPr>
            <w:t xml:space="preserve"> such as Elida Beauty, which contributed to the cash management of debts (Unilever, 2024). Equally, </w:t>
          </w:r>
          <w:r w:rsidRPr="001014AA">
            <w:rPr>
              <w:rFonts w:ascii="Times New Roman" w:hAnsi="Times New Roman" w:cs="Times New Roman"/>
              <w:sz w:val="24"/>
              <w:szCs w:val="24"/>
            </w:rPr>
            <w:lastRenderedPageBreak/>
            <w:t>the squeeze in Operating Margin (16.4% to 15.5%) is not necessarily a weakness in the top line, but rather, a consequence of disposal-related losses under the banner of the strict cost discipline programme under the Net Productivity programme and a shift in strategic direction towards higher-margin Power Brands (Unilever Plc, 2024). This premiumisation and operations excellence contributed to the maintenance of returns on an increasing asset base as observed in the comparatively stable Asset Turnover (~0.76).</w:t>
          </w:r>
        </w:p>
        <w:p w14:paraId="66A026CF" w14:textId="42C01607" w:rsidR="0008607E" w:rsidRPr="001014AA" w:rsidRDefault="0008607E" w:rsidP="008617B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 xml:space="preserve">Nevertheless, extraneous and formal influences are also very important. It is important to note that performance in emerging markets (58% of turnover) was a key </w:t>
          </w:r>
          <w:r w:rsidR="00EC2C83" w:rsidRPr="001014AA">
            <w:rPr>
              <w:rFonts w:ascii="Times New Roman" w:hAnsi="Times New Roman" w:cs="Times New Roman"/>
              <w:sz w:val="24"/>
              <w:szCs w:val="24"/>
            </w:rPr>
            <w:t>stabiliser</w:t>
          </w:r>
          <w:r w:rsidRPr="001014AA">
            <w:rPr>
              <w:rFonts w:ascii="Times New Roman" w:hAnsi="Times New Roman" w:cs="Times New Roman"/>
              <w:sz w:val="24"/>
              <w:szCs w:val="24"/>
            </w:rPr>
            <w:t xml:space="preserve">, as it tends to generate more underlying sales growth to mitigate volatility in developed markets (Unilever, 2024; </w:t>
          </w:r>
          <w:proofErr w:type="spellStart"/>
          <w:r w:rsidRPr="001014AA">
            <w:rPr>
              <w:rFonts w:ascii="Times New Roman" w:hAnsi="Times New Roman" w:cs="Times New Roman"/>
              <w:sz w:val="24"/>
              <w:szCs w:val="24"/>
            </w:rPr>
            <w:t>Tibokbe</w:t>
          </w:r>
          <w:proofErr w:type="spellEnd"/>
          <w:r w:rsidRPr="001014AA">
            <w:rPr>
              <w:rFonts w:ascii="Times New Roman" w:hAnsi="Times New Roman" w:cs="Times New Roman"/>
              <w:sz w:val="24"/>
              <w:szCs w:val="24"/>
            </w:rPr>
            <w:t xml:space="preserve"> and Shankar, 2025). Also, currency translation effects (FX) had a substantial mechanical effect, whereby a stronger euro against some currencies lowered the reported euro-value of overseas turnover, which artificially suppressed the growth figures used in some turnover-based ratios, but did not actually reflect operational decline (Olaoye and Olaniyi, 2023).</w:t>
          </w:r>
        </w:p>
        <w:p w14:paraId="28FDC445" w14:textId="1B1B4A7F" w:rsidR="0008607E" w:rsidRPr="001014AA" w:rsidRDefault="0008607E" w:rsidP="008617BD">
          <w:pPr>
            <w:spacing w:after="0" w:line="480" w:lineRule="auto"/>
            <w:rPr>
              <w:rFonts w:ascii="Times New Roman" w:hAnsi="Times New Roman" w:cs="Times New Roman"/>
              <w:b/>
              <w:bCs/>
              <w:i/>
              <w:iCs/>
              <w:sz w:val="24"/>
              <w:szCs w:val="24"/>
            </w:rPr>
          </w:pPr>
          <w:r w:rsidRPr="001014AA">
            <w:rPr>
              <w:rFonts w:ascii="Times New Roman" w:hAnsi="Times New Roman" w:cs="Times New Roman"/>
              <w:b/>
              <w:bCs/>
              <w:i/>
              <w:iCs/>
              <w:sz w:val="24"/>
              <w:szCs w:val="24"/>
            </w:rPr>
            <w:t>Limitations of Ratio Analysis.</w:t>
          </w:r>
        </w:p>
        <w:p w14:paraId="2A5F4237" w14:textId="1160B096" w:rsidR="0008607E" w:rsidRPr="001014AA" w:rsidRDefault="0008607E" w:rsidP="008617B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Although it is informative, this ratio-based evaluation has some serious limitations that should not be exaggerated. First, ratios are prospective and impartial, as they represent a picture of the past instead of the future viability (</w:t>
          </w:r>
          <w:proofErr w:type="spellStart"/>
          <w:r w:rsidRPr="001014AA">
            <w:rPr>
              <w:rFonts w:ascii="Times New Roman" w:hAnsi="Times New Roman" w:cs="Times New Roman"/>
              <w:sz w:val="24"/>
              <w:szCs w:val="24"/>
            </w:rPr>
            <w:t>Dainelli</w:t>
          </w:r>
          <w:proofErr w:type="spellEnd"/>
          <w:r w:rsidRPr="001014AA">
            <w:rPr>
              <w:rFonts w:ascii="Times New Roman" w:hAnsi="Times New Roman" w:cs="Times New Roman"/>
              <w:sz w:val="24"/>
              <w:szCs w:val="24"/>
            </w:rPr>
            <w:t xml:space="preserve"> and Mengoni, 2025). Second, they may be accounting policy sensitive; </w:t>
          </w:r>
          <w:r w:rsidR="00642E10" w:rsidRPr="001014AA">
            <w:rPr>
              <w:rFonts w:ascii="Times New Roman" w:hAnsi="Times New Roman" w:cs="Times New Roman"/>
              <w:sz w:val="24"/>
              <w:szCs w:val="24"/>
            </w:rPr>
            <w:t>for example,</w:t>
          </w:r>
          <w:r w:rsidRPr="001014AA">
            <w:rPr>
              <w:rFonts w:ascii="Times New Roman" w:hAnsi="Times New Roman" w:cs="Times New Roman"/>
              <w:sz w:val="24"/>
              <w:szCs w:val="24"/>
            </w:rPr>
            <w:t xml:space="preserve"> the level of depreciation or lease accounting in Unilever and a rival such as Nestle can change the ratios of comparative efficiency</w:t>
          </w:r>
          <w:r w:rsidR="00642E10" w:rsidRPr="001014AA">
            <w:rPr>
              <w:rFonts w:ascii="Times New Roman" w:hAnsi="Times New Roman" w:cs="Times New Roman"/>
              <w:sz w:val="24"/>
              <w:szCs w:val="24"/>
            </w:rPr>
            <w:t>,</w:t>
          </w:r>
          <w:r w:rsidRPr="001014AA">
            <w:rPr>
              <w:rFonts w:ascii="Times New Roman" w:hAnsi="Times New Roman" w:cs="Times New Roman"/>
              <w:sz w:val="24"/>
              <w:szCs w:val="24"/>
            </w:rPr>
            <w:t xml:space="preserve"> and without some corrections, a direct comparison will be misleading (PricewaterhouseCoopers LLP, 2024). Third, ratios do not provide any qualitative information. The fact that Unilever has reduced its gearing moderately does not in itself show why the divestments are taking place or the long-term growth they are foregoing to achieve a stable balance sheet in the short term.</w:t>
          </w:r>
        </w:p>
        <w:p w14:paraId="237C05D5" w14:textId="3C532A88" w:rsidR="0008607E" w:rsidRPr="001014AA" w:rsidRDefault="0008607E" w:rsidP="008617B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lastRenderedPageBreak/>
            <w:t xml:space="preserve">More importantly, ratios are capable of concealing trade-offs. Unilever experienced a reduction in its operating margin and a moderate growth in the turnover reported. This brings up a crucial question: is the company maintaining efficiency improvement, or are losses in the face of disposal clouding the positive side of premiumisation? The ratios reflect the strength in profitability but say nothing about the sustainability of such a model in case market share losses in major volume segments </w:t>
          </w:r>
          <w:r w:rsidR="00642E10" w:rsidRPr="001014AA">
            <w:rPr>
              <w:rFonts w:ascii="Times New Roman" w:hAnsi="Times New Roman" w:cs="Times New Roman"/>
              <w:sz w:val="24"/>
              <w:szCs w:val="24"/>
            </w:rPr>
            <w:t>turn</w:t>
          </w:r>
          <w:r w:rsidRPr="001014AA">
            <w:rPr>
              <w:rFonts w:ascii="Times New Roman" w:hAnsi="Times New Roman" w:cs="Times New Roman"/>
              <w:sz w:val="24"/>
              <w:szCs w:val="24"/>
            </w:rPr>
            <w:t xml:space="preserve"> out to be a tendency (Feng, Kimbrough and Wei, 2021).</w:t>
          </w:r>
        </w:p>
        <w:p w14:paraId="67F88BA7" w14:textId="7FCFBF63" w:rsidR="0008607E" w:rsidRPr="001014AA" w:rsidRDefault="001768EB" w:rsidP="001014AA">
          <w:pPr>
            <w:pStyle w:val="Heading3"/>
            <w:spacing w:before="0" w:line="480" w:lineRule="auto"/>
            <w:ind w:left="720" w:hanging="720"/>
            <w:rPr>
              <w:rFonts w:ascii="Times New Roman" w:hAnsi="Times New Roman" w:cs="Times New Roman"/>
              <w:b/>
              <w:bCs/>
              <w:color w:val="auto"/>
            </w:rPr>
          </w:pPr>
          <w:bookmarkStart w:id="7" w:name="_Toc218616252"/>
          <w:r w:rsidRPr="001014AA">
            <w:rPr>
              <w:rFonts w:ascii="Times New Roman" w:hAnsi="Times New Roman" w:cs="Times New Roman"/>
              <w:b/>
              <w:bCs/>
              <w:color w:val="auto"/>
            </w:rPr>
            <w:t xml:space="preserve">2.1.4 </w:t>
          </w:r>
          <w:r w:rsidR="0008607E" w:rsidRPr="001014AA">
            <w:rPr>
              <w:rFonts w:ascii="Times New Roman" w:hAnsi="Times New Roman" w:cs="Times New Roman"/>
              <w:b/>
              <w:bCs/>
              <w:color w:val="auto"/>
            </w:rPr>
            <w:t>Recommendations</w:t>
          </w:r>
          <w:bookmarkEnd w:id="7"/>
          <w:r w:rsidR="0008607E" w:rsidRPr="001014AA">
            <w:rPr>
              <w:rFonts w:ascii="Times New Roman" w:hAnsi="Times New Roman" w:cs="Times New Roman"/>
              <w:b/>
              <w:bCs/>
              <w:color w:val="auto"/>
            </w:rPr>
            <w:t xml:space="preserve"> </w:t>
          </w:r>
        </w:p>
        <w:p w14:paraId="45126640" w14:textId="77777777" w:rsidR="0008607E" w:rsidRPr="001014AA" w:rsidRDefault="0008607E" w:rsidP="001014AA">
          <w:pPr>
            <w:spacing w:after="0" w:line="480" w:lineRule="auto"/>
            <w:ind w:left="720" w:hanging="720"/>
            <w:rPr>
              <w:rFonts w:ascii="Times New Roman" w:hAnsi="Times New Roman" w:cs="Times New Roman"/>
              <w:b/>
              <w:bCs/>
              <w:i/>
              <w:iCs/>
              <w:sz w:val="24"/>
              <w:szCs w:val="24"/>
            </w:rPr>
          </w:pPr>
          <w:r w:rsidRPr="001014AA">
            <w:rPr>
              <w:rFonts w:ascii="Times New Roman" w:hAnsi="Times New Roman" w:cs="Times New Roman"/>
              <w:b/>
              <w:bCs/>
              <w:i/>
              <w:iCs/>
              <w:sz w:val="24"/>
              <w:szCs w:val="24"/>
            </w:rPr>
            <w:t xml:space="preserve">1. Strategic Capital Structure and Liquidity Enhancement.  </w:t>
          </w:r>
        </w:p>
        <w:p w14:paraId="6DE98442" w14:textId="3A7184DD" w:rsidR="0008607E" w:rsidRPr="001014AA" w:rsidRDefault="0008607E" w:rsidP="008617B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Unilever ought to set a target Debt-to-Equity ratio (</w:t>
          </w:r>
          <w:r w:rsidR="001768EB" w:rsidRPr="001014AA">
            <w:rPr>
              <w:rFonts w:ascii="Times New Roman" w:hAnsi="Times New Roman" w:cs="Times New Roman"/>
              <w:sz w:val="24"/>
              <w:szCs w:val="24"/>
            </w:rPr>
            <w:t xml:space="preserve">For </w:t>
          </w:r>
          <w:proofErr w:type="spellStart"/>
          <w:r w:rsidR="001768EB" w:rsidRPr="001014AA">
            <w:rPr>
              <w:rFonts w:ascii="Times New Roman" w:hAnsi="Times New Roman" w:cs="Times New Roman"/>
              <w:sz w:val="24"/>
              <w:szCs w:val="24"/>
            </w:rPr>
            <w:t>eaxmple</w:t>
          </w:r>
          <w:proofErr w:type="spellEnd"/>
          <w:r w:rsidRPr="001014AA">
            <w:rPr>
              <w:rFonts w:ascii="Times New Roman" w:hAnsi="Times New Roman" w:cs="Times New Roman"/>
              <w:sz w:val="24"/>
              <w:szCs w:val="24"/>
            </w:rPr>
            <w:t xml:space="preserve">, 1.3x -1.6x). This strategic structure gives the option of providing flexibility to be able to use debt to conduct value-accretive mergers and acquisitions in high-growth areas such as Prestige Beauty and retain the ability to make strategic share buybacks. At the same time, a specific working capital optimisation programme is obligatory. The </w:t>
          </w:r>
          <w:r w:rsidR="00642E10" w:rsidRPr="001014AA">
            <w:rPr>
              <w:rFonts w:ascii="Times New Roman" w:hAnsi="Times New Roman" w:cs="Times New Roman"/>
              <w:sz w:val="24"/>
              <w:szCs w:val="24"/>
            </w:rPr>
            <w:t>utilisation</w:t>
          </w:r>
          <w:r w:rsidRPr="001014AA">
            <w:rPr>
              <w:rFonts w:ascii="Times New Roman" w:hAnsi="Times New Roman" w:cs="Times New Roman"/>
              <w:sz w:val="24"/>
              <w:szCs w:val="24"/>
            </w:rPr>
            <w:t xml:space="preserve"> of AI-based demand forecasting will increase inventory turnover</w:t>
          </w:r>
          <w:r w:rsidR="00642E10" w:rsidRPr="001014AA">
            <w:rPr>
              <w:rFonts w:ascii="Times New Roman" w:hAnsi="Times New Roman" w:cs="Times New Roman"/>
              <w:sz w:val="24"/>
              <w:szCs w:val="24"/>
            </w:rPr>
            <w:t>,</w:t>
          </w:r>
          <w:r w:rsidRPr="001014AA">
            <w:rPr>
              <w:rFonts w:ascii="Times New Roman" w:hAnsi="Times New Roman" w:cs="Times New Roman"/>
              <w:sz w:val="24"/>
              <w:szCs w:val="24"/>
            </w:rPr>
            <w:t xml:space="preserve"> which is currently at 0.56 using </w:t>
          </w:r>
          <w:r w:rsidR="00642E10" w:rsidRPr="001014AA">
            <w:rPr>
              <w:rFonts w:ascii="Times New Roman" w:hAnsi="Times New Roman" w:cs="Times New Roman"/>
              <w:sz w:val="24"/>
              <w:szCs w:val="24"/>
            </w:rPr>
            <w:t xml:space="preserve">the </w:t>
          </w:r>
          <w:r w:rsidRPr="001014AA">
            <w:rPr>
              <w:rFonts w:ascii="Times New Roman" w:hAnsi="Times New Roman" w:cs="Times New Roman"/>
              <w:sz w:val="24"/>
              <w:szCs w:val="24"/>
            </w:rPr>
            <w:t xml:space="preserve">quick ratio, and </w:t>
          </w:r>
          <w:r w:rsidR="00642E10" w:rsidRPr="001014AA">
            <w:rPr>
              <w:rFonts w:ascii="Times New Roman" w:hAnsi="Times New Roman" w:cs="Times New Roman"/>
              <w:sz w:val="24"/>
              <w:szCs w:val="24"/>
            </w:rPr>
            <w:t xml:space="preserve">the </w:t>
          </w:r>
          <w:r w:rsidRPr="001014AA">
            <w:rPr>
              <w:rFonts w:ascii="Times New Roman" w:hAnsi="Times New Roman" w:cs="Times New Roman"/>
              <w:sz w:val="24"/>
              <w:szCs w:val="24"/>
            </w:rPr>
            <w:t xml:space="preserve">adoption of digital receivables will increase the speed of cash receipt. These programs will open up large amounts of cash, internal funding expansion investments and strengthening financial flexibility (Al-Nimer, </w:t>
          </w:r>
          <w:proofErr w:type="spellStart"/>
          <w:r w:rsidRPr="001014AA">
            <w:rPr>
              <w:rFonts w:ascii="Times New Roman" w:hAnsi="Times New Roman" w:cs="Times New Roman"/>
              <w:sz w:val="24"/>
              <w:szCs w:val="24"/>
            </w:rPr>
            <w:t>Arabiat</w:t>
          </w:r>
          <w:proofErr w:type="spellEnd"/>
          <w:r w:rsidRPr="001014AA">
            <w:rPr>
              <w:rFonts w:ascii="Times New Roman" w:hAnsi="Times New Roman" w:cs="Times New Roman"/>
              <w:sz w:val="24"/>
              <w:szCs w:val="24"/>
            </w:rPr>
            <w:t xml:space="preserve"> and Taha, 2024).</w:t>
          </w:r>
        </w:p>
        <w:p w14:paraId="3283BE1B" w14:textId="64DF6B71" w:rsidR="0008607E" w:rsidRPr="001014AA" w:rsidRDefault="0008607E" w:rsidP="008617BD">
          <w:pPr>
            <w:spacing w:after="0" w:line="480" w:lineRule="auto"/>
            <w:rPr>
              <w:rFonts w:ascii="Times New Roman" w:hAnsi="Times New Roman" w:cs="Times New Roman"/>
              <w:b/>
              <w:bCs/>
              <w:i/>
              <w:iCs/>
              <w:sz w:val="24"/>
              <w:szCs w:val="24"/>
            </w:rPr>
          </w:pPr>
          <w:r w:rsidRPr="001014AA">
            <w:rPr>
              <w:rFonts w:ascii="Times New Roman" w:hAnsi="Times New Roman" w:cs="Times New Roman"/>
              <w:b/>
              <w:bCs/>
              <w:i/>
              <w:iCs/>
              <w:sz w:val="24"/>
              <w:szCs w:val="24"/>
            </w:rPr>
            <w:t xml:space="preserve">2. </w:t>
          </w:r>
          <w:r w:rsidR="001768EB" w:rsidRPr="001014AA">
            <w:rPr>
              <w:rFonts w:ascii="Times New Roman" w:hAnsi="Times New Roman" w:cs="Times New Roman"/>
              <w:b/>
              <w:bCs/>
              <w:i/>
              <w:iCs/>
              <w:sz w:val="24"/>
              <w:szCs w:val="24"/>
            </w:rPr>
            <w:t xml:space="preserve">Adopt </w:t>
          </w:r>
          <w:r w:rsidRPr="001014AA">
            <w:rPr>
              <w:rFonts w:ascii="Times New Roman" w:hAnsi="Times New Roman" w:cs="Times New Roman"/>
              <w:b/>
              <w:bCs/>
              <w:i/>
              <w:iCs/>
              <w:sz w:val="24"/>
              <w:szCs w:val="24"/>
            </w:rPr>
            <w:t xml:space="preserve">Capital Structure Management.  </w:t>
          </w:r>
        </w:p>
        <w:p w14:paraId="0320DB78" w14:textId="3C741629" w:rsidR="0008607E" w:rsidRPr="001014AA" w:rsidRDefault="0008607E" w:rsidP="008617B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 xml:space="preserve">The slight 2024 deleverage offers the optimal basis of a more subtle capital structure policy. Unilever needs to set and express a range of debt-to-equity </w:t>
          </w:r>
          <w:r w:rsidR="00642E10" w:rsidRPr="001014AA">
            <w:rPr>
              <w:rFonts w:ascii="Times New Roman" w:hAnsi="Times New Roman" w:cs="Times New Roman"/>
              <w:sz w:val="24"/>
              <w:szCs w:val="24"/>
            </w:rPr>
            <w:t>ratios</w:t>
          </w:r>
          <w:r w:rsidRPr="001014AA">
            <w:rPr>
              <w:rFonts w:ascii="Times New Roman" w:hAnsi="Times New Roman" w:cs="Times New Roman"/>
              <w:sz w:val="24"/>
              <w:szCs w:val="24"/>
            </w:rPr>
            <w:t xml:space="preserve"> (e.g., 1.3x -1.6x) instead of continually shrinking it. This framework would allow the flexibility to:</w:t>
          </w:r>
        </w:p>
        <w:p w14:paraId="1E902CEA" w14:textId="77777777" w:rsidR="0008607E" w:rsidRPr="001014AA" w:rsidRDefault="0008607E" w:rsidP="008617BD">
          <w:pPr>
            <w:pStyle w:val="ListParagraph"/>
            <w:numPr>
              <w:ilvl w:val="0"/>
              <w:numId w:val="5"/>
            </w:numPr>
            <w:spacing w:after="0" w:line="480" w:lineRule="auto"/>
            <w:ind w:left="0" w:firstLine="720"/>
            <w:rPr>
              <w:rFonts w:ascii="Times New Roman" w:hAnsi="Times New Roman" w:cs="Times New Roman"/>
              <w:sz w:val="24"/>
              <w:szCs w:val="24"/>
            </w:rPr>
          </w:pPr>
          <w:r w:rsidRPr="001014AA">
            <w:rPr>
              <w:rFonts w:ascii="Times New Roman" w:hAnsi="Times New Roman" w:cs="Times New Roman"/>
              <w:sz w:val="24"/>
              <w:szCs w:val="24"/>
            </w:rPr>
            <w:t>Grow high-potential categories such as Health and Wellbeing or Prestige Beauty at strategic debt that will not dilute shareholders by funding value-accretive mergers and acquisitions (Nagarajan, Mohanty and Khatua, 2022).</w:t>
          </w:r>
        </w:p>
        <w:p w14:paraId="1C17C7D5" w14:textId="51B98B43" w:rsidR="0008607E" w:rsidRPr="001014AA" w:rsidRDefault="0008607E" w:rsidP="008617BD">
          <w:pPr>
            <w:pStyle w:val="ListParagraph"/>
            <w:numPr>
              <w:ilvl w:val="0"/>
              <w:numId w:val="5"/>
            </w:numPr>
            <w:spacing w:after="0" w:line="480" w:lineRule="auto"/>
            <w:ind w:left="0" w:firstLine="720"/>
            <w:rPr>
              <w:rFonts w:ascii="Times New Roman" w:hAnsi="Times New Roman" w:cs="Times New Roman"/>
              <w:sz w:val="24"/>
              <w:szCs w:val="24"/>
            </w:rPr>
          </w:pPr>
          <w:r w:rsidRPr="001014AA">
            <w:rPr>
              <w:rFonts w:ascii="Times New Roman" w:hAnsi="Times New Roman" w:cs="Times New Roman"/>
              <w:sz w:val="24"/>
              <w:szCs w:val="24"/>
            </w:rPr>
            <w:lastRenderedPageBreak/>
            <w:t xml:space="preserve">Keep a high </w:t>
          </w:r>
          <w:r w:rsidR="00642E10" w:rsidRPr="001014AA">
            <w:rPr>
              <w:rFonts w:ascii="Times New Roman" w:hAnsi="Times New Roman" w:cs="Times New Roman"/>
              <w:sz w:val="24"/>
              <w:szCs w:val="24"/>
            </w:rPr>
            <w:t>investment-grade</w:t>
          </w:r>
          <w:r w:rsidRPr="001014AA">
            <w:rPr>
              <w:rFonts w:ascii="Times New Roman" w:hAnsi="Times New Roman" w:cs="Times New Roman"/>
              <w:sz w:val="24"/>
              <w:szCs w:val="24"/>
            </w:rPr>
            <w:t xml:space="preserve"> credit rating, which means that it will have </w:t>
          </w:r>
          <w:r w:rsidR="00642E10" w:rsidRPr="001014AA">
            <w:rPr>
              <w:rFonts w:ascii="Times New Roman" w:hAnsi="Times New Roman" w:cs="Times New Roman"/>
              <w:sz w:val="24"/>
              <w:szCs w:val="24"/>
            </w:rPr>
            <w:t xml:space="preserve">a </w:t>
          </w:r>
          <w:r w:rsidRPr="001014AA">
            <w:rPr>
              <w:rFonts w:ascii="Times New Roman" w:hAnsi="Times New Roman" w:cs="Times New Roman"/>
              <w:sz w:val="24"/>
              <w:szCs w:val="24"/>
            </w:rPr>
            <w:t>low cost of borrowing. This is well covered by the present interest coverage of 8.4x.</w:t>
          </w:r>
        </w:p>
        <w:p w14:paraId="5759F10C" w14:textId="64633DCF" w:rsidR="0008607E" w:rsidRPr="001014AA" w:rsidRDefault="0008607E" w:rsidP="008617BD">
          <w:pPr>
            <w:pStyle w:val="ListParagraph"/>
            <w:numPr>
              <w:ilvl w:val="0"/>
              <w:numId w:val="5"/>
            </w:numPr>
            <w:spacing w:after="0" w:line="480" w:lineRule="auto"/>
            <w:ind w:left="0" w:firstLine="720"/>
            <w:rPr>
              <w:rFonts w:ascii="Times New Roman" w:hAnsi="Times New Roman" w:cs="Times New Roman"/>
              <w:sz w:val="24"/>
              <w:szCs w:val="24"/>
            </w:rPr>
          </w:pPr>
          <w:r w:rsidRPr="001014AA">
            <w:rPr>
              <w:rFonts w:ascii="Times New Roman" w:hAnsi="Times New Roman" w:cs="Times New Roman"/>
              <w:sz w:val="24"/>
              <w:szCs w:val="24"/>
            </w:rPr>
            <w:t xml:space="preserve">Repurchase excess capital to shareholders in </w:t>
          </w:r>
          <w:r w:rsidR="00642E10" w:rsidRPr="001014AA">
            <w:rPr>
              <w:rFonts w:ascii="Times New Roman" w:hAnsi="Times New Roman" w:cs="Times New Roman"/>
              <w:sz w:val="24"/>
              <w:szCs w:val="24"/>
            </w:rPr>
            <w:t>systemised</w:t>
          </w:r>
          <w:r w:rsidRPr="001014AA">
            <w:rPr>
              <w:rFonts w:ascii="Times New Roman" w:hAnsi="Times New Roman" w:cs="Times New Roman"/>
              <w:sz w:val="24"/>
              <w:szCs w:val="24"/>
            </w:rPr>
            <w:t xml:space="preserve"> buybacks in cases when the share price is considered undervalued, in addition to the current dividend policy (Potharla, 2025). This moderate gearing is an indicator of high-quality financial stewardship to the market.</w:t>
          </w:r>
        </w:p>
        <w:p w14:paraId="30813BD1" w14:textId="77777777" w:rsidR="0008607E" w:rsidRPr="001014AA" w:rsidRDefault="0008607E" w:rsidP="008617BD">
          <w:pPr>
            <w:spacing w:after="0" w:line="480" w:lineRule="auto"/>
            <w:rPr>
              <w:rFonts w:ascii="Times New Roman" w:hAnsi="Times New Roman" w:cs="Times New Roman"/>
              <w:b/>
              <w:bCs/>
              <w:i/>
              <w:iCs/>
              <w:sz w:val="24"/>
              <w:szCs w:val="24"/>
            </w:rPr>
          </w:pPr>
          <w:r w:rsidRPr="001014AA">
            <w:rPr>
              <w:rFonts w:ascii="Times New Roman" w:hAnsi="Times New Roman" w:cs="Times New Roman"/>
              <w:b/>
              <w:bCs/>
              <w:i/>
              <w:iCs/>
              <w:sz w:val="24"/>
              <w:szCs w:val="24"/>
            </w:rPr>
            <w:t xml:space="preserve">3. Optimise Supply Chain Digitisation to generate Asset Effectiveness.  </w:t>
          </w:r>
        </w:p>
        <w:p w14:paraId="68E08E53" w14:textId="6A5003A4" w:rsidR="0008607E" w:rsidRPr="001014AA" w:rsidRDefault="0008607E" w:rsidP="008617B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To attain a slightly decreasing Asset Turnover ratio (0.79 to 0.76)</w:t>
          </w:r>
          <w:r w:rsidR="00EC2C83" w:rsidRPr="001014AA">
            <w:rPr>
              <w:rFonts w:ascii="Times New Roman" w:hAnsi="Times New Roman" w:cs="Times New Roman"/>
              <w:sz w:val="24"/>
              <w:szCs w:val="24"/>
            </w:rPr>
            <w:t>,</w:t>
          </w:r>
          <w:r w:rsidRPr="001014AA">
            <w:rPr>
              <w:rFonts w:ascii="Times New Roman" w:hAnsi="Times New Roman" w:cs="Times New Roman"/>
              <w:sz w:val="24"/>
              <w:szCs w:val="24"/>
            </w:rPr>
            <w:t xml:space="preserve"> Unilever needs to speed up its “Lean Agile Supply Chain” project by shifting the focus toward optimisation</w:t>
          </w:r>
          <w:r w:rsidR="00EC2C83" w:rsidRPr="001014AA">
            <w:rPr>
              <w:rFonts w:ascii="Times New Roman" w:hAnsi="Times New Roman" w:cs="Times New Roman"/>
              <w:sz w:val="24"/>
              <w:szCs w:val="24"/>
            </w:rPr>
            <w:t>,</w:t>
          </w:r>
          <w:r w:rsidRPr="001014AA">
            <w:rPr>
              <w:rFonts w:ascii="Times New Roman" w:hAnsi="Times New Roman" w:cs="Times New Roman"/>
              <w:sz w:val="24"/>
              <w:szCs w:val="24"/>
            </w:rPr>
            <w:t xml:space="preserve"> full digitisation and the introduction of integration efforts.</w:t>
          </w:r>
        </w:p>
        <w:p w14:paraId="4B041AEA" w14:textId="5E19DDC9" w:rsidR="0008607E" w:rsidRPr="001014AA" w:rsidRDefault="0008607E" w:rsidP="008617BD">
          <w:pPr>
            <w:pStyle w:val="ListParagraph"/>
            <w:numPr>
              <w:ilvl w:val="0"/>
              <w:numId w:val="5"/>
            </w:numPr>
            <w:spacing w:after="0" w:line="480" w:lineRule="auto"/>
            <w:ind w:left="0" w:firstLine="720"/>
            <w:rPr>
              <w:rFonts w:ascii="Times New Roman" w:hAnsi="Times New Roman" w:cs="Times New Roman"/>
              <w:sz w:val="24"/>
              <w:szCs w:val="24"/>
            </w:rPr>
          </w:pPr>
          <w:r w:rsidRPr="001014AA">
            <w:rPr>
              <w:rFonts w:ascii="Times New Roman" w:hAnsi="Times New Roman" w:cs="Times New Roman"/>
              <w:sz w:val="24"/>
              <w:szCs w:val="24"/>
            </w:rPr>
            <w:t>Invest in a unified planning platform where real demand indicators are e-commerce and major retailer demand in real time</w:t>
          </w:r>
          <w:r w:rsidR="00EC2C83" w:rsidRPr="001014AA">
            <w:rPr>
              <w:rFonts w:ascii="Times New Roman" w:hAnsi="Times New Roman" w:cs="Times New Roman"/>
              <w:sz w:val="24"/>
              <w:szCs w:val="24"/>
            </w:rPr>
            <w:t>,</w:t>
          </w:r>
          <w:r w:rsidRPr="001014AA">
            <w:rPr>
              <w:rFonts w:ascii="Times New Roman" w:hAnsi="Times New Roman" w:cs="Times New Roman"/>
              <w:sz w:val="24"/>
              <w:szCs w:val="24"/>
            </w:rPr>
            <w:t xml:space="preserve"> integrated with production planning and procurement. This minimises lead times and reduces obsolete inventory.</w:t>
          </w:r>
        </w:p>
        <w:p w14:paraId="6C2BDD75" w14:textId="18719A45" w:rsidR="0008607E" w:rsidRPr="001014AA" w:rsidRDefault="0008607E" w:rsidP="008617BD">
          <w:pPr>
            <w:pStyle w:val="ListParagraph"/>
            <w:numPr>
              <w:ilvl w:val="0"/>
              <w:numId w:val="5"/>
            </w:numPr>
            <w:spacing w:after="0" w:line="480" w:lineRule="auto"/>
            <w:ind w:left="0" w:firstLine="720"/>
            <w:rPr>
              <w:rFonts w:ascii="Times New Roman" w:hAnsi="Times New Roman" w:cs="Times New Roman"/>
              <w:sz w:val="24"/>
              <w:szCs w:val="24"/>
            </w:rPr>
          </w:pPr>
          <w:r w:rsidRPr="001014AA">
            <w:rPr>
              <w:rFonts w:ascii="Times New Roman" w:hAnsi="Times New Roman" w:cs="Times New Roman"/>
              <w:sz w:val="24"/>
              <w:szCs w:val="24"/>
            </w:rPr>
            <w:t xml:space="preserve">Increase the application of Internet of Things (IoT) sensors and AI in manufacturing and logistics to make predictions on maintenance, minimise energy usage, and optimise warehouse stock and routes. Such digital counterparts of the physical supply chain are central to attaining step-change improvements in return on net assets (RONA) as </w:t>
          </w:r>
          <w:r w:rsidR="00EC2C83" w:rsidRPr="001014AA">
            <w:rPr>
              <w:rFonts w:ascii="Times New Roman" w:hAnsi="Times New Roman" w:cs="Times New Roman"/>
              <w:sz w:val="24"/>
              <w:szCs w:val="24"/>
            </w:rPr>
            <w:t>emphasised</w:t>
          </w:r>
          <w:r w:rsidRPr="001014AA">
            <w:rPr>
              <w:rFonts w:ascii="Times New Roman" w:hAnsi="Times New Roman" w:cs="Times New Roman"/>
              <w:sz w:val="24"/>
              <w:szCs w:val="24"/>
            </w:rPr>
            <w:t xml:space="preserve"> in the recent literature on operations management (Khan et al., 2022).</w:t>
          </w:r>
        </w:p>
        <w:p w14:paraId="2FE3ABB1" w14:textId="77777777" w:rsidR="0008607E" w:rsidRPr="001014AA" w:rsidRDefault="0008607E" w:rsidP="008617B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These will be efficiency gains that will directly help ROCE by bringing about increased turnover of the current asset base.</w:t>
          </w:r>
        </w:p>
        <w:p w14:paraId="155B3159" w14:textId="77777777" w:rsidR="0008607E" w:rsidRPr="001014AA" w:rsidRDefault="0008607E" w:rsidP="008617BD">
          <w:pPr>
            <w:spacing w:after="0" w:line="480" w:lineRule="auto"/>
            <w:rPr>
              <w:rFonts w:ascii="Times New Roman" w:hAnsi="Times New Roman" w:cs="Times New Roman"/>
              <w:b/>
              <w:bCs/>
              <w:i/>
              <w:iCs/>
              <w:sz w:val="24"/>
              <w:szCs w:val="24"/>
            </w:rPr>
          </w:pPr>
          <w:r w:rsidRPr="001014AA">
            <w:rPr>
              <w:rFonts w:ascii="Times New Roman" w:hAnsi="Times New Roman" w:cs="Times New Roman"/>
              <w:b/>
              <w:bCs/>
              <w:i/>
              <w:iCs/>
              <w:sz w:val="24"/>
              <w:szCs w:val="24"/>
            </w:rPr>
            <w:t xml:space="preserve">4. Improve Investor Communication to Gain Trust in the Growth Path.  </w:t>
          </w:r>
        </w:p>
        <w:p w14:paraId="1FAF324F" w14:textId="01EA9F79" w:rsidR="0008607E" w:rsidRPr="001014AA" w:rsidRDefault="0008607E" w:rsidP="008617B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 xml:space="preserve">The wary valuation of the market (P/E = 17.8x) shows that the communication needs to be improved to create confidence in the long-term growth pattern. Unilever must be more transparent and present clear and quantified </w:t>
          </w:r>
          <w:r w:rsidR="00EC2C83" w:rsidRPr="001014AA">
            <w:rPr>
              <w:rFonts w:ascii="Times New Roman" w:hAnsi="Times New Roman" w:cs="Times New Roman"/>
              <w:sz w:val="24"/>
              <w:szCs w:val="24"/>
            </w:rPr>
            <w:t>disclosures</w:t>
          </w:r>
          <w:r w:rsidRPr="001014AA">
            <w:rPr>
              <w:rFonts w:ascii="Times New Roman" w:hAnsi="Times New Roman" w:cs="Times New Roman"/>
              <w:sz w:val="24"/>
              <w:szCs w:val="24"/>
            </w:rPr>
            <w:t xml:space="preserve"> about returns of strategic capital investment in marketing, R&amp;D, and AI investments. Complementing the progressive </w:t>
          </w:r>
          <w:r w:rsidRPr="001014AA">
            <w:rPr>
              <w:rFonts w:ascii="Times New Roman" w:hAnsi="Times New Roman" w:cs="Times New Roman"/>
              <w:sz w:val="24"/>
              <w:szCs w:val="24"/>
            </w:rPr>
            <w:lastRenderedPageBreak/>
            <w:t>dividend policy with a policy of dividend growth directly tied to an underlying growth in earnings would enforce dedication to shrewd returns. Publication of industry-comparable operational KPIs, including market share increase and the expansion of digital channels, will be used regularly to present direct evidence of strategic efforts building to commercial success and thus close the gap between action and perception (Sutton, 2025)</w:t>
          </w:r>
          <w:r w:rsidR="008617BD">
            <w:rPr>
              <w:rFonts w:ascii="Times New Roman" w:hAnsi="Times New Roman" w:cs="Times New Roman"/>
              <w:sz w:val="24"/>
              <w:szCs w:val="24"/>
            </w:rPr>
            <w:t>.</w:t>
          </w:r>
        </w:p>
        <w:p w14:paraId="743F7C66" w14:textId="7030782B" w:rsidR="0008607E" w:rsidRPr="001014AA" w:rsidRDefault="001768EB" w:rsidP="001014AA">
          <w:pPr>
            <w:pStyle w:val="Heading2"/>
            <w:spacing w:before="0" w:line="480" w:lineRule="auto"/>
            <w:ind w:left="720" w:hanging="720"/>
            <w:rPr>
              <w:rFonts w:ascii="Times New Roman" w:hAnsi="Times New Roman" w:cs="Times New Roman"/>
              <w:b/>
              <w:bCs/>
              <w:color w:val="auto"/>
              <w:sz w:val="24"/>
              <w:szCs w:val="24"/>
            </w:rPr>
          </w:pPr>
          <w:bookmarkStart w:id="8" w:name="_Toc218616253"/>
          <w:r w:rsidRPr="001014AA">
            <w:rPr>
              <w:rFonts w:ascii="Times New Roman" w:hAnsi="Times New Roman" w:cs="Times New Roman"/>
              <w:b/>
              <w:bCs/>
              <w:color w:val="auto"/>
              <w:sz w:val="24"/>
              <w:szCs w:val="24"/>
            </w:rPr>
            <w:t xml:space="preserve">3.1 </w:t>
          </w:r>
          <w:r w:rsidR="0008607E" w:rsidRPr="001014AA">
            <w:rPr>
              <w:rFonts w:ascii="Times New Roman" w:hAnsi="Times New Roman" w:cs="Times New Roman"/>
              <w:b/>
              <w:bCs/>
              <w:color w:val="auto"/>
              <w:sz w:val="24"/>
              <w:szCs w:val="24"/>
            </w:rPr>
            <w:t>Part 2: Westward Plc Investment Appraisal.</w:t>
          </w:r>
          <w:bookmarkEnd w:id="8"/>
        </w:p>
        <w:p w14:paraId="42943CC1" w14:textId="2BBC421C" w:rsidR="0008607E" w:rsidRPr="001014AA" w:rsidRDefault="001768EB" w:rsidP="001014AA">
          <w:pPr>
            <w:pStyle w:val="Heading3"/>
            <w:spacing w:before="0" w:line="480" w:lineRule="auto"/>
            <w:ind w:left="720" w:hanging="720"/>
            <w:rPr>
              <w:rFonts w:ascii="Times New Roman" w:hAnsi="Times New Roman" w:cs="Times New Roman"/>
              <w:b/>
              <w:bCs/>
              <w:color w:val="auto"/>
            </w:rPr>
          </w:pPr>
          <w:bookmarkStart w:id="9" w:name="_Toc218616254"/>
          <w:r w:rsidRPr="001014AA">
            <w:rPr>
              <w:rFonts w:ascii="Times New Roman" w:hAnsi="Times New Roman" w:cs="Times New Roman"/>
              <w:b/>
              <w:bCs/>
              <w:color w:val="auto"/>
            </w:rPr>
            <w:t xml:space="preserve">3.1.1 </w:t>
          </w:r>
          <w:r w:rsidR="0008607E" w:rsidRPr="001014AA">
            <w:rPr>
              <w:rFonts w:ascii="Times New Roman" w:hAnsi="Times New Roman" w:cs="Times New Roman"/>
              <w:b/>
              <w:bCs/>
              <w:color w:val="auto"/>
            </w:rPr>
            <w:t>Investment Opportunity Evaluation on Net Present Value (NPV).</w:t>
          </w:r>
          <w:bookmarkEnd w:id="9"/>
        </w:p>
        <w:p w14:paraId="4BEBA0F0" w14:textId="110AE716" w:rsidR="0008607E" w:rsidRPr="001014AA" w:rsidRDefault="0008607E" w:rsidP="006672D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 xml:space="preserve">Using the basic concepts of capital budgeting, </w:t>
          </w:r>
          <w:r w:rsidR="00642E10" w:rsidRPr="001014AA">
            <w:rPr>
              <w:rFonts w:ascii="Times New Roman" w:hAnsi="Times New Roman" w:cs="Times New Roman"/>
              <w:sz w:val="24"/>
              <w:szCs w:val="24"/>
            </w:rPr>
            <w:t xml:space="preserve">the </w:t>
          </w:r>
          <w:r w:rsidRPr="001014AA">
            <w:rPr>
              <w:rFonts w:ascii="Times New Roman" w:hAnsi="Times New Roman" w:cs="Times New Roman"/>
              <w:sz w:val="24"/>
              <w:szCs w:val="24"/>
            </w:rPr>
            <w:t>Net Present Value (NPV) method gives a final, objective ranking of the three strategic alternatives, which isolates option B as the value-maximising one. Using a 6% cost of capital of the company (pretax)</w:t>
          </w:r>
          <w:r w:rsidR="00EC2C83" w:rsidRPr="001014AA">
            <w:rPr>
              <w:rFonts w:ascii="Times New Roman" w:hAnsi="Times New Roman" w:cs="Times New Roman"/>
              <w:sz w:val="24"/>
              <w:szCs w:val="24"/>
            </w:rPr>
            <w:t>,</w:t>
          </w:r>
          <w:r w:rsidRPr="001014AA">
            <w:rPr>
              <w:rFonts w:ascii="Times New Roman" w:hAnsi="Times New Roman" w:cs="Times New Roman"/>
              <w:sz w:val="24"/>
              <w:szCs w:val="24"/>
            </w:rPr>
            <w:t xml:space="preserve"> the discount factor on all future post-tax cash flows, NPV determines the sterling amount that each option is expected to contribute to shareholder wealth</w:t>
          </w:r>
          <w:r w:rsidR="00642E10" w:rsidRPr="001014AA">
            <w:rPr>
              <w:rFonts w:ascii="Times New Roman" w:hAnsi="Times New Roman" w:cs="Times New Roman"/>
              <w:sz w:val="24"/>
              <w:szCs w:val="24"/>
            </w:rPr>
            <w:t>,</w:t>
          </w:r>
          <w:r w:rsidRPr="001014AA">
            <w:rPr>
              <w:rFonts w:ascii="Times New Roman" w:hAnsi="Times New Roman" w:cs="Times New Roman"/>
              <w:sz w:val="24"/>
              <w:szCs w:val="24"/>
            </w:rPr>
            <w:t xml:space="preserve"> with a positive value indicating that it is acceptable and the higher the value, the better the financial viability (Hopkinson, 2017). In order to estimate the NPV properly, the given pre-tax operating cash flows should be taxed</w:t>
          </w:r>
          <w:r w:rsidR="00EC2C83" w:rsidRPr="001014AA">
            <w:rPr>
              <w:rFonts w:ascii="Times New Roman" w:hAnsi="Times New Roman" w:cs="Times New Roman"/>
              <w:sz w:val="24"/>
              <w:szCs w:val="24"/>
            </w:rPr>
            <w:t>,</w:t>
          </w:r>
          <w:r w:rsidRPr="001014AA">
            <w:rPr>
              <w:rFonts w:ascii="Times New Roman" w:hAnsi="Times New Roman" w:cs="Times New Roman"/>
              <w:sz w:val="24"/>
              <w:szCs w:val="24"/>
            </w:rPr>
            <w:t xml:space="preserve"> and capital </w:t>
          </w:r>
          <w:r w:rsidR="00EC2C83" w:rsidRPr="001014AA">
            <w:rPr>
              <w:rFonts w:ascii="Times New Roman" w:hAnsi="Times New Roman" w:cs="Times New Roman"/>
              <w:sz w:val="24"/>
              <w:szCs w:val="24"/>
            </w:rPr>
            <w:t>allowance</w:t>
          </w:r>
          <w:r w:rsidRPr="001014AA">
            <w:rPr>
              <w:rFonts w:ascii="Times New Roman" w:hAnsi="Times New Roman" w:cs="Times New Roman"/>
              <w:sz w:val="24"/>
              <w:szCs w:val="24"/>
            </w:rPr>
            <w:t xml:space="preserve"> (Auerbach et al., 2017). The corporation tax in the UK is 25%. Capital allowances are provided </w:t>
          </w:r>
          <w:r w:rsidR="00642E10" w:rsidRPr="001014AA">
            <w:rPr>
              <w:rFonts w:ascii="Times New Roman" w:hAnsi="Times New Roman" w:cs="Times New Roman"/>
              <w:sz w:val="24"/>
              <w:szCs w:val="24"/>
            </w:rPr>
            <w:t>at a rate of</w:t>
          </w:r>
          <w:r w:rsidRPr="001014AA">
            <w:rPr>
              <w:rFonts w:ascii="Times New Roman" w:hAnsi="Times New Roman" w:cs="Times New Roman"/>
              <w:sz w:val="24"/>
              <w:szCs w:val="24"/>
            </w:rPr>
            <w:t xml:space="preserve"> 20 per cent linearly on the original investment, which serves as a tax shield by cutting down the annual taxable profit (Brealey et al., 2020).</w:t>
          </w:r>
        </w:p>
        <w:p w14:paraId="2989F573" w14:textId="77777777" w:rsidR="0008607E" w:rsidRPr="001014AA" w:rsidRDefault="0008607E" w:rsidP="006672D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The critical output of the discounted cash flow analysis is summarised in the table below after each option has reflected its cash flows after adjusting them by the corporation tax at 25% and straight-line capital allowances at 20%. This disciplined DCF methodology applied to each of the options results in the following comparative results:</w:t>
          </w:r>
        </w:p>
        <w:p w14:paraId="47712993" w14:textId="1572D283" w:rsidR="001768EB" w:rsidRDefault="001768EB" w:rsidP="001014AA">
          <w:pPr>
            <w:pStyle w:val="Caption"/>
            <w:keepNext/>
            <w:spacing w:after="0" w:line="480" w:lineRule="auto"/>
            <w:ind w:left="720" w:hanging="720"/>
            <w:rPr>
              <w:rFonts w:ascii="Times New Roman" w:hAnsi="Times New Roman" w:cs="Times New Roman"/>
              <w:color w:val="auto"/>
              <w:sz w:val="24"/>
              <w:szCs w:val="24"/>
            </w:rPr>
          </w:pPr>
          <w:r w:rsidRPr="001014AA">
            <w:rPr>
              <w:rFonts w:ascii="Times New Roman" w:hAnsi="Times New Roman" w:cs="Times New Roman"/>
              <w:color w:val="auto"/>
              <w:sz w:val="24"/>
              <w:szCs w:val="24"/>
            </w:rPr>
            <w:t xml:space="preserve">Table </w:t>
          </w:r>
          <w:r w:rsidRPr="001014AA">
            <w:rPr>
              <w:rFonts w:ascii="Times New Roman" w:hAnsi="Times New Roman" w:cs="Times New Roman"/>
              <w:color w:val="auto"/>
              <w:sz w:val="24"/>
              <w:szCs w:val="24"/>
            </w:rPr>
            <w:fldChar w:fldCharType="begin"/>
          </w:r>
          <w:r w:rsidRPr="001014AA">
            <w:rPr>
              <w:rFonts w:ascii="Times New Roman" w:hAnsi="Times New Roman" w:cs="Times New Roman"/>
              <w:color w:val="auto"/>
              <w:sz w:val="24"/>
              <w:szCs w:val="24"/>
            </w:rPr>
            <w:instrText xml:space="preserve"> SEQ Table \* ARABIC </w:instrText>
          </w:r>
          <w:r w:rsidRPr="001014AA">
            <w:rPr>
              <w:rFonts w:ascii="Times New Roman" w:hAnsi="Times New Roman" w:cs="Times New Roman"/>
              <w:color w:val="auto"/>
              <w:sz w:val="24"/>
              <w:szCs w:val="24"/>
            </w:rPr>
            <w:fldChar w:fldCharType="separate"/>
          </w:r>
          <w:r w:rsidR="00FD2C5B" w:rsidRPr="001014AA">
            <w:rPr>
              <w:rFonts w:ascii="Times New Roman" w:hAnsi="Times New Roman" w:cs="Times New Roman"/>
              <w:noProof/>
              <w:color w:val="auto"/>
              <w:sz w:val="24"/>
              <w:szCs w:val="24"/>
            </w:rPr>
            <w:t>1</w:t>
          </w:r>
          <w:r w:rsidRPr="001014AA">
            <w:rPr>
              <w:rFonts w:ascii="Times New Roman" w:hAnsi="Times New Roman" w:cs="Times New Roman"/>
              <w:color w:val="auto"/>
              <w:sz w:val="24"/>
              <w:szCs w:val="24"/>
            </w:rPr>
            <w:fldChar w:fldCharType="end"/>
          </w:r>
          <w:r w:rsidRPr="001014AA">
            <w:rPr>
              <w:rFonts w:ascii="Times New Roman" w:hAnsi="Times New Roman" w:cs="Times New Roman"/>
              <w:color w:val="auto"/>
              <w:sz w:val="24"/>
              <w:szCs w:val="24"/>
            </w:rPr>
            <w:t>: Summary of Investment Appraisal Results</w:t>
          </w:r>
        </w:p>
        <w:p w14:paraId="2A2B3B94" w14:textId="77777777" w:rsidR="006672DD" w:rsidRDefault="006672DD" w:rsidP="006672DD"/>
        <w:p w14:paraId="35456B89" w14:textId="77777777" w:rsidR="006672DD" w:rsidRDefault="006672DD" w:rsidP="006672DD"/>
        <w:p w14:paraId="4F02E232" w14:textId="77777777" w:rsidR="006672DD" w:rsidRPr="006672DD" w:rsidRDefault="006672DD" w:rsidP="006672DD"/>
        <w:tbl>
          <w:tblPr>
            <w:tblStyle w:val="TableGrid"/>
            <w:tblW w:w="0" w:type="auto"/>
            <w:tblLook w:val="04A0" w:firstRow="1" w:lastRow="0" w:firstColumn="1" w:lastColumn="0" w:noHBand="0" w:noVBand="1"/>
          </w:tblPr>
          <w:tblGrid>
            <w:gridCol w:w="977"/>
            <w:gridCol w:w="3247"/>
            <w:gridCol w:w="1283"/>
            <w:gridCol w:w="943"/>
            <w:gridCol w:w="2289"/>
          </w:tblGrid>
          <w:tr w:rsidR="0008607E" w:rsidRPr="001014AA" w14:paraId="42BEF671" w14:textId="77777777" w:rsidTr="001768EB">
            <w:trPr>
              <w:trHeight w:val="800"/>
            </w:trPr>
            <w:tc>
              <w:tcPr>
                <w:tcW w:w="977" w:type="dxa"/>
                <w:noWrap/>
                <w:hideMark/>
              </w:tcPr>
              <w:p w14:paraId="2B885DEC"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lastRenderedPageBreak/>
                  <w:t>Options</w:t>
                </w:r>
              </w:p>
            </w:tc>
            <w:tc>
              <w:tcPr>
                <w:tcW w:w="3247" w:type="dxa"/>
                <w:noWrap/>
                <w:hideMark/>
              </w:tcPr>
              <w:p w14:paraId="2987E4B4"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Description</w:t>
                </w:r>
              </w:p>
            </w:tc>
            <w:tc>
              <w:tcPr>
                <w:tcW w:w="1283" w:type="dxa"/>
                <w:noWrap/>
                <w:hideMark/>
              </w:tcPr>
              <w:p w14:paraId="5D5D892F"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Initial Investment</w:t>
                </w:r>
              </w:p>
            </w:tc>
            <w:tc>
              <w:tcPr>
                <w:tcW w:w="943" w:type="dxa"/>
                <w:noWrap/>
                <w:hideMark/>
              </w:tcPr>
              <w:p w14:paraId="6864A7F7"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Net Present Value (NPV) @ 6%</w:t>
                </w:r>
              </w:p>
            </w:tc>
            <w:tc>
              <w:tcPr>
                <w:tcW w:w="2289" w:type="dxa"/>
                <w:noWrap/>
                <w:hideMark/>
              </w:tcPr>
              <w:p w14:paraId="788C8B0A"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Ranking</w:t>
                </w:r>
              </w:p>
            </w:tc>
          </w:tr>
          <w:tr w:rsidR="0008607E" w:rsidRPr="001014AA" w14:paraId="3C07FCC0" w14:textId="77777777" w:rsidTr="001768EB">
            <w:trPr>
              <w:trHeight w:val="251"/>
            </w:trPr>
            <w:tc>
              <w:tcPr>
                <w:tcW w:w="977" w:type="dxa"/>
                <w:noWrap/>
                <w:hideMark/>
              </w:tcPr>
              <w:p w14:paraId="330137F9"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A</w:t>
                </w:r>
              </w:p>
            </w:tc>
            <w:tc>
              <w:tcPr>
                <w:tcW w:w="3247" w:type="dxa"/>
                <w:noWrap/>
                <w:hideMark/>
              </w:tcPr>
              <w:p w14:paraId="50CD2D03"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Retail Outlet Expansion</w:t>
                </w:r>
              </w:p>
            </w:tc>
            <w:tc>
              <w:tcPr>
                <w:tcW w:w="1283" w:type="dxa"/>
                <w:noWrap/>
                <w:hideMark/>
              </w:tcPr>
              <w:p w14:paraId="6A44B8F5"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600</w:t>
                </w:r>
              </w:p>
            </w:tc>
            <w:tc>
              <w:tcPr>
                <w:tcW w:w="943" w:type="dxa"/>
                <w:noWrap/>
                <w:hideMark/>
              </w:tcPr>
              <w:p w14:paraId="69788C48"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643.3</w:t>
                </w:r>
              </w:p>
            </w:tc>
            <w:tc>
              <w:tcPr>
                <w:tcW w:w="2289" w:type="dxa"/>
                <w:noWrap/>
                <w:hideMark/>
              </w:tcPr>
              <w:p w14:paraId="50AA9AF8"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2</w:t>
                </w:r>
              </w:p>
            </w:tc>
          </w:tr>
          <w:tr w:rsidR="0008607E" w:rsidRPr="001014AA" w14:paraId="79F78AA3" w14:textId="77777777" w:rsidTr="001768EB">
            <w:trPr>
              <w:trHeight w:val="251"/>
            </w:trPr>
            <w:tc>
              <w:tcPr>
                <w:tcW w:w="977" w:type="dxa"/>
                <w:noWrap/>
                <w:hideMark/>
              </w:tcPr>
              <w:p w14:paraId="197837BB"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B</w:t>
                </w:r>
              </w:p>
            </w:tc>
            <w:tc>
              <w:tcPr>
                <w:tcW w:w="3247" w:type="dxa"/>
                <w:noWrap/>
                <w:hideMark/>
              </w:tcPr>
              <w:p w14:paraId="33FEBC94"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Internet Sales Development</w:t>
                </w:r>
              </w:p>
            </w:tc>
            <w:tc>
              <w:tcPr>
                <w:tcW w:w="1283" w:type="dxa"/>
                <w:noWrap/>
                <w:hideMark/>
              </w:tcPr>
              <w:p w14:paraId="4E9543B8"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1000</w:t>
                </w:r>
              </w:p>
            </w:tc>
            <w:tc>
              <w:tcPr>
                <w:tcW w:w="943" w:type="dxa"/>
                <w:noWrap/>
                <w:hideMark/>
              </w:tcPr>
              <w:p w14:paraId="4F53CE66"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792.3</w:t>
                </w:r>
              </w:p>
            </w:tc>
            <w:tc>
              <w:tcPr>
                <w:tcW w:w="2289" w:type="dxa"/>
                <w:noWrap/>
                <w:hideMark/>
              </w:tcPr>
              <w:p w14:paraId="5D21EFC0"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1</w:t>
                </w:r>
              </w:p>
            </w:tc>
          </w:tr>
          <w:tr w:rsidR="0008607E" w:rsidRPr="001014AA" w14:paraId="5BE9EE0D" w14:textId="77777777" w:rsidTr="001768EB">
            <w:trPr>
              <w:trHeight w:val="330"/>
            </w:trPr>
            <w:tc>
              <w:tcPr>
                <w:tcW w:w="977" w:type="dxa"/>
                <w:noWrap/>
                <w:hideMark/>
              </w:tcPr>
              <w:p w14:paraId="288E9304"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C</w:t>
                </w:r>
              </w:p>
            </w:tc>
            <w:tc>
              <w:tcPr>
                <w:tcW w:w="3247" w:type="dxa"/>
                <w:noWrap/>
                <w:hideMark/>
              </w:tcPr>
              <w:p w14:paraId="00AAC76A"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Wooden &amp; Roman Blinds Production</w:t>
                </w:r>
              </w:p>
            </w:tc>
            <w:tc>
              <w:tcPr>
                <w:tcW w:w="1283" w:type="dxa"/>
                <w:noWrap/>
                <w:hideMark/>
              </w:tcPr>
              <w:p w14:paraId="32B0E182"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1600</w:t>
                </w:r>
              </w:p>
            </w:tc>
            <w:tc>
              <w:tcPr>
                <w:tcW w:w="943" w:type="dxa"/>
                <w:noWrap/>
                <w:hideMark/>
              </w:tcPr>
              <w:p w14:paraId="46C81451"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743.6</w:t>
                </w:r>
              </w:p>
            </w:tc>
            <w:tc>
              <w:tcPr>
                <w:tcW w:w="2289" w:type="dxa"/>
                <w:noWrap/>
                <w:hideMark/>
              </w:tcPr>
              <w:p w14:paraId="04C02F79"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3</w:t>
                </w:r>
              </w:p>
            </w:tc>
          </w:tr>
        </w:tbl>
        <w:p w14:paraId="72CC5479" w14:textId="77777777" w:rsidR="006672DD" w:rsidRDefault="006672DD" w:rsidP="006672DD">
          <w:pPr>
            <w:spacing w:after="0" w:line="480" w:lineRule="auto"/>
            <w:ind w:firstLine="720"/>
            <w:rPr>
              <w:rFonts w:ascii="Times New Roman" w:hAnsi="Times New Roman" w:cs="Times New Roman"/>
              <w:sz w:val="24"/>
              <w:szCs w:val="24"/>
            </w:rPr>
          </w:pPr>
        </w:p>
        <w:p w14:paraId="158804D4" w14:textId="0B025039" w:rsidR="0008607E" w:rsidRPr="001014AA" w:rsidRDefault="0008607E" w:rsidP="006672D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Based on the analysis, all three options are viable in terms of their financial feasibility as they produced positive NPVs. Option A (Retail Expansion) needs the least amount of capital investment</w:t>
          </w:r>
          <w:r w:rsidR="00642E10" w:rsidRPr="001014AA">
            <w:rPr>
              <w:rFonts w:ascii="Times New Roman" w:hAnsi="Times New Roman" w:cs="Times New Roman"/>
              <w:sz w:val="24"/>
              <w:szCs w:val="24"/>
            </w:rPr>
            <w:t>,</w:t>
          </w:r>
          <w:r w:rsidRPr="001014AA">
            <w:rPr>
              <w:rFonts w:ascii="Times New Roman" w:hAnsi="Times New Roman" w:cs="Times New Roman"/>
              <w:sz w:val="24"/>
              <w:szCs w:val="24"/>
            </w:rPr>
            <w:t xml:space="preserve"> and it produces a healthy NPV of £643,300</w:t>
          </w:r>
          <w:r w:rsidR="00642E10" w:rsidRPr="001014AA">
            <w:rPr>
              <w:rFonts w:ascii="Times New Roman" w:hAnsi="Times New Roman" w:cs="Times New Roman"/>
              <w:sz w:val="24"/>
              <w:szCs w:val="24"/>
            </w:rPr>
            <w:t>,</w:t>
          </w:r>
          <w:r w:rsidRPr="001014AA">
            <w:rPr>
              <w:rFonts w:ascii="Times New Roman" w:hAnsi="Times New Roman" w:cs="Times New Roman"/>
              <w:sz w:val="24"/>
              <w:szCs w:val="24"/>
            </w:rPr>
            <w:t xml:space="preserve"> which translates to an efficient </w:t>
          </w:r>
          <w:r w:rsidR="00642E10" w:rsidRPr="001014AA">
            <w:rPr>
              <w:rFonts w:ascii="Times New Roman" w:hAnsi="Times New Roman" w:cs="Times New Roman"/>
              <w:sz w:val="24"/>
              <w:szCs w:val="24"/>
            </w:rPr>
            <w:t>utilisation</w:t>
          </w:r>
          <w:r w:rsidRPr="001014AA">
            <w:rPr>
              <w:rFonts w:ascii="Times New Roman" w:hAnsi="Times New Roman" w:cs="Times New Roman"/>
              <w:sz w:val="24"/>
              <w:szCs w:val="24"/>
            </w:rPr>
            <w:t xml:space="preserve"> of capital in terms of high </w:t>
          </w:r>
          <w:r w:rsidR="00642E10" w:rsidRPr="001014AA">
            <w:rPr>
              <w:rFonts w:ascii="Times New Roman" w:hAnsi="Times New Roman" w:cs="Times New Roman"/>
              <w:sz w:val="24"/>
              <w:szCs w:val="24"/>
            </w:rPr>
            <w:t xml:space="preserve">returns </w:t>
          </w:r>
          <w:r w:rsidRPr="001014AA">
            <w:rPr>
              <w:rFonts w:ascii="Times New Roman" w:hAnsi="Times New Roman" w:cs="Times New Roman"/>
              <w:sz w:val="24"/>
              <w:szCs w:val="24"/>
            </w:rPr>
            <w:t>per pound invested. Conversely</w:t>
          </w:r>
          <w:r w:rsidR="00642E10" w:rsidRPr="001014AA">
            <w:rPr>
              <w:rFonts w:ascii="Times New Roman" w:hAnsi="Times New Roman" w:cs="Times New Roman"/>
              <w:sz w:val="24"/>
              <w:szCs w:val="24"/>
            </w:rPr>
            <w:t>,</w:t>
          </w:r>
          <w:r w:rsidRPr="001014AA">
            <w:rPr>
              <w:rFonts w:ascii="Times New Roman" w:hAnsi="Times New Roman" w:cs="Times New Roman"/>
              <w:sz w:val="24"/>
              <w:szCs w:val="24"/>
            </w:rPr>
            <w:t xml:space="preserve"> though, option C (Blinds Production) would require the highest initial outlay (£1.6m) and, with the generation of a high value (£743,600), would produce a </w:t>
          </w:r>
          <w:r w:rsidR="00642E10" w:rsidRPr="001014AA">
            <w:rPr>
              <w:rFonts w:ascii="Times New Roman" w:hAnsi="Times New Roman" w:cs="Times New Roman"/>
              <w:sz w:val="24"/>
              <w:szCs w:val="24"/>
            </w:rPr>
            <w:t>lower</w:t>
          </w:r>
          <w:r w:rsidRPr="001014AA">
            <w:rPr>
              <w:rFonts w:ascii="Times New Roman" w:hAnsi="Times New Roman" w:cs="Times New Roman"/>
              <w:sz w:val="24"/>
              <w:szCs w:val="24"/>
            </w:rPr>
            <w:t xml:space="preserve"> NPV than option B despite the more significant capital commitment. This means that there is inefficient scaling of returns.</w:t>
          </w:r>
        </w:p>
        <w:p w14:paraId="1E2DFCFA" w14:textId="0C1A5A57" w:rsidR="0008607E" w:rsidRPr="001014AA" w:rsidRDefault="0008607E" w:rsidP="006672D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Therefore, the best choice to make would be option B (Internet Sales Development)</w:t>
          </w:r>
          <w:r w:rsidR="00642E10" w:rsidRPr="001014AA">
            <w:rPr>
              <w:rFonts w:ascii="Times New Roman" w:hAnsi="Times New Roman" w:cs="Times New Roman"/>
              <w:sz w:val="24"/>
              <w:szCs w:val="24"/>
            </w:rPr>
            <w:t>,</w:t>
          </w:r>
          <w:r w:rsidRPr="001014AA">
            <w:rPr>
              <w:rFonts w:ascii="Times New Roman" w:hAnsi="Times New Roman" w:cs="Times New Roman"/>
              <w:sz w:val="24"/>
              <w:szCs w:val="24"/>
            </w:rPr>
            <w:t xml:space="preserve"> which has the greatest absolute NPV of £792,300. This value is far better than the NPVs of both alternatives, thus it is the best way of </w:t>
          </w:r>
          <w:r w:rsidR="00642E10" w:rsidRPr="001014AA">
            <w:rPr>
              <w:rFonts w:ascii="Times New Roman" w:hAnsi="Times New Roman" w:cs="Times New Roman"/>
              <w:sz w:val="24"/>
              <w:szCs w:val="24"/>
            </w:rPr>
            <w:t>utilising</w:t>
          </w:r>
          <w:r w:rsidRPr="001014AA">
            <w:rPr>
              <w:rFonts w:ascii="Times New Roman" w:hAnsi="Times New Roman" w:cs="Times New Roman"/>
              <w:sz w:val="24"/>
              <w:szCs w:val="24"/>
            </w:rPr>
            <w:t xml:space="preserve"> corporate funds to generate shareholder value. Although option A presents a greater </w:t>
          </w:r>
          <w:r w:rsidR="00642E10" w:rsidRPr="001014AA">
            <w:rPr>
              <w:rFonts w:ascii="Times New Roman" w:hAnsi="Times New Roman" w:cs="Times New Roman"/>
              <w:sz w:val="24"/>
              <w:szCs w:val="24"/>
            </w:rPr>
            <w:t>payoff/pound</w:t>
          </w:r>
          <w:r w:rsidRPr="001014AA">
            <w:rPr>
              <w:rFonts w:ascii="Times New Roman" w:hAnsi="Times New Roman" w:cs="Times New Roman"/>
              <w:sz w:val="24"/>
              <w:szCs w:val="24"/>
            </w:rPr>
            <w:t xml:space="preserve"> invested, the fundamental financial concept in the process of considering mutually exclusive options is that the alternative must maximise absolute shareholder wealth (Liu, 2022). Thus, according to the quantitative financial analysis, the suggested investment is option B. This observation is consistent with general industry research that has underscored the urgent growth need of digital development of channels in retail (Sheehan, 2024).</w:t>
          </w:r>
        </w:p>
        <w:p w14:paraId="654ED2FE" w14:textId="402A697C" w:rsidR="0008607E" w:rsidRPr="001014AA" w:rsidRDefault="00FD2C5B" w:rsidP="001014AA">
          <w:pPr>
            <w:pStyle w:val="Heading3"/>
            <w:spacing w:before="0" w:line="480" w:lineRule="auto"/>
            <w:ind w:left="720" w:hanging="720"/>
            <w:rPr>
              <w:rFonts w:ascii="Times New Roman" w:hAnsi="Times New Roman" w:cs="Times New Roman"/>
              <w:b/>
              <w:bCs/>
              <w:color w:val="auto"/>
            </w:rPr>
          </w:pPr>
          <w:bookmarkStart w:id="10" w:name="_Toc218616255"/>
          <w:r w:rsidRPr="001014AA">
            <w:rPr>
              <w:rFonts w:ascii="Times New Roman" w:hAnsi="Times New Roman" w:cs="Times New Roman"/>
              <w:b/>
              <w:bCs/>
              <w:color w:val="auto"/>
            </w:rPr>
            <w:t xml:space="preserve">3.1.2 </w:t>
          </w:r>
          <w:r w:rsidR="0008607E" w:rsidRPr="001014AA">
            <w:rPr>
              <w:rFonts w:ascii="Times New Roman" w:hAnsi="Times New Roman" w:cs="Times New Roman"/>
              <w:b/>
              <w:bCs/>
              <w:color w:val="auto"/>
            </w:rPr>
            <w:t>Internal Rate of Return (IRR) of the Chosen Project</w:t>
          </w:r>
          <w:bookmarkEnd w:id="10"/>
        </w:p>
        <w:p w14:paraId="1C0141C0" w14:textId="619C5D3E" w:rsidR="0008607E" w:rsidRPr="001014AA" w:rsidRDefault="0008607E" w:rsidP="006672D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 xml:space="preserve">Internal Rate of Return (IRR) is a crucial complementary value to NPV, and it is defined as the discount rate </w:t>
          </w:r>
          <w:r w:rsidR="00642E10" w:rsidRPr="001014AA">
            <w:rPr>
              <w:rFonts w:ascii="Times New Roman" w:hAnsi="Times New Roman" w:cs="Times New Roman"/>
              <w:sz w:val="24"/>
              <w:szCs w:val="24"/>
            </w:rPr>
            <w:t>at</w:t>
          </w:r>
          <w:r w:rsidRPr="001014AA">
            <w:rPr>
              <w:rFonts w:ascii="Times New Roman" w:hAnsi="Times New Roman" w:cs="Times New Roman"/>
              <w:sz w:val="24"/>
              <w:szCs w:val="24"/>
            </w:rPr>
            <w:t xml:space="preserve"> which the net present value of a project equals zero (Perna, </w:t>
          </w:r>
          <w:r w:rsidRPr="001014AA">
            <w:rPr>
              <w:rFonts w:ascii="Times New Roman" w:hAnsi="Times New Roman" w:cs="Times New Roman"/>
              <w:sz w:val="24"/>
              <w:szCs w:val="24"/>
            </w:rPr>
            <w:lastRenderedPageBreak/>
            <w:t>2024). In theory, it would give an approximation of the annualised rate of return expected of the project on a percentage basis, and the concept offers a percentage-based evaluation of the profitability inherent in the project regardless of the cost of capital of a firm (Patrick and French, 2016). This renders it a natural scale of comparison of investment yield.</w:t>
          </w:r>
        </w:p>
        <w:p w14:paraId="774436AB" w14:textId="7EBB44B9" w:rsidR="0008607E" w:rsidRPr="001014AA" w:rsidRDefault="0008607E" w:rsidP="006672D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 xml:space="preserve">In the case of the suggested option B, the IRR can be calculated by finding that discount rate that would bring the present value of its future post-tax cash flows to equal the current price of the initial outlay of 1 million pounds. This calculation will provide an IRR of about 32.2 </w:t>
          </w:r>
          <w:r w:rsidR="00642E10" w:rsidRPr="001014AA">
            <w:rPr>
              <w:rFonts w:ascii="Times New Roman" w:hAnsi="Times New Roman" w:cs="Times New Roman"/>
              <w:sz w:val="24"/>
              <w:szCs w:val="24"/>
            </w:rPr>
            <w:t>per cent</w:t>
          </w:r>
          <w:r w:rsidRPr="001014AA">
            <w:rPr>
              <w:rFonts w:ascii="Times New Roman" w:hAnsi="Times New Roman" w:cs="Times New Roman"/>
              <w:sz w:val="24"/>
              <w:szCs w:val="24"/>
            </w:rPr>
            <w:t xml:space="preserve"> on the internet sales development initiative using the known financial modelling techniques. This number </w:t>
          </w:r>
          <w:r w:rsidR="00642E10" w:rsidRPr="001014AA">
            <w:rPr>
              <w:rFonts w:ascii="Times New Roman" w:hAnsi="Times New Roman" w:cs="Times New Roman"/>
              <w:sz w:val="24"/>
              <w:szCs w:val="24"/>
            </w:rPr>
            <w:t>summarises</w:t>
          </w:r>
          <w:r w:rsidRPr="001014AA">
            <w:rPr>
              <w:rFonts w:ascii="Times New Roman" w:hAnsi="Times New Roman" w:cs="Times New Roman"/>
              <w:sz w:val="24"/>
              <w:szCs w:val="24"/>
            </w:rPr>
            <w:t xml:space="preserve"> the projected strong cash flow of the option within the four-year period of its existence (Lamas, 2016).</w:t>
          </w:r>
        </w:p>
        <w:p w14:paraId="0EF228BF" w14:textId="7EA0FA7E" w:rsidR="0008607E" w:rsidRPr="001014AA" w:rsidRDefault="0008607E" w:rsidP="006672D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The IRR of 32.2 is way above the cost of capital of Westward Plc, of 6%</w:t>
          </w:r>
          <w:r w:rsidR="00EC2C83" w:rsidRPr="001014AA">
            <w:rPr>
              <w:rFonts w:ascii="Times New Roman" w:hAnsi="Times New Roman" w:cs="Times New Roman"/>
              <w:sz w:val="24"/>
              <w:szCs w:val="24"/>
            </w:rPr>
            <w:t>,</w:t>
          </w:r>
          <w:r w:rsidRPr="001014AA">
            <w:rPr>
              <w:rFonts w:ascii="Times New Roman" w:hAnsi="Times New Roman" w:cs="Times New Roman"/>
              <w:sz w:val="24"/>
              <w:szCs w:val="24"/>
            </w:rPr>
            <w:t xml:space="preserve"> by a significant margin of 26.4 percentage points. A project that has a return above the required hurdle rate of the company must be accepted according to the basic rule of </w:t>
          </w:r>
          <w:r w:rsidR="00642E10" w:rsidRPr="001014AA">
            <w:rPr>
              <w:rFonts w:ascii="Times New Roman" w:hAnsi="Times New Roman" w:cs="Times New Roman"/>
              <w:sz w:val="24"/>
              <w:szCs w:val="24"/>
            </w:rPr>
            <w:t xml:space="preserve">the </w:t>
          </w:r>
          <w:r w:rsidRPr="001014AA">
            <w:rPr>
              <w:rFonts w:ascii="Times New Roman" w:hAnsi="Times New Roman" w:cs="Times New Roman"/>
              <w:sz w:val="24"/>
              <w:szCs w:val="24"/>
            </w:rPr>
            <w:t>IRR decision rule</w:t>
          </w:r>
          <w:r w:rsidR="00642E10" w:rsidRPr="001014AA">
            <w:rPr>
              <w:rFonts w:ascii="Times New Roman" w:hAnsi="Times New Roman" w:cs="Times New Roman"/>
              <w:sz w:val="24"/>
              <w:szCs w:val="24"/>
            </w:rPr>
            <w:t>,</w:t>
          </w:r>
          <w:r w:rsidRPr="001014AA">
            <w:rPr>
              <w:rFonts w:ascii="Times New Roman" w:hAnsi="Times New Roman" w:cs="Times New Roman"/>
              <w:sz w:val="24"/>
              <w:szCs w:val="24"/>
            </w:rPr>
            <w:t xml:space="preserve"> as this implies value creation (Arjunan, 2019). The large differential is not only a confirmation of the financial viability of the project but also gives a powerful shield against errors in the forecasting process and increased capital costs, which is a strong justification of the recommendation based on NPV (</w:t>
          </w:r>
          <w:proofErr w:type="spellStart"/>
          <w:r w:rsidRPr="001014AA">
            <w:rPr>
              <w:rFonts w:ascii="Times New Roman" w:hAnsi="Times New Roman" w:cs="Times New Roman"/>
              <w:sz w:val="24"/>
              <w:szCs w:val="24"/>
            </w:rPr>
            <w:t>Szwarcfiter</w:t>
          </w:r>
          <w:proofErr w:type="spellEnd"/>
          <w:r w:rsidRPr="001014AA">
            <w:rPr>
              <w:rFonts w:ascii="Times New Roman" w:hAnsi="Times New Roman" w:cs="Times New Roman"/>
              <w:sz w:val="24"/>
              <w:szCs w:val="24"/>
            </w:rPr>
            <w:t xml:space="preserve"> and Herer, 2023).</w:t>
          </w:r>
        </w:p>
        <w:p w14:paraId="7B11ED24" w14:textId="167FC47B" w:rsidR="0008607E" w:rsidRPr="001014AA" w:rsidRDefault="00FD2C5B" w:rsidP="001014AA">
          <w:pPr>
            <w:pStyle w:val="Heading3"/>
            <w:spacing w:before="0" w:line="480" w:lineRule="auto"/>
            <w:ind w:left="720" w:hanging="720"/>
            <w:rPr>
              <w:rFonts w:ascii="Times New Roman" w:hAnsi="Times New Roman" w:cs="Times New Roman"/>
              <w:b/>
              <w:bCs/>
              <w:color w:val="auto"/>
            </w:rPr>
          </w:pPr>
          <w:bookmarkStart w:id="11" w:name="_Toc218616256"/>
          <w:r w:rsidRPr="001014AA">
            <w:rPr>
              <w:rFonts w:ascii="Times New Roman" w:hAnsi="Times New Roman" w:cs="Times New Roman"/>
              <w:b/>
              <w:bCs/>
              <w:color w:val="auto"/>
            </w:rPr>
            <w:t xml:space="preserve">3.1.3 </w:t>
          </w:r>
          <w:r w:rsidR="0008607E" w:rsidRPr="001014AA">
            <w:rPr>
              <w:rFonts w:ascii="Times New Roman" w:hAnsi="Times New Roman" w:cs="Times New Roman"/>
              <w:b/>
              <w:bCs/>
              <w:color w:val="auto"/>
            </w:rPr>
            <w:t>Theoretical Discussion and Interpretation of Results of Appraisal.</w:t>
          </w:r>
          <w:bookmarkEnd w:id="11"/>
        </w:p>
        <w:p w14:paraId="5C6E7ADD" w14:textId="19A5AFAC" w:rsidR="0008607E" w:rsidRPr="001014AA" w:rsidRDefault="0008607E" w:rsidP="006672D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 xml:space="preserve">Although both the NPV and the IRR </w:t>
          </w:r>
          <w:r w:rsidR="00EC2C83" w:rsidRPr="001014AA">
            <w:rPr>
              <w:rFonts w:ascii="Times New Roman" w:hAnsi="Times New Roman" w:cs="Times New Roman"/>
              <w:sz w:val="24"/>
              <w:szCs w:val="24"/>
            </w:rPr>
            <w:t>favour</w:t>
          </w:r>
          <w:r w:rsidRPr="001014AA">
            <w:rPr>
              <w:rFonts w:ascii="Times New Roman" w:hAnsi="Times New Roman" w:cs="Times New Roman"/>
              <w:sz w:val="24"/>
              <w:szCs w:val="24"/>
            </w:rPr>
            <w:t xml:space="preserve"> option B, the NPV is the theoretically better investment appraisal criterion due to a number of critical reasons.  NPV is a sterling-based unconditional value development that is directly correlated with the corporate goal of maximising shareholder wealth (Magni, 2020). IRR, conversely, is an approximate percentage that is not a good metric because it attempts to compare projects of varying magnitude (Perna, 2024). NPV is a more realistic assumption in terms of reinvesting interim cash flows, which is assumed to be reinvested at the cost of capital of the firm (6%) </w:t>
          </w:r>
          <w:r w:rsidRPr="001014AA">
            <w:rPr>
              <w:rFonts w:ascii="Times New Roman" w:hAnsi="Times New Roman" w:cs="Times New Roman"/>
              <w:sz w:val="24"/>
              <w:szCs w:val="24"/>
            </w:rPr>
            <w:lastRenderedPageBreak/>
            <w:t xml:space="preserve">(Hopkinson, 2017). IRR presupposes reinvestment at </w:t>
          </w:r>
          <w:r w:rsidR="00EC2C83" w:rsidRPr="001014AA">
            <w:rPr>
              <w:rFonts w:ascii="Times New Roman" w:hAnsi="Times New Roman" w:cs="Times New Roman"/>
              <w:sz w:val="24"/>
              <w:szCs w:val="24"/>
            </w:rPr>
            <w:t>one's</w:t>
          </w:r>
          <w:r w:rsidRPr="001014AA">
            <w:rPr>
              <w:rFonts w:ascii="Times New Roman" w:hAnsi="Times New Roman" w:cs="Times New Roman"/>
              <w:sz w:val="24"/>
              <w:szCs w:val="24"/>
            </w:rPr>
            <w:t xml:space="preserve"> own, and usually unrealistic, IRR (32.2 per cent) of the project itself, which is hardly possible. In mutually exclusive projects, IRR may give misleading rankings</w:t>
          </w:r>
          <w:r w:rsidR="00EC2C83" w:rsidRPr="001014AA">
            <w:rPr>
              <w:rFonts w:ascii="Times New Roman" w:hAnsi="Times New Roman" w:cs="Times New Roman"/>
              <w:sz w:val="24"/>
              <w:szCs w:val="24"/>
            </w:rPr>
            <w:t>,</w:t>
          </w:r>
          <w:r w:rsidRPr="001014AA">
            <w:rPr>
              <w:rFonts w:ascii="Times New Roman" w:hAnsi="Times New Roman" w:cs="Times New Roman"/>
              <w:sz w:val="24"/>
              <w:szCs w:val="24"/>
            </w:rPr>
            <w:t xml:space="preserve"> particularly when the cash flow patterns vary significantly</w:t>
          </w:r>
          <w:r w:rsidR="00EC2C83" w:rsidRPr="001014AA">
            <w:rPr>
              <w:rFonts w:ascii="Times New Roman" w:hAnsi="Times New Roman" w:cs="Times New Roman"/>
              <w:sz w:val="24"/>
              <w:szCs w:val="24"/>
            </w:rPr>
            <w:t>,</w:t>
          </w:r>
          <w:r w:rsidRPr="001014AA">
            <w:rPr>
              <w:rFonts w:ascii="Times New Roman" w:hAnsi="Times New Roman" w:cs="Times New Roman"/>
              <w:sz w:val="24"/>
              <w:szCs w:val="24"/>
            </w:rPr>
            <w:t xml:space="preserve"> which is an imperfection of IRR evaded by the NPV rule.</w:t>
          </w:r>
        </w:p>
        <w:p w14:paraId="72F22E04" w14:textId="77777777" w:rsidR="006672DD" w:rsidRDefault="0008607E" w:rsidP="006672D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 xml:space="preserve">Although theoretically the DCF techniques dominate over the non-discounting methods, Payback Period and Accounting Rate of Return (ARR) techniques are still widely used in management practice. There </w:t>
          </w:r>
          <w:proofErr w:type="gramStart"/>
          <w:r w:rsidRPr="001014AA">
            <w:rPr>
              <w:rFonts w:ascii="Times New Roman" w:hAnsi="Times New Roman" w:cs="Times New Roman"/>
              <w:sz w:val="24"/>
              <w:szCs w:val="24"/>
            </w:rPr>
            <w:t>is</w:t>
          </w:r>
          <w:proofErr w:type="gramEnd"/>
          <w:r w:rsidRPr="001014AA">
            <w:rPr>
              <w:rFonts w:ascii="Times New Roman" w:hAnsi="Times New Roman" w:cs="Times New Roman"/>
              <w:sz w:val="24"/>
              <w:szCs w:val="24"/>
            </w:rPr>
            <w:t xml:space="preserve"> simplicity and intuitive attractiveness that propel them in their persistence. Payback Period is easily interpreted and presents the liquidity and risk exposure of a project by revealing how many money units the initial investment is recouped, the main consideration of cash-strapped SMEs (</w:t>
          </w:r>
          <w:proofErr w:type="spellStart"/>
          <w:r w:rsidRPr="001014AA">
            <w:rPr>
              <w:rFonts w:ascii="Times New Roman" w:hAnsi="Times New Roman" w:cs="Times New Roman"/>
              <w:sz w:val="24"/>
              <w:szCs w:val="24"/>
            </w:rPr>
            <w:t>Loginovskiy</w:t>
          </w:r>
          <w:proofErr w:type="spellEnd"/>
          <w:r w:rsidRPr="001014AA">
            <w:rPr>
              <w:rFonts w:ascii="Times New Roman" w:hAnsi="Times New Roman" w:cs="Times New Roman"/>
              <w:sz w:val="24"/>
              <w:szCs w:val="24"/>
            </w:rPr>
            <w:t xml:space="preserve"> and Gelrud, 2016). ARR makes available the well-known accounting figures of profits, and this is the same as the performance measures of managers. Nevertheless, their inherent weaknesses are extreme: they disregard </w:t>
          </w:r>
          <w:r w:rsidR="00EC2C83" w:rsidRPr="001014AA">
            <w:rPr>
              <w:rFonts w:ascii="Times New Roman" w:hAnsi="Times New Roman" w:cs="Times New Roman"/>
              <w:sz w:val="24"/>
              <w:szCs w:val="24"/>
            </w:rPr>
            <w:t xml:space="preserve">the </w:t>
          </w:r>
          <w:r w:rsidRPr="001014AA">
            <w:rPr>
              <w:rFonts w:ascii="Times New Roman" w:hAnsi="Times New Roman" w:cs="Times New Roman"/>
              <w:sz w:val="24"/>
              <w:szCs w:val="24"/>
            </w:rPr>
            <w:t xml:space="preserve">time value of money, beyond payback date risks, and </w:t>
          </w:r>
          <w:r w:rsidR="00642E10" w:rsidRPr="001014AA">
            <w:rPr>
              <w:rFonts w:ascii="Times New Roman" w:hAnsi="Times New Roman" w:cs="Times New Roman"/>
              <w:sz w:val="24"/>
              <w:szCs w:val="24"/>
            </w:rPr>
            <w:t xml:space="preserve">the </w:t>
          </w:r>
          <w:r w:rsidRPr="001014AA">
            <w:rPr>
              <w:rFonts w:ascii="Times New Roman" w:hAnsi="Times New Roman" w:cs="Times New Roman"/>
              <w:sz w:val="24"/>
              <w:szCs w:val="24"/>
            </w:rPr>
            <w:t>totality of cash flows throughout the duration of the project. They must</w:t>
          </w:r>
          <w:r w:rsidR="00642E10" w:rsidRPr="001014AA">
            <w:rPr>
              <w:rFonts w:ascii="Times New Roman" w:hAnsi="Times New Roman" w:cs="Times New Roman"/>
              <w:sz w:val="24"/>
              <w:szCs w:val="24"/>
            </w:rPr>
            <w:t>,</w:t>
          </w:r>
          <w:r w:rsidRPr="001014AA">
            <w:rPr>
              <w:rFonts w:ascii="Times New Roman" w:hAnsi="Times New Roman" w:cs="Times New Roman"/>
              <w:sz w:val="24"/>
              <w:szCs w:val="24"/>
            </w:rPr>
            <w:t xml:space="preserve"> at best, be preliminary screening instruments and not the determinant of choice.</w:t>
          </w:r>
        </w:p>
        <w:p w14:paraId="78F3E1CF" w14:textId="083EF964" w:rsidR="0008607E" w:rsidRPr="001014AA" w:rsidRDefault="0008607E" w:rsidP="006672D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To come up with a good investment decision, both quantitative analysis and qualitative strategic judgement have to be combined.</w:t>
          </w:r>
        </w:p>
        <w:p w14:paraId="3F2AAF12" w14:textId="77777777" w:rsidR="0008607E" w:rsidRPr="006672DD" w:rsidRDefault="0008607E" w:rsidP="006672DD">
          <w:pPr>
            <w:pStyle w:val="ListParagraph"/>
            <w:numPr>
              <w:ilvl w:val="0"/>
              <w:numId w:val="15"/>
            </w:numPr>
            <w:spacing w:after="0" w:line="480" w:lineRule="auto"/>
            <w:rPr>
              <w:rFonts w:ascii="Times New Roman" w:hAnsi="Times New Roman" w:cs="Times New Roman"/>
              <w:sz w:val="24"/>
              <w:szCs w:val="24"/>
            </w:rPr>
          </w:pPr>
          <w:r w:rsidRPr="006672DD">
            <w:rPr>
              <w:rFonts w:ascii="Times New Roman" w:hAnsi="Times New Roman" w:cs="Times New Roman"/>
              <w:sz w:val="24"/>
              <w:szCs w:val="24"/>
            </w:rPr>
            <w:t>Market Demand &amp; Competition: B: Option B will take advantage of the structural, secular movement to e-commerce, which will provide a direct-to-consumer channel with increased margins and customer data. Conversely, Option A has the long-term threat of a fall in high-street footfall and stiff physical competition in the retail industry.</w:t>
          </w:r>
        </w:p>
        <w:p w14:paraId="638B1C87" w14:textId="3AF6B673" w:rsidR="0008607E" w:rsidRPr="006672DD" w:rsidRDefault="0008607E" w:rsidP="006672DD">
          <w:pPr>
            <w:pStyle w:val="ListParagraph"/>
            <w:numPr>
              <w:ilvl w:val="0"/>
              <w:numId w:val="15"/>
            </w:numPr>
            <w:spacing w:after="0" w:line="480" w:lineRule="auto"/>
            <w:rPr>
              <w:rFonts w:ascii="Times New Roman" w:hAnsi="Times New Roman" w:cs="Times New Roman"/>
              <w:sz w:val="24"/>
              <w:szCs w:val="24"/>
            </w:rPr>
          </w:pPr>
          <w:r w:rsidRPr="006672DD">
            <w:rPr>
              <w:rFonts w:ascii="Times New Roman" w:hAnsi="Times New Roman" w:cs="Times New Roman"/>
              <w:sz w:val="24"/>
              <w:szCs w:val="24"/>
            </w:rPr>
            <w:t xml:space="preserve">Strategic Fit and Core Competencies: The growth of internet sales will </w:t>
          </w:r>
          <w:r w:rsidR="00642E10" w:rsidRPr="006672DD">
            <w:rPr>
              <w:rFonts w:ascii="Times New Roman" w:hAnsi="Times New Roman" w:cs="Times New Roman"/>
              <w:sz w:val="24"/>
              <w:szCs w:val="24"/>
            </w:rPr>
            <w:t>utilise</w:t>
          </w:r>
          <w:r w:rsidRPr="006672DD">
            <w:rPr>
              <w:rFonts w:ascii="Times New Roman" w:hAnsi="Times New Roman" w:cs="Times New Roman"/>
              <w:sz w:val="24"/>
              <w:szCs w:val="24"/>
            </w:rPr>
            <w:t xml:space="preserve"> the brand reputation of Westward and create a new</w:t>
          </w:r>
          <w:r w:rsidR="00642E10" w:rsidRPr="006672DD">
            <w:rPr>
              <w:rFonts w:ascii="Times New Roman" w:hAnsi="Times New Roman" w:cs="Times New Roman"/>
              <w:sz w:val="24"/>
              <w:szCs w:val="24"/>
            </w:rPr>
            <w:t>,</w:t>
          </w:r>
          <w:r w:rsidRPr="006672DD">
            <w:rPr>
              <w:rFonts w:ascii="Times New Roman" w:hAnsi="Times New Roman" w:cs="Times New Roman"/>
              <w:sz w:val="24"/>
              <w:szCs w:val="24"/>
            </w:rPr>
            <w:t xml:space="preserve"> scalable digital competence. Option C, which could be a profitable one, is a business diversification into manufacturing, </w:t>
          </w:r>
          <w:r w:rsidRPr="006672DD">
            <w:rPr>
              <w:rFonts w:ascii="Times New Roman" w:hAnsi="Times New Roman" w:cs="Times New Roman"/>
              <w:sz w:val="24"/>
              <w:szCs w:val="24"/>
            </w:rPr>
            <w:lastRenderedPageBreak/>
            <w:t>an area that presupposes other operational skills and poses new risks of supply chains to the firm (Rahman and Rahman, 2020).</w:t>
          </w:r>
        </w:p>
        <w:p w14:paraId="6AD262D2" w14:textId="77777777" w:rsidR="0008607E" w:rsidRPr="006672DD" w:rsidRDefault="0008607E" w:rsidP="006672DD">
          <w:pPr>
            <w:pStyle w:val="ListParagraph"/>
            <w:numPr>
              <w:ilvl w:val="0"/>
              <w:numId w:val="15"/>
            </w:numPr>
            <w:spacing w:after="0" w:line="480" w:lineRule="auto"/>
            <w:rPr>
              <w:rFonts w:ascii="Times New Roman" w:hAnsi="Times New Roman" w:cs="Times New Roman"/>
              <w:sz w:val="24"/>
              <w:szCs w:val="24"/>
            </w:rPr>
          </w:pPr>
          <w:r w:rsidRPr="006672DD">
            <w:rPr>
              <w:rFonts w:ascii="Times New Roman" w:hAnsi="Times New Roman" w:cs="Times New Roman"/>
              <w:sz w:val="24"/>
              <w:szCs w:val="24"/>
            </w:rPr>
            <w:t>Risk Profile: The risks of B (e.g., IT implementation, cybersecurity) can be more easily and accustomed to in the modern business environment than the competitive and fixed-cost risks of physical expansion of the retail or new manufacturing (Widianti, Harihayati and Sufaatin, 2018).</w:t>
          </w:r>
        </w:p>
        <w:p w14:paraId="24261531" w14:textId="3E1760C2" w:rsidR="0008607E" w:rsidRPr="001014AA" w:rsidRDefault="00FD2C5B" w:rsidP="001014AA">
          <w:pPr>
            <w:pStyle w:val="Heading3"/>
            <w:spacing w:before="0" w:line="480" w:lineRule="auto"/>
            <w:ind w:left="720" w:hanging="720"/>
            <w:rPr>
              <w:rFonts w:ascii="Times New Roman" w:hAnsi="Times New Roman" w:cs="Times New Roman"/>
              <w:b/>
              <w:bCs/>
              <w:color w:val="auto"/>
            </w:rPr>
          </w:pPr>
          <w:bookmarkStart w:id="12" w:name="_Toc218616257"/>
          <w:r w:rsidRPr="001014AA">
            <w:rPr>
              <w:rFonts w:ascii="Times New Roman" w:hAnsi="Times New Roman" w:cs="Times New Roman"/>
              <w:b/>
              <w:bCs/>
              <w:color w:val="auto"/>
            </w:rPr>
            <w:t xml:space="preserve">3.1.4 </w:t>
          </w:r>
          <w:r w:rsidR="0008607E" w:rsidRPr="001014AA">
            <w:rPr>
              <w:rFonts w:ascii="Times New Roman" w:hAnsi="Times New Roman" w:cs="Times New Roman"/>
              <w:b/>
              <w:bCs/>
              <w:color w:val="auto"/>
            </w:rPr>
            <w:t>Capital Rationing and Optimal Investment Policy</w:t>
          </w:r>
          <w:bookmarkEnd w:id="12"/>
        </w:p>
        <w:p w14:paraId="6407B8DD" w14:textId="0451283D" w:rsidR="0008607E" w:rsidRPr="001014AA" w:rsidRDefault="0008607E" w:rsidP="006672D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The evaluation up to this point has been working on the assumption of either choice</w:t>
          </w:r>
          <w:r w:rsidR="00EC2C83" w:rsidRPr="001014AA">
            <w:rPr>
              <w:rFonts w:ascii="Times New Roman" w:hAnsi="Times New Roman" w:cs="Times New Roman"/>
              <w:sz w:val="24"/>
              <w:szCs w:val="24"/>
            </w:rPr>
            <w:t>,</w:t>
          </w:r>
          <w:r w:rsidRPr="001014AA">
            <w:rPr>
              <w:rFonts w:ascii="Times New Roman" w:hAnsi="Times New Roman" w:cs="Times New Roman"/>
              <w:sz w:val="24"/>
              <w:szCs w:val="24"/>
            </w:rPr>
            <w:t xml:space="preserve"> which is mutually exclusive. There is a different and critical financial management situation where capital is rationed (in this case, rationed to 2.5 million) and the projects can be divided (i.e. undertaken in fractions). In that regard, the strategic purpose is no longer to select one winner but to build an optimal investment portfolio that yields the highest total Net Present Value (NPV) using the constrained budget. The conclusive approach to this issue is to sort out all the possible projects in terms of Profitability Index (PI)</w:t>
          </w:r>
          <w:r w:rsidR="00642E10" w:rsidRPr="001014AA">
            <w:rPr>
              <w:rFonts w:ascii="Times New Roman" w:hAnsi="Times New Roman" w:cs="Times New Roman"/>
              <w:sz w:val="24"/>
              <w:szCs w:val="24"/>
            </w:rPr>
            <w:t>,</w:t>
          </w:r>
          <w:r w:rsidRPr="001014AA">
            <w:rPr>
              <w:rFonts w:ascii="Times New Roman" w:hAnsi="Times New Roman" w:cs="Times New Roman"/>
              <w:sz w:val="24"/>
              <w:szCs w:val="24"/>
            </w:rPr>
            <w:t xml:space="preserve"> which is the present value of future cash inflows/initial investment</w:t>
          </w:r>
          <w:r w:rsidR="00642E10" w:rsidRPr="001014AA">
            <w:rPr>
              <w:rFonts w:ascii="Times New Roman" w:hAnsi="Times New Roman" w:cs="Times New Roman"/>
              <w:sz w:val="24"/>
              <w:szCs w:val="24"/>
            </w:rPr>
            <w:t>,</w:t>
          </w:r>
          <w:r w:rsidRPr="001014AA">
            <w:rPr>
              <w:rFonts w:ascii="Times New Roman" w:hAnsi="Times New Roman" w:cs="Times New Roman"/>
              <w:sz w:val="24"/>
              <w:szCs w:val="24"/>
            </w:rPr>
            <w:t xml:space="preserve"> and this index quantifies the value generated by a unit of limited capital (Pike and Neale, 2011). The budget is then spent one after another according to projects with the highest PI.</w:t>
          </w:r>
        </w:p>
        <w:p w14:paraId="6E7271F0" w14:textId="21779A92" w:rsidR="00FD2C5B" w:rsidRPr="001014AA" w:rsidRDefault="00FD2C5B" w:rsidP="001014AA">
          <w:pPr>
            <w:pStyle w:val="Caption"/>
            <w:keepNext/>
            <w:spacing w:after="0" w:line="480" w:lineRule="auto"/>
            <w:ind w:left="720" w:hanging="720"/>
            <w:rPr>
              <w:rFonts w:ascii="Times New Roman" w:hAnsi="Times New Roman" w:cs="Times New Roman"/>
              <w:color w:val="auto"/>
              <w:sz w:val="24"/>
              <w:szCs w:val="24"/>
            </w:rPr>
          </w:pPr>
          <w:r w:rsidRPr="001014AA">
            <w:rPr>
              <w:rFonts w:ascii="Times New Roman" w:hAnsi="Times New Roman" w:cs="Times New Roman"/>
              <w:color w:val="auto"/>
              <w:sz w:val="24"/>
              <w:szCs w:val="24"/>
            </w:rPr>
            <w:t xml:space="preserve">Table </w:t>
          </w:r>
          <w:r w:rsidRPr="001014AA">
            <w:rPr>
              <w:rFonts w:ascii="Times New Roman" w:hAnsi="Times New Roman" w:cs="Times New Roman"/>
              <w:color w:val="auto"/>
              <w:sz w:val="24"/>
              <w:szCs w:val="24"/>
            </w:rPr>
            <w:fldChar w:fldCharType="begin"/>
          </w:r>
          <w:r w:rsidRPr="001014AA">
            <w:rPr>
              <w:rFonts w:ascii="Times New Roman" w:hAnsi="Times New Roman" w:cs="Times New Roman"/>
              <w:color w:val="auto"/>
              <w:sz w:val="24"/>
              <w:szCs w:val="24"/>
            </w:rPr>
            <w:instrText xml:space="preserve"> SEQ Table \* ARABIC </w:instrText>
          </w:r>
          <w:r w:rsidRPr="001014AA">
            <w:rPr>
              <w:rFonts w:ascii="Times New Roman" w:hAnsi="Times New Roman" w:cs="Times New Roman"/>
              <w:color w:val="auto"/>
              <w:sz w:val="24"/>
              <w:szCs w:val="24"/>
            </w:rPr>
            <w:fldChar w:fldCharType="separate"/>
          </w:r>
          <w:r w:rsidRPr="001014AA">
            <w:rPr>
              <w:rFonts w:ascii="Times New Roman" w:hAnsi="Times New Roman" w:cs="Times New Roman"/>
              <w:noProof/>
              <w:color w:val="auto"/>
              <w:sz w:val="24"/>
              <w:szCs w:val="24"/>
            </w:rPr>
            <w:t>2</w:t>
          </w:r>
          <w:r w:rsidRPr="001014AA">
            <w:rPr>
              <w:rFonts w:ascii="Times New Roman" w:hAnsi="Times New Roman" w:cs="Times New Roman"/>
              <w:color w:val="auto"/>
              <w:sz w:val="24"/>
              <w:szCs w:val="24"/>
            </w:rPr>
            <w:fldChar w:fldCharType="end"/>
          </w:r>
          <w:r w:rsidRPr="001014AA">
            <w:rPr>
              <w:rFonts w:ascii="Times New Roman" w:hAnsi="Times New Roman" w:cs="Times New Roman"/>
              <w:color w:val="auto"/>
              <w:sz w:val="24"/>
              <w:szCs w:val="24"/>
            </w:rPr>
            <w:t>: Optimal Capital Rationing Analysis (Divisible Projects)</w:t>
          </w:r>
        </w:p>
        <w:p w14:paraId="5439B940" w14:textId="77777777" w:rsidR="0008607E" w:rsidRPr="001014AA" w:rsidRDefault="0008607E"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(All figures in £'000)</w:t>
          </w:r>
        </w:p>
        <w:tbl>
          <w:tblPr>
            <w:tblStyle w:val="TableGrid"/>
            <w:tblW w:w="0" w:type="auto"/>
            <w:tblLook w:val="04A0" w:firstRow="1" w:lastRow="0" w:firstColumn="1" w:lastColumn="0" w:noHBand="0" w:noVBand="1"/>
          </w:tblPr>
          <w:tblGrid>
            <w:gridCol w:w="960"/>
            <w:gridCol w:w="1283"/>
            <w:gridCol w:w="960"/>
            <w:gridCol w:w="1376"/>
            <w:gridCol w:w="1030"/>
            <w:gridCol w:w="1318"/>
            <w:gridCol w:w="1203"/>
          </w:tblGrid>
          <w:tr w:rsidR="0008607E" w:rsidRPr="001014AA" w14:paraId="712AC1FD" w14:textId="77777777" w:rsidTr="00286996">
            <w:trPr>
              <w:trHeight w:val="290"/>
            </w:trPr>
            <w:tc>
              <w:tcPr>
                <w:tcW w:w="960" w:type="dxa"/>
                <w:noWrap/>
                <w:hideMark/>
              </w:tcPr>
              <w:p w14:paraId="4584B30D"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Project</w:t>
                </w:r>
              </w:p>
            </w:tc>
            <w:tc>
              <w:tcPr>
                <w:tcW w:w="1045" w:type="dxa"/>
                <w:noWrap/>
                <w:hideMark/>
              </w:tcPr>
              <w:p w14:paraId="0ED5DBA8"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Initial Investment</w:t>
                </w:r>
              </w:p>
            </w:tc>
            <w:tc>
              <w:tcPr>
                <w:tcW w:w="960" w:type="dxa"/>
                <w:noWrap/>
                <w:hideMark/>
              </w:tcPr>
              <w:p w14:paraId="3D587F05"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NPV</w:t>
                </w:r>
              </w:p>
            </w:tc>
            <w:tc>
              <w:tcPr>
                <w:tcW w:w="1074" w:type="dxa"/>
                <w:noWrap/>
                <w:hideMark/>
              </w:tcPr>
              <w:p w14:paraId="070DA522"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Profitability Index (PI)</w:t>
                </w:r>
              </w:p>
            </w:tc>
            <w:tc>
              <w:tcPr>
                <w:tcW w:w="960" w:type="dxa"/>
                <w:noWrap/>
                <w:hideMark/>
              </w:tcPr>
              <w:p w14:paraId="3184B350"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Ranking</w:t>
                </w:r>
              </w:p>
            </w:tc>
            <w:tc>
              <w:tcPr>
                <w:tcW w:w="1318" w:type="dxa"/>
                <w:noWrap/>
                <w:hideMark/>
              </w:tcPr>
              <w:p w14:paraId="4ADFD31D"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Optimal Allocation under £2,500</w:t>
                </w:r>
              </w:p>
            </w:tc>
            <w:tc>
              <w:tcPr>
                <w:tcW w:w="985" w:type="dxa"/>
                <w:noWrap/>
                <w:hideMark/>
              </w:tcPr>
              <w:p w14:paraId="07B2CB37"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NPV Generated</w:t>
                </w:r>
              </w:p>
            </w:tc>
          </w:tr>
          <w:tr w:rsidR="0008607E" w:rsidRPr="001014AA" w14:paraId="7656FDA5" w14:textId="77777777" w:rsidTr="00286996">
            <w:trPr>
              <w:trHeight w:val="290"/>
            </w:trPr>
            <w:tc>
              <w:tcPr>
                <w:tcW w:w="960" w:type="dxa"/>
                <w:noWrap/>
                <w:hideMark/>
              </w:tcPr>
              <w:p w14:paraId="1060EBEB"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A</w:t>
                </w:r>
              </w:p>
            </w:tc>
            <w:tc>
              <w:tcPr>
                <w:tcW w:w="1045" w:type="dxa"/>
                <w:noWrap/>
                <w:hideMark/>
              </w:tcPr>
              <w:p w14:paraId="71474426"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600</w:t>
                </w:r>
              </w:p>
            </w:tc>
            <w:tc>
              <w:tcPr>
                <w:tcW w:w="960" w:type="dxa"/>
                <w:noWrap/>
                <w:hideMark/>
              </w:tcPr>
              <w:p w14:paraId="560E6555"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415.2</w:t>
                </w:r>
              </w:p>
            </w:tc>
            <w:tc>
              <w:tcPr>
                <w:tcW w:w="1074" w:type="dxa"/>
                <w:noWrap/>
                <w:hideMark/>
              </w:tcPr>
              <w:p w14:paraId="01524DB7"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1.692</w:t>
                </w:r>
              </w:p>
            </w:tc>
            <w:tc>
              <w:tcPr>
                <w:tcW w:w="960" w:type="dxa"/>
                <w:noWrap/>
                <w:hideMark/>
              </w:tcPr>
              <w:p w14:paraId="4D7C252B"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1</w:t>
                </w:r>
              </w:p>
            </w:tc>
            <w:tc>
              <w:tcPr>
                <w:tcW w:w="1318" w:type="dxa"/>
                <w:noWrap/>
                <w:hideMark/>
              </w:tcPr>
              <w:p w14:paraId="2EAACB99"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100% (£600)</w:t>
                </w:r>
              </w:p>
            </w:tc>
            <w:tc>
              <w:tcPr>
                <w:tcW w:w="985" w:type="dxa"/>
                <w:noWrap/>
                <w:hideMark/>
              </w:tcPr>
              <w:p w14:paraId="69517DE1"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415.2</w:t>
                </w:r>
              </w:p>
            </w:tc>
          </w:tr>
          <w:tr w:rsidR="0008607E" w:rsidRPr="001014AA" w14:paraId="2317E72C" w14:textId="77777777" w:rsidTr="00286996">
            <w:trPr>
              <w:trHeight w:val="290"/>
            </w:trPr>
            <w:tc>
              <w:tcPr>
                <w:tcW w:w="960" w:type="dxa"/>
                <w:noWrap/>
                <w:hideMark/>
              </w:tcPr>
              <w:p w14:paraId="024DAC24"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B</w:t>
                </w:r>
              </w:p>
            </w:tc>
            <w:tc>
              <w:tcPr>
                <w:tcW w:w="1045" w:type="dxa"/>
                <w:noWrap/>
                <w:hideMark/>
              </w:tcPr>
              <w:p w14:paraId="78D184AA"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1000</w:t>
                </w:r>
              </w:p>
            </w:tc>
            <w:tc>
              <w:tcPr>
                <w:tcW w:w="960" w:type="dxa"/>
                <w:noWrap/>
                <w:hideMark/>
              </w:tcPr>
              <w:p w14:paraId="18DB78AE"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792.3</w:t>
                </w:r>
              </w:p>
            </w:tc>
            <w:tc>
              <w:tcPr>
                <w:tcW w:w="1074" w:type="dxa"/>
                <w:noWrap/>
                <w:hideMark/>
              </w:tcPr>
              <w:p w14:paraId="36B16CA0"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1.792</w:t>
                </w:r>
              </w:p>
            </w:tc>
            <w:tc>
              <w:tcPr>
                <w:tcW w:w="960" w:type="dxa"/>
                <w:noWrap/>
                <w:hideMark/>
              </w:tcPr>
              <w:p w14:paraId="4FA0FF8E"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1</w:t>
                </w:r>
              </w:p>
            </w:tc>
            <w:tc>
              <w:tcPr>
                <w:tcW w:w="1318" w:type="dxa"/>
                <w:noWrap/>
                <w:hideMark/>
              </w:tcPr>
              <w:p w14:paraId="6E78C4B9"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100% (£1,000)</w:t>
                </w:r>
              </w:p>
            </w:tc>
            <w:tc>
              <w:tcPr>
                <w:tcW w:w="985" w:type="dxa"/>
                <w:noWrap/>
                <w:hideMark/>
              </w:tcPr>
              <w:p w14:paraId="2A1FDAC1"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792.3</w:t>
                </w:r>
              </w:p>
            </w:tc>
          </w:tr>
          <w:tr w:rsidR="0008607E" w:rsidRPr="001014AA" w14:paraId="046B55F3" w14:textId="77777777" w:rsidTr="00286996">
            <w:trPr>
              <w:trHeight w:val="290"/>
            </w:trPr>
            <w:tc>
              <w:tcPr>
                <w:tcW w:w="960" w:type="dxa"/>
                <w:noWrap/>
                <w:hideMark/>
              </w:tcPr>
              <w:p w14:paraId="670C3A48"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C</w:t>
                </w:r>
              </w:p>
            </w:tc>
            <w:tc>
              <w:tcPr>
                <w:tcW w:w="1045" w:type="dxa"/>
                <w:noWrap/>
                <w:hideMark/>
              </w:tcPr>
              <w:p w14:paraId="5B24B7F1"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1600</w:t>
                </w:r>
              </w:p>
            </w:tc>
            <w:tc>
              <w:tcPr>
                <w:tcW w:w="960" w:type="dxa"/>
                <w:noWrap/>
                <w:hideMark/>
              </w:tcPr>
              <w:p w14:paraId="2AB185F3"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678.1</w:t>
                </w:r>
              </w:p>
            </w:tc>
            <w:tc>
              <w:tcPr>
                <w:tcW w:w="1074" w:type="dxa"/>
                <w:noWrap/>
                <w:hideMark/>
              </w:tcPr>
              <w:p w14:paraId="776C763E"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1.424</w:t>
                </w:r>
              </w:p>
            </w:tc>
            <w:tc>
              <w:tcPr>
                <w:tcW w:w="960" w:type="dxa"/>
                <w:noWrap/>
                <w:hideMark/>
              </w:tcPr>
              <w:p w14:paraId="170126DB"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3</w:t>
                </w:r>
              </w:p>
            </w:tc>
            <w:tc>
              <w:tcPr>
                <w:tcW w:w="1318" w:type="dxa"/>
                <w:noWrap/>
                <w:hideMark/>
              </w:tcPr>
              <w:p w14:paraId="223C5CA1"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56.25% (£900)</w:t>
                </w:r>
              </w:p>
            </w:tc>
            <w:tc>
              <w:tcPr>
                <w:tcW w:w="985" w:type="dxa"/>
                <w:noWrap/>
                <w:hideMark/>
              </w:tcPr>
              <w:p w14:paraId="00BA4164"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381.4</w:t>
                </w:r>
              </w:p>
            </w:tc>
          </w:tr>
          <w:tr w:rsidR="0008607E" w:rsidRPr="001014AA" w14:paraId="12DA2E24" w14:textId="77777777" w:rsidTr="00286996">
            <w:trPr>
              <w:trHeight w:val="290"/>
            </w:trPr>
            <w:tc>
              <w:tcPr>
                <w:tcW w:w="960" w:type="dxa"/>
                <w:noWrap/>
                <w:hideMark/>
              </w:tcPr>
              <w:p w14:paraId="24CCFCBC"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Total</w:t>
                </w:r>
              </w:p>
            </w:tc>
            <w:tc>
              <w:tcPr>
                <w:tcW w:w="1045" w:type="dxa"/>
                <w:noWrap/>
                <w:hideMark/>
              </w:tcPr>
              <w:p w14:paraId="670872C6"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3200</w:t>
                </w:r>
              </w:p>
            </w:tc>
            <w:tc>
              <w:tcPr>
                <w:tcW w:w="960" w:type="dxa"/>
                <w:noWrap/>
                <w:hideMark/>
              </w:tcPr>
              <w:p w14:paraId="4A27F281"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1885.6</w:t>
                </w:r>
              </w:p>
            </w:tc>
            <w:tc>
              <w:tcPr>
                <w:tcW w:w="1074" w:type="dxa"/>
                <w:noWrap/>
                <w:hideMark/>
              </w:tcPr>
              <w:p w14:paraId="798F157A" w14:textId="77777777" w:rsidR="0008607E" w:rsidRPr="001014AA" w:rsidRDefault="0008607E" w:rsidP="006672DD">
                <w:pPr>
                  <w:rPr>
                    <w:rFonts w:ascii="Times New Roman" w:hAnsi="Times New Roman" w:cs="Times New Roman"/>
                    <w:sz w:val="24"/>
                    <w:szCs w:val="24"/>
                  </w:rPr>
                </w:pPr>
              </w:p>
            </w:tc>
            <w:tc>
              <w:tcPr>
                <w:tcW w:w="960" w:type="dxa"/>
                <w:noWrap/>
                <w:hideMark/>
              </w:tcPr>
              <w:p w14:paraId="0137E8A1" w14:textId="77777777" w:rsidR="0008607E" w:rsidRPr="001014AA" w:rsidRDefault="0008607E" w:rsidP="006672DD">
                <w:pPr>
                  <w:rPr>
                    <w:rFonts w:ascii="Times New Roman" w:hAnsi="Times New Roman" w:cs="Times New Roman"/>
                    <w:sz w:val="24"/>
                    <w:szCs w:val="24"/>
                  </w:rPr>
                </w:pPr>
              </w:p>
            </w:tc>
            <w:tc>
              <w:tcPr>
                <w:tcW w:w="1318" w:type="dxa"/>
                <w:noWrap/>
                <w:hideMark/>
              </w:tcPr>
              <w:p w14:paraId="58E40CFA"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£2,500</w:t>
                </w:r>
              </w:p>
            </w:tc>
            <w:tc>
              <w:tcPr>
                <w:tcW w:w="985" w:type="dxa"/>
                <w:noWrap/>
                <w:hideMark/>
              </w:tcPr>
              <w:p w14:paraId="3FD2BE45" w14:textId="77777777" w:rsidR="0008607E" w:rsidRPr="001014AA" w:rsidRDefault="0008607E" w:rsidP="006672DD">
                <w:pPr>
                  <w:rPr>
                    <w:rFonts w:ascii="Times New Roman" w:hAnsi="Times New Roman" w:cs="Times New Roman"/>
                    <w:sz w:val="24"/>
                    <w:szCs w:val="24"/>
                  </w:rPr>
                </w:pPr>
                <w:r w:rsidRPr="001014AA">
                  <w:rPr>
                    <w:rFonts w:ascii="Times New Roman" w:hAnsi="Times New Roman" w:cs="Times New Roman"/>
                    <w:sz w:val="24"/>
                    <w:szCs w:val="24"/>
                  </w:rPr>
                  <w:t>1588.9</w:t>
                </w:r>
              </w:p>
            </w:tc>
          </w:tr>
        </w:tbl>
        <w:p w14:paraId="5728E315" w14:textId="77777777" w:rsidR="0008607E" w:rsidRPr="001014AA" w:rsidRDefault="0008607E" w:rsidP="001014AA">
          <w:pPr>
            <w:spacing w:after="0" w:line="480" w:lineRule="auto"/>
            <w:ind w:left="720" w:hanging="720"/>
            <w:rPr>
              <w:rFonts w:ascii="Times New Roman" w:hAnsi="Times New Roman" w:cs="Times New Roman"/>
              <w:sz w:val="24"/>
              <w:szCs w:val="24"/>
            </w:rPr>
          </w:pPr>
        </w:p>
        <w:p w14:paraId="569C8BD2" w14:textId="3F6894F3" w:rsidR="0008607E" w:rsidRPr="001014AA" w:rsidRDefault="0008607E" w:rsidP="006672D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lastRenderedPageBreak/>
            <w:t xml:space="preserve">This divisible-capital-rationed scenario implies that the firm ought to finance the options that have the highest PI (A and B) to the maximum, which in this case is the use of 1.6 million. The remaining budget of £0.9 million out of the total budget of 2.5 million should then be applied to 56.25% of option C (900/1,600). The highest overall NPV of this policy is £1,588,900. The overall NPV of any other set of investments would be </w:t>
          </w:r>
          <w:r w:rsidR="00642E10" w:rsidRPr="001014AA">
            <w:rPr>
              <w:rFonts w:ascii="Times New Roman" w:hAnsi="Times New Roman" w:cs="Times New Roman"/>
              <w:sz w:val="24"/>
              <w:szCs w:val="24"/>
            </w:rPr>
            <w:t>less</w:t>
          </w:r>
          <w:r w:rsidRPr="001014AA">
            <w:rPr>
              <w:rFonts w:ascii="Times New Roman" w:hAnsi="Times New Roman" w:cs="Times New Roman"/>
              <w:sz w:val="24"/>
              <w:szCs w:val="24"/>
            </w:rPr>
            <w:t xml:space="preserve"> than </w:t>
          </w:r>
          <w:r w:rsidR="00EC2C83" w:rsidRPr="001014AA">
            <w:rPr>
              <w:rFonts w:ascii="Times New Roman" w:hAnsi="Times New Roman" w:cs="Times New Roman"/>
              <w:sz w:val="24"/>
              <w:szCs w:val="24"/>
            </w:rPr>
            <w:t>that of</w:t>
          </w:r>
          <w:r w:rsidRPr="001014AA">
            <w:rPr>
              <w:rFonts w:ascii="Times New Roman" w:hAnsi="Times New Roman" w:cs="Times New Roman"/>
              <w:sz w:val="24"/>
              <w:szCs w:val="24"/>
            </w:rPr>
            <w:t xml:space="preserve"> the constrained budget (Drury, 2021).</w:t>
          </w:r>
        </w:p>
        <w:p w14:paraId="4EACE668" w14:textId="1827DA93" w:rsidR="0008607E" w:rsidRPr="001014AA" w:rsidRDefault="00FD2C5B" w:rsidP="001014AA">
          <w:pPr>
            <w:pStyle w:val="Heading3"/>
            <w:spacing w:before="0" w:line="480" w:lineRule="auto"/>
            <w:ind w:left="720" w:hanging="720"/>
            <w:rPr>
              <w:rFonts w:ascii="Times New Roman" w:hAnsi="Times New Roman" w:cs="Times New Roman"/>
              <w:b/>
              <w:bCs/>
              <w:color w:val="auto"/>
            </w:rPr>
          </w:pPr>
          <w:bookmarkStart w:id="13" w:name="_Toc218616258"/>
          <w:r w:rsidRPr="001014AA">
            <w:rPr>
              <w:rFonts w:ascii="Times New Roman" w:hAnsi="Times New Roman" w:cs="Times New Roman"/>
              <w:b/>
              <w:bCs/>
              <w:color w:val="auto"/>
            </w:rPr>
            <w:t xml:space="preserve">3.1.5 </w:t>
          </w:r>
          <w:r w:rsidR="0008607E" w:rsidRPr="001014AA">
            <w:rPr>
              <w:rFonts w:ascii="Times New Roman" w:hAnsi="Times New Roman" w:cs="Times New Roman"/>
              <w:b/>
              <w:bCs/>
              <w:color w:val="auto"/>
            </w:rPr>
            <w:t>The Financing of the Investment Programme.</w:t>
          </w:r>
          <w:bookmarkEnd w:id="13"/>
        </w:p>
        <w:p w14:paraId="5A100BEE" w14:textId="09D3899C" w:rsidR="0008607E" w:rsidRPr="001014AA" w:rsidRDefault="0008607E" w:rsidP="006672D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In the case of the recommended mutually exclusive option B (that would need £1,000,000)</w:t>
          </w:r>
          <w:r w:rsidR="00642E10" w:rsidRPr="001014AA">
            <w:rPr>
              <w:rFonts w:ascii="Times New Roman" w:hAnsi="Times New Roman" w:cs="Times New Roman"/>
              <w:sz w:val="24"/>
              <w:szCs w:val="24"/>
            </w:rPr>
            <w:t>,</w:t>
          </w:r>
          <w:r w:rsidRPr="001014AA">
            <w:rPr>
              <w:rFonts w:ascii="Times New Roman" w:hAnsi="Times New Roman" w:cs="Times New Roman"/>
              <w:sz w:val="24"/>
              <w:szCs w:val="24"/>
            </w:rPr>
            <w:t xml:space="preserve"> Westward Plc needs to look at the following main sources of finance and the implications of each source of finance:</w:t>
          </w:r>
        </w:p>
        <w:p w14:paraId="34A695BC" w14:textId="77777777" w:rsidR="0008607E" w:rsidRPr="001014AA" w:rsidRDefault="0008607E" w:rsidP="006672D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w:t>
          </w:r>
          <w:r w:rsidRPr="006672DD">
            <w:rPr>
              <w:rFonts w:ascii="Times New Roman" w:hAnsi="Times New Roman" w:cs="Times New Roman"/>
              <w:b/>
              <w:bCs/>
              <w:sz w:val="24"/>
              <w:szCs w:val="24"/>
            </w:rPr>
            <w:tab/>
            <w:t>Retained Earnings</w:t>
          </w:r>
        </w:p>
        <w:p w14:paraId="75CB12D4" w14:textId="1352D255" w:rsidR="0008607E" w:rsidRPr="001014AA" w:rsidRDefault="0008607E" w:rsidP="006672D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The most appropriate first alternative. The profits generated internally are free to use (no issuance costs or interest), ownership is not diluted</w:t>
          </w:r>
          <w:r w:rsidR="00642E10" w:rsidRPr="001014AA">
            <w:rPr>
              <w:rFonts w:ascii="Times New Roman" w:hAnsi="Times New Roman" w:cs="Times New Roman"/>
              <w:sz w:val="24"/>
              <w:szCs w:val="24"/>
            </w:rPr>
            <w:t>,</w:t>
          </w:r>
          <w:r w:rsidRPr="001014AA">
            <w:rPr>
              <w:rFonts w:ascii="Times New Roman" w:hAnsi="Times New Roman" w:cs="Times New Roman"/>
              <w:sz w:val="24"/>
              <w:szCs w:val="24"/>
            </w:rPr>
            <w:t xml:space="preserve"> and it is an indicator of financial strength to the market. It is the rational option in case there are adequate reserves (</w:t>
          </w:r>
          <w:proofErr w:type="spellStart"/>
          <w:r w:rsidRPr="001014AA">
            <w:rPr>
              <w:rFonts w:ascii="Times New Roman" w:hAnsi="Times New Roman" w:cs="Times New Roman"/>
              <w:sz w:val="24"/>
              <w:szCs w:val="24"/>
            </w:rPr>
            <w:t>Fioriniello</w:t>
          </w:r>
          <w:proofErr w:type="spellEnd"/>
          <w:r w:rsidRPr="001014AA">
            <w:rPr>
              <w:rFonts w:ascii="Times New Roman" w:hAnsi="Times New Roman" w:cs="Times New Roman"/>
              <w:sz w:val="24"/>
              <w:szCs w:val="24"/>
            </w:rPr>
            <w:t>, 2018).</w:t>
          </w:r>
        </w:p>
        <w:p w14:paraId="0A9E3E70" w14:textId="77777777" w:rsidR="0008607E" w:rsidRPr="001014AA" w:rsidRDefault="0008607E" w:rsidP="006672D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w:t>
          </w:r>
          <w:r w:rsidRPr="001014AA">
            <w:rPr>
              <w:rFonts w:ascii="Times New Roman" w:hAnsi="Times New Roman" w:cs="Times New Roman"/>
              <w:sz w:val="24"/>
              <w:szCs w:val="24"/>
            </w:rPr>
            <w:tab/>
          </w:r>
          <w:r w:rsidRPr="006672DD">
            <w:rPr>
              <w:rFonts w:ascii="Times New Roman" w:hAnsi="Times New Roman" w:cs="Times New Roman"/>
              <w:b/>
              <w:bCs/>
              <w:sz w:val="24"/>
              <w:szCs w:val="24"/>
            </w:rPr>
            <w:t>Bank Debt (Term Loan)</w:t>
          </w:r>
          <w:r w:rsidRPr="001014AA">
            <w:rPr>
              <w:rFonts w:ascii="Times New Roman" w:hAnsi="Times New Roman" w:cs="Times New Roman"/>
              <w:sz w:val="24"/>
              <w:szCs w:val="24"/>
            </w:rPr>
            <w:t xml:space="preserve"> </w:t>
          </w:r>
        </w:p>
        <w:p w14:paraId="73CE060F" w14:textId="598F3603" w:rsidR="0008607E" w:rsidRPr="001014AA" w:rsidRDefault="0008607E" w:rsidP="006672D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An extremely suitable source</w:t>
          </w:r>
          <w:r w:rsidR="00EC2C83" w:rsidRPr="001014AA">
            <w:rPr>
              <w:rFonts w:ascii="Times New Roman" w:hAnsi="Times New Roman" w:cs="Times New Roman"/>
              <w:sz w:val="24"/>
              <w:szCs w:val="24"/>
            </w:rPr>
            <w:t>,</w:t>
          </w:r>
          <w:r w:rsidRPr="001014AA">
            <w:rPr>
              <w:rFonts w:ascii="Times New Roman" w:hAnsi="Times New Roman" w:cs="Times New Roman"/>
              <w:sz w:val="24"/>
              <w:szCs w:val="24"/>
            </w:rPr>
            <w:t xml:space="preserve"> such </w:t>
          </w:r>
          <w:r w:rsidR="00EC2C83" w:rsidRPr="001014AA">
            <w:rPr>
              <w:rFonts w:ascii="Times New Roman" w:hAnsi="Times New Roman" w:cs="Times New Roman"/>
              <w:sz w:val="24"/>
              <w:szCs w:val="24"/>
            </w:rPr>
            <w:t xml:space="preserve">as </w:t>
          </w:r>
          <w:r w:rsidRPr="001014AA">
            <w:rPr>
              <w:rFonts w:ascii="Times New Roman" w:hAnsi="Times New Roman" w:cs="Times New Roman"/>
              <w:sz w:val="24"/>
              <w:szCs w:val="24"/>
            </w:rPr>
            <w:t>a physical, cash-producing asset</w:t>
          </w:r>
          <w:r w:rsidR="00642E10" w:rsidRPr="001014AA">
            <w:rPr>
              <w:rFonts w:ascii="Times New Roman" w:hAnsi="Times New Roman" w:cs="Times New Roman"/>
              <w:sz w:val="24"/>
              <w:szCs w:val="24"/>
            </w:rPr>
            <w:t>,</w:t>
          </w:r>
          <w:r w:rsidRPr="001014AA">
            <w:rPr>
              <w:rFonts w:ascii="Times New Roman" w:hAnsi="Times New Roman" w:cs="Times New Roman"/>
              <w:sz w:val="24"/>
              <w:szCs w:val="24"/>
            </w:rPr>
            <w:t xml:space="preserve"> such as this online project. The debt has leverage returns (because the project returns are higher than the cost of interest) and a tax shelter on the interest payments. Nevertheless, it makes financial risk more stable by obligatory payments and covenants (Arnold and Lewis, 2019).</w:t>
          </w:r>
        </w:p>
        <w:p w14:paraId="41CB5034" w14:textId="77777777" w:rsidR="0008607E" w:rsidRPr="001014AA" w:rsidRDefault="0008607E" w:rsidP="006672D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w:t>
          </w:r>
          <w:r w:rsidRPr="001014AA">
            <w:rPr>
              <w:rFonts w:ascii="Times New Roman" w:hAnsi="Times New Roman" w:cs="Times New Roman"/>
              <w:sz w:val="24"/>
              <w:szCs w:val="24"/>
            </w:rPr>
            <w:tab/>
          </w:r>
          <w:r w:rsidRPr="006672DD">
            <w:rPr>
              <w:rFonts w:ascii="Times New Roman" w:hAnsi="Times New Roman" w:cs="Times New Roman"/>
              <w:b/>
              <w:bCs/>
              <w:sz w:val="24"/>
              <w:szCs w:val="24"/>
            </w:rPr>
            <w:t>Equity Issue</w:t>
          </w:r>
          <w:r w:rsidRPr="001014AA">
            <w:rPr>
              <w:rFonts w:ascii="Times New Roman" w:hAnsi="Times New Roman" w:cs="Times New Roman"/>
              <w:sz w:val="24"/>
              <w:szCs w:val="24"/>
            </w:rPr>
            <w:t xml:space="preserve"> </w:t>
          </w:r>
        </w:p>
        <w:p w14:paraId="2FD0C451" w14:textId="77777777" w:rsidR="0008607E" w:rsidRPr="001014AA" w:rsidRDefault="0008607E" w:rsidP="006672D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A larger project, such as that of an established PLC, should not have generally been a £1m project. Issues of new shares are costly because of underwriting fees, dilute ownership, and could be construed poorly by the market as an indicator that the management has overvalued shares (Pike and Neale, 2021).</w:t>
          </w:r>
        </w:p>
        <w:p w14:paraId="770820B4" w14:textId="5AEC53A0" w:rsidR="0008607E" w:rsidRPr="001014AA" w:rsidRDefault="00FD2C5B" w:rsidP="006672D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lastRenderedPageBreak/>
            <w:t>Westward Plc should</w:t>
          </w:r>
          <w:r w:rsidR="0008607E" w:rsidRPr="001014AA">
            <w:rPr>
              <w:rFonts w:ascii="Times New Roman" w:hAnsi="Times New Roman" w:cs="Times New Roman"/>
              <w:sz w:val="24"/>
              <w:szCs w:val="24"/>
            </w:rPr>
            <w:t xml:space="preserve"> </w:t>
          </w:r>
          <w:r w:rsidRPr="001014AA">
            <w:rPr>
              <w:rFonts w:ascii="Times New Roman" w:hAnsi="Times New Roman" w:cs="Times New Roman"/>
              <w:sz w:val="24"/>
              <w:szCs w:val="24"/>
            </w:rPr>
            <w:t>recommend</w:t>
          </w:r>
          <w:r w:rsidR="0008607E" w:rsidRPr="001014AA">
            <w:rPr>
              <w:rFonts w:ascii="Times New Roman" w:hAnsi="Times New Roman" w:cs="Times New Roman"/>
              <w:sz w:val="24"/>
              <w:szCs w:val="24"/>
            </w:rPr>
            <w:t xml:space="preserve"> a low-risk approach that is balanced. Westward should also seek to fund most of Project B using retained earnings. </w:t>
          </w:r>
          <w:r w:rsidR="00642E10" w:rsidRPr="001014AA">
            <w:rPr>
              <w:rFonts w:ascii="Times New Roman" w:hAnsi="Times New Roman" w:cs="Times New Roman"/>
              <w:sz w:val="24"/>
              <w:szCs w:val="24"/>
            </w:rPr>
            <w:t>If</w:t>
          </w:r>
          <w:r w:rsidR="0008607E" w:rsidRPr="001014AA">
            <w:rPr>
              <w:rFonts w:ascii="Times New Roman" w:hAnsi="Times New Roman" w:cs="Times New Roman"/>
              <w:sz w:val="24"/>
              <w:szCs w:val="24"/>
            </w:rPr>
            <w:t xml:space="preserve"> there be need </w:t>
          </w:r>
          <w:r w:rsidR="00EC2C83" w:rsidRPr="001014AA">
            <w:rPr>
              <w:rFonts w:ascii="Times New Roman" w:hAnsi="Times New Roman" w:cs="Times New Roman"/>
              <w:sz w:val="24"/>
              <w:szCs w:val="24"/>
            </w:rPr>
            <w:t xml:space="preserve">for </w:t>
          </w:r>
          <w:r w:rsidR="0008607E" w:rsidRPr="001014AA">
            <w:rPr>
              <w:rFonts w:ascii="Times New Roman" w:hAnsi="Times New Roman" w:cs="Times New Roman"/>
              <w:sz w:val="24"/>
              <w:szCs w:val="24"/>
            </w:rPr>
            <w:t xml:space="preserve">a small amount can be financed under a </w:t>
          </w:r>
          <w:r w:rsidR="00EC2C83" w:rsidRPr="001014AA">
            <w:rPr>
              <w:rFonts w:ascii="Times New Roman" w:hAnsi="Times New Roman" w:cs="Times New Roman"/>
              <w:sz w:val="24"/>
              <w:szCs w:val="24"/>
            </w:rPr>
            <w:t>fixed-term</w:t>
          </w:r>
          <w:r w:rsidR="0008607E" w:rsidRPr="001014AA">
            <w:rPr>
              <w:rFonts w:ascii="Times New Roman" w:hAnsi="Times New Roman" w:cs="Times New Roman"/>
              <w:sz w:val="24"/>
              <w:szCs w:val="24"/>
            </w:rPr>
            <w:t xml:space="preserve"> bank loan by taking advantage of the good projected cash flows of the project to obtain favourable terms. This combination ensures financial flexibility and matches the source of funds with the long-term generation of income of the asset.</w:t>
          </w:r>
        </w:p>
        <w:p w14:paraId="0DDB8BF6" w14:textId="308D1560" w:rsidR="0008607E" w:rsidRPr="001014AA" w:rsidRDefault="00FD2C5B" w:rsidP="006672D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F</w:t>
          </w:r>
          <w:r w:rsidR="0008607E" w:rsidRPr="001014AA">
            <w:rPr>
              <w:rFonts w:ascii="Times New Roman" w:hAnsi="Times New Roman" w:cs="Times New Roman"/>
              <w:sz w:val="24"/>
              <w:szCs w:val="24"/>
            </w:rPr>
            <w:t xml:space="preserve">inancial analysis is a strong recommendation that Westward Plc should embark on </w:t>
          </w:r>
          <w:r w:rsidRPr="001014AA">
            <w:rPr>
              <w:rFonts w:ascii="Times New Roman" w:hAnsi="Times New Roman" w:cs="Times New Roman"/>
              <w:sz w:val="24"/>
              <w:szCs w:val="24"/>
            </w:rPr>
            <w:t>option</w:t>
          </w:r>
          <w:r w:rsidR="0008607E" w:rsidRPr="001014AA">
            <w:rPr>
              <w:rFonts w:ascii="Times New Roman" w:hAnsi="Times New Roman" w:cs="Times New Roman"/>
              <w:sz w:val="24"/>
              <w:szCs w:val="24"/>
            </w:rPr>
            <w:t xml:space="preserve"> B: Internet Sales Development. The basis of this recommendation is that it has a better Net Present value (£792.3k) and a great Internal Rate of Return (32.2%)</w:t>
          </w:r>
          <w:r w:rsidR="00EC2C83" w:rsidRPr="001014AA">
            <w:rPr>
              <w:rFonts w:ascii="Times New Roman" w:hAnsi="Times New Roman" w:cs="Times New Roman"/>
              <w:sz w:val="24"/>
              <w:szCs w:val="24"/>
            </w:rPr>
            <w:t>,</w:t>
          </w:r>
          <w:r w:rsidR="0008607E" w:rsidRPr="001014AA">
            <w:rPr>
              <w:rFonts w:ascii="Times New Roman" w:hAnsi="Times New Roman" w:cs="Times New Roman"/>
              <w:sz w:val="24"/>
              <w:szCs w:val="24"/>
            </w:rPr>
            <w:t xml:space="preserve"> and this reflects great value creation. It has also been shown that NPV-based decisions are theoretically justified, the capital allocation strategy under rationing, and a sensible financing plan based on retained earnings. The Board would be making an investment in a strategically consistent high-paying project by endorsing option B that would leave the company with a chance in the emerging digital economy, consequently satisfying the obligation of its duty to maximise shareholder wealth.</w:t>
          </w:r>
        </w:p>
        <w:p w14:paraId="5C67928C" w14:textId="285EF668" w:rsidR="00AA2A91" w:rsidRPr="001014AA" w:rsidRDefault="00FD2C5B" w:rsidP="001014AA">
          <w:pPr>
            <w:pStyle w:val="Heading1"/>
            <w:spacing w:before="0" w:line="480" w:lineRule="auto"/>
            <w:ind w:left="720" w:hanging="720"/>
            <w:rPr>
              <w:rFonts w:ascii="Times New Roman" w:hAnsi="Times New Roman" w:cs="Times New Roman"/>
              <w:b/>
              <w:bCs/>
              <w:color w:val="auto"/>
              <w:sz w:val="24"/>
              <w:szCs w:val="24"/>
            </w:rPr>
          </w:pPr>
          <w:bookmarkStart w:id="14" w:name="_Toc218616259"/>
          <w:r w:rsidRPr="001014AA">
            <w:rPr>
              <w:rFonts w:ascii="Times New Roman" w:hAnsi="Times New Roman" w:cs="Times New Roman"/>
              <w:b/>
              <w:bCs/>
              <w:color w:val="auto"/>
              <w:sz w:val="24"/>
              <w:szCs w:val="24"/>
            </w:rPr>
            <w:t xml:space="preserve">4.0 </w:t>
          </w:r>
          <w:r w:rsidR="00AA2A91" w:rsidRPr="001014AA">
            <w:rPr>
              <w:rFonts w:ascii="Times New Roman" w:hAnsi="Times New Roman" w:cs="Times New Roman"/>
              <w:b/>
              <w:bCs/>
              <w:color w:val="auto"/>
              <w:sz w:val="24"/>
              <w:szCs w:val="24"/>
            </w:rPr>
            <w:t>Conclusion</w:t>
          </w:r>
          <w:bookmarkEnd w:id="14"/>
        </w:p>
        <w:p w14:paraId="0AD5542B" w14:textId="3577B0EC" w:rsidR="00495D24" w:rsidRPr="001014AA" w:rsidRDefault="00495D24" w:rsidP="006672D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The Unilever Plc 2032</w:t>
          </w:r>
          <w:r w:rsidR="00FD2C5B" w:rsidRPr="001014AA">
            <w:rPr>
              <w:rFonts w:ascii="Times New Roman" w:hAnsi="Times New Roman" w:cs="Times New Roman"/>
              <w:sz w:val="24"/>
              <w:szCs w:val="24"/>
            </w:rPr>
            <w:t>-</w:t>
          </w:r>
          <w:r w:rsidRPr="001014AA">
            <w:rPr>
              <w:rFonts w:ascii="Times New Roman" w:hAnsi="Times New Roman" w:cs="Times New Roman"/>
              <w:sz w:val="24"/>
              <w:szCs w:val="24"/>
            </w:rPr>
            <w:t>2024 financial analysis indicates that the company is currently experiencing a complicated macroeconomic environment</w:t>
          </w:r>
          <w:r w:rsidR="00642E10" w:rsidRPr="001014AA">
            <w:rPr>
              <w:rFonts w:ascii="Times New Roman" w:hAnsi="Times New Roman" w:cs="Times New Roman"/>
              <w:sz w:val="24"/>
              <w:szCs w:val="24"/>
            </w:rPr>
            <w:t>,</w:t>
          </w:r>
          <w:r w:rsidRPr="001014AA">
            <w:rPr>
              <w:rFonts w:ascii="Times New Roman" w:hAnsi="Times New Roman" w:cs="Times New Roman"/>
              <w:sz w:val="24"/>
              <w:szCs w:val="24"/>
            </w:rPr>
            <w:t xml:space="preserve"> but is managing it with strength </w:t>
          </w:r>
          <w:r w:rsidR="00642E10" w:rsidRPr="001014AA">
            <w:rPr>
              <w:rFonts w:ascii="Times New Roman" w:hAnsi="Times New Roman" w:cs="Times New Roman"/>
              <w:sz w:val="24"/>
              <w:szCs w:val="24"/>
            </w:rPr>
            <w:t>while also</w:t>
          </w:r>
          <w:r w:rsidRPr="001014AA">
            <w:rPr>
              <w:rFonts w:ascii="Times New Roman" w:hAnsi="Times New Roman" w:cs="Times New Roman"/>
              <w:sz w:val="24"/>
              <w:szCs w:val="24"/>
            </w:rPr>
            <w:t xml:space="preserve"> experiencing clear challenges. The ratio analysis showed the contraction in the operating margin and ROCE as a result of </w:t>
          </w:r>
          <w:r w:rsidR="00EC2C83" w:rsidRPr="001014AA">
            <w:rPr>
              <w:rFonts w:ascii="Times New Roman" w:hAnsi="Times New Roman" w:cs="Times New Roman"/>
              <w:sz w:val="24"/>
              <w:szCs w:val="24"/>
            </w:rPr>
            <w:t xml:space="preserve">the </w:t>
          </w:r>
          <w:r w:rsidRPr="001014AA">
            <w:rPr>
              <w:rFonts w:ascii="Times New Roman" w:hAnsi="Times New Roman" w:cs="Times New Roman"/>
              <w:sz w:val="24"/>
              <w:szCs w:val="24"/>
            </w:rPr>
            <w:t>short-term effects of portfolio disposal and increased finance costs. Liquidity has also been steady</w:t>
          </w:r>
          <w:r w:rsidR="00EC2C83" w:rsidRPr="001014AA">
            <w:rPr>
              <w:rFonts w:ascii="Times New Roman" w:hAnsi="Times New Roman" w:cs="Times New Roman"/>
              <w:sz w:val="24"/>
              <w:szCs w:val="24"/>
            </w:rPr>
            <w:t>,</w:t>
          </w:r>
          <w:r w:rsidRPr="001014AA">
            <w:rPr>
              <w:rFonts w:ascii="Times New Roman" w:hAnsi="Times New Roman" w:cs="Times New Roman"/>
              <w:sz w:val="24"/>
              <w:szCs w:val="24"/>
            </w:rPr>
            <w:t xml:space="preserve"> with current and quick </w:t>
          </w:r>
          <w:r w:rsidR="00642E10" w:rsidRPr="001014AA">
            <w:rPr>
              <w:rFonts w:ascii="Times New Roman" w:hAnsi="Times New Roman" w:cs="Times New Roman"/>
              <w:sz w:val="24"/>
              <w:szCs w:val="24"/>
            </w:rPr>
            <w:t>ratios</w:t>
          </w:r>
          <w:r w:rsidRPr="001014AA">
            <w:rPr>
              <w:rFonts w:ascii="Times New Roman" w:hAnsi="Times New Roman" w:cs="Times New Roman"/>
              <w:sz w:val="24"/>
              <w:szCs w:val="24"/>
            </w:rPr>
            <w:t xml:space="preserve"> being the same in the two years</w:t>
          </w:r>
          <w:r w:rsidR="00642E10" w:rsidRPr="001014AA">
            <w:rPr>
              <w:rFonts w:ascii="Times New Roman" w:hAnsi="Times New Roman" w:cs="Times New Roman"/>
              <w:sz w:val="24"/>
              <w:szCs w:val="24"/>
            </w:rPr>
            <w:t>,</w:t>
          </w:r>
          <w:r w:rsidRPr="001014AA">
            <w:rPr>
              <w:rFonts w:ascii="Times New Roman" w:hAnsi="Times New Roman" w:cs="Times New Roman"/>
              <w:sz w:val="24"/>
              <w:szCs w:val="24"/>
            </w:rPr>
            <w:t xml:space="preserve"> whereas gearing has improved marginally, with the debt levels decreasing compared to equities. Efficiency ratios, however, indicated a decreasing asset turnover</w:t>
          </w:r>
          <w:r w:rsidR="00642E10" w:rsidRPr="001014AA">
            <w:rPr>
              <w:rFonts w:ascii="Times New Roman" w:hAnsi="Times New Roman" w:cs="Times New Roman"/>
              <w:sz w:val="24"/>
              <w:szCs w:val="24"/>
            </w:rPr>
            <w:t>,</w:t>
          </w:r>
          <w:r w:rsidRPr="001014AA">
            <w:rPr>
              <w:rFonts w:ascii="Times New Roman" w:hAnsi="Times New Roman" w:cs="Times New Roman"/>
              <w:sz w:val="24"/>
              <w:szCs w:val="24"/>
            </w:rPr>
            <w:t xml:space="preserve"> which </w:t>
          </w:r>
          <w:r w:rsidR="00EC2C83" w:rsidRPr="001014AA">
            <w:rPr>
              <w:rFonts w:ascii="Times New Roman" w:hAnsi="Times New Roman" w:cs="Times New Roman"/>
              <w:sz w:val="24"/>
              <w:szCs w:val="24"/>
            </w:rPr>
            <w:t>indicates</w:t>
          </w:r>
          <w:r w:rsidRPr="001014AA">
            <w:rPr>
              <w:rFonts w:ascii="Times New Roman" w:hAnsi="Times New Roman" w:cs="Times New Roman"/>
              <w:sz w:val="24"/>
              <w:szCs w:val="24"/>
            </w:rPr>
            <w:t xml:space="preserve"> that there is </w:t>
          </w:r>
          <w:r w:rsidR="00EC2C83" w:rsidRPr="001014AA">
            <w:rPr>
              <w:rFonts w:ascii="Times New Roman" w:hAnsi="Times New Roman" w:cs="Times New Roman"/>
              <w:sz w:val="24"/>
              <w:szCs w:val="24"/>
            </w:rPr>
            <w:t xml:space="preserve">a </w:t>
          </w:r>
          <w:r w:rsidRPr="001014AA">
            <w:rPr>
              <w:rFonts w:ascii="Times New Roman" w:hAnsi="Times New Roman" w:cs="Times New Roman"/>
              <w:sz w:val="24"/>
              <w:szCs w:val="24"/>
            </w:rPr>
            <w:t xml:space="preserve">need to increase </w:t>
          </w:r>
          <w:r w:rsidR="00EC2C83" w:rsidRPr="001014AA">
            <w:rPr>
              <w:rFonts w:ascii="Times New Roman" w:hAnsi="Times New Roman" w:cs="Times New Roman"/>
              <w:sz w:val="24"/>
              <w:szCs w:val="24"/>
            </w:rPr>
            <w:t xml:space="preserve">the </w:t>
          </w:r>
          <w:r w:rsidRPr="001014AA">
            <w:rPr>
              <w:rFonts w:ascii="Times New Roman" w:hAnsi="Times New Roman" w:cs="Times New Roman"/>
              <w:sz w:val="24"/>
              <w:szCs w:val="24"/>
            </w:rPr>
            <w:t xml:space="preserve">use of the asset base. Pressure on </w:t>
          </w:r>
          <w:r w:rsidRPr="001014AA">
            <w:rPr>
              <w:rFonts w:ascii="Times New Roman" w:hAnsi="Times New Roman" w:cs="Times New Roman"/>
              <w:sz w:val="24"/>
              <w:szCs w:val="24"/>
            </w:rPr>
            <w:lastRenderedPageBreak/>
            <w:t>earnings per share was established by the investor ratios, although dividend yield was good, which solidifies the reputation of Unilever as a stable income stock.</w:t>
          </w:r>
        </w:p>
        <w:p w14:paraId="350AB995" w14:textId="346C676A" w:rsidR="00495D24" w:rsidRPr="001014AA" w:rsidRDefault="00495D24" w:rsidP="006672D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 xml:space="preserve">The analytical assessment of these ratios highlights the need to put numerical outcomes into perspective in strategic actions and external factors. The observed trends were made possible by portfolio rationalisation, premiumisation strategies and emerging market performances, whereas currency translation effects skewed the </w:t>
          </w:r>
          <w:r w:rsidR="00EC2C83" w:rsidRPr="001014AA">
            <w:rPr>
              <w:rFonts w:ascii="Times New Roman" w:hAnsi="Times New Roman" w:cs="Times New Roman"/>
              <w:sz w:val="24"/>
              <w:szCs w:val="24"/>
            </w:rPr>
            <w:t>turnover-based</w:t>
          </w:r>
          <w:r w:rsidRPr="001014AA">
            <w:rPr>
              <w:rFonts w:ascii="Times New Roman" w:hAnsi="Times New Roman" w:cs="Times New Roman"/>
              <w:sz w:val="24"/>
              <w:szCs w:val="24"/>
            </w:rPr>
            <w:t xml:space="preserve"> ratios. The limitations of ratio analysis were also apparent since the numbers did not reflect on qualitative </w:t>
          </w:r>
          <w:r w:rsidR="00EC2C83" w:rsidRPr="001014AA">
            <w:rPr>
              <w:rFonts w:ascii="Times New Roman" w:hAnsi="Times New Roman" w:cs="Times New Roman"/>
              <w:sz w:val="24"/>
              <w:szCs w:val="24"/>
            </w:rPr>
            <w:t>trade-offs</w:t>
          </w:r>
          <w:r w:rsidRPr="001014AA">
            <w:rPr>
              <w:rFonts w:ascii="Times New Roman" w:hAnsi="Times New Roman" w:cs="Times New Roman"/>
              <w:sz w:val="24"/>
              <w:szCs w:val="24"/>
            </w:rPr>
            <w:t xml:space="preserve">, like whether the disposals were compromising the </w:t>
          </w:r>
          <w:proofErr w:type="gramStart"/>
          <w:r w:rsidRPr="001014AA">
            <w:rPr>
              <w:rFonts w:ascii="Times New Roman" w:hAnsi="Times New Roman" w:cs="Times New Roman"/>
              <w:sz w:val="24"/>
              <w:szCs w:val="24"/>
            </w:rPr>
            <w:t>long term</w:t>
          </w:r>
          <w:proofErr w:type="gramEnd"/>
          <w:r w:rsidRPr="001014AA">
            <w:rPr>
              <w:rFonts w:ascii="Times New Roman" w:hAnsi="Times New Roman" w:cs="Times New Roman"/>
              <w:sz w:val="24"/>
              <w:szCs w:val="24"/>
            </w:rPr>
            <w:t xml:space="preserve"> growth in </w:t>
          </w:r>
          <w:r w:rsidR="00EC2C83" w:rsidRPr="001014AA">
            <w:rPr>
              <w:rFonts w:ascii="Times New Roman" w:hAnsi="Times New Roman" w:cs="Times New Roman"/>
              <w:sz w:val="24"/>
              <w:szCs w:val="24"/>
            </w:rPr>
            <w:t>favour</w:t>
          </w:r>
          <w:r w:rsidRPr="001014AA">
            <w:rPr>
              <w:rFonts w:ascii="Times New Roman" w:hAnsi="Times New Roman" w:cs="Times New Roman"/>
              <w:sz w:val="24"/>
              <w:szCs w:val="24"/>
            </w:rPr>
            <w:t xml:space="preserve"> of the </w:t>
          </w:r>
          <w:r w:rsidR="00EC2C83" w:rsidRPr="001014AA">
            <w:rPr>
              <w:rFonts w:ascii="Times New Roman" w:hAnsi="Times New Roman" w:cs="Times New Roman"/>
              <w:sz w:val="24"/>
              <w:szCs w:val="24"/>
            </w:rPr>
            <w:t>short-term</w:t>
          </w:r>
          <w:r w:rsidRPr="001014AA">
            <w:rPr>
              <w:rFonts w:ascii="Times New Roman" w:hAnsi="Times New Roman" w:cs="Times New Roman"/>
              <w:sz w:val="24"/>
              <w:szCs w:val="24"/>
            </w:rPr>
            <w:t xml:space="preserve"> balance sheet strength. This underscores the fact that directors have to </w:t>
          </w:r>
          <w:r w:rsidR="00EC2C83" w:rsidRPr="001014AA">
            <w:rPr>
              <w:rFonts w:ascii="Times New Roman" w:hAnsi="Times New Roman" w:cs="Times New Roman"/>
              <w:sz w:val="24"/>
              <w:szCs w:val="24"/>
            </w:rPr>
            <w:t>analyse</w:t>
          </w:r>
          <w:r w:rsidRPr="001014AA">
            <w:rPr>
              <w:rFonts w:ascii="Times New Roman" w:hAnsi="Times New Roman" w:cs="Times New Roman"/>
              <w:sz w:val="24"/>
              <w:szCs w:val="24"/>
            </w:rPr>
            <w:t xml:space="preserve"> ratios together with extended strategic and market reasons.</w:t>
          </w:r>
        </w:p>
        <w:p w14:paraId="777E594D" w14:textId="1AA8A3D1" w:rsidR="00495D24" w:rsidRPr="001014AA" w:rsidRDefault="00495D24" w:rsidP="006672DD">
          <w:pPr>
            <w:spacing w:after="0" w:line="480" w:lineRule="auto"/>
            <w:ind w:firstLine="720"/>
            <w:rPr>
              <w:rFonts w:ascii="Times New Roman" w:hAnsi="Times New Roman" w:cs="Times New Roman"/>
              <w:sz w:val="24"/>
              <w:szCs w:val="24"/>
            </w:rPr>
          </w:pPr>
          <w:r w:rsidRPr="001014AA">
            <w:rPr>
              <w:rFonts w:ascii="Times New Roman" w:hAnsi="Times New Roman" w:cs="Times New Roman"/>
              <w:sz w:val="24"/>
              <w:szCs w:val="24"/>
            </w:rPr>
            <w:t xml:space="preserve">In the case of Westward Plc, the NPV and </w:t>
          </w:r>
          <w:r w:rsidR="00EC2C83" w:rsidRPr="001014AA">
            <w:rPr>
              <w:rFonts w:ascii="Times New Roman" w:hAnsi="Times New Roman" w:cs="Times New Roman"/>
              <w:sz w:val="24"/>
              <w:szCs w:val="24"/>
            </w:rPr>
            <w:t>IRR-based</w:t>
          </w:r>
          <w:r w:rsidRPr="001014AA">
            <w:rPr>
              <w:rFonts w:ascii="Times New Roman" w:hAnsi="Times New Roman" w:cs="Times New Roman"/>
              <w:sz w:val="24"/>
              <w:szCs w:val="24"/>
            </w:rPr>
            <w:t xml:space="preserve"> investment appraisal showed a clear indication that Internet Sales Development (Option B) is the best </w:t>
          </w:r>
          <w:r w:rsidR="00EC2C83" w:rsidRPr="001014AA">
            <w:rPr>
              <w:rFonts w:ascii="Times New Roman" w:hAnsi="Times New Roman" w:cs="Times New Roman"/>
              <w:sz w:val="24"/>
              <w:szCs w:val="24"/>
            </w:rPr>
            <w:t>value-adding</w:t>
          </w:r>
          <w:r w:rsidRPr="001014AA">
            <w:rPr>
              <w:rFonts w:ascii="Times New Roman" w:hAnsi="Times New Roman" w:cs="Times New Roman"/>
              <w:sz w:val="24"/>
              <w:szCs w:val="24"/>
            </w:rPr>
            <w:t xml:space="preserve"> alternative. Having the largest positive NPV and an IRR that is substantially greater than the cost of capital, the option will maximise shareholder wealth as it is in line with the industry trend in digitalisation. The capital rationing analysis also established that the profitability index of a project gives the best results when taking priority in the face of </w:t>
          </w:r>
          <w:r w:rsidR="00EC2C83" w:rsidRPr="001014AA">
            <w:rPr>
              <w:rFonts w:ascii="Times New Roman" w:hAnsi="Times New Roman" w:cs="Times New Roman"/>
              <w:sz w:val="24"/>
              <w:szCs w:val="24"/>
            </w:rPr>
            <w:t xml:space="preserve">a </w:t>
          </w:r>
          <w:r w:rsidRPr="001014AA">
            <w:rPr>
              <w:rFonts w:ascii="Times New Roman" w:hAnsi="Times New Roman" w:cs="Times New Roman"/>
              <w:sz w:val="24"/>
              <w:szCs w:val="24"/>
            </w:rPr>
            <w:t xml:space="preserve">budget </w:t>
          </w:r>
          <w:r w:rsidR="00EC2C83" w:rsidRPr="001014AA">
            <w:rPr>
              <w:rFonts w:ascii="Times New Roman" w:hAnsi="Times New Roman" w:cs="Times New Roman"/>
              <w:sz w:val="24"/>
              <w:szCs w:val="24"/>
            </w:rPr>
            <w:t>constraint</w:t>
          </w:r>
          <w:r w:rsidRPr="001014AA">
            <w:rPr>
              <w:rFonts w:ascii="Times New Roman" w:hAnsi="Times New Roman" w:cs="Times New Roman"/>
              <w:sz w:val="24"/>
              <w:szCs w:val="24"/>
            </w:rPr>
            <w:t xml:space="preserve">. Taken together, the analyses also reveal that the knowledge of finance management is that quantitative rigour and strategic judgement must exist together to ensure that both multinational corporations and smaller domestic firms invest their resources in order to create </w:t>
          </w:r>
          <w:r w:rsidR="00EC2C83" w:rsidRPr="001014AA">
            <w:rPr>
              <w:rFonts w:ascii="Times New Roman" w:hAnsi="Times New Roman" w:cs="Times New Roman"/>
              <w:sz w:val="24"/>
              <w:szCs w:val="24"/>
            </w:rPr>
            <w:t>long-term</w:t>
          </w:r>
          <w:r w:rsidRPr="001014AA">
            <w:rPr>
              <w:rFonts w:ascii="Times New Roman" w:hAnsi="Times New Roman" w:cs="Times New Roman"/>
              <w:sz w:val="24"/>
              <w:szCs w:val="24"/>
            </w:rPr>
            <w:t xml:space="preserve"> value as much as possible.</w:t>
          </w:r>
        </w:p>
        <w:p w14:paraId="7ED5D261" w14:textId="77777777" w:rsidR="00FD2C5B" w:rsidRPr="001014AA" w:rsidRDefault="00FD2C5B" w:rsidP="001014AA">
          <w:pPr>
            <w:pStyle w:val="Heading1"/>
            <w:spacing w:before="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br w:type="page"/>
          </w:r>
        </w:p>
        <w:p w14:paraId="7202FDFC" w14:textId="03C33323" w:rsidR="00AA2A91" w:rsidRPr="001014AA" w:rsidRDefault="006B7654" w:rsidP="001014AA">
          <w:pPr>
            <w:pStyle w:val="Heading1"/>
            <w:spacing w:before="0" w:line="480" w:lineRule="auto"/>
            <w:ind w:left="720" w:hanging="720"/>
            <w:rPr>
              <w:rFonts w:ascii="Times New Roman" w:hAnsi="Times New Roman" w:cs="Times New Roman"/>
              <w:b/>
              <w:bCs/>
              <w:color w:val="auto"/>
              <w:sz w:val="24"/>
              <w:szCs w:val="24"/>
            </w:rPr>
          </w:pPr>
          <w:bookmarkStart w:id="15" w:name="_Toc218616260"/>
          <w:r>
            <w:rPr>
              <w:rFonts w:ascii="Times New Roman" w:hAnsi="Times New Roman" w:cs="Times New Roman"/>
              <w:b/>
              <w:bCs/>
              <w:color w:val="auto"/>
              <w:sz w:val="24"/>
              <w:szCs w:val="24"/>
            </w:rPr>
            <w:lastRenderedPageBreak/>
            <w:t xml:space="preserve">5.0 </w:t>
          </w:r>
          <w:r w:rsidR="00AA2A91" w:rsidRPr="001014AA">
            <w:rPr>
              <w:rFonts w:ascii="Times New Roman" w:hAnsi="Times New Roman" w:cs="Times New Roman"/>
              <w:b/>
              <w:bCs/>
              <w:color w:val="auto"/>
              <w:sz w:val="24"/>
              <w:szCs w:val="24"/>
            </w:rPr>
            <w:t>Bibliography</w:t>
          </w:r>
          <w:bookmarkEnd w:id="15"/>
        </w:p>
        <w:p w14:paraId="5854721A" w14:textId="3899683A"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Al-Nimer, M., Arabiat, O. and Taha, R. (2024). Liquidity Risk Mediation in the Dynamics of Capital Structure and Financial Performance: Evidence from Jordanian Banks. </w:t>
          </w:r>
          <w:r w:rsidRPr="001014AA">
            <w:rPr>
              <w:rFonts w:ascii="Times New Roman" w:hAnsi="Times New Roman" w:cs="Times New Roman"/>
              <w:i/>
              <w:iCs/>
              <w:sz w:val="24"/>
              <w:szCs w:val="24"/>
            </w:rPr>
            <w:t xml:space="preserve">Journal of </w:t>
          </w:r>
          <w:r>
            <w:rPr>
              <w:rFonts w:ascii="Times New Roman" w:hAnsi="Times New Roman" w:cs="Times New Roman"/>
              <w:i/>
              <w:iCs/>
              <w:sz w:val="24"/>
              <w:szCs w:val="24"/>
            </w:rPr>
            <w:t>Risk</w:t>
          </w:r>
          <w:r w:rsidRPr="001014AA">
            <w:rPr>
              <w:rFonts w:ascii="Times New Roman" w:hAnsi="Times New Roman" w:cs="Times New Roman"/>
              <w:i/>
              <w:iCs/>
              <w:sz w:val="24"/>
              <w:szCs w:val="24"/>
            </w:rPr>
            <w:t xml:space="preserve"> and </w:t>
          </w:r>
          <w:r>
            <w:rPr>
              <w:rFonts w:ascii="Times New Roman" w:hAnsi="Times New Roman" w:cs="Times New Roman"/>
              <w:i/>
              <w:iCs/>
              <w:sz w:val="24"/>
              <w:szCs w:val="24"/>
            </w:rPr>
            <w:t>Financial Management</w:t>
          </w:r>
          <w:r w:rsidRPr="001014AA">
            <w:rPr>
              <w:rFonts w:ascii="Times New Roman" w:hAnsi="Times New Roman" w:cs="Times New Roman"/>
              <w:sz w:val="24"/>
              <w:szCs w:val="24"/>
            </w:rPr>
            <w:t>, 17(8), pp.360–360. doi:</w:t>
          </w:r>
          <w:r>
            <w:rPr>
              <w:rFonts w:ascii="Times New Roman" w:hAnsi="Times New Roman" w:cs="Times New Roman"/>
              <w:sz w:val="24"/>
              <w:szCs w:val="24"/>
            </w:rPr>
            <w:t xml:space="preserve"> </w:t>
          </w:r>
          <w:hyperlink r:id="rId10" w:history="1">
            <w:r w:rsidRPr="001014AA">
              <w:rPr>
                <w:rStyle w:val="Hyperlink"/>
                <w:rFonts w:ascii="Times New Roman" w:hAnsi="Times New Roman" w:cs="Times New Roman"/>
                <w:sz w:val="24"/>
                <w:szCs w:val="24"/>
              </w:rPr>
              <w:t>https://doi.org/10.3390/jrfm17080360</w:t>
            </w:r>
          </w:hyperlink>
          <w:r w:rsidRPr="001014AA">
            <w:rPr>
              <w:rFonts w:ascii="Times New Roman" w:hAnsi="Times New Roman" w:cs="Times New Roman"/>
              <w:sz w:val="24"/>
              <w:szCs w:val="24"/>
            </w:rPr>
            <w:t>.</w:t>
          </w:r>
        </w:p>
        <w:p w14:paraId="3AAA337A" w14:textId="07FF2339"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Aniyah, Supriyanto, Kumoro, D.F.C., Novitasari, D., Yuwono, T. and Asbari, M. (2020). Analysis of the Effect of Quick Ratio (QR), Total Assets Turn Over (TATO), and Debt To Equity Ratio (DER) on Return On Equity (ROE) at PT. XYZ. </w:t>
          </w:r>
          <w:r w:rsidRPr="001014AA">
            <w:rPr>
              <w:rFonts w:ascii="Times New Roman" w:hAnsi="Times New Roman" w:cs="Times New Roman"/>
              <w:i/>
              <w:iCs/>
              <w:sz w:val="24"/>
              <w:szCs w:val="24"/>
            </w:rPr>
            <w:t>Journal of Industrial Engineering &amp; Management Research</w:t>
          </w:r>
          <w:r w:rsidRPr="001014AA">
            <w:rPr>
              <w:rFonts w:ascii="Times New Roman" w:hAnsi="Times New Roman" w:cs="Times New Roman"/>
              <w:sz w:val="24"/>
              <w:szCs w:val="24"/>
            </w:rPr>
            <w:t>,</w:t>
          </w:r>
          <w:r>
            <w:rPr>
              <w:rFonts w:ascii="Times New Roman" w:hAnsi="Times New Roman" w:cs="Times New Roman"/>
              <w:sz w:val="24"/>
              <w:szCs w:val="24"/>
            </w:rPr>
            <w:t xml:space="preserve"> </w:t>
          </w:r>
          <w:r w:rsidRPr="001014AA">
            <w:rPr>
              <w:rFonts w:ascii="Times New Roman" w:hAnsi="Times New Roman" w:cs="Times New Roman"/>
              <w:sz w:val="24"/>
              <w:szCs w:val="24"/>
            </w:rPr>
            <w:t>1(3), pp.166–183. doi:</w:t>
          </w:r>
          <w:r>
            <w:rPr>
              <w:rFonts w:ascii="Times New Roman" w:hAnsi="Times New Roman" w:cs="Times New Roman"/>
              <w:sz w:val="24"/>
              <w:szCs w:val="24"/>
            </w:rPr>
            <w:t xml:space="preserve"> </w:t>
          </w:r>
          <w:hyperlink r:id="rId11" w:history="1">
            <w:r w:rsidRPr="001014AA">
              <w:rPr>
                <w:rStyle w:val="Hyperlink"/>
                <w:rFonts w:ascii="Times New Roman" w:hAnsi="Times New Roman" w:cs="Times New Roman"/>
                <w:sz w:val="24"/>
                <w:szCs w:val="24"/>
              </w:rPr>
              <w:t>https://doi.org/10.7777/jiemar.v1i3.77</w:t>
            </w:r>
          </w:hyperlink>
          <w:r w:rsidRPr="001014AA">
            <w:rPr>
              <w:rFonts w:ascii="Times New Roman" w:hAnsi="Times New Roman" w:cs="Times New Roman"/>
              <w:sz w:val="24"/>
              <w:szCs w:val="24"/>
            </w:rPr>
            <w:t>.</w:t>
          </w:r>
        </w:p>
        <w:p w14:paraId="2E85959B" w14:textId="6794AB21"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Arjunan, K. (2019). </w:t>
          </w:r>
          <w:r w:rsidRPr="001014AA">
            <w:rPr>
              <w:rFonts w:ascii="Times New Roman" w:hAnsi="Times New Roman" w:cs="Times New Roman"/>
              <w:i/>
              <w:iCs/>
              <w:sz w:val="24"/>
              <w:szCs w:val="24"/>
            </w:rPr>
            <w:t>Validity of NPV Rule and IRR Criterion for Capital Budgeting and CBA</w:t>
          </w:r>
          <w:r w:rsidRPr="001014AA">
            <w:rPr>
              <w:rFonts w:ascii="Times New Roman" w:hAnsi="Times New Roman" w:cs="Times New Roman"/>
              <w:sz w:val="24"/>
              <w:szCs w:val="24"/>
            </w:rPr>
            <w:t xml:space="preserve">. </w:t>
          </w:r>
          <w:hyperlink r:id="rId12" w:history="1">
            <w:r w:rsidRPr="001014AA">
              <w:rPr>
                <w:rStyle w:val="Hyperlink"/>
                <w:rFonts w:ascii="Times New Roman" w:hAnsi="Times New Roman" w:cs="Times New Roman"/>
                <w:sz w:val="24"/>
                <w:szCs w:val="24"/>
              </w:rPr>
              <w:t>https://papers.ssrn.com/sol3/papers.cfm?abstract_id=3505058</w:t>
            </w:r>
          </w:hyperlink>
          <w:r w:rsidRPr="001014AA">
            <w:rPr>
              <w:rFonts w:ascii="Times New Roman" w:hAnsi="Times New Roman" w:cs="Times New Roman"/>
              <w:sz w:val="24"/>
              <w:szCs w:val="24"/>
            </w:rPr>
            <w:t>.</w:t>
          </w:r>
        </w:p>
        <w:p w14:paraId="55C91D52" w14:textId="6A5F29A5"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Arjunan, K. (2022). A New Method to Estimate NPV and IRR from the Capital </w:t>
          </w:r>
          <w:r>
            <w:rPr>
              <w:rFonts w:ascii="Times New Roman" w:hAnsi="Times New Roman" w:cs="Times New Roman"/>
              <w:sz w:val="24"/>
              <w:szCs w:val="24"/>
            </w:rPr>
            <w:t>Amortisation</w:t>
          </w:r>
          <w:r w:rsidRPr="001014AA">
            <w:rPr>
              <w:rFonts w:ascii="Times New Roman" w:hAnsi="Times New Roman" w:cs="Times New Roman"/>
              <w:sz w:val="24"/>
              <w:szCs w:val="24"/>
            </w:rPr>
            <w:t xml:space="preserve"> Schedule and the Advantages of the New Method. </w:t>
          </w:r>
          <w:r w:rsidRPr="001014AA">
            <w:rPr>
              <w:rFonts w:ascii="Times New Roman" w:hAnsi="Times New Roman" w:cs="Times New Roman"/>
              <w:i/>
              <w:iCs/>
              <w:sz w:val="24"/>
              <w:szCs w:val="24"/>
            </w:rPr>
            <w:t>Australasian Business, Accounting and Finance Journal</w:t>
          </w:r>
          <w:r w:rsidRPr="001014AA">
            <w:rPr>
              <w:rFonts w:ascii="Times New Roman" w:hAnsi="Times New Roman" w:cs="Times New Roman"/>
              <w:sz w:val="24"/>
              <w:szCs w:val="24"/>
            </w:rPr>
            <w:t>, 16(6), pp.23–44. doi:</w:t>
          </w:r>
          <w:r>
            <w:rPr>
              <w:rFonts w:ascii="Times New Roman" w:hAnsi="Times New Roman" w:cs="Times New Roman"/>
              <w:sz w:val="24"/>
              <w:szCs w:val="24"/>
            </w:rPr>
            <w:t xml:space="preserve"> </w:t>
          </w:r>
          <w:hyperlink r:id="rId13" w:history="1">
            <w:r w:rsidRPr="001014AA">
              <w:rPr>
                <w:rStyle w:val="Hyperlink"/>
                <w:rFonts w:ascii="Times New Roman" w:hAnsi="Times New Roman" w:cs="Times New Roman"/>
                <w:sz w:val="24"/>
                <w:szCs w:val="24"/>
              </w:rPr>
              <w:t>https://doi.org/10.14453/aabfj.v16i6.03</w:t>
            </w:r>
          </w:hyperlink>
          <w:r w:rsidRPr="001014AA">
            <w:rPr>
              <w:rFonts w:ascii="Times New Roman" w:hAnsi="Times New Roman" w:cs="Times New Roman"/>
              <w:sz w:val="24"/>
              <w:szCs w:val="24"/>
            </w:rPr>
            <w:t>.</w:t>
          </w:r>
        </w:p>
        <w:p w14:paraId="00B6F124" w14:textId="421B2050"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Arnold, G. and Lewis, D. (2019). </w:t>
          </w:r>
          <w:r w:rsidRPr="001014AA">
            <w:rPr>
              <w:rFonts w:ascii="Times New Roman" w:hAnsi="Times New Roman" w:cs="Times New Roman"/>
              <w:i/>
              <w:iCs/>
              <w:sz w:val="24"/>
              <w:szCs w:val="24"/>
            </w:rPr>
            <w:t>Corporate Financial Management</w:t>
          </w:r>
          <w:r w:rsidRPr="001014AA">
            <w:rPr>
              <w:rFonts w:ascii="Times New Roman" w:hAnsi="Times New Roman" w:cs="Times New Roman"/>
              <w:sz w:val="24"/>
              <w:szCs w:val="24"/>
            </w:rPr>
            <w:t xml:space="preserve">. </w:t>
          </w:r>
          <w:hyperlink r:id="rId14" w:history="1">
            <w:r w:rsidRPr="001014AA">
              <w:rPr>
                <w:rStyle w:val="Hyperlink"/>
                <w:rFonts w:ascii="Times New Roman" w:hAnsi="Times New Roman" w:cs="Times New Roman"/>
                <w:sz w:val="24"/>
                <w:szCs w:val="24"/>
              </w:rPr>
              <w:t>https://books.google.com/books?hl=en&amp;lr=&amp;id=LvSMDwAAQBAJ&amp;oi=fnd&amp;pg=PT23&amp;dq=Corporate+Financial+Management&amp;ots=56iAODee1l&amp;sig=Reufq798n3f6HTVcHZcBDkHzXaE</w:t>
            </w:r>
          </w:hyperlink>
        </w:p>
        <w:p w14:paraId="26EECC7B" w14:textId="59C7EDFF"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Auerbach, A.J., Devereux, M.P., Keen, M. and Vella, J. (2017). </w:t>
          </w:r>
          <w:r w:rsidRPr="001014AA">
            <w:rPr>
              <w:rFonts w:ascii="Times New Roman" w:hAnsi="Times New Roman" w:cs="Times New Roman"/>
              <w:i/>
              <w:iCs/>
              <w:sz w:val="24"/>
              <w:szCs w:val="24"/>
            </w:rPr>
            <w:t>Destination-Based Cash Flow Taxation</w:t>
          </w:r>
          <w:r w:rsidRPr="001014AA">
            <w:rPr>
              <w:rFonts w:ascii="Times New Roman" w:hAnsi="Times New Roman" w:cs="Times New Roman"/>
              <w:sz w:val="24"/>
              <w:szCs w:val="24"/>
            </w:rPr>
            <w:t>.</w:t>
          </w:r>
          <w:hyperlink r:id="rId15" w:history="1">
            <w:r w:rsidRPr="001014AA">
              <w:rPr>
                <w:rStyle w:val="Hyperlink"/>
                <w:rFonts w:ascii="Times New Roman" w:hAnsi="Times New Roman" w:cs="Times New Roman"/>
                <w:sz w:val="24"/>
                <w:szCs w:val="24"/>
              </w:rPr>
              <w:t>https://papers.ssrn.com/sol3/papers.cfm?abstract_id=2908158</w:t>
            </w:r>
          </w:hyperlink>
          <w:r w:rsidRPr="001014AA">
            <w:rPr>
              <w:rFonts w:ascii="Times New Roman" w:hAnsi="Times New Roman" w:cs="Times New Roman"/>
              <w:sz w:val="24"/>
              <w:szCs w:val="24"/>
            </w:rPr>
            <w:t>.</w:t>
          </w:r>
        </w:p>
        <w:p w14:paraId="322754DD" w14:textId="3E2F72C3"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Baran, D., Pastýr, A. and Baranová, D. (2016). Financial Analysis of a Selected Company. </w:t>
          </w:r>
          <w:r w:rsidRPr="001014AA">
            <w:rPr>
              <w:rFonts w:ascii="Times New Roman" w:hAnsi="Times New Roman" w:cs="Times New Roman"/>
              <w:i/>
              <w:iCs/>
              <w:sz w:val="24"/>
              <w:szCs w:val="24"/>
            </w:rPr>
            <w:t>Research Papers Faculty of Materials Science and Technology Slovak University of Technology</w:t>
          </w:r>
          <w:r w:rsidRPr="001014AA">
            <w:rPr>
              <w:rFonts w:ascii="Times New Roman" w:hAnsi="Times New Roman" w:cs="Times New Roman"/>
              <w:sz w:val="24"/>
              <w:szCs w:val="24"/>
            </w:rPr>
            <w:t>, 24(37), pp.73–92. doi:</w:t>
          </w:r>
          <w:r>
            <w:rPr>
              <w:rFonts w:ascii="Times New Roman" w:hAnsi="Times New Roman" w:cs="Times New Roman"/>
              <w:sz w:val="24"/>
              <w:szCs w:val="24"/>
            </w:rPr>
            <w:t xml:space="preserve"> </w:t>
          </w:r>
          <w:hyperlink r:id="rId16" w:history="1">
            <w:r w:rsidRPr="001014AA">
              <w:rPr>
                <w:rStyle w:val="Hyperlink"/>
                <w:rFonts w:ascii="Times New Roman" w:hAnsi="Times New Roman" w:cs="Times New Roman"/>
                <w:sz w:val="24"/>
                <w:szCs w:val="24"/>
              </w:rPr>
              <w:t>https://doi.org/10.1515/rput-2016-0008</w:t>
            </w:r>
          </w:hyperlink>
          <w:r w:rsidRPr="001014AA">
            <w:rPr>
              <w:rFonts w:ascii="Times New Roman" w:hAnsi="Times New Roman" w:cs="Times New Roman"/>
              <w:sz w:val="24"/>
              <w:szCs w:val="24"/>
            </w:rPr>
            <w:t>.</w:t>
          </w:r>
        </w:p>
        <w:p w14:paraId="29EF7562" w14:textId="621EEF44"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lastRenderedPageBreak/>
            <w:t xml:space="preserve">Brealey, R., Myers, S., Allen, F. and Edmans, A. (2020). </w:t>
          </w:r>
          <w:r w:rsidRPr="001014AA">
            <w:rPr>
              <w:rFonts w:ascii="Times New Roman" w:hAnsi="Times New Roman" w:cs="Times New Roman"/>
              <w:i/>
              <w:iCs/>
              <w:sz w:val="24"/>
              <w:szCs w:val="24"/>
            </w:rPr>
            <w:t>Principles of Corporate Finance</w:t>
          </w:r>
          <w:r w:rsidRPr="001014AA">
            <w:rPr>
              <w:rFonts w:ascii="Times New Roman" w:hAnsi="Times New Roman" w:cs="Times New Roman"/>
              <w:sz w:val="24"/>
              <w:szCs w:val="24"/>
            </w:rPr>
            <w:t xml:space="preserve">. </w:t>
          </w:r>
          <w:hyperlink r:id="rId17" w:history="1">
            <w:r w:rsidRPr="001014AA">
              <w:rPr>
                <w:rStyle w:val="Hyperlink"/>
                <w:rFonts w:ascii="Times New Roman" w:hAnsi="Times New Roman" w:cs="Times New Roman"/>
                <w:sz w:val="24"/>
                <w:szCs w:val="24"/>
              </w:rPr>
              <w:t>https://www.mheducation.com/highered/product/Principles-of-Corporate-Finance-Brealey.html</w:t>
            </w:r>
          </w:hyperlink>
          <w:r w:rsidRPr="001014AA">
            <w:rPr>
              <w:rFonts w:ascii="Times New Roman" w:hAnsi="Times New Roman" w:cs="Times New Roman"/>
              <w:sz w:val="24"/>
              <w:szCs w:val="24"/>
            </w:rPr>
            <w:t>.</w:t>
          </w:r>
        </w:p>
        <w:p w14:paraId="6276F4EF" w14:textId="0CAAE36F"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Buulolo, F. and Nopiana, P.R. (2025). Assessing Financial Performance Through Ratio Analysis: A Study on PT Unilever Indonesia Tbk. </w:t>
          </w:r>
          <w:r w:rsidRPr="001014AA">
            <w:rPr>
              <w:rFonts w:ascii="Times New Roman" w:hAnsi="Times New Roman" w:cs="Times New Roman"/>
              <w:i/>
              <w:iCs/>
              <w:sz w:val="24"/>
              <w:szCs w:val="24"/>
            </w:rPr>
            <w:t>INTERNATIONAL JOURNAL OF TRENDS IN ACCOUNTING RESEARCH</w:t>
          </w:r>
          <w:r w:rsidRPr="001014AA">
            <w:rPr>
              <w:rFonts w:ascii="Times New Roman" w:hAnsi="Times New Roman" w:cs="Times New Roman"/>
              <w:sz w:val="24"/>
              <w:szCs w:val="24"/>
            </w:rPr>
            <w:t>,</w:t>
          </w:r>
          <w:r>
            <w:rPr>
              <w:rFonts w:ascii="Times New Roman" w:hAnsi="Times New Roman" w:cs="Times New Roman"/>
              <w:sz w:val="24"/>
              <w:szCs w:val="24"/>
            </w:rPr>
            <w:t xml:space="preserve"> </w:t>
          </w:r>
          <w:r w:rsidRPr="001014AA">
            <w:rPr>
              <w:rFonts w:ascii="Times New Roman" w:hAnsi="Times New Roman" w:cs="Times New Roman"/>
              <w:sz w:val="24"/>
              <w:szCs w:val="24"/>
            </w:rPr>
            <w:t>6(2), pp.250–267. doi:</w:t>
          </w:r>
          <w:r>
            <w:rPr>
              <w:rFonts w:ascii="Times New Roman" w:hAnsi="Times New Roman" w:cs="Times New Roman"/>
              <w:sz w:val="24"/>
              <w:szCs w:val="24"/>
            </w:rPr>
            <w:t xml:space="preserve"> </w:t>
          </w:r>
          <w:hyperlink r:id="rId18" w:history="1">
            <w:r w:rsidRPr="001014AA">
              <w:rPr>
                <w:rStyle w:val="Hyperlink"/>
                <w:rFonts w:ascii="Times New Roman" w:hAnsi="Times New Roman" w:cs="Times New Roman"/>
                <w:sz w:val="24"/>
                <w:szCs w:val="24"/>
              </w:rPr>
              <w:t>https://doi.org/10.54951/ijtar.v6i2.1190</w:t>
            </w:r>
          </w:hyperlink>
          <w:r w:rsidRPr="001014AA">
            <w:rPr>
              <w:rFonts w:ascii="Times New Roman" w:hAnsi="Times New Roman" w:cs="Times New Roman"/>
              <w:sz w:val="24"/>
              <w:szCs w:val="24"/>
            </w:rPr>
            <w:t>.</w:t>
          </w:r>
        </w:p>
        <w:p w14:paraId="089F67D8" w14:textId="346CEEA4"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Dainelli, F. and Mengoni, A. (2025). Review of Prospective Financial Statements: Stationary vs. Forward-Looking Assessments. </w:t>
          </w:r>
          <w:r w:rsidRPr="001014AA">
            <w:rPr>
              <w:rFonts w:ascii="Times New Roman" w:hAnsi="Times New Roman" w:cs="Times New Roman"/>
              <w:i/>
              <w:iCs/>
              <w:sz w:val="24"/>
              <w:szCs w:val="24"/>
            </w:rPr>
            <w:t>Journal of Risk and Financial Management</w:t>
          </w:r>
          <w:r w:rsidRPr="001014AA">
            <w:rPr>
              <w:rFonts w:ascii="Times New Roman" w:hAnsi="Times New Roman" w:cs="Times New Roman"/>
              <w:sz w:val="24"/>
              <w:szCs w:val="24"/>
            </w:rPr>
            <w:t>, 18(6), p.290. doi:</w:t>
          </w:r>
          <w:r>
            <w:rPr>
              <w:rFonts w:ascii="Times New Roman" w:hAnsi="Times New Roman" w:cs="Times New Roman"/>
              <w:sz w:val="24"/>
              <w:szCs w:val="24"/>
            </w:rPr>
            <w:t xml:space="preserve"> </w:t>
          </w:r>
          <w:hyperlink r:id="rId19" w:history="1">
            <w:r w:rsidR="00094D9A" w:rsidRPr="001014AA">
              <w:rPr>
                <w:rStyle w:val="Hyperlink"/>
                <w:rFonts w:ascii="Times New Roman" w:hAnsi="Times New Roman" w:cs="Times New Roman"/>
                <w:sz w:val="24"/>
                <w:szCs w:val="24"/>
              </w:rPr>
              <w:t>https://doi.org/10.3390/jrfm18060290</w:t>
            </w:r>
          </w:hyperlink>
          <w:r w:rsidRPr="001014AA">
            <w:rPr>
              <w:rFonts w:ascii="Times New Roman" w:hAnsi="Times New Roman" w:cs="Times New Roman"/>
              <w:sz w:val="24"/>
              <w:szCs w:val="24"/>
            </w:rPr>
            <w:t>.</w:t>
          </w:r>
        </w:p>
        <w:p w14:paraId="665F75F9" w14:textId="4FD55A73"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Drury (2021). </w:t>
          </w:r>
          <w:r w:rsidRPr="001014AA">
            <w:rPr>
              <w:rFonts w:ascii="Times New Roman" w:hAnsi="Times New Roman" w:cs="Times New Roman"/>
              <w:i/>
              <w:iCs/>
              <w:sz w:val="24"/>
              <w:szCs w:val="24"/>
            </w:rPr>
            <w:t>Management and Cost Accounting, 11th Edition Colin Drury pdf version</w:t>
          </w:r>
          <w:r w:rsidRPr="001014AA">
            <w:rPr>
              <w:rFonts w:ascii="Times New Roman" w:hAnsi="Times New Roman" w:cs="Times New Roman"/>
              <w:sz w:val="24"/>
              <w:szCs w:val="24"/>
            </w:rPr>
            <w:t xml:space="preserve">. </w:t>
          </w:r>
          <w:hyperlink r:id="rId20" w:history="1">
            <w:r w:rsidR="00094D9A" w:rsidRPr="001014AA">
              <w:rPr>
                <w:rStyle w:val="Hyperlink"/>
                <w:rFonts w:ascii="Times New Roman" w:hAnsi="Times New Roman" w:cs="Times New Roman"/>
                <w:sz w:val="24"/>
                <w:szCs w:val="24"/>
              </w:rPr>
              <w:t>https://www.scribd.com/document/903158770/Management-and-Cost-Accounting-11th-Edition-Colin-Drury-pdf-version</w:t>
            </w:r>
          </w:hyperlink>
          <w:r w:rsidRPr="001014AA">
            <w:rPr>
              <w:rFonts w:ascii="Times New Roman" w:hAnsi="Times New Roman" w:cs="Times New Roman"/>
              <w:sz w:val="24"/>
              <w:szCs w:val="24"/>
            </w:rPr>
            <w:t>.</w:t>
          </w:r>
        </w:p>
        <w:p w14:paraId="773DCD9C" w14:textId="419FB6A1"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Evmenchik, O.S., Niyazbekova, S.U., Seidakhmetova, F.S. and Mezentceva, T.M. (2021). The Role of Gross Profit and Margin Contribution in Decision Making. </w:t>
          </w:r>
          <w:r w:rsidRPr="001014AA">
            <w:rPr>
              <w:rFonts w:ascii="Times New Roman" w:hAnsi="Times New Roman" w:cs="Times New Roman"/>
              <w:i/>
              <w:iCs/>
              <w:sz w:val="24"/>
              <w:szCs w:val="24"/>
            </w:rPr>
            <w:t>Studies in Systems, Decision and Control</w:t>
          </w:r>
          <w:r w:rsidRPr="001014AA">
            <w:rPr>
              <w:rFonts w:ascii="Times New Roman" w:hAnsi="Times New Roman" w:cs="Times New Roman"/>
              <w:sz w:val="24"/>
              <w:szCs w:val="24"/>
            </w:rPr>
            <w:t>, 314(1), pp.1393–1404. doi:</w:t>
          </w:r>
          <w:r w:rsidR="00094D9A">
            <w:rPr>
              <w:rFonts w:ascii="Times New Roman" w:hAnsi="Times New Roman" w:cs="Times New Roman"/>
              <w:sz w:val="24"/>
              <w:szCs w:val="24"/>
            </w:rPr>
            <w:t xml:space="preserve"> </w:t>
          </w:r>
          <w:hyperlink r:id="rId21" w:history="1">
            <w:r w:rsidR="00094D9A" w:rsidRPr="001014AA">
              <w:rPr>
                <w:rStyle w:val="Hyperlink"/>
                <w:rFonts w:ascii="Times New Roman" w:hAnsi="Times New Roman" w:cs="Times New Roman"/>
                <w:sz w:val="24"/>
                <w:szCs w:val="24"/>
              </w:rPr>
              <w:t>https://doi.org/10.1007/978-3-030-56433-9_145</w:t>
            </w:r>
          </w:hyperlink>
          <w:r w:rsidRPr="001014AA">
            <w:rPr>
              <w:rFonts w:ascii="Times New Roman" w:hAnsi="Times New Roman" w:cs="Times New Roman"/>
              <w:sz w:val="24"/>
              <w:szCs w:val="24"/>
            </w:rPr>
            <w:t>.</w:t>
          </w:r>
        </w:p>
        <w:p w14:paraId="1905D90D" w14:textId="0D0CCAB9"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Feng, R., Kimbrough, M.D. and Wei, S. (2021). The role of information transparency in the product market: an examination of the sustainability of profitability differences. </w:t>
          </w:r>
          <w:r w:rsidRPr="001014AA">
            <w:rPr>
              <w:rFonts w:ascii="Times New Roman" w:hAnsi="Times New Roman" w:cs="Times New Roman"/>
              <w:i/>
              <w:iCs/>
              <w:sz w:val="24"/>
              <w:szCs w:val="24"/>
            </w:rPr>
            <w:t>Review of Accounting Studies</w:t>
          </w:r>
          <w:r w:rsidRPr="001014AA">
            <w:rPr>
              <w:rFonts w:ascii="Times New Roman" w:hAnsi="Times New Roman" w:cs="Times New Roman"/>
              <w:sz w:val="24"/>
              <w:szCs w:val="24"/>
            </w:rPr>
            <w:t>, 27(2), pp.668–705. doi:</w:t>
          </w:r>
          <w:r w:rsidR="00094D9A">
            <w:rPr>
              <w:rFonts w:ascii="Times New Roman" w:hAnsi="Times New Roman" w:cs="Times New Roman"/>
              <w:sz w:val="24"/>
              <w:szCs w:val="24"/>
            </w:rPr>
            <w:t xml:space="preserve"> </w:t>
          </w:r>
          <w:hyperlink r:id="rId22" w:history="1">
            <w:r w:rsidR="00094D9A" w:rsidRPr="001014AA">
              <w:rPr>
                <w:rStyle w:val="Hyperlink"/>
                <w:rFonts w:ascii="Times New Roman" w:hAnsi="Times New Roman" w:cs="Times New Roman"/>
                <w:sz w:val="24"/>
                <w:szCs w:val="24"/>
              </w:rPr>
              <w:t>https://doi.org/10.1007/s11142-021-09626-4</w:t>
            </w:r>
          </w:hyperlink>
          <w:r w:rsidRPr="001014AA">
            <w:rPr>
              <w:rFonts w:ascii="Times New Roman" w:hAnsi="Times New Roman" w:cs="Times New Roman"/>
              <w:sz w:val="24"/>
              <w:szCs w:val="24"/>
            </w:rPr>
            <w:t>.</w:t>
          </w:r>
        </w:p>
        <w:p w14:paraId="6B23EE20" w14:textId="1E5E1C1B" w:rsidR="00094D9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fioriniello, annamaria (2018). </w:t>
          </w:r>
          <w:r w:rsidRPr="001014AA">
            <w:rPr>
              <w:rFonts w:ascii="Times New Roman" w:hAnsi="Times New Roman" w:cs="Times New Roman"/>
              <w:i/>
              <w:iCs/>
              <w:sz w:val="24"/>
              <w:szCs w:val="24"/>
            </w:rPr>
            <w:t>Listing Price and Non-Price-Taking behavior in market mechanisms with differential information</w:t>
          </w:r>
          <w:r w:rsidRPr="001014AA">
            <w:rPr>
              <w:rFonts w:ascii="Times New Roman" w:hAnsi="Times New Roman" w:cs="Times New Roman"/>
              <w:sz w:val="24"/>
              <w:szCs w:val="24"/>
            </w:rPr>
            <w:t xml:space="preserve">. </w:t>
          </w:r>
          <w:hyperlink r:id="rId23" w:history="1">
            <w:r w:rsidR="00094D9A" w:rsidRPr="001014AA">
              <w:rPr>
                <w:rStyle w:val="Hyperlink"/>
                <w:rFonts w:ascii="Times New Roman" w:hAnsi="Times New Roman" w:cs="Times New Roman"/>
                <w:sz w:val="24"/>
                <w:szCs w:val="24"/>
              </w:rPr>
              <w:t>https://www.academia.edu/download/76968968/finaldissertation.pdf</w:t>
            </w:r>
          </w:hyperlink>
        </w:p>
        <w:p w14:paraId="10649979" w14:textId="1B6901FD" w:rsidR="001014AA" w:rsidRDefault="001014AA" w:rsidP="001014AA">
          <w:pPr>
            <w:spacing w:after="0" w:line="480" w:lineRule="auto"/>
            <w:ind w:left="720" w:hanging="720"/>
            <w:rPr>
              <w:rFonts w:ascii="Times New Roman" w:hAnsi="Times New Roman" w:cs="Times New Roman"/>
              <w:sz w:val="24"/>
              <w:szCs w:val="24"/>
            </w:rPr>
          </w:pPr>
        </w:p>
        <w:p w14:paraId="7E6070F3" w14:textId="385CE499"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lastRenderedPageBreak/>
            <w:t xml:space="preserve">TSE Russell (2025). </w:t>
          </w:r>
          <w:r w:rsidRPr="001014AA">
            <w:rPr>
              <w:rFonts w:ascii="Times New Roman" w:hAnsi="Times New Roman" w:cs="Times New Roman"/>
              <w:i/>
              <w:iCs/>
              <w:sz w:val="24"/>
              <w:szCs w:val="24"/>
            </w:rPr>
            <w:t>FTSE 100 Index: Guide and constituents. London Stock Exchange Group.</w:t>
          </w:r>
          <w:r w:rsidRPr="001014AA">
            <w:rPr>
              <w:rFonts w:ascii="Times New Roman" w:hAnsi="Times New Roman" w:cs="Times New Roman"/>
              <w:sz w:val="24"/>
              <w:szCs w:val="24"/>
            </w:rPr>
            <w:t xml:space="preserve"> </w:t>
          </w:r>
          <w:hyperlink r:id="rId24" w:history="1">
            <w:r w:rsidR="00094D9A" w:rsidRPr="001014AA">
              <w:rPr>
                <w:rStyle w:val="Hyperlink"/>
                <w:rFonts w:ascii="Times New Roman" w:hAnsi="Times New Roman" w:cs="Times New Roman"/>
                <w:sz w:val="24"/>
                <w:szCs w:val="24"/>
              </w:rPr>
              <w:t>https://www.lseg.com/en/ftse-russell/indices/ftse100</w:t>
            </w:r>
          </w:hyperlink>
          <w:r w:rsidRPr="001014AA">
            <w:rPr>
              <w:rFonts w:ascii="Times New Roman" w:hAnsi="Times New Roman" w:cs="Times New Roman"/>
              <w:sz w:val="24"/>
              <w:szCs w:val="24"/>
            </w:rPr>
            <w:t>.</w:t>
          </w:r>
        </w:p>
        <w:p w14:paraId="54DA0ABE" w14:textId="32A84CF6"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Hopkinson, M. (2017). </w:t>
          </w:r>
          <w:r w:rsidRPr="001014AA">
            <w:rPr>
              <w:rFonts w:ascii="Times New Roman" w:hAnsi="Times New Roman" w:cs="Times New Roman"/>
              <w:i/>
              <w:iCs/>
              <w:sz w:val="24"/>
              <w:szCs w:val="24"/>
            </w:rPr>
            <w:t>Net Present Value and Risk Modelling for Projects</w:t>
          </w:r>
          <w:r w:rsidRPr="001014AA">
            <w:rPr>
              <w:rFonts w:ascii="Times New Roman" w:hAnsi="Times New Roman" w:cs="Times New Roman"/>
              <w:sz w:val="24"/>
              <w:szCs w:val="24"/>
            </w:rPr>
            <w:t>. Routledge. doi:</w:t>
          </w:r>
          <w:r w:rsidR="00094D9A">
            <w:rPr>
              <w:rFonts w:ascii="Times New Roman" w:hAnsi="Times New Roman" w:cs="Times New Roman"/>
              <w:sz w:val="24"/>
              <w:szCs w:val="24"/>
            </w:rPr>
            <w:t xml:space="preserve"> </w:t>
          </w:r>
          <w:hyperlink r:id="rId25" w:history="1">
            <w:r w:rsidR="00094D9A" w:rsidRPr="001014AA">
              <w:rPr>
                <w:rStyle w:val="Hyperlink"/>
                <w:rFonts w:ascii="Times New Roman" w:hAnsi="Times New Roman" w:cs="Times New Roman"/>
                <w:sz w:val="24"/>
                <w:szCs w:val="24"/>
              </w:rPr>
              <w:t>https://doi.org/10.4324/9781315248172</w:t>
            </w:r>
          </w:hyperlink>
          <w:r w:rsidRPr="001014AA">
            <w:rPr>
              <w:rFonts w:ascii="Times New Roman" w:hAnsi="Times New Roman" w:cs="Times New Roman"/>
              <w:sz w:val="24"/>
              <w:szCs w:val="24"/>
            </w:rPr>
            <w:t>.</w:t>
          </w:r>
        </w:p>
        <w:p w14:paraId="4BDB0D97" w14:textId="388BCBF2"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Investing (2025). </w:t>
          </w:r>
          <w:r w:rsidRPr="001014AA">
            <w:rPr>
              <w:rFonts w:ascii="Times New Roman" w:hAnsi="Times New Roman" w:cs="Times New Roman"/>
              <w:i/>
              <w:iCs/>
              <w:sz w:val="24"/>
              <w:szCs w:val="24"/>
            </w:rPr>
            <w:t>Investing.com - Stock Market Quotes &amp; Financial News</w:t>
          </w:r>
          <w:r w:rsidRPr="001014AA">
            <w:rPr>
              <w:rFonts w:ascii="Times New Roman" w:hAnsi="Times New Roman" w:cs="Times New Roman"/>
              <w:sz w:val="24"/>
              <w:szCs w:val="24"/>
            </w:rPr>
            <w:t xml:space="preserve">. </w:t>
          </w:r>
          <w:hyperlink r:id="rId26" w:history="1">
            <w:r w:rsidR="00094D9A" w:rsidRPr="001014AA">
              <w:rPr>
                <w:rStyle w:val="Hyperlink"/>
                <w:rFonts w:ascii="Times New Roman" w:hAnsi="Times New Roman" w:cs="Times New Roman"/>
                <w:sz w:val="24"/>
                <w:szCs w:val="24"/>
              </w:rPr>
              <w:t>https://www.investing.com/</w:t>
            </w:r>
          </w:hyperlink>
          <w:r w:rsidRPr="001014AA">
            <w:rPr>
              <w:rFonts w:ascii="Times New Roman" w:hAnsi="Times New Roman" w:cs="Times New Roman"/>
              <w:sz w:val="24"/>
              <w:szCs w:val="24"/>
            </w:rPr>
            <w:t>.</w:t>
          </w:r>
        </w:p>
        <w:p w14:paraId="2DA52948" w14:textId="06D48479"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Khan, Y., Su’ud, M.B.M., Alam, M.M., Ahmad, S.F., Ahmad (Ayassrah), A.Y.A.B. and Khan, N. (2022). Application of Internet of Things (IoT) in Sustainable Supply Chain Management. </w:t>
          </w:r>
          <w:r w:rsidRPr="001014AA">
            <w:rPr>
              <w:rFonts w:ascii="Times New Roman" w:hAnsi="Times New Roman" w:cs="Times New Roman"/>
              <w:i/>
              <w:iCs/>
              <w:sz w:val="24"/>
              <w:szCs w:val="24"/>
            </w:rPr>
            <w:t>Sustainability</w:t>
          </w:r>
          <w:r w:rsidRPr="001014AA">
            <w:rPr>
              <w:rFonts w:ascii="Times New Roman" w:hAnsi="Times New Roman" w:cs="Times New Roman"/>
              <w:sz w:val="24"/>
              <w:szCs w:val="24"/>
            </w:rPr>
            <w:t>, 15(1), p.694. doi:</w:t>
          </w:r>
          <w:r w:rsidR="00094D9A">
            <w:rPr>
              <w:rFonts w:ascii="Times New Roman" w:hAnsi="Times New Roman" w:cs="Times New Roman"/>
              <w:sz w:val="24"/>
              <w:szCs w:val="24"/>
            </w:rPr>
            <w:t xml:space="preserve"> </w:t>
          </w:r>
          <w:hyperlink r:id="rId27" w:history="1">
            <w:r w:rsidR="00094D9A" w:rsidRPr="001014AA">
              <w:rPr>
                <w:rStyle w:val="Hyperlink"/>
                <w:rFonts w:ascii="Times New Roman" w:hAnsi="Times New Roman" w:cs="Times New Roman"/>
                <w:sz w:val="24"/>
                <w:szCs w:val="24"/>
              </w:rPr>
              <w:t>https://doi.org/10.3390/su15010694</w:t>
            </w:r>
          </w:hyperlink>
          <w:r w:rsidRPr="001014AA">
            <w:rPr>
              <w:rFonts w:ascii="Times New Roman" w:hAnsi="Times New Roman" w:cs="Times New Roman"/>
              <w:sz w:val="24"/>
              <w:szCs w:val="24"/>
            </w:rPr>
            <w:t>.</w:t>
          </w:r>
        </w:p>
        <w:p w14:paraId="342D7750" w14:textId="4FE5924D"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Lamas, J. (2016). </w:t>
          </w:r>
          <w:r w:rsidRPr="001014AA">
            <w:rPr>
              <w:rFonts w:ascii="Times New Roman" w:hAnsi="Times New Roman" w:cs="Times New Roman"/>
              <w:i/>
              <w:iCs/>
              <w:sz w:val="24"/>
              <w:szCs w:val="24"/>
            </w:rPr>
            <w:t>A better way to understand internal rate of return</w:t>
          </w:r>
          <w:r w:rsidRPr="001014AA">
            <w:rPr>
              <w:rFonts w:ascii="Times New Roman" w:hAnsi="Times New Roman" w:cs="Times New Roman"/>
              <w:sz w:val="24"/>
              <w:szCs w:val="24"/>
            </w:rPr>
            <w:t xml:space="preserve">. </w:t>
          </w:r>
          <w:hyperlink r:id="rId28" w:history="1">
            <w:r w:rsidR="00094D9A" w:rsidRPr="001014AA">
              <w:rPr>
                <w:rStyle w:val="Hyperlink"/>
                <w:rFonts w:ascii="Times New Roman" w:hAnsi="Times New Roman" w:cs="Times New Roman"/>
                <w:sz w:val="24"/>
                <w:szCs w:val="24"/>
              </w:rPr>
              <w:t>https://www.academia.edu/download/44968170/A_better_way_to_understand_internal_rate_of_return.pdf</w:t>
            </w:r>
          </w:hyperlink>
        </w:p>
        <w:p w14:paraId="4F470ED4" w14:textId="30A51E2B"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Liu, Y. (2022). Evaluation Method Based on NPV and IRR. </w:t>
          </w:r>
          <w:r w:rsidRPr="001014AA">
            <w:rPr>
              <w:rFonts w:ascii="Times New Roman" w:hAnsi="Times New Roman" w:cs="Times New Roman"/>
              <w:i/>
              <w:iCs/>
              <w:sz w:val="24"/>
              <w:szCs w:val="24"/>
            </w:rPr>
            <w:t>Proceedings of the 2022 2nd International Conference on Enterprise Management and Economic Development (ICEMED 2022)</w:t>
          </w:r>
          <w:r w:rsidRPr="001014AA">
            <w:rPr>
              <w:rFonts w:ascii="Times New Roman" w:hAnsi="Times New Roman" w:cs="Times New Roman"/>
              <w:sz w:val="24"/>
              <w:szCs w:val="24"/>
            </w:rPr>
            <w:t>. doi:</w:t>
          </w:r>
          <w:r w:rsidR="00094D9A">
            <w:rPr>
              <w:rFonts w:ascii="Times New Roman" w:hAnsi="Times New Roman" w:cs="Times New Roman"/>
              <w:sz w:val="24"/>
              <w:szCs w:val="24"/>
            </w:rPr>
            <w:t xml:space="preserve"> </w:t>
          </w:r>
          <w:hyperlink r:id="rId29" w:history="1">
            <w:r w:rsidR="00094D9A" w:rsidRPr="001014AA">
              <w:rPr>
                <w:rStyle w:val="Hyperlink"/>
                <w:rFonts w:ascii="Times New Roman" w:hAnsi="Times New Roman" w:cs="Times New Roman"/>
                <w:sz w:val="24"/>
                <w:szCs w:val="24"/>
              </w:rPr>
              <w:t>https://doi.org/10.2991/aebmr.k.220603.133</w:t>
            </w:r>
          </w:hyperlink>
          <w:r w:rsidRPr="001014AA">
            <w:rPr>
              <w:rFonts w:ascii="Times New Roman" w:hAnsi="Times New Roman" w:cs="Times New Roman"/>
              <w:sz w:val="24"/>
              <w:szCs w:val="24"/>
            </w:rPr>
            <w:t>.</w:t>
          </w:r>
        </w:p>
        <w:p w14:paraId="7410C1E4" w14:textId="7493B99E"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Loginovskiy and Gelrud (2016). Use of an investment payback period in Order to </w:t>
          </w:r>
          <w:r w:rsidR="00094D9A">
            <w:rPr>
              <w:rFonts w:ascii="Times New Roman" w:hAnsi="Times New Roman" w:cs="Times New Roman"/>
              <w:sz w:val="24"/>
              <w:szCs w:val="24"/>
            </w:rPr>
            <w:t>analyse</w:t>
          </w:r>
          <w:r w:rsidRPr="001014AA">
            <w:rPr>
              <w:rFonts w:ascii="Times New Roman" w:hAnsi="Times New Roman" w:cs="Times New Roman"/>
              <w:sz w:val="24"/>
              <w:szCs w:val="24"/>
            </w:rPr>
            <w:t xml:space="preserve"> project effectiveness. 16(4), pp.132–135. </w:t>
          </w:r>
          <w:hyperlink r:id="rId30" w:history="1">
            <w:r w:rsidR="00094D9A" w:rsidRPr="001014AA">
              <w:rPr>
                <w:rStyle w:val="Hyperlink"/>
                <w:rFonts w:ascii="Times New Roman" w:hAnsi="Times New Roman" w:cs="Times New Roman"/>
                <w:sz w:val="24"/>
                <w:szCs w:val="24"/>
              </w:rPr>
              <w:t>https://cyberleninka.ru/article/n/use-of-an-investment-payback-period-in-order-to-analyze-project-effectiveness</w:t>
            </w:r>
          </w:hyperlink>
          <w:r w:rsidRPr="001014AA">
            <w:rPr>
              <w:rFonts w:ascii="Times New Roman" w:hAnsi="Times New Roman" w:cs="Times New Roman"/>
              <w:sz w:val="24"/>
              <w:szCs w:val="24"/>
            </w:rPr>
            <w:t>.</w:t>
          </w:r>
        </w:p>
        <w:p w14:paraId="41EB30BA" w14:textId="6E874CA1"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Magni, C.A. (2020). Valuation and Value Creation. </w:t>
          </w:r>
          <w:r w:rsidRPr="001014AA">
            <w:rPr>
              <w:rFonts w:ascii="Times New Roman" w:hAnsi="Times New Roman" w:cs="Times New Roman"/>
              <w:i/>
              <w:iCs/>
              <w:sz w:val="24"/>
              <w:szCs w:val="24"/>
            </w:rPr>
            <w:t>Springer eBooks</w:t>
          </w:r>
          <w:r w:rsidRPr="001014AA">
            <w:rPr>
              <w:rFonts w:ascii="Times New Roman" w:hAnsi="Times New Roman" w:cs="Times New Roman"/>
              <w:sz w:val="24"/>
              <w:szCs w:val="24"/>
            </w:rPr>
            <w:t>, pp.249–288. doi:</w:t>
          </w:r>
          <w:r w:rsidR="00094D9A">
            <w:rPr>
              <w:rFonts w:ascii="Times New Roman" w:hAnsi="Times New Roman" w:cs="Times New Roman"/>
              <w:sz w:val="24"/>
              <w:szCs w:val="24"/>
            </w:rPr>
            <w:t xml:space="preserve"> </w:t>
          </w:r>
          <w:hyperlink r:id="rId31" w:history="1">
            <w:r w:rsidR="00094D9A" w:rsidRPr="001014AA">
              <w:rPr>
                <w:rStyle w:val="Hyperlink"/>
                <w:rFonts w:ascii="Times New Roman" w:hAnsi="Times New Roman" w:cs="Times New Roman"/>
                <w:sz w:val="24"/>
                <w:szCs w:val="24"/>
              </w:rPr>
              <w:t>https://doi.org/10.1007/978-3-030-27662-1_5</w:t>
            </w:r>
          </w:hyperlink>
          <w:r w:rsidRPr="001014AA">
            <w:rPr>
              <w:rFonts w:ascii="Times New Roman" w:hAnsi="Times New Roman" w:cs="Times New Roman"/>
              <w:sz w:val="24"/>
              <w:szCs w:val="24"/>
            </w:rPr>
            <w:t>.</w:t>
          </w:r>
        </w:p>
        <w:p w14:paraId="76B934CC" w14:textId="2A0E778B"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MarketScreener (2025). </w:t>
          </w:r>
          <w:r w:rsidRPr="001014AA">
            <w:rPr>
              <w:rFonts w:ascii="Times New Roman" w:hAnsi="Times New Roman" w:cs="Times New Roman"/>
              <w:i/>
              <w:iCs/>
              <w:sz w:val="24"/>
              <w:szCs w:val="24"/>
            </w:rPr>
            <w:t>Unilever : Annual Report and Accounts</w:t>
          </w:r>
          <w:r w:rsidRPr="001014AA">
            <w:rPr>
              <w:rFonts w:ascii="Times New Roman" w:hAnsi="Times New Roman" w:cs="Times New Roman"/>
              <w:sz w:val="24"/>
              <w:szCs w:val="24"/>
            </w:rPr>
            <w:t xml:space="preserve">.  </w:t>
          </w:r>
          <w:hyperlink r:id="rId32" w:history="1">
            <w:r w:rsidR="00094D9A" w:rsidRPr="001014AA">
              <w:rPr>
                <w:rStyle w:val="Hyperlink"/>
                <w:rFonts w:ascii="Times New Roman" w:hAnsi="Times New Roman" w:cs="Times New Roman"/>
                <w:sz w:val="24"/>
                <w:szCs w:val="24"/>
              </w:rPr>
              <w:t>https://www.marketscreener.com/quote/stock/UNILEVER-PLC-9590186/news/Unilever-Annual-Report-and-Accounts-49328270/</w:t>
            </w:r>
          </w:hyperlink>
          <w:r w:rsidRPr="001014AA">
            <w:rPr>
              <w:rFonts w:ascii="Times New Roman" w:hAnsi="Times New Roman" w:cs="Times New Roman"/>
              <w:sz w:val="24"/>
              <w:szCs w:val="24"/>
            </w:rPr>
            <w:t>.</w:t>
          </w:r>
        </w:p>
        <w:p w14:paraId="3A2B5F29" w14:textId="4813D461"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lastRenderedPageBreak/>
            <w:t xml:space="preserve">Nagarajan, V., Mohanty, P. and Khatua, A. (2022). Financing effects of corporate diversification: A review. </w:t>
          </w:r>
          <w:r w:rsidRPr="001014AA">
            <w:rPr>
              <w:rFonts w:ascii="Times New Roman" w:hAnsi="Times New Roman" w:cs="Times New Roman"/>
              <w:i/>
              <w:iCs/>
              <w:sz w:val="24"/>
              <w:szCs w:val="24"/>
            </w:rPr>
            <w:t>Review of Managerial Science</w:t>
          </w:r>
          <w:r w:rsidRPr="001014AA">
            <w:rPr>
              <w:rFonts w:ascii="Times New Roman" w:hAnsi="Times New Roman" w:cs="Times New Roman"/>
              <w:sz w:val="24"/>
              <w:szCs w:val="24"/>
            </w:rPr>
            <w:t>. doi:</w:t>
          </w:r>
          <w:r w:rsidR="00094D9A">
            <w:rPr>
              <w:rFonts w:ascii="Times New Roman" w:hAnsi="Times New Roman" w:cs="Times New Roman"/>
              <w:sz w:val="24"/>
              <w:szCs w:val="24"/>
            </w:rPr>
            <w:t xml:space="preserve"> </w:t>
          </w:r>
          <w:hyperlink r:id="rId33" w:history="1">
            <w:r w:rsidR="00094D9A" w:rsidRPr="001014AA">
              <w:rPr>
                <w:rStyle w:val="Hyperlink"/>
                <w:rFonts w:ascii="Times New Roman" w:hAnsi="Times New Roman" w:cs="Times New Roman"/>
                <w:sz w:val="24"/>
                <w:szCs w:val="24"/>
              </w:rPr>
              <w:t>https://doi.org/10.1007/s11846-022-00604-x</w:t>
            </w:r>
          </w:hyperlink>
          <w:r w:rsidRPr="001014AA">
            <w:rPr>
              <w:rFonts w:ascii="Times New Roman" w:hAnsi="Times New Roman" w:cs="Times New Roman"/>
              <w:sz w:val="24"/>
              <w:szCs w:val="24"/>
            </w:rPr>
            <w:t>.</w:t>
          </w:r>
        </w:p>
        <w:p w14:paraId="2CEE74D9" w14:textId="33C1E989"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Nof, S.Y., Ceroni, J., Jeong, W. and Moghaddam, M. (2015). Rationalization. </w:t>
          </w:r>
          <w:r w:rsidRPr="001014AA">
            <w:rPr>
              <w:rFonts w:ascii="Times New Roman" w:hAnsi="Times New Roman" w:cs="Times New Roman"/>
              <w:i/>
              <w:iCs/>
              <w:sz w:val="24"/>
              <w:szCs w:val="24"/>
            </w:rPr>
            <w:t>Automation, collaboration, and e-services</w:t>
          </w:r>
          <w:r w:rsidRPr="001014AA">
            <w:rPr>
              <w:rFonts w:ascii="Times New Roman" w:hAnsi="Times New Roman" w:cs="Times New Roman"/>
              <w:sz w:val="24"/>
              <w:szCs w:val="24"/>
            </w:rPr>
            <w:t>, pp.77–114. doi:</w:t>
          </w:r>
          <w:r w:rsidR="00094D9A">
            <w:rPr>
              <w:rFonts w:ascii="Times New Roman" w:hAnsi="Times New Roman" w:cs="Times New Roman"/>
              <w:sz w:val="24"/>
              <w:szCs w:val="24"/>
            </w:rPr>
            <w:t xml:space="preserve"> </w:t>
          </w:r>
          <w:hyperlink r:id="rId34" w:history="1">
            <w:r w:rsidR="00094D9A" w:rsidRPr="001014AA">
              <w:rPr>
                <w:rStyle w:val="Hyperlink"/>
                <w:rFonts w:ascii="Times New Roman" w:hAnsi="Times New Roman" w:cs="Times New Roman"/>
                <w:sz w:val="24"/>
                <w:szCs w:val="24"/>
              </w:rPr>
              <w:t>https://doi.org/10.1007/978-3-662-45777-1_3</w:t>
            </w:r>
          </w:hyperlink>
          <w:r w:rsidRPr="001014AA">
            <w:rPr>
              <w:rFonts w:ascii="Times New Roman" w:hAnsi="Times New Roman" w:cs="Times New Roman"/>
              <w:sz w:val="24"/>
              <w:szCs w:val="24"/>
            </w:rPr>
            <w:t>.</w:t>
          </w:r>
        </w:p>
        <w:p w14:paraId="53057136" w14:textId="3E9B397E"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Olaoye, C.O. and Olaniyi, A. (2023). Effect of Foreign Currency Translation on Performance of Selected Manuafacturing Firms in Nigeria. </w:t>
          </w:r>
          <w:r w:rsidRPr="001014AA">
            <w:rPr>
              <w:rFonts w:ascii="Times New Roman" w:hAnsi="Times New Roman" w:cs="Times New Roman"/>
              <w:i/>
              <w:iCs/>
              <w:sz w:val="24"/>
              <w:szCs w:val="24"/>
            </w:rPr>
            <w:t>The Journal of Accounting and Management</w:t>
          </w:r>
          <w:r w:rsidRPr="001014AA">
            <w:rPr>
              <w:rFonts w:ascii="Times New Roman" w:hAnsi="Times New Roman" w:cs="Times New Roman"/>
              <w:sz w:val="24"/>
              <w:szCs w:val="24"/>
            </w:rPr>
            <w:t xml:space="preserve">, 13(2), pp.34–43. </w:t>
          </w:r>
          <w:hyperlink r:id="rId35" w:history="1">
            <w:r w:rsidR="00094D9A" w:rsidRPr="001014AA">
              <w:rPr>
                <w:rStyle w:val="Hyperlink"/>
                <w:rFonts w:ascii="Times New Roman" w:hAnsi="Times New Roman" w:cs="Times New Roman"/>
                <w:sz w:val="24"/>
                <w:szCs w:val="24"/>
              </w:rPr>
              <w:t>https://www.dj.univ-danubius.ro/index.php/JAM/article/view/2388</w:t>
            </w:r>
          </w:hyperlink>
          <w:r w:rsidRPr="001014AA">
            <w:rPr>
              <w:rFonts w:ascii="Times New Roman" w:hAnsi="Times New Roman" w:cs="Times New Roman"/>
              <w:sz w:val="24"/>
              <w:szCs w:val="24"/>
            </w:rPr>
            <w:t>.</w:t>
          </w:r>
        </w:p>
        <w:p w14:paraId="12D5104B" w14:textId="4F15F898"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Patrick, M. and French, N. (2016). The Internal Rate of Return (IRR): Projections, Benchmarks and Pitfalls. </w:t>
          </w:r>
          <w:r w:rsidRPr="001014AA">
            <w:rPr>
              <w:rFonts w:ascii="Times New Roman" w:hAnsi="Times New Roman" w:cs="Times New Roman"/>
              <w:i/>
              <w:iCs/>
              <w:sz w:val="24"/>
              <w:szCs w:val="24"/>
            </w:rPr>
            <w:t>Journal of Property Investment &amp; Finance</w:t>
          </w:r>
          <w:r w:rsidRPr="001014AA">
            <w:rPr>
              <w:rFonts w:ascii="Times New Roman" w:hAnsi="Times New Roman" w:cs="Times New Roman"/>
              <w:sz w:val="24"/>
              <w:szCs w:val="24"/>
            </w:rPr>
            <w:t>, 34(6), pp.664–669. doi:</w:t>
          </w:r>
          <w:r w:rsidR="00094D9A">
            <w:rPr>
              <w:rFonts w:ascii="Times New Roman" w:hAnsi="Times New Roman" w:cs="Times New Roman"/>
              <w:sz w:val="24"/>
              <w:szCs w:val="24"/>
            </w:rPr>
            <w:t xml:space="preserve"> </w:t>
          </w:r>
          <w:hyperlink r:id="rId36" w:history="1">
            <w:r w:rsidR="00094D9A" w:rsidRPr="001014AA">
              <w:rPr>
                <w:rStyle w:val="Hyperlink"/>
                <w:rFonts w:ascii="Times New Roman" w:hAnsi="Times New Roman" w:cs="Times New Roman"/>
                <w:sz w:val="24"/>
                <w:szCs w:val="24"/>
              </w:rPr>
              <w:t>https://doi.org/10.1108/jpif-07-2016-0059</w:t>
            </w:r>
          </w:hyperlink>
          <w:r w:rsidRPr="001014AA">
            <w:rPr>
              <w:rFonts w:ascii="Times New Roman" w:hAnsi="Times New Roman" w:cs="Times New Roman"/>
              <w:sz w:val="24"/>
              <w:szCs w:val="24"/>
            </w:rPr>
            <w:t>.</w:t>
          </w:r>
        </w:p>
        <w:p w14:paraId="12DEC166" w14:textId="23D5E55A"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Penman (2013). </w:t>
          </w:r>
          <w:r w:rsidRPr="001014AA">
            <w:rPr>
              <w:rFonts w:ascii="Times New Roman" w:hAnsi="Times New Roman" w:cs="Times New Roman"/>
              <w:i/>
              <w:iCs/>
              <w:sz w:val="24"/>
              <w:szCs w:val="24"/>
            </w:rPr>
            <w:t>Financial Statement Analysis and Security Valuation</w:t>
          </w:r>
          <w:r w:rsidRPr="001014AA">
            <w:rPr>
              <w:rFonts w:ascii="Times New Roman" w:hAnsi="Times New Roman" w:cs="Times New Roman"/>
              <w:sz w:val="24"/>
              <w:szCs w:val="24"/>
            </w:rPr>
            <w:t xml:space="preserve">. </w:t>
          </w:r>
          <w:hyperlink r:id="rId37" w:history="1">
            <w:r w:rsidR="00094D9A" w:rsidRPr="001014AA">
              <w:rPr>
                <w:rStyle w:val="Hyperlink"/>
                <w:rFonts w:ascii="Times New Roman" w:hAnsi="Times New Roman" w:cs="Times New Roman"/>
                <w:sz w:val="24"/>
                <w:szCs w:val="24"/>
              </w:rPr>
              <w:t>https://www.scribd.com/doc/315570974/Penman-Financial-Statement-Analysis-and-Secur</w:t>
            </w:r>
          </w:hyperlink>
          <w:r w:rsidRPr="001014AA">
            <w:rPr>
              <w:rFonts w:ascii="Times New Roman" w:hAnsi="Times New Roman" w:cs="Times New Roman"/>
              <w:sz w:val="24"/>
              <w:szCs w:val="24"/>
            </w:rPr>
            <w:t>.</w:t>
          </w:r>
        </w:p>
        <w:p w14:paraId="06AE29B8" w14:textId="09455BF8"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Perna, A. (2024). </w:t>
          </w:r>
          <w:r w:rsidR="00094D9A">
            <w:rPr>
              <w:rFonts w:ascii="Times New Roman" w:hAnsi="Times New Roman" w:cs="Times New Roman"/>
              <w:sz w:val="24"/>
              <w:szCs w:val="24"/>
            </w:rPr>
            <w:t>Optimisation</w:t>
          </w:r>
          <w:r w:rsidRPr="001014AA">
            <w:rPr>
              <w:rFonts w:ascii="Times New Roman" w:hAnsi="Times New Roman" w:cs="Times New Roman"/>
              <w:sz w:val="24"/>
              <w:szCs w:val="24"/>
            </w:rPr>
            <w:t xml:space="preserve"> of Internal Rate of Return and Net Present Value for investments - doi:</w:t>
          </w:r>
          <w:r w:rsidR="00094D9A">
            <w:rPr>
              <w:rFonts w:ascii="Times New Roman" w:hAnsi="Times New Roman" w:cs="Times New Roman"/>
              <w:sz w:val="24"/>
              <w:szCs w:val="24"/>
            </w:rPr>
            <w:t xml:space="preserve"> </w:t>
          </w:r>
          <w:hyperlink r:id="rId38" w:history="1">
            <w:r w:rsidR="00094D9A" w:rsidRPr="001014AA">
              <w:rPr>
                <w:rStyle w:val="Hyperlink"/>
                <w:rFonts w:ascii="Times New Roman" w:hAnsi="Times New Roman" w:cs="Times New Roman"/>
                <w:sz w:val="24"/>
                <w:szCs w:val="24"/>
              </w:rPr>
              <w:t>https://webthesis.biblio.polito.it/secure/32044/1/tesi.pdf</w:t>
            </w:r>
          </w:hyperlink>
          <w:r w:rsidRPr="001014AA">
            <w:rPr>
              <w:rFonts w:ascii="Times New Roman" w:hAnsi="Times New Roman" w:cs="Times New Roman"/>
              <w:sz w:val="24"/>
              <w:szCs w:val="24"/>
            </w:rPr>
            <w:t>.</w:t>
          </w:r>
        </w:p>
        <w:p w14:paraId="62832C24" w14:textId="77777777" w:rsidR="001014AA" w:rsidRP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Pike, R., Neale, B. and Linsley, P. (2011). </w:t>
          </w:r>
          <w:r w:rsidRPr="001014AA">
            <w:rPr>
              <w:rFonts w:ascii="Times New Roman" w:hAnsi="Times New Roman" w:cs="Times New Roman"/>
              <w:i/>
              <w:iCs/>
              <w:sz w:val="24"/>
              <w:szCs w:val="24"/>
            </w:rPr>
            <w:t>Corporate finance and investment with MyFinanceLab access card</w:t>
          </w:r>
          <w:r w:rsidRPr="001014AA">
            <w:rPr>
              <w:rFonts w:ascii="Times New Roman" w:hAnsi="Times New Roman" w:cs="Times New Roman"/>
              <w:sz w:val="24"/>
              <w:szCs w:val="24"/>
            </w:rPr>
            <w:t>. Harlow: Financial Times Prentice Hall.</w:t>
          </w:r>
        </w:p>
        <w:p w14:paraId="5D415909" w14:textId="22C6A09C"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Potharla, S. (2025). Share Buybacks as a Financial Strategy: Global Perspectives, Indian Insights, and Regulatory Landscape. doi:</w:t>
          </w:r>
          <w:r w:rsidR="00094D9A">
            <w:rPr>
              <w:rFonts w:ascii="Times New Roman" w:hAnsi="Times New Roman" w:cs="Times New Roman"/>
              <w:sz w:val="24"/>
              <w:szCs w:val="24"/>
            </w:rPr>
            <w:t xml:space="preserve"> </w:t>
          </w:r>
          <w:hyperlink r:id="rId39" w:history="1">
            <w:r w:rsidR="00094D9A" w:rsidRPr="001014AA">
              <w:rPr>
                <w:rStyle w:val="Hyperlink"/>
                <w:rFonts w:ascii="Times New Roman" w:hAnsi="Times New Roman" w:cs="Times New Roman"/>
                <w:sz w:val="24"/>
                <w:szCs w:val="24"/>
              </w:rPr>
              <w:t>https://doi.org/10.2139/ssrn.5386366</w:t>
            </w:r>
          </w:hyperlink>
          <w:r w:rsidRPr="001014AA">
            <w:rPr>
              <w:rFonts w:ascii="Times New Roman" w:hAnsi="Times New Roman" w:cs="Times New Roman"/>
              <w:sz w:val="24"/>
              <w:szCs w:val="24"/>
            </w:rPr>
            <w:t>.</w:t>
          </w:r>
        </w:p>
        <w:p w14:paraId="2F01A70E" w14:textId="6EAC6001"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PricewaterhouseCoopers LLP (2024). </w:t>
          </w:r>
          <w:r w:rsidRPr="001014AA">
            <w:rPr>
              <w:rFonts w:ascii="Times New Roman" w:hAnsi="Times New Roman" w:cs="Times New Roman"/>
              <w:i/>
              <w:iCs/>
              <w:sz w:val="24"/>
              <w:szCs w:val="24"/>
            </w:rPr>
            <w:t>Member’s Reports and Financial Statements for the Financial Year Ended 30th June 2024</w:t>
          </w:r>
          <w:r w:rsidRPr="001014AA">
            <w:rPr>
              <w:rFonts w:ascii="Times New Roman" w:hAnsi="Times New Roman" w:cs="Times New Roman"/>
              <w:sz w:val="24"/>
              <w:szCs w:val="24"/>
            </w:rPr>
            <w:t xml:space="preserve">. </w:t>
          </w:r>
          <w:hyperlink r:id="rId40" w:history="1">
            <w:r w:rsidR="00094D9A" w:rsidRPr="001014AA">
              <w:rPr>
                <w:rStyle w:val="Hyperlink"/>
                <w:rFonts w:ascii="Times New Roman" w:hAnsi="Times New Roman" w:cs="Times New Roman"/>
                <w:sz w:val="24"/>
                <w:szCs w:val="24"/>
              </w:rPr>
              <w:t>https://www.pwc.co.uk/annualreport/assets/2024/pwc-uk-financial-statements-2024.pdf</w:t>
            </w:r>
          </w:hyperlink>
          <w:r w:rsidRPr="001014AA">
            <w:rPr>
              <w:rFonts w:ascii="Times New Roman" w:hAnsi="Times New Roman" w:cs="Times New Roman"/>
              <w:sz w:val="24"/>
              <w:szCs w:val="24"/>
            </w:rPr>
            <w:t>.</w:t>
          </w:r>
        </w:p>
        <w:p w14:paraId="6D72966E" w14:textId="0EFF96AE"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Procter and Gamble (2024). </w:t>
          </w:r>
          <w:r w:rsidRPr="001014AA">
            <w:rPr>
              <w:rFonts w:ascii="Times New Roman" w:hAnsi="Times New Roman" w:cs="Times New Roman"/>
              <w:i/>
              <w:iCs/>
              <w:sz w:val="24"/>
              <w:szCs w:val="24"/>
            </w:rPr>
            <w:t>Financial Highlights</w:t>
          </w:r>
          <w:r w:rsidRPr="001014AA">
            <w:rPr>
              <w:rFonts w:ascii="Times New Roman" w:hAnsi="Times New Roman" w:cs="Times New Roman"/>
              <w:sz w:val="24"/>
              <w:szCs w:val="24"/>
            </w:rPr>
            <w:t xml:space="preserve">. </w:t>
          </w:r>
          <w:hyperlink r:id="rId41" w:history="1">
            <w:r w:rsidR="00094D9A" w:rsidRPr="001014AA">
              <w:rPr>
                <w:rStyle w:val="Hyperlink"/>
                <w:rFonts w:ascii="Times New Roman" w:hAnsi="Times New Roman" w:cs="Times New Roman"/>
                <w:sz w:val="24"/>
                <w:szCs w:val="24"/>
              </w:rPr>
              <w:t>https://us.pg.com/annualreport2024/financial-highlights/</w:t>
            </w:r>
          </w:hyperlink>
          <w:r w:rsidRPr="001014AA">
            <w:rPr>
              <w:rFonts w:ascii="Times New Roman" w:hAnsi="Times New Roman" w:cs="Times New Roman"/>
              <w:sz w:val="24"/>
              <w:szCs w:val="24"/>
            </w:rPr>
            <w:t>.</w:t>
          </w:r>
        </w:p>
        <w:p w14:paraId="6001EBB3" w14:textId="1A1C06D5"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Rahman, Md.H. and Rahman, A. (2020). Strategic fit strategy formulation: keys to enhancing competitiveness and improving capabilities of a manufacturing unit. </w:t>
          </w:r>
          <w:r w:rsidRPr="001014AA">
            <w:rPr>
              <w:rFonts w:ascii="Times New Roman" w:hAnsi="Times New Roman" w:cs="Times New Roman"/>
              <w:i/>
              <w:iCs/>
              <w:sz w:val="24"/>
              <w:szCs w:val="24"/>
            </w:rPr>
            <w:t>Production &amp; Manufacturing Research</w:t>
          </w:r>
          <w:r w:rsidRPr="001014AA">
            <w:rPr>
              <w:rFonts w:ascii="Times New Roman" w:hAnsi="Times New Roman" w:cs="Times New Roman"/>
              <w:sz w:val="24"/>
              <w:szCs w:val="24"/>
            </w:rPr>
            <w:t>, 8(1), pp.59–79. doi:</w:t>
          </w:r>
          <w:r w:rsidR="00094D9A">
            <w:rPr>
              <w:rFonts w:ascii="Times New Roman" w:hAnsi="Times New Roman" w:cs="Times New Roman"/>
              <w:sz w:val="24"/>
              <w:szCs w:val="24"/>
            </w:rPr>
            <w:t xml:space="preserve"> </w:t>
          </w:r>
          <w:hyperlink r:id="rId42" w:history="1">
            <w:r w:rsidR="00094D9A" w:rsidRPr="001014AA">
              <w:rPr>
                <w:rStyle w:val="Hyperlink"/>
                <w:rFonts w:ascii="Times New Roman" w:hAnsi="Times New Roman" w:cs="Times New Roman"/>
                <w:sz w:val="24"/>
                <w:szCs w:val="24"/>
              </w:rPr>
              <w:t>https://doi.org/10.1080/21693277.2020.1742234</w:t>
            </w:r>
          </w:hyperlink>
          <w:r w:rsidRPr="001014AA">
            <w:rPr>
              <w:rFonts w:ascii="Times New Roman" w:hAnsi="Times New Roman" w:cs="Times New Roman"/>
              <w:sz w:val="24"/>
              <w:szCs w:val="24"/>
            </w:rPr>
            <w:t>.</w:t>
          </w:r>
        </w:p>
        <w:p w14:paraId="44BC280A" w14:textId="50ED5BF3"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Sardar, J. and Singh (2020). </w:t>
          </w:r>
          <w:r w:rsidRPr="001014AA">
            <w:rPr>
              <w:rFonts w:ascii="Times New Roman" w:hAnsi="Times New Roman" w:cs="Times New Roman"/>
              <w:i/>
              <w:iCs/>
              <w:sz w:val="24"/>
              <w:szCs w:val="24"/>
            </w:rPr>
            <w:t>Ratio analysis in financial performance of a company: A review</w:t>
          </w:r>
          <w:r w:rsidRPr="001014AA">
            <w:rPr>
              <w:rFonts w:ascii="Times New Roman" w:hAnsi="Times New Roman" w:cs="Times New Roman"/>
              <w:sz w:val="24"/>
              <w:szCs w:val="24"/>
            </w:rPr>
            <w:t xml:space="preserve">. </w:t>
          </w:r>
          <w:r w:rsidRPr="001014AA">
            <w:rPr>
              <w:rFonts w:ascii="Times New Roman" w:hAnsi="Times New Roman" w:cs="Times New Roman"/>
              <w:i/>
              <w:iCs/>
              <w:sz w:val="24"/>
              <w:szCs w:val="24"/>
            </w:rPr>
            <w:t>International Journal of Commerce and Management Research International Journal of Commerce and Management Research</w:t>
          </w:r>
          <w:r w:rsidRPr="001014AA">
            <w:rPr>
              <w:rFonts w:ascii="Times New Roman" w:hAnsi="Times New Roman" w:cs="Times New Roman"/>
              <w:sz w:val="24"/>
              <w:szCs w:val="24"/>
            </w:rPr>
            <w:t xml:space="preserve">, pp.2455–1627. </w:t>
          </w:r>
          <w:hyperlink r:id="rId43" w:history="1">
            <w:r w:rsidR="00094D9A" w:rsidRPr="001014AA">
              <w:rPr>
                <w:rStyle w:val="Hyperlink"/>
                <w:rFonts w:ascii="Times New Roman" w:hAnsi="Times New Roman" w:cs="Times New Roman"/>
                <w:sz w:val="24"/>
                <w:szCs w:val="24"/>
              </w:rPr>
              <w:t>https://www.managejournal.com/assets/archives/2020/vol6issue2/6-1-39-950.pdf</w:t>
            </w:r>
          </w:hyperlink>
          <w:r w:rsidRPr="001014AA">
            <w:rPr>
              <w:rFonts w:ascii="Times New Roman" w:hAnsi="Times New Roman" w:cs="Times New Roman"/>
              <w:sz w:val="24"/>
              <w:szCs w:val="24"/>
            </w:rPr>
            <w:t>.</w:t>
          </w:r>
        </w:p>
        <w:p w14:paraId="0158E4B3" w14:textId="2A47C048"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Sheehan, E. (2024). </w:t>
          </w:r>
          <w:r w:rsidRPr="001014AA">
            <w:rPr>
              <w:rFonts w:ascii="Times New Roman" w:hAnsi="Times New Roman" w:cs="Times New Roman"/>
              <w:i/>
              <w:iCs/>
              <w:sz w:val="24"/>
              <w:szCs w:val="24"/>
            </w:rPr>
            <w:t>Global Retail Outlook 2024</w:t>
          </w:r>
          <w:r w:rsidRPr="001014AA">
            <w:rPr>
              <w:rFonts w:ascii="Times New Roman" w:hAnsi="Times New Roman" w:cs="Times New Roman"/>
              <w:sz w:val="24"/>
              <w:szCs w:val="24"/>
            </w:rPr>
            <w:t xml:space="preserve">. </w:t>
          </w:r>
          <w:hyperlink r:id="rId44" w:history="1">
            <w:r w:rsidR="006B7654" w:rsidRPr="00C4050B">
              <w:rPr>
                <w:rStyle w:val="Hyperlink"/>
                <w:rFonts w:ascii="Times New Roman" w:hAnsi="Times New Roman" w:cs="Times New Roman"/>
                <w:sz w:val="24"/>
                <w:szCs w:val="24"/>
              </w:rPr>
              <w:t>https://www.deloitte.com/global/en/Industries/consumer/analysis/global-retail-outlook.html</w:t>
            </w:r>
          </w:hyperlink>
        </w:p>
        <w:p w14:paraId="4ECC04FC" w14:textId="1369DE9C" w:rsidR="006B7654"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Sutton (2025). </w:t>
          </w:r>
          <w:r w:rsidRPr="001014AA">
            <w:rPr>
              <w:rFonts w:ascii="Times New Roman" w:hAnsi="Times New Roman" w:cs="Times New Roman"/>
              <w:i/>
              <w:iCs/>
              <w:sz w:val="24"/>
              <w:szCs w:val="24"/>
            </w:rPr>
            <w:t>Navigating financial turbulence with confidence: preparing for future market challenges, crashes &amp; crises</w:t>
          </w:r>
          <w:r w:rsidRPr="001014AA">
            <w:rPr>
              <w:rFonts w:ascii="Times New Roman" w:hAnsi="Times New Roman" w:cs="Times New Roman"/>
              <w:sz w:val="24"/>
              <w:szCs w:val="24"/>
            </w:rPr>
            <w:t xml:space="preserve">. </w:t>
          </w:r>
          <w:hyperlink r:id="rId45" w:history="1">
            <w:r w:rsidR="006B7654" w:rsidRPr="001014AA">
              <w:rPr>
                <w:rStyle w:val="Hyperlink"/>
                <w:rFonts w:ascii="Times New Roman" w:hAnsi="Times New Roman" w:cs="Times New Roman"/>
                <w:sz w:val="24"/>
                <w:szCs w:val="24"/>
              </w:rPr>
              <w:t>https://books.google.com/books?hl=en&amp;lr=&amp;id=RyibEQAAQBAJ&amp;oi=fnd&amp;pg=PT8&amp;dq=Enhance+Investor+Communication+to+Build+Confidence+in+the+Growth+Trajectory&amp;ots=PHII3-iNY7&amp;sig=oEEXHwRo56nC6cTWPkjIEzRKN90</w:t>
            </w:r>
          </w:hyperlink>
        </w:p>
        <w:p w14:paraId="603EE2D6" w14:textId="30BA23E1" w:rsidR="006B7654"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Szwarcfiter, C. and Herer, Y.T. (2023). </w:t>
          </w:r>
        </w:p>
        <w:p w14:paraId="1F2EB32E" w14:textId="5A74EB11"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 and solving the tradeoff between project value and net present value. </w:t>
          </w:r>
          <w:r w:rsidRPr="001014AA">
            <w:rPr>
              <w:rFonts w:ascii="Times New Roman" w:hAnsi="Times New Roman" w:cs="Times New Roman"/>
              <w:i/>
              <w:iCs/>
              <w:sz w:val="24"/>
              <w:szCs w:val="24"/>
            </w:rPr>
            <w:t>IEEE Access</w:t>
          </w:r>
          <w:r w:rsidRPr="001014AA">
            <w:rPr>
              <w:rFonts w:ascii="Times New Roman" w:hAnsi="Times New Roman" w:cs="Times New Roman"/>
              <w:sz w:val="24"/>
              <w:szCs w:val="24"/>
            </w:rPr>
            <w:t>, pp.1–1. doi:</w:t>
          </w:r>
          <w:r w:rsidR="006B7654">
            <w:rPr>
              <w:rFonts w:ascii="Times New Roman" w:hAnsi="Times New Roman" w:cs="Times New Roman"/>
              <w:sz w:val="24"/>
              <w:szCs w:val="24"/>
            </w:rPr>
            <w:t xml:space="preserve"> </w:t>
          </w:r>
          <w:hyperlink r:id="rId46" w:history="1">
            <w:r w:rsidR="006B7654" w:rsidRPr="001014AA">
              <w:rPr>
                <w:rStyle w:val="Hyperlink"/>
                <w:rFonts w:ascii="Times New Roman" w:hAnsi="Times New Roman" w:cs="Times New Roman"/>
                <w:sz w:val="24"/>
                <w:szCs w:val="24"/>
              </w:rPr>
              <w:t>https://doi.org/10.1109/access.2023.3346789</w:t>
            </w:r>
          </w:hyperlink>
          <w:r w:rsidRPr="001014AA">
            <w:rPr>
              <w:rFonts w:ascii="Times New Roman" w:hAnsi="Times New Roman" w:cs="Times New Roman"/>
              <w:sz w:val="24"/>
              <w:szCs w:val="24"/>
            </w:rPr>
            <w:t>.</w:t>
          </w:r>
        </w:p>
        <w:p w14:paraId="5D9CAF25" w14:textId="089F33C1"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Tibokbe, V.P. and Shankar, S.I. (2025). The Usefulness of Emerging Technologies in the FMCG Industry (Underdeveloped Markets). </w:t>
          </w:r>
          <w:r w:rsidRPr="001014AA">
            <w:rPr>
              <w:rFonts w:ascii="Times New Roman" w:hAnsi="Times New Roman" w:cs="Times New Roman"/>
              <w:i/>
              <w:iCs/>
              <w:sz w:val="24"/>
              <w:szCs w:val="24"/>
            </w:rPr>
            <w:t xml:space="preserve">American Journal of Industrial and </w:t>
          </w:r>
          <w:r w:rsidRPr="001014AA">
            <w:rPr>
              <w:rFonts w:ascii="Times New Roman" w:hAnsi="Times New Roman" w:cs="Times New Roman"/>
              <w:i/>
              <w:iCs/>
              <w:sz w:val="24"/>
              <w:szCs w:val="24"/>
            </w:rPr>
            <w:lastRenderedPageBreak/>
            <w:t>Business Management</w:t>
          </w:r>
          <w:r w:rsidRPr="001014AA">
            <w:rPr>
              <w:rFonts w:ascii="Times New Roman" w:hAnsi="Times New Roman" w:cs="Times New Roman"/>
              <w:sz w:val="24"/>
              <w:szCs w:val="24"/>
            </w:rPr>
            <w:t>, 15(02), pp.292–314. doi:</w:t>
          </w:r>
          <w:r w:rsidR="006B7654">
            <w:rPr>
              <w:rFonts w:ascii="Times New Roman" w:hAnsi="Times New Roman" w:cs="Times New Roman"/>
              <w:sz w:val="24"/>
              <w:szCs w:val="24"/>
            </w:rPr>
            <w:t xml:space="preserve"> </w:t>
          </w:r>
          <w:hyperlink r:id="rId47" w:history="1">
            <w:r w:rsidR="006B7654" w:rsidRPr="001014AA">
              <w:rPr>
                <w:rStyle w:val="Hyperlink"/>
                <w:rFonts w:ascii="Times New Roman" w:hAnsi="Times New Roman" w:cs="Times New Roman"/>
                <w:sz w:val="24"/>
                <w:szCs w:val="24"/>
              </w:rPr>
              <w:t>https://doi.org/10.4236/ajibm.2025.152015</w:t>
            </w:r>
          </w:hyperlink>
          <w:r w:rsidRPr="001014AA">
            <w:rPr>
              <w:rFonts w:ascii="Times New Roman" w:hAnsi="Times New Roman" w:cs="Times New Roman"/>
              <w:sz w:val="24"/>
              <w:szCs w:val="24"/>
            </w:rPr>
            <w:t>.</w:t>
          </w:r>
        </w:p>
        <w:p w14:paraId="5EF80A90" w14:textId="2434F3B1"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Unilever (2024). </w:t>
          </w:r>
          <w:r w:rsidRPr="001014AA">
            <w:rPr>
              <w:rFonts w:ascii="Times New Roman" w:hAnsi="Times New Roman" w:cs="Times New Roman"/>
              <w:i/>
              <w:iCs/>
              <w:sz w:val="24"/>
              <w:szCs w:val="24"/>
            </w:rPr>
            <w:t>Annual Report and Accounts 2024</w:t>
          </w:r>
          <w:r w:rsidRPr="001014AA">
            <w:rPr>
              <w:rFonts w:ascii="Times New Roman" w:hAnsi="Times New Roman" w:cs="Times New Roman"/>
              <w:sz w:val="24"/>
              <w:szCs w:val="24"/>
            </w:rPr>
            <w:t xml:space="preserve">. </w:t>
          </w:r>
          <w:hyperlink r:id="rId48" w:history="1">
            <w:r w:rsidR="006B7654" w:rsidRPr="001014AA">
              <w:rPr>
                <w:rStyle w:val="Hyperlink"/>
                <w:rFonts w:ascii="Times New Roman" w:hAnsi="Times New Roman" w:cs="Times New Roman"/>
                <w:sz w:val="24"/>
                <w:szCs w:val="24"/>
              </w:rPr>
              <w:t>https://www.unilever.com/investors/annual-report-and-accounts/</w:t>
            </w:r>
          </w:hyperlink>
          <w:r w:rsidRPr="001014AA">
            <w:rPr>
              <w:rFonts w:ascii="Times New Roman" w:hAnsi="Times New Roman" w:cs="Times New Roman"/>
              <w:sz w:val="24"/>
              <w:szCs w:val="24"/>
            </w:rPr>
            <w:t>.</w:t>
          </w:r>
        </w:p>
        <w:p w14:paraId="6CBA1445" w14:textId="716B1CF8"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Unilever Plc (2024). </w:t>
          </w:r>
          <w:r w:rsidRPr="001014AA">
            <w:rPr>
              <w:rFonts w:ascii="Times New Roman" w:hAnsi="Times New Roman" w:cs="Times New Roman"/>
              <w:i/>
              <w:iCs/>
              <w:sz w:val="24"/>
              <w:szCs w:val="24"/>
            </w:rPr>
            <w:t xml:space="preserve">Implementing </w:t>
          </w:r>
          <w:r w:rsidR="006B7654">
            <w:rPr>
              <w:rFonts w:ascii="Times New Roman" w:hAnsi="Times New Roman" w:cs="Times New Roman"/>
              <w:i/>
              <w:iCs/>
              <w:sz w:val="24"/>
              <w:szCs w:val="24"/>
            </w:rPr>
            <w:t xml:space="preserve">the </w:t>
          </w:r>
          <w:r w:rsidRPr="001014AA">
            <w:rPr>
              <w:rFonts w:ascii="Times New Roman" w:hAnsi="Times New Roman" w:cs="Times New Roman"/>
              <w:i/>
              <w:iCs/>
              <w:sz w:val="24"/>
              <w:szCs w:val="24"/>
            </w:rPr>
            <w:t xml:space="preserve">Growth Action Plan at </w:t>
          </w:r>
          <w:r w:rsidR="006B7654">
            <w:rPr>
              <w:rFonts w:ascii="Times New Roman" w:hAnsi="Times New Roman" w:cs="Times New Roman"/>
              <w:i/>
              <w:iCs/>
              <w:sz w:val="24"/>
              <w:szCs w:val="24"/>
            </w:rPr>
            <w:t xml:space="preserve">the </w:t>
          </w:r>
          <w:r w:rsidRPr="001014AA">
            <w:rPr>
              <w:rFonts w:ascii="Times New Roman" w:hAnsi="Times New Roman" w:cs="Times New Roman"/>
              <w:i/>
              <w:iCs/>
              <w:sz w:val="24"/>
              <w:szCs w:val="24"/>
            </w:rPr>
            <w:t>pace</w:t>
          </w:r>
          <w:r w:rsidRPr="001014AA">
            <w:rPr>
              <w:rFonts w:ascii="Times New Roman" w:hAnsi="Times New Roman" w:cs="Times New Roman"/>
              <w:sz w:val="24"/>
              <w:szCs w:val="24"/>
            </w:rPr>
            <w:t xml:space="preserve">.  </w:t>
          </w:r>
          <w:hyperlink r:id="rId49" w:history="1">
            <w:r w:rsidR="006B7654" w:rsidRPr="001014AA">
              <w:rPr>
                <w:rStyle w:val="Hyperlink"/>
                <w:rFonts w:ascii="Times New Roman" w:hAnsi="Times New Roman" w:cs="Times New Roman"/>
                <w:sz w:val="24"/>
                <w:szCs w:val="24"/>
              </w:rPr>
              <w:t>https://www.unilever.com/news/press-and-media/press-releases/2024/implementing-growth-action-plan-at-pace/</w:t>
            </w:r>
          </w:hyperlink>
          <w:r w:rsidRPr="001014AA">
            <w:rPr>
              <w:rFonts w:ascii="Times New Roman" w:hAnsi="Times New Roman" w:cs="Times New Roman"/>
              <w:sz w:val="24"/>
              <w:szCs w:val="24"/>
            </w:rPr>
            <w:t>.</w:t>
          </w:r>
        </w:p>
        <w:p w14:paraId="39A892BA" w14:textId="5C950586"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Wahid, R.R. (2022). </w:t>
          </w:r>
          <w:r w:rsidR="006B7654" w:rsidRPr="001014AA">
            <w:rPr>
              <w:rFonts w:ascii="Times New Roman" w:hAnsi="Times New Roman" w:cs="Times New Roman"/>
              <w:sz w:val="24"/>
              <w:szCs w:val="24"/>
            </w:rPr>
            <w:t xml:space="preserve">The Effect </w:t>
          </w:r>
          <w:r w:rsidR="006B7654">
            <w:rPr>
              <w:rFonts w:ascii="Times New Roman" w:hAnsi="Times New Roman" w:cs="Times New Roman"/>
              <w:sz w:val="24"/>
              <w:szCs w:val="24"/>
            </w:rPr>
            <w:t>o</w:t>
          </w:r>
          <w:r w:rsidR="006B7654" w:rsidRPr="001014AA">
            <w:rPr>
              <w:rFonts w:ascii="Times New Roman" w:hAnsi="Times New Roman" w:cs="Times New Roman"/>
              <w:sz w:val="24"/>
              <w:szCs w:val="24"/>
            </w:rPr>
            <w:t xml:space="preserve">f Current Ratio, Debt </w:t>
          </w:r>
          <w:r w:rsidR="006B7654">
            <w:rPr>
              <w:rFonts w:ascii="Times New Roman" w:hAnsi="Times New Roman" w:cs="Times New Roman"/>
              <w:sz w:val="24"/>
              <w:szCs w:val="24"/>
            </w:rPr>
            <w:t>t</w:t>
          </w:r>
          <w:r w:rsidR="006B7654" w:rsidRPr="001014AA">
            <w:rPr>
              <w:rFonts w:ascii="Times New Roman" w:hAnsi="Times New Roman" w:cs="Times New Roman"/>
              <w:sz w:val="24"/>
              <w:szCs w:val="24"/>
            </w:rPr>
            <w:t xml:space="preserve">o Equity Ratio, Firm Size, </w:t>
          </w:r>
          <w:r w:rsidR="006B7654">
            <w:rPr>
              <w:rFonts w:ascii="Times New Roman" w:hAnsi="Times New Roman" w:cs="Times New Roman"/>
              <w:sz w:val="24"/>
              <w:szCs w:val="24"/>
            </w:rPr>
            <w:t>a</w:t>
          </w:r>
          <w:r w:rsidR="006B7654" w:rsidRPr="001014AA">
            <w:rPr>
              <w:rFonts w:ascii="Times New Roman" w:hAnsi="Times New Roman" w:cs="Times New Roman"/>
              <w:sz w:val="24"/>
              <w:szCs w:val="24"/>
            </w:rPr>
            <w:t xml:space="preserve">nd Net Profit Margin </w:t>
          </w:r>
          <w:r w:rsidR="006B7654">
            <w:rPr>
              <w:rFonts w:ascii="Times New Roman" w:hAnsi="Times New Roman" w:cs="Times New Roman"/>
              <w:sz w:val="24"/>
              <w:szCs w:val="24"/>
            </w:rPr>
            <w:t>o</w:t>
          </w:r>
          <w:r w:rsidR="006B7654" w:rsidRPr="001014AA">
            <w:rPr>
              <w:rFonts w:ascii="Times New Roman" w:hAnsi="Times New Roman" w:cs="Times New Roman"/>
              <w:sz w:val="24"/>
              <w:szCs w:val="24"/>
            </w:rPr>
            <w:t xml:space="preserve">n Company Value </w:t>
          </w:r>
          <w:r w:rsidRPr="001014AA">
            <w:rPr>
              <w:rFonts w:ascii="Times New Roman" w:hAnsi="Times New Roman" w:cs="Times New Roman"/>
              <w:sz w:val="24"/>
              <w:szCs w:val="24"/>
            </w:rPr>
            <w:t xml:space="preserve">(Study on Fast Moving Consumer Goods Company (FMCG) In 2016-2020). </w:t>
          </w:r>
          <w:r w:rsidRPr="001014AA">
            <w:rPr>
              <w:rFonts w:ascii="Times New Roman" w:hAnsi="Times New Roman" w:cs="Times New Roman"/>
              <w:i/>
              <w:iCs/>
              <w:sz w:val="24"/>
              <w:szCs w:val="24"/>
            </w:rPr>
            <w:t>International Journal of Economics, Business and Accounting Research (IJEBAR)</w:t>
          </w:r>
          <w:r w:rsidRPr="001014AA">
            <w:rPr>
              <w:rFonts w:ascii="Times New Roman" w:hAnsi="Times New Roman" w:cs="Times New Roman"/>
              <w:sz w:val="24"/>
              <w:szCs w:val="24"/>
            </w:rPr>
            <w:t>, 6(3), pp.2634–2640. doi:</w:t>
          </w:r>
          <w:r w:rsidR="006B7654">
            <w:rPr>
              <w:rFonts w:ascii="Times New Roman" w:hAnsi="Times New Roman" w:cs="Times New Roman"/>
              <w:sz w:val="24"/>
              <w:szCs w:val="24"/>
            </w:rPr>
            <w:t xml:space="preserve"> </w:t>
          </w:r>
          <w:hyperlink r:id="rId50" w:history="1">
            <w:r w:rsidR="006B7654" w:rsidRPr="001014AA">
              <w:rPr>
                <w:rStyle w:val="Hyperlink"/>
                <w:rFonts w:ascii="Times New Roman" w:hAnsi="Times New Roman" w:cs="Times New Roman"/>
                <w:sz w:val="24"/>
                <w:szCs w:val="24"/>
              </w:rPr>
              <w:t>https://doi.org/10.29040/ijebar.v6i3.6584</w:t>
            </w:r>
          </w:hyperlink>
          <w:r w:rsidRPr="001014AA">
            <w:rPr>
              <w:rFonts w:ascii="Times New Roman" w:hAnsi="Times New Roman" w:cs="Times New Roman"/>
              <w:sz w:val="24"/>
              <w:szCs w:val="24"/>
            </w:rPr>
            <w:t>.</w:t>
          </w:r>
        </w:p>
        <w:p w14:paraId="1311C68F" w14:textId="6E5E889F" w:rsidR="001014AA" w:rsidRDefault="001014AA" w:rsidP="001014AA">
          <w:pPr>
            <w:spacing w:after="0" w:line="480" w:lineRule="auto"/>
            <w:ind w:left="720" w:hanging="720"/>
            <w:rPr>
              <w:rFonts w:ascii="Times New Roman" w:hAnsi="Times New Roman" w:cs="Times New Roman"/>
              <w:sz w:val="24"/>
              <w:szCs w:val="24"/>
            </w:rPr>
          </w:pPr>
          <w:r w:rsidRPr="001014AA">
            <w:rPr>
              <w:rFonts w:ascii="Times New Roman" w:hAnsi="Times New Roman" w:cs="Times New Roman"/>
              <w:sz w:val="24"/>
              <w:szCs w:val="24"/>
            </w:rPr>
            <w:t xml:space="preserve">Widianti, U.D., Harihayati, T. and Sufaatin, S. (2018). Risk project management analysis. </w:t>
          </w:r>
          <w:r w:rsidRPr="001014AA">
            <w:rPr>
              <w:rFonts w:ascii="Times New Roman" w:hAnsi="Times New Roman" w:cs="Times New Roman"/>
              <w:i/>
              <w:iCs/>
              <w:sz w:val="24"/>
              <w:szCs w:val="24"/>
            </w:rPr>
            <w:t>IOP Conference Series: Materials Science and Engineering</w:t>
          </w:r>
          <w:r w:rsidRPr="001014AA">
            <w:rPr>
              <w:rFonts w:ascii="Times New Roman" w:hAnsi="Times New Roman" w:cs="Times New Roman"/>
              <w:sz w:val="24"/>
              <w:szCs w:val="24"/>
            </w:rPr>
            <w:t>, 407, p.012087. doi:</w:t>
          </w:r>
          <w:r w:rsidR="006B7654">
            <w:rPr>
              <w:rFonts w:ascii="Times New Roman" w:hAnsi="Times New Roman" w:cs="Times New Roman"/>
              <w:sz w:val="24"/>
              <w:szCs w:val="24"/>
            </w:rPr>
            <w:t xml:space="preserve"> </w:t>
          </w:r>
          <w:hyperlink r:id="rId51" w:history="1">
            <w:r w:rsidR="006B7654" w:rsidRPr="001014AA">
              <w:rPr>
                <w:rStyle w:val="Hyperlink"/>
                <w:rFonts w:ascii="Times New Roman" w:hAnsi="Times New Roman" w:cs="Times New Roman"/>
                <w:sz w:val="24"/>
                <w:szCs w:val="24"/>
              </w:rPr>
              <w:t>https://doi.org/10.1088/1757-899x/407/1/012087</w:t>
            </w:r>
          </w:hyperlink>
          <w:r w:rsidRPr="001014AA">
            <w:rPr>
              <w:rFonts w:ascii="Times New Roman" w:hAnsi="Times New Roman" w:cs="Times New Roman"/>
              <w:sz w:val="24"/>
              <w:szCs w:val="24"/>
            </w:rPr>
            <w:t>.</w:t>
          </w:r>
        </w:p>
        <w:p w14:paraId="77D69E6F" w14:textId="77777777" w:rsidR="004A11F6" w:rsidRPr="007D1947" w:rsidRDefault="004A11F6" w:rsidP="007D1947"/>
        <w:p w14:paraId="7F890C1F" w14:textId="77777777" w:rsidR="00CA09F3" w:rsidRDefault="00000000"/>
      </w:sdtContent>
    </w:sdt>
    <w:p w14:paraId="1E418EE2" w14:textId="77777777" w:rsidR="00CF0E48" w:rsidRDefault="00CF0E48"/>
    <w:p w14:paraId="493C784B" w14:textId="77777777" w:rsidR="00CF0E48" w:rsidRDefault="00CF0E48"/>
    <w:p w14:paraId="35C7F415" w14:textId="77777777" w:rsidR="00CF0E48" w:rsidRDefault="00CF0E48"/>
    <w:p w14:paraId="365813D8" w14:textId="77777777" w:rsidR="00CF0E48" w:rsidRDefault="00CF0E48"/>
    <w:p w14:paraId="0B40F6B3" w14:textId="77777777" w:rsidR="00CF0E48" w:rsidRDefault="00CF0E48"/>
    <w:p w14:paraId="2BDC7C17" w14:textId="77777777" w:rsidR="00CF0E48" w:rsidRDefault="00CF0E48"/>
    <w:p w14:paraId="12C9B7B1" w14:textId="77777777" w:rsidR="00CF0E48" w:rsidRDefault="00CF0E48"/>
    <w:p w14:paraId="7ED5198D" w14:textId="77777777" w:rsidR="00CF0E48" w:rsidRDefault="00CF0E48"/>
    <w:p w14:paraId="14DE9FFD" w14:textId="77777777" w:rsidR="00CF0E48" w:rsidRDefault="00CF0E48"/>
    <w:p w14:paraId="60B253D9" w14:textId="77777777" w:rsidR="00CF0E48" w:rsidRDefault="00CF0E48"/>
    <w:p w14:paraId="3A0D648F" w14:textId="77777777" w:rsidR="00CF0E48" w:rsidRDefault="00CF0E48"/>
    <w:p w14:paraId="1F4145EA" w14:textId="36AB8DF4" w:rsidR="00CF0E48" w:rsidRDefault="006B7654" w:rsidP="00CF0E48">
      <w:pPr>
        <w:pStyle w:val="Heading1"/>
        <w:rPr>
          <w:rFonts w:ascii="Times New Roman" w:hAnsi="Times New Roman" w:cs="Times New Roman"/>
          <w:b/>
          <w:bCs/>
          <w:color w:val="auto"/>
        </w:rPr>
      </w:pPr>
      <w:bookmarkStart w:id="16" w:name="_Toc218616261"/>
      <w:r>
        <w:rPr>
          <w:rFonts w:ascii="Times New Roman" w:hAnsi="Times New Roman" w:cs="Times New Roman"/>
          <w:b/>
          <w:bCs/>
          <w:color w:val="auto"/>
        </w:rPr>
        <w:lastRenderedPageBreak/>
        <w:t xml:space="preserve">6. 0 </w:t>
      </w:r>
      <w:r w:rsidR="00CF0E48" w:rsidRPr="006B7654">
        <w:rPr>
          <w:rFonts w:ascii="Times New Roman" w:hAnsi="Times New Roman" w:cs="Times New Roman"/>
          <w:b/>
          <w:bCs/>
          <w:color w:val="auto"/>
        </w:rPr>
        <w:t>Appendix</w:t>
      </w:r>
      <w:bookmarkEnd w:id="16"/>
    </w:p>
    <w:p w14:paraId="66DF034E" w14:textId="65EEBF8A" w:rsidR="006B7654" w:rsidRPr="006B7654" w:rsidRDefault="006B7654" w:rsidP="006B7654">
      <w:pPr>
        <w:pStyle w:val="Heading2"/>
        <w:rPr>
          <w:rFonts w:ascii="Times New Roman" w:hAnsi="Times New Roman" w:cs="Times New Roman"/>
          <w:b/>
          <w:bCs/>
          <w:color w:val="auto"/>
          <w:sz w:val="24"/>
          <w:szCs w:val="24"/>
        </w:rPr>
      </w:pPr>
      <w:bookmarkStart w:id="17" w:name="_Toc218616262"/>
      <w:r w:rsidRPr="006B7654">
        <w:rPr>
          <w:rFonts w:ascii="Times New Roman" w:hAnsi="Times New Roman" w:cs="Times New Roman"/>
          <w:b/>
          <w:bCs/>
          <w:color w:val="auto"/>
          <w:sz w:val="24"/>
          <w:szCs w:val="24"/>
        </w:rPr>
        <w:t>6.1 Consolidated Income Statement</w:t>
      </w:r>
      <w:bookmarkEnd w:id="17"/>
    </w:p>
    <w:p w14:paraId="643F9F14" w14:textId="445FDAB4" w:rsidR="00B24F43" w:rsidRDefault="00B24F43" w:rsidP="00B24F43">
      <w:r w:rsidRPr="00B24F43">
        <w:rPr>
          <w:noProof/>
        </w:rPr>
        <w:drawing>
          <wp:inline distT="0" distB="0" distL="0" distR="0" wp14:anchorId="2C560E86" wp14:editId="7C77EA11">
            <wp:extent cx="5505733" cy="3816546"/>
            <wp:effectExtent l="0" t="0" r="0" b="0"/>
            <wp:docPr id="212130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30603" name=""/>
                    <pic:cNvPicPr/>
                  </pic:nvPicPr>
                  <pic:blipFill>
                    <a:blip r:embed="rId52"/>
                    <a:stretch>
                      <a:fillRect/>
                    </a:stretch>
                  </pic:blipFill>
                  <pic:spPr>
                    <a:xfrm>
                      <a:off x="0" y="0"/>
                      <a:ext cx="5505733" cy="3816546"/>
                    </a:xfrm>
                    <a:prstGeom prst="rect">
                      <a:avLst/>
                    </a:prstGeom>
                  </pic:spPr>
                </pic:pic>
              </a:graphicData>
            </a:graphic>
          </wp:inline>
        </w:drawing>
      </w:r>
    </w:p>
    <w:p w14:paraId="1CACA376" w14:textId="77777777" w:rsidR="00B24F43" w:rsidRDefault="00B24F43" w:rsidP="00B24F43"/>
    <w:p w14:paraId="0EE87BBE" w14:textId="77777777" w:rsidR="00B24F43" w:rsidRDefault="00B24F43" w:rsidP="00B24F43"/>
    <w:p w14:paraId="35A9247F" w14:textId="10806DBE" w:rsidR="00B24F43" w:rsidRDefault="00B24F43" w:rsidP="00B24F43"/>
    <w:p w14:paraId="0B8E408C" w14:textId="0EC74487" w:rsidR="00B24F43" w:rsidRPr="00B24F43" w:rsidRDefault="006B7654" w:rsidP="00B24F43">
      <w:r>
        <w:t>6.</w:t>
      </w:r>
      <w:r w:rsidRPr="006B7654">
        <w:rPr>
          <w:rStyle w:val="Heading2Char"/>
          <w:rFonts w:ascii="Times New Roman" w:hAnsi="Times New Roman" w:cs="Times New Roman"/>
          <w:b/>
          <w:bCs/>
          <w:color w:val="auto"/>
          <w:sz w:val="24"/>
          <w:szCs w:val="24"/>
        </w:rPr>
        <w:t>2 Consolidated balance sheet</w:t>
      </w:r>
    </w:p>
    <w:p w14:paraId="0BE7E804" w14:textId="0D9CA046" w:rsidR="00B24F43" w:rsidRDefault="003D6ADB" w:rsidP="00B24F43">
      <w:r w:rsidRPr="00B24F43">
        <w:rPr>
          <w:noProof/>
        </w:rPr>
        <w:lastRenderedPageBreak/>
        <w:drawing>
          <wp:anchor distT="0" distB="0" distL="114300" distR="114300" simplePos="0" relativeHeight="251660288" behindDoc="0" locked="0" layoutInCell="1" allowOverlap="1" wp14:anchorId="5A04F740" wp14:editId="30475CD7">
            <wp:simplePos x="0" y="0"/>
            <wp:positionH relativeFrom="column">
              <wp:posOffset>76200</wp:posOffset>
            </wp:positionH>
            <wp:positionV relativeFrom="paragraph">
              <wp:posOffset>457200</wp:posOffset>
            </wp:positionV>
            <wp:extent cx="5099050" cy="7189470"/>
            <wp:effectExtent l="0" t="0" r="6350" b="0"/>
            <wp:wrapSquare wrapText="bothSides"/>
            <wp:docPr id="19460700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099050" cy="71894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0F654C6" w14:textId="77777777" w:rsidR="003D6ADB" w:rsidRPr="003D6ADB" w:rsidRDefault="003D6ADB" w:rsidP="003D6ADB"/>
    <w:p w14:paraId="2D93B81E" w14:textId="77777777" w:rsidR="003D6ADB" w:rsidRPr="003D6ADB" w:rsidRDefault="003D6ADB" w:rsidP="003D6ADB"/>
    <w:p w14:paraId="21C44692" w14:textId="77777777" w:rsidR="003D6ADB" w:rsidRPr="003D6ADB" w:rsidRDefault="003D6ADB" w:rsidP="003D6ADB"/>
    <w:p w14:paraId="3E37AAB4" w14:textId="77777777" w:rsidR="003D6ADB" w:rsidRPr="003D6ADB" w:rsidRDefault="003D6ADB" w:rsidP="003D6ADB"/>
    <w:p w14:paraId="27A61D2D" w14:textId="77777777" w:rsidR="003D6ADB" w:rsidRPr="003D6ADB" w:rsidRDefault="003D6ADB" w:rsidP="003D6ADB"/>
    <w:p w14:paraId="3C343E30" w14:textId="77777777" w:rsidR="003D6ADB" w:rsidRPr="003D6ADB" w:rsidRDefault="003D6ADB" w:rsidP="003D6ADB"/>
    <w:p w14:paraId="01370037" w14:textId="77777777" w:rsidR="003D6ADB" w:rsidRPr="003D6ADB" w:rsidRDefault="003D6ADB" w:rsidP="003D6ADB"/>
    <w:p w14:paraId="1AEE7B5B" w14:textId="77777777" w:rsidR="003D6ADB" w:rsidRPr="003D6ADB" w:rsidRDefault="003D6ADB" w:rsidP="003D6ADB"/>
    <w:p w14:paraId="57C64777" w14:textId="77777777" w:rsidR="003D6ADB" w:rsidRPr="003D6ADB" w:rsidRDefault="003D6ADB" w:rsidP="003D6ADB"/>
    <w:p w14:paraId="4C4193F0" w14:textId="77777777" w:rsidR="003D6ADB" w:rsidRPr="003D6ADB" w:rsidRDefault="003D6ADB" w:rsidP="003D6ADB"/>
    <w:p w14:paraId="33D5938E" w14:textId="77777777" w:rsidR="003D6ADB" w:rsidRPr="003D6ADB" w:rsidRDefault="003D6ADB" w:rsidP="003D6ADB"/>
    <w:p w14:paraId="15C5C215" w14:textId="77777777" w:rsidR="003D6ADB" w:rsidRPr="003D6ADB" w:rsidRDefault="003D6ADB" w:rsidP="003D6ADB"/>
    <w:p w14:paraId="20B6026A" w14:textId="77777777" w:rsidR="003D6ADB" w:rsidRPr="003D6ADB" w:rsidRDefault="003D6ADB" w:rsidP="003D6ADB"/>
    <w:p w14:paraId="40A0F65F" w14:textId="77777777" w:rsidR="003D6ADB" w:rsidRPr="003D6ADB" w:rsidRDefault="003D6ADB" w:rsidP="003D6ADB"/>
    <w:p w14:paraId="1825F2F8" w14:textId="77777777" w:rsidR="003D6ADB" w:rsidRPr="003D6ADB" w:rsidRDefault="003D6ADB" w:rsidP="003D6ADB"/>
    <w:p w14:paraId="6EDE4B88" w14:textId="77777777" w:rsidR="003D6ADB" w:rsidRPr="003D6ADB" w:rsidRDefault="003D6ADB" w:rsidP="003D6ADB"/>
    <w:p w14:paraId="0598D722" w14:textId="77777777" w:rsidR="003D6ADB" w:rsidRPr="003D6ADB" w:rsidRDefault="003D6ADB" w:rsidP="003D6ADB"/>
    <w:p w14:paraId="383C534D" w14:textId="77777777" w:rsidR="003D6ADB" w:rsidRPr="003D6ADB" w:rsidRDefault="003D6ADB" w:rsidP="003D6ADB"/>
    <w:p w14:paraId="3018F6D4" w14:textId="77777777" w:rsidR="003D6ADB" w:rsidRPr="003D6ADB" w:rsidRDefault="003D6ADB" w:rsidP="003D6ADB"/>
    <w:p w14:paraId="5519AEB6" w14:textId="77777777" w:rsidR="003D6ADB" w:rsidRPr="003D6ADB" w:rsidRDefault="003D6ADB" w:rsidP="003D6ADB"/>
    <w:p w14:paraId="093484B1" w14:textId="77777777" w:rsidR="003D6ADB" w:rsidRPr="003D6ADB" w:rsidRDefault="003D6ADB" w:rsidP="003D6ADB"/>
    <w:p w14:paraId="4816EB60" w14:textId="77777777" w:rsidR="003D6ADB" w:rsidRPr="003D6ADB" w:rsidRDefault="003D6ADB" w:rsidP="003D6ADB"/>
    <w:p w14:paraId="5BA03410" w14:textId="77777777" w:rsidR="003D6ADB" w:rsidRPr="003D6ADB" w:rsidRDefault="003D6ADB" w:rsidP="003D6ADB"/>
    <w:p w14:paraId="37110583" w14:textId="77777777" w:rsidR="003D6ADB" w:rsidRPr="003D6ADB" w:rsidRDefault="003D6ADB" w:rsidP="003D6ADB"/>
    <w:p w14:paraId="4F373546" w14:textId="77777777" w:rsidR="003D6ADB" w:rsidRPr="003D6ADB" w:rsidRDefault="003D6ADB" w:rsidP="003D6ADB"/>
    <w:p w14:paraId="66FB777F" w14:textId="77777777" w:rsidR="003D6ADB" w:rsidRPr="003D6ADB" w:rsidRDefault="003D6ADB" w:rsidP="003D6ADB"/>
    <w:p w14:paraId="019CF944" w14:textId="77777777" w:rsidR="003D6ADB" w:rsidRPr="003D6ADB" w:rsidRDefault="003D6ADB" w:rsidP="003D6ADB"/>
    <w:p w14:paraId="461A995A" w14:textId="77777777" w:rsidR="003D6ADB" w:rsidRPr="003D6ADB" w:rsidRDefault="003D6ADB" w:rsidP="003D6ADB"/>
    <w:p w14:paraId="30ACBFAF" w14:textId="77777777" w:rsidR="003D6ADB" w:rsidRDefault="003D6ADB" w:rsidP="003D6ADB"/>
    <w:p w14:paraId="06CB51ED" w14:textId="766ABE21" w:rsidR="003D6ADB" w:rsidRPr="003D6ADB" w:rsidRDefault="003D6ADB" w:rsidP="003D6ADB">
      <w:pPr>
        <w:pStyle w:val="Heading2"/>
        <w:rPr>
          <w:rFonts w:ascii="Times New Roman" w:hAnsi="Times New Roman" w:cs="Times New Roman"/>
          <w:b/>
          <w:bCs/>
          <w:color w:val="auto"/>
          <w:sz w:val="24"/>
          <w:szCs w:val="24"/>
        </w:rPr>
      </w:pPr>
      <w:bookmarkStart w:id="18" w:name="_Toc218616263"/>
      <w:r w:rsidRPr="003D6ADB">
        <w:rPr>
          <w:rFonts w:ascii="Times New Roman" w:hAnsi="Times New Roman" w:cs="Times New Roman"/>
          <w:b/>
          <w:bCs/>
          <w:color w:val="auto"/>
          <w:sz w:val="24"/>
          <w:szCs w:val="24"/>
        </w:rPr>
        <w:lastRenderedPageBreak/>
        <w:t>6.3 Consolidated cash flow statement</w:t>
      </w:r>
      <w:bookmarkEnd w:id="18"/>
    </w:p>
    <w:p w14:paraId="1C0150EF" w14:textId="37565056" w:rsidR="00B24F43" w:rsidRDefault="00B24F43" w:rsidP="00B24F43">
      <w:r w:rsidRPr="00B24F43">
        <w:rPr>
          <w:noProof/>
        </w:rPr>
        <w:drawing>
          <wp:inline distT="0" distB="0" distL="0" distR="0" wp14:anchorId="0C650F1C" wp14:editId="33A73274">
            <wp:extent cx="4865943" cy="6861163"/>
            <wp:effectExtent l="0" t="0" r="0" b="0"/>
            <wp:docPr id="4795606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4865943" cy="6861163"/>
                    </a:xfrm>
                    <a:prstGeom prst="rect">
                      <a:avLst/>
                    </a:prstGeom>
                    <a:noFill/>
                    <a:ln>
                      <a:noFill/>
                    </a:ln>
                  </pic:spPr>
                </pic:pic>
              </a:graphicData>
            </a:graphic>
          </wp:inline>
        </w:drawing>
      </w:r>
    </w:p>
    <w:p w14:paraId="4FA74FC9" w14:textId="77777777" w:rsidR="00C623DB" w:rsidRDefault="00C623DB" w:rsidP="00B24F43"/>
    <w:p w14:paraId="6A7E5DD5" w14:textId="0CE09A7A" w:rsidR="003D6ADB" w:rsidRDefault="003D6ADB" w:rsidP="00B24F43">
      <w:r>
        <w:br w:type="page"/>
      </w:r>
    </w:p>
    <w:p w14:paraId="1F92EA94" w14:textId="5768F919" w:rsidR="00C623DB" w:rsidRPr="008617BD" w:rsidRDefault="008617BD" w:rsidP="008617BD">
      <w:pPr>
        <w:pStyle w:val="Heading2"/>
        <w:rPr>
          <w:rFonts w:ascii="Times New Roman" w:hAnsi="Times New Roman" w:cs="Times New Roman"/>
          <w:b/>
          <w:bCs/>
          <w:color w:val="auto"/>
          <w:sz w:val="24"/>
          <w:szCs w:val="24"/>
        </w:rPr>
      </w:pPr>
      <w:bookmarkStart w:id="19" w:name="_Toc218616264"/>
      <w:r w:rsidRPr="008617BD">
        <w:rPr>
          <w:rFonts w:ascii="Times New Roman" w:hAnsi="Times New Roman" w:cs="Times New Roman"/>
          <w:b/>
          <w:bCs/>
          <w:color w:val="auto"/>
          <w:sz w:val="24"/>
          <w:szCs w:val="24"/>
        </w:rPr>
        <w:lastRenderedPageBreak/>
        <w:t>6.4 Balance Sheet</w:t>
      </w:r>
      <w:bookmarkEnd w:id="19"/>
    </w:p>
    <w:p w14:paraId="587D0069" w14:textId="4209E7A6" w:rsidR="00C623DB" w:rsidRDefault="003D6ADB" w:rsidP="00B24F43">
      <w:r w:rsidRPr="00C623DB">
        <w:rPr>
          <w:noProof/>
        </w:rPr>
        <w:drawing>
          <wp:inline distT="0" distB="0" distL="0" distR="0" wp14:anchorId="1108AFF0" wp14:editId="15523B7E">
            <wp:extent cx="5664491" cy="4978656"/>
            <wp:effectExtent l="0" t="0" r="0" b="0"/>
            <wp:docPr id="2097788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788186" name=""/>
                    <pic:cNvPicPr/>
                  </pic:nvPicPr>
                  <pic:blipFill>
                    <a:blip r:embed="rId55"/>
                    <a:stretch>
                      <a:fillRect/>
                    </a:stretch>
                  </pic:blipFill>
                  <pic:spPr>
                    <a:xfrm>
                      <a:off x="0" y="0"/>
                      <a:ext cx="5664491" cy="4978656"/>
                    </a:xfrm>
                    <a:prstGeom prst="rect">
                      <a:avLst/>
                    </a:prstGeom>
                  </pic:spPr>
                </pic:pic>
              </a:graphicData>
            </a:graphic>
          </wp:inline>
        </w:drawing>
      </w:r>
    </w:p>
    <w:p w14:paraId="75509C4B" w14:textId="0BBB0171" w:rsidR="00C623DB" w:rsidRPr="008617BD" w:rsidRDefault="008617BD" w:rsidP="008617BD">
      <w:pPr>
        <w:pStyle w:val="Heading2"/>
        <w:rPr>
          <w:rFonts w:ascii="Times New Roman" w:hAnsi="Times New Roman" w:cs="Times New Roman"/>
          <w:b/>
          <w:bCs/>
          <w:color w:val="auto"/>
          <w:sz w:val="24"/>
          <w:szCs w:val="24"/>
        </w:rPr>
      </w:pPr>
      <w:bookmarkStart w:id="20" w:name="_Toc218616265"/>
      <w:r w:rsidRPr="008617BD">
        <w:rPr>
          <w:rFonts w:ascii="Times New Roman" w:hAnsi="Times New Roman" w:cs="Times New Roman"/>
          <w:b/>
          <w:bCs/>
          <w:color w:val="auto"/>
          <w:sz w:val="24"/>
          <w:szCs w:val="24"/>
        </w:rPr>
        <w:t>6.5 Ratio Calculations</w:t>
      </w:r>
      <w:bookmarkEnd w:id="20"/>
    </w:p>
    <w:tbl>
      <w:tblPr>
        <w:tblStyle w:val="TableGrid"/>
        <w:tblW w:w="9493" w:type="dxa"/>
        <w:tblLook w:val="04A0" w:firstRow="1" w:lastRow="0" w:firstColumn="1" w:lastColumn="0" w:noHBand="0" w:noVBand="1"/>
      </w:tblPr>
      <w:tblGrid>
        <w:gridCol w:w="1355"/>
        <w:gridCol w:w="1194"/>
        <w:gridCol w:w="2760"/>
        <w:gridCol w:w="1923"/>
        <w:gridCol w:w="2400"/>
      </w:tblGrid>
      <w:tr w:rsidR="006941FF" w:rsidRPr="006941FF" w14:paraId="14D4901C" w14:textId="77777777" w:rsidTr="006941FF">
        <w:trPr>
          <w:trHeight w:val="290"/>
        </w:trPr>
        <w:tc>
          <w:tcPr>
            <w:tcW w:w="1222" w:type="dxa"/>
            <w:shd w:val="clear" w:color="auto" w:fill="A6A6A6" w:themeFill="background1" w:themeFillShade="A6"/>
            <w:noWrap/>
            <w:hideMark/>
          </w:tcPr>
          <w:p w14:paraId="5B4449FA" w14:textId="77777777" w:rsidR="006941FF" w:rsidRPr="006941FF" w:rsidRDefault="006941FF" w:rsidP="008617BD">
            <w:pPr>
              <w:rPr>
                <w:sz w:val="24"/>
                <w:szCs w:val="24"/>
              </w:rPr>
            </w:pPr>
            <w:r w:rsidRPr="006941FF">
              <w:rPr>
                <w:sz w:val="24"/>
                <w:szCs w:val="24"/>
              </w:rPr>
              <w:t>Ratio Category</w:t>
            </w:r>
          </w:p>
        </w:tc>
        <w:tc>
          <w:tcPr>
            <w:tcW w:w="1188" w:type="dxa"/>
            <w:shd w:val="clear" w:color="auto" w:fill="A6A6A6" w:themeFill="background1" w:themeFillShade="A6"/>
            <w:noWrap/>
            <w:hideMark/>
          </w:tcPr>
          <w:p w14:paraId="65D6F294" w14:textId="77777777" w:rsidR="006941FF" w:rsidRPr="006941FF" w:rsidRDefault="006941FF" w:rsidP="008617BD">
            <w:pPr>
              <w:rPr>
                <w:sz w:val="24"/>
                <w:szCs w:val="24"/>
              </w:rPr>
            </w:pPr>
            <w:r w:rsidRPr="006941FF">
              <w:rPr>
                <w:sz w:val="24"/>
                <w:szCs w:val="24"/>
              </w:rPr>
              <w:t>Ratio</w:t>
            </w:r>
          </w:p>
        </w:tc>
        <w:tc>
          <w:tcPr>
            <w:tcW w:w="2760" w:type="dxa"/>
            <w:shd w:val="clear" w:color="auto" w:fill="A6A6A6" w:themeFill="background1" w:themeFillShade="A6"/>
            <w:noWrap/>
            <w:hideMark/>
          </w:tcPr>
          <w:p w14:paraId="02251427" w14:textId="77777777" w:rsidR="006941FF" w:rsidRPr="006941FF" w:rsidRDefault="006941FF" w:rsidP="008617BD">
            <w:pPr>
              <w:rPr>
                <w:sz w:val="24"/>
                <w:szCs w:val="24"/>
              </w:rPr>
            </w:pPr>
            <w:r w:rsidRPr="006941FF">
              <w:rPr>
                <w:sz w:val="24"/>
                <w:szCs w:val="24"/>
              </w:rPr>
              <w:t>Formula (Summary)</w:t>
            </w:r>
          </w:p>
        </w:tc>
        <w:tc>
          <w:tcPr>
            <w:tcW w:w="1923" w:type="dxa"/>
            <w:shd w:val="clear" w:color="auto" w:fill="A6A6A6" w:themeFill="background1" w:themeFillShade="A6"/>
            <w:noWrap/>
            <w:hideMark/>
          </w:tcPr>
          <w:p w14:paraId="6382BD5C" w14:textId="77777777" w:rsidR="006941FF" w:rsidRPr="006941FF" w:rsidRDefault="006941FF" w:rsidP="008617BD">
            <w:pPr>
              <w:rPr>
                <w:sz w:val="24"/>
                <w:szCs w:val="24"/>
              </w:rPr>
            </w:pPr>
            <w:r w:rsidRPr="006941FF">
              <w:rPr>
                <w:sz w:val="24"/>
                <w:szCs w:val="24"/>
              </w:rPr>
              <w:t>2023</w:t>
            </w:r>
          </w:p>
        </w:tc>
        <w:tc>
          <w:tcPr>
            <w:tcW w:w="2400" w:type="dxa"/>
            <w:shd w:val="clear" w:color="auto" w:fill="A6A6A6" w:themeFill="background1" w:themeFillShade="A6"/>
            <w:noWrap/>
            <w:hideMark/>
          </w:tcPr>
          <w:p w14:paraId="29A75E2C" w14:textId="77777777" w:rsidR="006941FF" w:rsidRPr="006941FF" w:rsidRDefault="006941FF" w:rsidP="008617BD">
            <w:pPr>
              <w:rPr>
                <w:sz w:val="24"/>
                <w:szCs w:val="24"/>
              </w:rPr>
            </w:pPr>
            <w:r w:rsidRPr="006941FF">
              <w:rPr>
                <w:sz w:val="24"/>
                <w:szCs w:val="24"/>
              </w:rPr>
              <w:t>2024</w:t>
            </w:r>
          </w:p>
        </w:tc>
      </w:tr>
      <w:tr w:rsidR="006941FF" w:rsidRPr="006941FF" w14:paraId="6F36FBF0" w14:textId="77777777" w:rsidTr="006941FF">
        <w:trPr>
          <w:trHeight w:val="290"/>
        </w:trPr>
        <w:tc>
          <w:tcPr>
            <w:tcW w:w="1222" w:type="dxa"/>
            <w:noWrap/>
            <w:hideMark/>
          </w:tcPr>
          <w:p w14:paraId="39A938A5" w14:textId="77777777" w:rsidR="006941FF" w:rsidRPr="006941FF" w:rsidRDefault="006941FF" w:rsidP="008617BD">
            <w:pPr>
              <w:rPr>
                <w:sz w:val="24"/>
                <w:szCs w:val="24"/>
              </w:rPr>
            </w:pPr>
            <w:r w:rsidRPr="006941FF">
              <w:rPr>
                <w:sz w:val="24"/>
                <w:szCs w:val="24"/>
              </w:rPr>
              <w:t>Profitability</w:t>
            </w:r>
          </w:p>
        </w:tc>
        <w:tc>
          <w:tcPr>
            <w:tcW w:w="1188" w:type="dxa"/>
            <w:noWrap/>
            <w:hideMark/>
          </w:tcPr>
          <w:p w14:paraId="2BEEEDCE" w14:textId="77777777" w:rsidR="006941FF" w:rsidRPr="006941FF" w:rsidRDefault="006941FF" w:rsidP="008617BD">
            <w:pPr>
              <w:rPr>
                <w:sz w:val="24"/>
                <w:szCs w:val="24"/>
              </w:rPr>
            </w:pPr>
            <w:r w:rsidRPr="006941FF">
              <w:rPr>
                <w:sz w:val="24"/>
                <w:szCs w:val="24"/>
              </w:rPr>
              <w:t>Operating Margin</w:t>
            </w:r>
          </w:p>
        </w:tc>
        <w:tc>
          <w:tcPr>
            <w:tcW w:w="2760" w:type="dxa"/>
            <w:noWrap/>
            <w:hideMark/>
          </w:tcPr>
          <w:p w14:paraId="0825C5D7" w14:textId="685782CA" w:rsidR="006941FF" w:rsidRPr="006941FF" w:rsidRDefault="006941FF" w:rsidP="008617BD">
            <w:pPr>
              <w:rPr>
                <w:sz w:val="24"/>
                <w:szCs w:val="24"/>
              </w:rPr>
            </w:pPr>
            <w:r w:rsidRPr="006941FF">
              <w:rPr>
                <w:sz w:val="24"/>
                <w:szCs w:val="24"/>
              </w:rPr>
              <w:t>(Operating Profit / Turnover) × 100</w:t>
            </w:r>
          </w:p>
        </w:tc>
        <w:tc>
          <w:tcPr>
            <w:tcW w:w="1923" w:type="dxa"/>
            <w:noWrap/>
            <w:hideMark/>
          </w:tcPr>
          <w:p w14:paraId="2C237FF4" w14:textId="77777777" w:rsidR="006941FF" w:rsidRPr="006941FF" w:rsidRDefault="006941FF" w:rsidP="008617BD">
            <w:pPr>
              <w:rPr>
                <w:sz w:val="24"/>
                <w:szCs w:val="24"/>
              </w:rPr>
            </w:pPr>
            <w:r w:rsidRPr="006941FF">
              <w:rPr>
                <w:sz w:val="24"/>
                <w:szCs w:val="24"/>
              </w:rPr>
              <w:t>9,758 ÷ 59,604 × 100 = 16.4%</w:t>
            </w:r>
          </w:p>
        </w:tc>
        <w:tc>
          <w:tcPr>
            <w:tcW w:w="2400" w:type="dxa"/>
            <w:noWrap/>
            <w:hideMark/>
          </w:tcPr>
          <w:p w14:paraId="68F08BFB" w14:textId="77777777" w:rsidR="006941FF" w:rsidRPr="006941FF" w:rsidRDefault="006941FF" w:rsidP="008617BD">
            <w:pPr>
              <w:rPr>
                <w:sz w:val="24"/>
                <w:szCs w:val="24"/>
              </w:rPr>
            </w:pPr>
            <w:r w:rsidRPr="006941FF">
              <w:rPr>
                <w:sz w:val="24"/>
                <w:szCs w:val="24"/>
              </w:rPr>
              <w:t>9,400 ÷ 60,761 × 100 = 15.5%</w:t>
            </w:r>
          </w:p>
        </w:tc>
      </w:tr>
      <w:tr w:rsidR="006941FF" w:rsidRPr="006941FF" w14:paraId="4B3C1267" w14:textId="77777777" w:rsidTr="006941FF">
        <w:trPr>
          <w:trHeight w:val="290"/>
        </w:trPr>
        <w:tc>
          <w:tcPr>
            <w:tcW w:w="1222" w:type="dxa"/>
            <w:noWrap/>
            <w:hideMark/>
          </w:tcPr>
          <w:p w14:paraId="2B6C2BA3" w14:textId="77777777" w:rsidR="006941FF" w:rsidRPr="006941FF" w:rsidRDefault="006941FF" w:rsidP="008617BD">
            <w:pPr>
              <w:rPr>
                <w:sz w:val="24"/>
                <w:szCs w:val="24"/>
              </w:rPr>
            </w:pPr>
            <w:r w:rsidRPr="006941FF">
              <w:rPr>
                <w:sz w:val="24"/>
                <w:szCs w:val="24"/>
              </w:rPr>
              <w:t>Profitability</w:t>
            </w:r>
          </w:p>
        </w:tc>
        <w:tc>
          <w:tcPr>
            <w:tcW w:w="1188" w:type="dxa"/>
            <w:noWrap/>
            <w:hideMark/>
          </w:tcPr>
          <w:p w14:paraId="6FD2D305" w14:textId="77777777" w:rsidR="006941FF" w:rsidRPr="006941FF" w:rsidRDefault="006941FF" w:rsidP="008617BD">
            <w:pPr>
              <w:rPr>
                <w:sz w:val="24"/>
                <w:szCs w:val="24"/>
              </w:rPr>
            </w:pPr>
            <w:r w:rsidRPr="006941FF">
              <w:rPr>
                <w:sz w:val="24"/>
                <w:szCs w:val="24"/>
              </w:rPr>
              <w:t>ROCE</w:t>
            </w:r>
          </w:p>
        </w:tc>
        <w:tc>
          <w:tcPr>
            <w:tcW w:w="2760" w:type="dxa"/>
            <w:noWrap/>
            <w:hideMark/>
          </w:tcPr>
          <w:p w14:paraId="05F6599C" w14:textId="3CB8BA3C" w:rsidR="006941FF" w:rsidRPr="006941FF" w:rsidRDefault="006941FF" w:rsidP="008617BD">
            <w:pPr>
              <w:rPr>
                <w:sz w:val="24"/>
                <w:szCs w:val="24"/>
              </w:rPr>
            </w:pPr>
            <w:r w:rsidRPr="006941FF">
              <w:rPr>
                <w:sz w:val="24"/>
                <w:szCs w:val="24"/>
              </w:rPr>
              <w:t>(Operating Profit / (Total Assets - Current Liabilities)) × 100</w:t>
            </w:r>
          </w:p>
        </w:tc>
        <w:tc>
          <w:tcPr>
            <w:tcW w:w="1923" w:type="dxa"/>
            <w:noWrap/>
            <w:hideMark/>
          </w:tcPr>
          <w:p w14:paraId="56D873A3" w14:textId="77777777" w:rsidR="006941FF" w:rsidRPr="006941FF" w:rsidRDefault="006941FF" w:rsidP="008617BD">
            <w:pPr>
              <w:rPr>
                <w:sz w:val="24"/>
                <w:szCs w:val="24"/>
              </w:rPr>
            </w:pPr>
            <w:r w:rsidRPr="006941FF">
              <w:rPr>
                <w:sz w:val="24"/>
                <w:szCs w:val="24"/>
              </w:rPr>
              <w:t>9,758 ÷ (75,266 – 23,507) × 100 = 17.9%</w:t>
            </w:r>
          </w:p>
        </w:tc>
        <w:tc>
          <w:tcPr>
            <w:tcW w:w="2400" w:type="dxa"/>
            <w:noWrap/>
            <w:hideMark/>
          </w:tcPr>
          <w:p w14:paraId="48D9165F" w14:textId="77777777" w:rsidR="006941FF" w:rsidRPr="006941FF" w:rsidRDefault="006941FF" w:rsidP="008617BD">
            <w:pPr>
              <w:rPr>
                <w:sz w:val="24"/>
                <w:szCs w:val="24"/>
              </w:rPr>
            </w:pPr>
            <w:r w:rsidRPr="006941FF">
              <w:rPr>
                <w:sz w:val="24"/>
                <w:szCs w:val="24"/>
              </w:rPr>
              <w:t>9,400 ÷ (79,750 – 25,234) × 100 = 16.9%</w:t>
            </w:r>
          </w:p>
        </w:tc>
      </w:tr>
      <w:tr w:rsidR="006941FF" w:rsidRPr="006941FF" w14:paraId="21986D3C" w14:textId="77777777" w:rsidTr="006941FF">
        <w:trPr>
          <w:trHeight w:val="290"/>
        </w:trPr>
        <w:tc>
          <w:tcPr>
            <w:tcW w:w="1222" w:type="dxa"/>
            <w:noWrap/>
            <w:hideMark/>
          </w:tcPr>
          <w:p w14:paraId="5A9AD5BA" w14:textId="77777777" w:rsidR="006941FF" w:rsidRPr="006941FF" w:rsidRDefault="006941FF" w:rsidP="008617BD">
            <w:pPr>
              <w:rPr>
                <w:sz w:val="24"/>
                <w:szCs w:val="24"/>
              </w:rPr>
            </w:pPr>
            <w:r w:rsidRPr="006941FF">
              <w:rPr>
                <w:sz w:val="24"/>
                <w:szCs w:val="24"/>
              </w:rPr>
              <w:t>Profitability</w:t>
            </w:r>
          </w:p>
        </w:tc>
        <w:tc>
          <w:tcPr>
            <w:tcW w:w="1188" w:type="dxa"/>
            <w:noWrap/>
            <w:hideMark/>
          </w:tcPr>
          <w:p w14:paraId="01063863" w14:textId="77777777" w:rsidR="006941FF" w:rsidRPr="006941FF" w:rsidRDefault="006941FF" w:rsidP="008617BD">
            <w:pPr>
              <w:rPr>
                <w:sz w:val="24"/>
                <w:szCs w:val="24"/>
              </w:rPr>
            </w:pPr>
            <w:r w:rsidRPr="006941FF">
              <w:rPr>
                <w:sz w:val="24"/>
                <w:szCs w:val="24"/>
              </w:rPr>
              <w:t>Gross Margin</w:t>
            </w:r>
          </w:p>
        </w:tc>
        <w:tc>
          <w:tcPr>
            <w:tcW w:w="2760" w:type="dxa"/>
            <w:noWrap/>
            <w:hideMark/>
          </w:tcPr>
          <w:p w14:paraId="66ADCC16" w14:textId="7909E014" w:rsidR="006941FF" w:rsidRPr="006941FF" w:rsidRDefault="006941FF" w:rsidP="008617BD">
            <w:pPr>
              <w:rPr>
                <w:sz w:val="24"/>
                <w:szCs w:val="24"/>
              </w:rPr>
            </w:pPr>
            <w:r>
              <w:rPr>
                <w:sz w:val="24"/>
                <w:szCs w:val="24"/>
              </w:rPr>
              <w:t>(</w:t>
            </w:r>
            <w:r w:rsidRPr="006941FF">
              <w:rPr>
                <w:sz w:val="24"/>
                <w:szCs w:val="24"/>
              </w:rPr>
              <w:t>Gross Profit</w:t>
            </w:r>
            <w:r>
              <w:rPr>
                <w:sz w:val="24"/>
                <w:szCs w:val="24"/>
              </w:rPr>
              <w:t>/</w:t>
            </w:r>
            <w:r w:rsidRPr="006941FF">
              <w:rPr>
                <w:sz w:val="24"/>
                <w:szCs w:val="24"/>
              </w:rPr>
              <w:t xml:space="preserve"> Turnover</w:t>
            </w:r>
            <w:r>
              <w:rPr>
                <w:sz w:val="24"/>
                <w:szCs w:val="24"/>
              </w:rPr>
              <w:t>)</w:t>
            </w:r>
            <w:r w:rsidRPr="006941FF">
              <w:rPr>
                <w:sz w:val="24"/>
                <w:szCs w:val="24"/>
              </w:rPr>
              <w:t xml:space="preserve"> × 100</w:t>
            </w:r>
          </w:p>
        </w:tc>
        <w:tc>
          <w:tcPr>
            <w:tcW w:w="1923" w:type="dxa"/>
            <w:noWrap/>
            <w:hideMark/>
          </w:tcPr>
          <w:p w14:paraId="347B4295" w14:textId="77777777" w:rsidR="006941FF" w:rsidRPr="006941FF" w:rsidRDefault="006941FF" w:rsidP="008617BD">
            <w:pPr>
              <w:rPr>
                <w:sz w:val="24"/>
                <w:szCs w:val="24"/>
              </w:rPr>
            </w:pPr>
            <w:r w:rsidRPr="006941FF">
              <w:rPr>
                <w:sz w:val="24"/>
                <w:szCs w:val="24"/>
              </w:rPr>
              <w:t>Not disclosed directly</w:t>
            </w:r>
          </w:p>
        </w:tc>
        <w:tc>
          <w:tcPr>
            <w:tcW w:w="2400" w:type="dxa"/>
            <w:noWrap/>
            <w:hideMark/>
          </w:tcPr>
          <w:p w14:paraId="77B62438" w14:textId="77777777" w:rsidR="006941FF" w:rsidRPr="006941FF" w:rsidRDefault="006941FF" w:rsidP="008617BD">
            <w:pPr>
              <w:rPr>
                <w:sz w:val="24"/>
                <w:szCs w:val="24"/>
              </w:rPr>
            </w:pPr>
            <w:r w:rsidRPr="006941FF">
              <w:rPr>
                <w:sz w:val="24"/>
                <w:szCs w:val="24"/>
              </w:rPr>
              <w:t>Not disclosed directly</w:t>
            </w:r>
          </w:p>
        </w:tc>
      </w:tr>
      <w:tr w:rsidR="006941FF" w:rsidRPr="006941FF" w14:paraId="73BFD712" w14:textId="77777777" w:rsidTr="006941FF">
        <w:trPr>
          <w:trHeight w:val="290"/>
        </w:trPr>
        <w:tc>
          <w:tcPr>
            <w:tcW w:w="1222" w:type="dxa"/>
            <w:noWrap/>
            <w:hideMark/>
          </w:tcPr>
          <w:p w14:paraId="6FA3580F" w14:textId="77777777" w:rsidR="006941FF" w:rsidRPr="006941FF" w:rsidRDefault="006941FF" w:rsidP="008617BD">
            <w:pPr>
              <w:rPr>
                <w:sz w:val="24"/>
                <w:szCs w:val="24"/>
              </w:rPr>
            </w:pPr>
            <w:r w:rsidRPr="006941FF">
              <w:rPr>
                <w:sz w:val="24"/>
                <w:szCs w:val="24"/>
              </w:rPr>
              <w:t>Liquidity</w:t>
            </w:r>
          </w:p>
        </w:tc>
        <w:tc>
          <w:tcPr>
            <w:tcW w:w="1188" w:type="dxa"/>
            <w:noWrap/>
            <w:hideMark/>
          </w:tcPr>
          <w:p w14:paraId="6876194E" w14:textId="77777777" w:rsidR="006941FF" w:rsidRPr="006941FF" w:rsidRDefault="006941FF" w:rsidP="008617BD">
            <w:pPr>
              <w:rPr>
                <w:sz w:val="24"/>
                <w:szCs w:val="24"/>
              </w:rPr>
            </w:pPr>
            <w:r w:rsidRPr="006941FF">
              <w:rPr>
                <w:sz w:val="24"/>
                <w:szCs w:val="24"/>
              </w:rPr>
              <w:t>Current Ratio</w:t>
            </w:r>
          </w:p>
        </w:tc>
        <w:tc>
          <w:tcPr>
            <w:tcW w:w="2760" w:type="dxa"/>
            <w:noWrap/>
            <w:hideMark/>
          </w:tcPr>
          <w:p w14:paraId="15B5A7DF" w14:textId="04CD5ACE" w:rsidR="006941FF" w:rsidRPr="006941FF" w:rsidRDefault="006941FF" w:rsidP="008617BD">
            <w:pPr>
              <w:rPr>
                <w:sz w:val="24"/>
                <w:szCs w:val="24"/>
              </w:rPr>
            </w:pPr>
            <w:r w:rsidRPr="006941FF">
              <w:rPr>
                <w:sz w:val="24"/>
                <w:szCs w:val="24"/>
              </w:rPr>
              <w:t>Current Assets</w:t>
            </w:r>
            <w:r>
              <w:rPr>
                <w:sz w:val="24"/>
                <w:szCs w:val="24"/>
              </w:rPr>
              <w:t xml:space="preserve">/ </w:t>
            </w:r>
            <w:r w:rsidRPr="006941FF">
              <w:rPr>
                <w:sz w:val="24"/>
                <w:szCs w:val="24"/>
              </w:rPr>
              <w:t>Current Liabilities</w:t>
            </w:r>
          </w:p>
        </w:tc>
        <w:tc>
          <w:tcPr>
            <w:tcW w:w="1923" w:type="dxa"/>
            <w:noWrap/>
            <w:hideMark/>
          </w:tcPr>
          <w:p w14:paraId="74F5C404" w14:textId="77777777" w:rsidR="006941FF" w:rsidRPr="006941FF" w:rsidRDefault="006941FF" w:rsidP="008617BD">
            <w:pPr>
              <w:rPr>
                <w:sz w:val="24"/>
                <w:szCs w:val="24"/>
              </w:rPr>
            </w:pPr>
            <w:r w:rsidRPr="006941FF">
              <w:rPr>
                <w:sz w:val="24"/>
                <w:szCs w:val="24"/>
              </w:rPr>
              <w:t>17,902 ÷ 23,507 = 0.76</w:t>
            </w:r>
          </w:p>
        </w:tc>
        <w:tc>
          <w:tcPr>
            <w:tcW w:w="2400" w:type="dxa"/>
            <w:noWrap/>
            <w:hideMark/>
          </w:tcPr>
          <w:p w14:paraId="136DBB87" w14:textId="77777777" w:rsidR="006941FF" w:rsidRPr="006941FF" w:rsidRDefault="006941FF" w:rsidP="008617BD">
            <w:pPr>
              <w:rPr>
                <w:sz w:val="24"/>
                <w:szCs w:val="24"/>
              </w:rPr>
            </w:pPr>
            <w:r w:rsidRPr="006941FF">
              <w:rPr>
                <w:sz w:val="24"/>
                <w:szCs w:val="24"/>
              </w:rPr>
              <w:t>19,194 ÷ 25,234 = 0.76</w:t>
            </w:r>
          </w:p>
        </w:tc>
      </w:tr>
      <w:tr w:rsidR="006941FF" w:rsidRPr="006941FF" w14:paraId="16AC2CF5" w14:textId="77777777" w:rsidTr="006941FF">
        <w:trPr>
          <w:trHeight w:val="290"/>
        </w:trPr>
        <w:tc>
          <w:tcPr>
            <w:tcW w:w="1222" w:type="dxa"/>
            <w:noWrap/>
            <w:hideMark/>
          </w:tcPr>
          <w:p w14:paraId="21AAD41D" w14:textId="77777777" w:rsidR="006941FF" w:rsidRPr="006941FF" w:rsidRDefault="006941FF" w:rsidP="008617BD">
            <w:pPr>
              <w:rPr>
                <w:sz w:val="24"/>
                <w:szCs w:val="24"/>
              </w:rPr>
            </w:pPr>
            <w:r w:rsidRPr="006941FF">
              <w:rPr>
                <w:sz w:val="24"/>
                <w:szCs w:val="24"/>
              </w:rPr>
              <w:t>Liquidity</w:t>
            </w:r>
          </w:p>
        </w:tc>
        <w:tc>
          <w:tcPr>
            <w:tcW w:w="1188" w:type="dxa"/>
            <w:noWrap/>
            <w:hideMark/>
          </w:tcPr>
          <w:p w14:paraId="319818B4" w14:textId="77777777" w:rsidR="006941FF" w:rsidRPr="006941FF" w:rsidRDefault="006941FF" w:rsidP="008617BD">
            <w:pPr>
              <w:rPr>
                <w:sz w:val="24"/>
                <w:szCs w:val="24"/>
              </w:rPr>
            </w:pPr>
            <w:r w:rsidRPr="006941FF">
              <w:rPr>
                <w:sz w:val="24"/>
                <w:szCs w:val="24"/>
              </w:rPr>
              <w:t>Quick Ratio</w:t>
            </w:r>
          </w:p>
        </w:tc>
        <w:tc>
          <w:tcPr>
            <w:tcW w:w="2760" w:type="dxa"/>
            <w:noWrap/>
            <w:hideMark/>
          </w:tcPr>
          <w:p w14:paraId="32F885C3" w14:textId="2EA9FE8F" w:rsidR="006941FF" w:rsidRPr="006941FF" w:rsidRDefault="006941FF" w:rsidP="008617BD">
            <w:pPr>
              <w:rPr>
                <w:sz w:val="24"/>
                <w:szCs w:val="24"/>
              </w:rPr>
            </w:pPr>
            <w:r w:rsidRPr="006941FF">
              <w:rPr>
                <w:sz w:val="24"/>
                <w:szCs w:val="24"/>
              </w:rPr>
              <w:t>(Current Assets – Inventories)</w:t>
            </w:r>
            <w:r>
              <w:rPr>
                <w:sz w:val="24"/>
                <w:szCs w:val="24"/>
              </w:rPr>
              <w:t>/</w:t>
            </w:r>
            <w:r w:rsidRPr="006941FF">
              <w:rPr>
                <w:sz w:val="24"/>
                <w:szCs w:val="24"/>
              </w:rPr>
              <w:t xml:space="preserve"> Current Liabilities</w:t>
            </w:r>
          </w:p>
        </w:tc>
        <w:tc>
          <w:tcPr>
            <w:tcW w:w="1923" w:type="dxa"/>
            <w:noWrap/>
            <w:hideMark/>
          </w:tcPr>
          <w:p w14:paraId="0330518D" w14:textId="77777777" w:rsidR="006941FF" w:rsidRPr="006941FF" w:rsidRDefault="006941FF" w:rsidP="008617BD">
            <w:pPr>
              <w:rPr>
                <w:sz w:val="24"/>
                <w:szCs w:val="24"/>
              </w:rPr>
            </w:pPr>
            <w:r w:rsidRPr="006941FF">
              <w:rPr>
                <w:sz w:val="24"/>
                <w:szCs w:val="24"/>
              </w:rPr>
              <w:t>(17,902 – 5,119) ÷ 23,507 = 0.54</w:t>
            </w:r>
          </w:p>
        </w:tc>
        <w:tc>
          <w:tcPr>
            <w:tcW w:w="2400" w:type="dxa"/>
            <w:noWrap/>
            <w:hideMark/>
          </w:tcPr>
          <w:p w14:paraId="6FB53B2D" w14:textId="77777777" w:rsidR="006941FF" w:rsidRPr="006941FF" w:rsidRDefault="006941FF" w:rsidP="008617BD">
            <w:pPr>
              <w:rPr>
                <w:sz w:val="24"/>
                <w:szCs w:val="24"/>
              </w:rPr>
            </w:pPr>
            <w:r w:rsidRPr="006941FF">
              <w:rPr>
                <w:sz w:val="24"/>
                <w:szCs w:val="24"/>
              </w:rPr>
              <w:t>(19,194 – 5,177) ÷ 25,234 = 0.56</w:t>
            </w:r>
          </w:p>
        </w:tc>
      </w:tr>
      <w:tr w:rsidR="006941FF" w:rsidRPr="006941FF" w14:paraId="47E3460E" w14:textId="77777777" w:rsidTr="006941FF">
        <w:trPr>
          <w:trHeight w:val="290"/>
        </w:trPr>
        <w:tc>
          <w:tcPr>
            <w:tcW w:w="1222" w:type="dxa"/>
            <w:noWrap/>
            <w:hideMark/>
          </w:tcPr>
          <w:p w14:paraId="664563EE" w14:textId="77777777" w:rsidR="006941FF" w:rsidRPr="006941FF" w:rsidRDefault="006941FF" w:rsidP="008617BD">
            <w:pPr>
              <w:rPr>
                <w:sz w:val="24"/>
                <w:szCs w:val="24"/>
              </w:rPr>
            </w:pPr>
            <w:r w:rsidRPr="006941FF">
              <w:rPr>
                <w:sz w:val="24"/>
                <w:szCs w:val="24"/>
              </w:rPr>
              <w:t>Gearing</w:t>
            </w:r>
          </w:p>
        </w:tc>
        <w:tc>
          <w:tcPr>
            <w:tcW w:w="1188" w:type="dxa"/>
            <w:noWrap/>
            <w:hideMark/>
          </w:tcPr>
          <w:p w14:paraId="0F1792C1" w14:textId="77777777" w:rsidR="006941FF" w:rsidRPr="006941FF" w:rsidRDefault="006941FF" w:rsidP="008617BD">
            <w:pPr>
              <w:rPr>
                <w:sz w:val="24"/>
                <w:szCs w:val="24"/>
              </w:rPr>
            </w:pPr>
            <w:r w:rsidRPr="006941FF">
              <w:rPr>
                <w:sz w:val="24"/>
                <w:szCs w:val="24"/>
              </w:rPr>
              <w:t>Debt-to-Equity</w:t>
            </w:r>
          </w:p>
        </w:tc>
        <w:tc>
          <w:tcPr>
            <w:tcW w:w="2760" w:type="dxa"/>
            <w:noWrap/>
            <w:hideMark/>
          </w:tcPr>
          <w:p w14:paraId="1665C22B" w14:textId="51A5D1AE" w:rsidR="006941FF" w:rsidRPr="006941FF" w:rsidRDefault="006941FF" w:rsidP="008617BD">
            <w:pPr>
              <w:rPr>
                <w:sz w:val="24"/>
                <w:szCs w:val="24"/>
              </w:rPr>
            </w:pPr>
            <w:r w:rsidRPr="006941FF">
              <w:rPr>
                <w:sz w:val="24"/>
                <w:szCs w:val="24"/>
              </w:rPr>
              <w:t>Net Debt</w:t>
            </w:r>
            <w:r>
              <w:rPr>
                <w:sz w:val="24"/>
                <w:szCs w:val="24"/>
              </w:rPr>
              <w:t>/</w:t>
            </w:r>
            <w:r w:rsidRPr="006941FF">
              <w:rPr>
                <w:sz w:val="24"/>
                <w:szCs w:val="24"/>
              </w:rPr>
              <w:t xml:space="preserve"> Total Equity</w:t>
            </w:r>
          </w:p>
        </w:tc>
        <w:tc>
          <w:tcPr>
            <w:tcW w:w="1923" w:type="dxa"/>
            <w:noWrap/>
            <w:hideMark/>
          </w:tcPr>
          <w:p w14:paraId="58D6AD1B" w14:textId="77777777" w:rsidR="006941FF" w:rsidRPr="006941FF" w:rsidRDefault="006941FF" w:rsidP="008617BD">
            <w:pPr>
              <w:rPr>
                <w:sz w:val="24"/>
                <w:szCs w:val="24"/>
              </w:rPr>
            </w:pPr>
            <w:r w:rsidRPr="006941FF">
              <w:rPr>
                <w:sz w:val="24"/>
                <w:szCs w:val="24"/>
              </w:rPr>
              <w:t>~1.6</w:t>
            </w:r>
          </w:p>
        </w:tc>
        <w:tc>
          <w:tcPr>
            <w:tcW w:w="2400" w:type="dxa"/>
            <w:noWrap/>
            <w:hideMark/>
          </w:tcPr>
          <w:p w14:paraId="3EBBDB92" w14:textId="77777777" w:rsidR="006941FF" w:rsidRPr="006941FF" w:rsidRDefault="006941FF" w:rsidP="008617BD">
            <w:pPr>
              <w:rPr>
                <w:sz w:val="24"/>
                <w:szCs w:val="24"/>
              </w:rPr>
            </w:pPr>
            <w:r w:rsidRPr="006941FF">
              <w:rPr>
                <w:sz w:val="24"/>
                <w:szCs w:val="24"/>
              </w:rPr>
              <w:t>~1.5</w:t>
            </w:r>
          </w:p>
        </w:tc>
      </w:tr>
      <w:tr w:rsidR="006941FF" w:rsidRPr="006941FF" w14:paraId="0C6767C0" w14:textId="77777777" w:rsidTr="006941FF">
        <w:trPr>
          <w:trHeight w:val="290"/>
        </w:trPr>
        <w:tc>
          <w:tcPr>
            <w:tcW w:w="1222" w:type="dxa"/>
            <w:noWrap/>
            <w:hideMark/>
          </w:tcPr>
          <w:p w14:paraId="75037501" w14:textId="77777777" w:rsidR="006941FF" w:rsidRPr="006941FF" w:rsidRDefault="006941FF" w:rsidP="008617BD">
            <w:pPr>
              <w:rPr>
                <w:sz w:val="24"/>
                <w:szCs w:val="24"/>
              </w:rPr>
            </w:pPr>
            <w:r w:rsidRPr="006941FF">
              <w:rPr>
                <w:sz w:val="24"/>
                <w:szCs w:val="24"/>
              </w:rPr>
              <w:lastRenderedPageBreak/>
              <w:t>Gearing</w:t>
            </w:r>
          </w:p>
        </w:tc>
        <w:tc>
          <w:tcPr>
            <w:tcW w:w="1188" w:type="dxa"/>
            <w:noWrap/>
            <w:hideMark/>
          </w:tcPr>
          <w:p w14:paraId="20AC931D" w14:textId="77777777" w:rsidR="006941FF" w:rsidRPr="006941FF" w:rsidRDefault="006941FF" w:rsidP="008617BD">
            <w:pPr>
              <w:rPr>
                <w:sz w:val="24"/>
                <w:szCs w:val="24"/>
              </w:rPr>
            </w:pPr>
            <w:r w:rsidRPr="006941FF">
              <w:rPr>
                <w:sz w:val="24"/>
                <w:szCs w:val="24"/>
              </w:rPr>
              <w:t>Interest Coverage</w:t>
            </w:r>
          </w:p>
        </w:tc>
        <w:tc>
          <w:tcPr>
            <w:tcW w:w="2760" w:type="dxa"/>
            <w:noWrap/>
            <w:hideMark/>
          </w:tcPr>
          <w:p w14:paraId="17947ACE" w14:textId="50766923" w:rsidR="006941FF" w:rsidRPr="006941FF" w:rsidRDefault="006941FF" w:rsidP="008617BD">
            <w:pPr>
              <w:rPr>
                <w:sz w:val="24"/>
                <w:szCs w:val="24"/>
              </w:rPr>
            </w:pPr>
            <w:r w:rsidRPr="006941FF">
              <w:rPr>
                <w:sz w:val="24"/>
                <w:szCs w:val="24"/>
              </w:rPr>
              <w:t>Operating Profit</w:t>
            </w:r>
            <w:r>
              <w:rPr>
                <w:sz w:val="24"/>
                <w:szCs w:val="24"/>
              </w:rPr>
              <w:t>/</w:t>
            </w:r>
            <w:r w:rsidRPr="006941FF">
              <w:rPr>
                <w:sz w:val="24"/>
                <w:szCs w:val="24"/>
              </w:rPr>
              <w:t xml:space="preserve"> Finance Costs</w:t>
            </w:r>
          </w:p>
        </w:tc>
        <w:tc>
          <w:tcPr>
            <w:tcW w:w="1923" w:type="dxa"/>
            <w:noWrap/>
            <w:hideMark/>
          </w:tcPr>
          <w:p w14:paraId="3637FE50" w14:textId="77777777" w:rsidR="006941FF" w:rsidRPr="006941FF" w:rsidRDefault="006941FF" w:rsidP="008617BD">
            <w:pPr>
              <w:rPr>
                <w:sz w:val="24"/>
                <w:szCs w:val="24"/>
              </w:rPr>
            </w:pPr>
            <w:r w:rsidRPr="006941FF">
              <w:rPr>
                <w:sz w:val="24"/>
                <w:szCs w:val="24"/>
              </w:rPr>
              <w:t>9,758 ÷ 1,038 = 9.4×</w:t>
            </w:r>
          </w:p>
        </w:tc>
        <w:tc>
          <w:tcPr>
            <w:tcW w:w="2400" w:type="dxa"/>
            <w:noWrap/>
            <w:hideMark/>
          </w:tcPr>
          <w:p w14:paraId="1D2415DC" w14:textId="77777777" w:rsidR="006941FF" w:rsidRPr="006941FF" w:rsidRDefault="006941FF" w:rsidP="008617BD">
            <w:pPr>
              <w:rPr>
                <w:sz w:val="24"/>
                <w:szCs w:val="24"/>
              </w:rPr>
            </w:pPr>
            <w:r w:rsidRPr="006941FF">
              <w:rPr>
                <w:sz w:val="24"/>
                <w:szCs w:val="24"/>
              </w:rPr>
              <w:t>9,400 ÷ 1,113 = 8.4×</w:t>
            </w:r>
          </w:p>
        </w:tc>
      </w:tr>
      <w:tr w:rsidR="006941FF" w:rsidRPr="006941FF" w14:paraId="4C28F6FD" w14:textId="77777777" w:rsidTr="006941FF">
        <w:trPr>
          <w:trHeight w:val="290"/>
        </w:trPr>
        <w:tc>
          <w:tcPr>
            <w:tcW w:w="1222" w:type="dxa"/>
            <w:noWrap/>
            <w:hideMark/>
          </w:tcPr>
          <w:p w14:paraId="7603E785" w14:textId="77777777" w:rsidR="006941FF" w:rsidRPr="006941FF" w:rsidRDefault="006941FF" w:rsidP="008617BD">
            <w:pPr>
              <w:rPr>
                <w:sz w:val="24"/>
                <w:szCs w:val="24"/>
              </w:rPr>
            </w:pPr>
            <w:r w:rsidRPr="006941FF">
              <w:rPr>
                <w:sz w:val="24"/>
                <w:szCs w:val="24"/>
              </w:rPr>
              <w:t>Efficiency</w:t>
            </w:r>
          </w:p>
        </w:tc>
        <w:tc>
          <w:tcPr>
            <w:tcW w:w="1188" w:type="dxa"/>
            <w:noWrap/>
            <w:hideMark/>
          </w:tcPr>
          <w:p w14:paraId="0ED5D10E" w14:textId="77777777" w:rsidR="006941FF" w:rsidRPr="006941FF" w:rsidRDefault="006941FF" w:rsidP="008617BD">
            <w:pPr>
              <w:rPr>
                <w:sz w:val="24"/>
                <w:szCs w:val="24"/>
              </w:rPr>
            </w:pPr>
            <w:r w:rsidRPr="006941FF">
              <w:rPr>
                <w:sz w:val="24"/>
                <w:szCs w:val="24"/>
              </w:rPr>
              <w:t>Asset Turnover</w:t>
            </w:r>
          </w:p>
        </w:tc>
        <w:tc>
          <w:tcPr>
            <w:tcW w:w="2760" w:type="dxa"/>
            <w:noWrap/>
            <w:hideMark/>
          </w:tcPr>
          <w:p w14:paraId="3BC1C3C1" w14:textId="535E5590" w:rsidR="006941FF" w:rsidRPr="006941FF" w:rsidRDefault="006941FF" w:rsidP="008617BD">
            <w:pPr>
              <w:rPr>
                <w:sz w:val="24"/>
                <w:szCs w:val="24"/>
              </w:rPr>
            </w:pPr>
            <w:r w:rsidRPr="006941FF">
              <w:rPr>
                <w:sz w:val="24"/>
                <w:szCs w:val="24"/>
              </w:rPr>
              <w:t>Turnover</w:t>
            </w:r>
            <w:r>
              <w:rPr>
                <w:sz w:val="24"/>
                <w:szCs w:val="24"/>
              </w:rPr>
              <w:t>/</w:t>
            </w:r>
            <w:r w:rsidRPr="006941FF">
              <w:rPr>
                <w:sz w:val="24"/>
                <w:szCs w:val="24"/>
              </w:rPr>
              <w:t xml:space="preserve"> Total Assets</w:t>
            </w:r>
          </w:p>
        </w:tc>
        <w:tc>
          <w:tcPr>
            <w:tcW w:w="1923" w:type="dxa"/>
            <w:noWrap/>
            <w:hideMark/>
          </w:tcPr>
          <w:p w14:paraId="137F8966" w14:textId="77777777" w:rsidR="006941FF" w:rsidRPr="006941FF" w:rsidRDefault="006941FF" w:rsidP="008617BD">
            <w:pPr>
              <w:rPr>
                <w:sz w:val="24"/>
                <w:szCs w:val="24"/>
              </w:rPr>
            </w:pPr>
            <w:r w:rsidRPr="006941FF">
              <w:rPr>
                <w:sz w:val="24"/>
                <w:szCs w:val="24"/>
              </w:rPr>
              <w:t>59,604 ÷ 75,266 = 0.79</w:t>
            </w:r>
          </w:p>
        </w:tc>
        <w:tc>
          <w:tcPr>
            <w:tcW w:w="2400" w:type="dxa"/>
            <w:noWrap/>
            <w:hideMark/>
          </w:tcPr>
          <w:p w14:paraId="1EC6D012" w14:textId="77777777" w:rsidR="006941FF" w:rsidRPr="006941FF" w:rsidRDefault="006941FF" w:rsidP="008617BD">
            <w:pPr>
              <w:rPr>
                <w:sz w:val="24"/>
                <w:szCs w:val="24"/>
              </w:rPr>
            </w:pPr>
            <w:r w:rsidRPr="006941FF">
              <w:rPr>
                <w:sz w:val="24"/>
                <w:szCs w:val="24"/>
              </w:rPr>
              <w:t>60,761 ÷ 79,750 = 0.76</w:t>
            </w:r>
          </w:p>
        </w:tc>
      </w:tr>
      <w:tr w:rsidR="006941FF" w:rsidRPr="006941FF" w14:paraId="23D810A5" w14:textId="77777777" w:rsidTr="006941FF">
        <w:trPr>
          <w:trHeight w:val="290"/>
        </w:trPr>
        <w:tc>
          <w:tcPr>
            <w:tcW w:w="1222" w:type="dxa"/>
            <w:noWrap/>
            <w:hideMark/>
          </w:tcPr>
          <w:p w14:paraId="5A982771" w14:textId="77777777" w:rsidR="006941FF" w:rsidRPr="006941FF" w:rsidRDefault="006941FF" w:rsidP="008617BD">
            <w:pPr>
              <w:rPr>
                <w:sz w:val="24"/>
                <w:szCs w:val="24"/>
              </w:rPr>
            </w:pPr>
            <w:r w:rsidRPr="006941FF">
              <w:rPr>
                <w:sz w:val="24"/>
                <w:szCs w:val="24"/>
              </w:rPr>
              <w:t>Efficiency</w:t>
            </w:r>
          </w:p>
        </w:tc>
        <w:tc>
          <w:tcPr>
            <w:tcW w:w="1188" w:type="dxa"/>
            <w:noWrap/>
            <w:hideMark/>
          </w:tcPr>
          <w:p w14:paraId="1A2E0A99" w14:textId="77777777" w:rsidR="006941FF" w:rsidRPr="006941FF" w:rsidRDefault="006941FF" w:rsidP="008617BD">
            <w:pPr>
              <w:rPr>
                <w:sz w:val="24"/>
                <w:szCs w:val="24"/>
              </w:rPr>
            </w:pPr>
            <w:r w:rsidRPr="006941FF">
              <w:rPr>
                <w:sz w:val="24"/>
                <w:szCs w:val="24"/>
              </w:rPr>
              <w:t>Inventory Turnover</w:t>
            </w:r>
          </w:p>
        </w:tc>
        <w:tc>
          <w:tcPr>
            <w:tcW w:w="2760" w:type="dxa"/>
            <w:noWrap/>
            <w:hideMark/>
          </w:tcPr>
          <w:p w14:paraId="73593C50" w14:textId="51CEE763" w:rsidR="006941FF" w:rsidRPr="006941FF" w:rsidRDefault="006941FF" w:rsidP="008617BD">
            <w:pPr>
              <w:rPr>
                <w:sz w:val="24"/>
                <w:szCs w:val="24"/>
              </w:rPr>
            </w:pPr>
            <w:r w:rsidRPr="006941FF">
              <w:rPr>
                <w:sz w:val="24"/>
                <w:szCs w:val="24"/>
              </w:rPr>
              <w:t xml:space="preserve">Cost of Sales </w:t>
            </w:r>
            <w:r>
              <w:rPr>
                <w:sz w:val="24"/>
                <w:szCs w:val="24"/>
              </w:rPr>
              <w:t>/</w:t>
            </w:r>
            <w:r w:rsidRPr="006941FF">
              <w:rPr>
                <w:sz w:val="24"/>
                <w:szCs w:val="24"/>
              </w:rPr>
              <w:t>Average Inventories</w:t>
            </w:r>
          </w:p>
        </w:tc>
        <w:tc>
          <w:tcPr>
            <w:tcW w:w="1923" w:type="dxa"/>
            <w:noWrap/>
            <w:hideMark/>
          </w:tcPr>
          <w:p w14:paraId="416BB3C3" w14:textId="77777777" w:rsidR="006941FF" w:rsidRPr="006941FF" w:rsidRDefault="006941FF" w:rsidP="008617BD">
            <w:pPr>
              <w:rPr>
                <w:sz w:val="24"/>
                <w:szCs w:val="24"/>
              </w:rPr>
            </w:pPr>
            <w:r w:rsidRPr="006941FF">
              <w:rPr>
                <w:sz w:val="24"/>
                <w:szCs w:val="24"/>
              </w:rPr>
              <w:t>Not directly available</w:t>
            </w:r>
          </w:p>
        </w:tc>
        <w:tc>
          <w:tcPr>
            <w:tcW w:w="2400" w:type="dxa"/>
            <w:noWrap/>
            <w:hideMark/>
          </w:tcPr>
          <w:p w14:paraId="5BDC0C7D" w14:textId="77777777" w:rsidR="006941FF" w:rsidRPr="006941FF" w:rsidRDefault="006941FF" w:rsidP="008617BD">
            <w:pPr>
              <w:rPr>
                <w:sz w:val="24"/>
                <w:szCs w:val="24"/>
              </w:rPr>
            </w:pPr>
            <w:r w:rsidRPr="006941FF">
              <w:rPr>
                <w:sz w:val="24"/>
                <w:szCs w:val="24"/>
              </w:rPr>
              <w:t>Not directly available</w:t>
            </w:r>
          </w:p>
        </w:tc>
      </w:tr>
      <w:tr w:rsidR="006941FF" w:rsidRPr="006941FF" w14:paraId="6929D7F4" w14:textId="77777777" w:rsidTr="006941FF">
        <w:trPr>
          <w:trHeight w:val="290"/>
        </w:trPr>
        <w:tc>
          <w:tcPr>
            <w:tcW w:w="1222" w:type="dxa"/>
            <w:noWrap/>
            <w:hideMark/>
          </w:tcPr>
          <w:p w14:paraId="33035FBC" w14:textId="77777777" w:rsidR="006941FF" w:rsidRPr="006941FF" w:rsidRDefault="006941FF" w:rsidP="008617BD">
            <w:pPr>
              <w:rPr>
                <w:sz w:val="24"/>
                <w:szCs w:val="24"/>
              </w:rPr>
            </w:pPr>
            <w:r w:rsidRPr="006941FF">
              <w:rPr>
                <w:sz w:val="24"/>
                <w:szCs w:val="24"/>
              </w:rPr>
              <w:t>Investor</w:t>
            </w:r>
          </w:p>
        </w:tc>
        <w:tc>
          <w:tcPr>
            <w:tcW w:w="1188" w:type="dxa"/>
            <w:noWrap/>
            <w:hideMark/>
          </w:tcPr>
          <w:p w14:paraId="237C8850" w14:textId="77777777" w:rsidR="006941FF" w:rsidRPr="006941FF" w:rsidRDefault="006941FF" w:rsidP="008617BD">
            <w:pPr>
              <w:rPr>
                <w:sz w:val="24"/>
                <w:szCs w:val="24"/>
              </w:rPr>
            </w:pPr>
            <w:r w:rsidRPr="006941FF">
              <w:rPr>
                <w:sz w:val="24"/>
                <w:szCs w:val="24"/>
              </w:rPr>
              <w:t>Earnings Per Share (EPS)</w:t>
            </w:r>
          </w:p>
        </w:tc>
        <w:tc>
          <w:tcPr>
            <w:tcW w:w="2760" w:type="dxa"/>
            <w:noWrap/>
            <w:hideMark/>
          </w:tcPr>
          <w:p w14:paraId="7B8636CE" w14:textId="454F2304" w:rsidR="006941FF" w:rsidRPr="006941FF" w:rsidRDefault="006941FF" w:rsidP="008617BD">
            <w:pPr>
              <w:rPr>
                <w:sz w:val="24"/>
                <w:szCs w:val="24"/>
              </w:rPr>
            </w:pPr>
            <w:r w:rsidRPr="006941FF">
              <w:rPr>
                <w:sz w:val="24"/>
                <w:szCs w:val="24"/>
              </w:rPr>
              <w:t>Net Profit</w:t>
            </w:r>
            <w:r>
              <w:rPr>
                <w:sz w:val="24"/>
                <w:szCs w:val="24"/>
              </w:rPr>
              <w:t>/</w:t>
            </w:r>
            <w:r w:rsidRPr="006941FF">
              <w:rPr>
                <w:sz w:val="24"/>
                <w:szCs w:val="24"/>
              </w:rPr>
              <w:t xml:space="preserve"> Average Shares</w:t>
            </w:r>
          </w:p>
        </w:tc>
        <w:tc>
          <w:tcPr>
            <w:tcW w:w="1923" w:type="dxa"/>
            <w:noWrap/>
            <w:hideMark/>
          </w:tcPr>
          <w:p w14:paraId="66F1838E" w14:textId="77777777" w:rsidR="006941FF" w:rsidRPr="006941FF" w:rsidRDefault="006941FF" w:rsidP="008617BD">
            <w:pPr>
              <w:rPr>
                <w:sz w:val="24"/>
                <w:szCs w:val="24"/>
              </w:rPr>
            </w:pPr>
            <w:r w:rsidRPr="006941FF">
              <w:rPr>
                <w:sz w:val="24"/>
                <w:szCs w:val="24"/>
              </w:rPr>
              <w:t>€2.58</w:t>
            </w:r>
          </w:p>
        </w:tc>
        <w:tc>
          <w:tcPr>
            <w:tcW w:w="2400" w:type="dxa"/>
            <w:noWrap/>
            <w:hideMark/>
          </w:tcPr>
          <w:p w14:paraId="5A50CF34" w14:textId="77777777" w:rsidR="006941FF" w:rsidRPr="006941FF" w:rsidRDefault="006941FF" w:rsidP="008617BD">
            <w:pPr>
              <w:rPr>
                <w:sz w:val="24"/>
                <w:szCs w:val="24"/>
              </w:rPr>
            </w:pPr>
            <w:r w:rsidRPr="006941FF">
              <w:rPr>
                <w:sz w:val="24"/>
                <w:szCs w:val="24"/>
              </w:rPr>
              <w:t>€2.30</w:t>
            </w:r>
          </w:p>
        </w:tc>
      </w:tr>
      <w:tr w:rsidR="006941FF" w:rsidRPr="006941FF" w14:paraId="799649F8" w14:textId="77777777" w:rsidTr="006941FF">
        <w:trPr>
          <w:trHeight w:val="290"/>
        </w:trPr>
        <w:tc>
          <w:tcPr>
            <w:tcW w:w="1222" w:type="dxa"/>
            <w:noWrap/>
            <w:hideMark/>
          </w:tcPr>
          <w:p w14:paraId="054E9239" w14:textId="77777777" w:rsidR="006941FF" w:rsidRPr="006941FF" w:rsidRDefault="006941FF" w:rsidP="008617BD">
            <w:pPr>
              <w:rPr>
                <w:sz w:val="24"/>
                <w:szCs w:val="24"/>
              </w:rPr>
            </w:pPr>
            <w:r w:rsidRPr="006941FF">
              <w:rPr>
                <w:sz w:val="24"/>
                <w:szCs w:val="24"/>
              </w:rPr>
              <w:t>Investor</w:t>
            </w:r>
          </w:p>
        </w:tc>
        <w:tc>
          <w:tcPr>
            <w:tcW w:w="1188" w:type="dxa"/>
            <w:noWrap/>
            <w:hideMark/>
          </w:tcPr>
          <w:p w14:paraId="324C3B5F" w14:textId="77777777" w:rsidR="006941FF" w:rsidRPr="006941FF" w:rsidRDefault="006941FF" w:rsidP="008617BD">
            <w:pPr>
              <w:rPr>
                <w:sz w:val="24"/>
                <w:szCs w:val="24"/>
              </w:rPr>
            </w:pPr>
            <w:r w:rsidRPr="006941FF">
              <w:rPr>
                <w:sz w:val="24"/>
                <w:szCs w:val="24"/>
              </w:rPr>
              <w:t>Dividend Yield</w:t>
            </w:r>
          </w:p>
        </w:tc>
        <w:tc>
          <w:tcPr>
            <w:tcW w:w="2760" w:type="dxa"/>
            <w:noWrap/>
            <w:hideMark/>
          </w:tcPr>
          <w:p w14:paraId="318E7ADD" w14:textId="3F7DEF32" w:rsidR="006941FF" w:rsidRPr="006941FF" w:rsidRDefault="006941FF" w:rsidP="008617BD">
            <w:pPr>
              <w:rPr>
                <w:sz w:val="24"/>
                <w:szCs w:val="24"/>
              </w:rPr>
            </w:pPr>
            <w:r>
              <w:rPr>
                <w:sz w:val="24"/>
                <w:szCs w:val="24"/>
              </w:rPr>
              <w:t>(</w:t>
            </w:r>
            <w:r w:rsidRPr="006941FF">
              <w:rPr>
                <w:sz w:val="24"/>
                <w:szCs w:val="24"/>
              </w:rPr>
              <w:t xml:space="preserve">Dividend per Share </w:t>
            </w:r>
            <w:r>
              <w:rPr>
                <w:sz w:val="24"/>
                <w:szCs w:val="24"/>
              </w:rPr>
              <w:t>/</w:t>
            </w:r>
            <w:r w:rsidRPr="006941FF">
              <w:rPr>
                <w:sz w:val="24"/>
                <w:szCs w:val="24"/>
              </w:rPr>
              <w:t xml:space="preserve"> Share Price</w:t>
            </w:r>
            <w:r>
              <w:rPr>
                <w:sz w:val="24"/>
                <w:szCs w:val="24"/>
              </w:rPr>
              <w:t>)</w:t>
            </w:r>
            <w:r w:rsidRPr="006941FF">
              <w:rPr>
                <w:sz w:val="24"/>
                <w:szCs w:val="24"/>
              </w:rPr>
              <w:t xml:space="preserve"> × 100</w:t>
            </w:r>
          </w:p>
        </w:tc>
        <w:tc>
          <w:tcPr>
            <w:tcW w:w="1923" w:type="dxa"/>
            <w:noWrap/>
            <w:hideMark/>
          </w:tcPr>
          <w:p w14:paraId="420C3179" w14:textId="77777777" w:rsidR="006941FF" w:rsidRPr="006941FF" w:rsidRDefault="006941FF" w:rsidP="008617BD">
            <w:pPr>
              <w:rPr>
                <w:sz w:val="24"/>
                <w:szCs w:val="24"/>
              </w:rPr>
            </w:pPr>
            <w:r w:rsidRPr="006941FF">
              <w:rPr>
                <w:sz w:val="24"/>
                <w:szCs w:val="24"/>
              </w:rPr>
              <w:t>~3.8%</w:t>
            </w:r>
          </w:p>
        </w:tc>
        <w:tc>
          <w:tcPr>
            <w:tcW w:w="2400" w:type="dxa"/>
            <w:noWrap/>
            <w:hideMark/>
          </w:tcPr>
          <w:p w14:paraId="68D2C9D8" w14:textId="77777777" w:rsidR="006941FF" w:rsidRPr="006941FF" w:rsidRDefault="006941FF" w:rsidP="008617BD">
            <w:pPr>
              <w:rPr>
                <w:sz w:val="24"/>
                <w:szCs w:val="24"/>
              </w:rPr>
            </w:pPr>
            <w:r w:rsidRPr="006941FF">
              <w:rPr>
                <w:sz w:val="24"/>
                <w:szCs w:val="24"/>
              </w:rPr>
              <w:t>~3.8%</w:t>
            </w:r>
          </w:p>
        </w:tc>
      </w:tr>
      <w:tr w:rsidR="006941FF" w:rsidRPr="006941FF" w14:paraId="32B0C64E" w14:textId="77777777" w:rsidTr="006941FF">
        <w:trPr>
          <w:trHeight w:val="290"/>
        </w:trPr>
        <w:tc>
          <w:tcPr>
            <w:tcW w:w="1222" w:type="dxa"/>
            <w:noWrap/>
            <w:hideMark/>
          </w:tcPr>
          <w:p w14:paraId="15A09B85" w14:textId="77777777" w:rsidR="006941FF" w:rsidRPr="006941FF" w:rsidRDefault="006941FF" w:rsidP="008617BD">
            <w:pPr>
              <w:rPr>
                <w:sz w:val="24"/>
                <w:szCs w:val="24"/>
              </w:rPr>
            </w:pPr>
            <w:r w:rsidRPr="006941FF">
              <w:rPr>
                <w:sz w:val="24"/>
                <w:szCs w:val="24"/>
              </w:rPr>
              <w:t>Investor</w:t>
            </w:r>
          </w:p>
        </w:tc>
        <w:tc>
          <w:tcPr>
            <w:tcW w:w="1188" w:type="dxa"/>
            <w:noWrap/>
            <w:hideMark/>
          </w:tcPr>
          <w:p w14:paraId="4D7AEA7F" w14:textId="77777777" w:rsidR="006941FF" w:rsidRPr="006941FF" w:rsidRDefault="006941FF" w:rsidP="008617BD">
            <w:pPr>
              <w:rPr>
                <w:sz w:val="24"/>
                <w:szCs w:val="24"/>
              </w:rPr>
            </w:pPr>
            <w:r w:rsidRPr="006941FF">
              <w:rPr>
                <w:sz w:val="24"/>
                <w:szCs w:val="24"/>
              </w:rPr>
              <w:t>Price-to-Earnings (P/E)</w:t>
            </w:r>
          </w:p>
        </w:tc>
        <w:tc>
          <w:tcPr>
            <w:tcW w:w="2760" w:type="dxa"/>
            <w:noWrap/>
            <w:hideMark/>
          </w:tcPr>
          <w:p w14:paraId="7F82F847" w14:textId="19284A4F" w:rsidR="006941FF" w:rsidRPr="006941FF" w:rsidRDefault="006941FF" w:rsidP="008617BD">
            <w:pPr>
              <w:rPr>
                <w:sz w:val="24"/>
                <w:szCs w:val="24"/>
              </w:rPr>
            </w:pPr>
            <w:r w:rsidRPr="006941FF">
              <w:rPr>
                <w:sz w:val="24"/>
                <w:szCs w:val="24"/>
              </w:rPr>
              <w:t xml:space="preserve">Share Price </w:t>
            </w:r>
            <w:r>
              <w:rPr>
                <w:sz w:val="24"/>
                <w:szCs w:val="24"/>
              </w:rPr>
              <w:t>/</w:t>
            </w:r>
            <w:r w:rsidRPr="006941FF">
              <w:rPr>
                <w:sz w:val="24"/>
                <w:szCs w:val="24"/>
              </w:rPr>
              <w:t xml:space="preserve"> EPS</w:t>
            </w:r>
          </w:p>
        </w:tc>
        <w:tc>
          <w:tcPr>
            <w:tcW w:w="1923" w:type="dxa"/>
            <w:noWrap/>
            <w:hideMark/>
          </w:tcPr>
          <w:p w14:paraId="5E7BBC71" w14:textId="77777777" w:rsidR="006941FF" w:rsidRPr="006941FF" w:rsidRDefault="006941FF" w:rsidP="008617BD">
            <w:pPr>
              <w:rPr>
                <w:sz w:val="24"/>
                <w:szCs w:val="24"/>
              </w:rPr>
            </w:pPr>
            <w:r w:rsidRPr="006941FF">
              <w:rPr>
                <w:sz w:val="24"/>
                <w:szCs w:val="24"/>
              </w:rPr>
              <w:t>18.5×</w:t>
            </w:r>
          </w:p>
        </w:tc>
        <w:tc>
          <w:tcPr>
            <w:tcW w:w="2400" w:type="dxa"/>
            <w:noWrap/>
            <w:hideMark/>
          </w:tcPr>
          <w:p w14:paraId="4BF9369B" w14:textId="77777777" w:rsidR="006941FF" w:rsidRPr="006941FF" w:rsidRDefault="006941FF" w:rsidP="008617BD">
            <w:pPr>
              <w:rPr>
                <w:sz w:val="24"/>
                <w:szCs w:val="24"/>
              </w:rPr>
            </w:pPr>
            <w:r w:rsidRPr="006941FF">
              <w:rPr>
                <w:sz w:val="24"/>
                <w:szCs w:val="24"/>
              </w:rPr>
              <w:t>17.8×</w:t>
            </w:r>
          </w:p>
        </w:tc>
      </w:tr>
    </w:tbl>
    <w:p w14:paraId="0FA75025" w14:textId="6F8A5FE8" w:rsidR="00C623DB" w:rsidRPr="00B24F43" w:rsidRDefault="00C623DB" w:rsidP="00B24F43"/>
    <w:p w14:paraId="26B5D16E" w14:textId="0468331F" w:rsidR="007A604D" w:rsidRPr="008617BD" w:rsidRDefault="008617BD" w:rsidP="008617BD">
      <w:pPr>
        <w:pStyle w:val="Heading2"/>
        <w:rPr>
          <w:rFonts w:ascii="Times New Roman" w:hAnsi="Times New Roman" w:cs="Times New Roman"/>
          <w:b/>
          <w:bCs/>
          <w:color w:val="auto"/>
          <w:sz w:val="24"/>
          <w:szCs w:val="24"/>
        </w:rPr>
      </w:pPr>
      <w:bookmarkStart w:id="21" w:name="_Toc218616266"/>
      <w:r w:rsidRPr="008617BD">
        <w:rPr>
          <w:rFonts w:ascii="Times New Roman" w:hAnsi="Times New Roman" w:cs="Times New Roman"/>
          <w:b/>
          <w:bCs/>
          <w:color w:val="auto"/>
          <w:sz w:val="24"/>
          <w:szCs w:val="24"/>
        </w:rPr>
        <w:t xml:space="preserve">6.6 </w:t>
      </w:r>
      <w:r w:rsidR="007A604D" w:rsidRPr="008617BD">
        <w:rPr>
          <w:rFonts w:ascii="Times New Roman" w:hAnsi="Times New Roman" w:cs="Times New Roman"/>
          <w:b/>
          <w:bCs/>
          <w:color w:val="auto"/>
          <w:sz w:val="24"/>
          <w:szCs w:val="24"/>
        </w:rPr>
        <w:t>NPV calculations</w:t>
      </w:r>
      <w:bookmarkEnd w:id="21"/>
    </w:p>
    <w:p w14:paraId="283036E3" w14:textId="77777777" w:rsidR="007A604D" w:rsidRDefault="007A604D" w:rsidP="007A604D">
      <w:r w:rsidRPr="00CA6FAF">
        <w:t>Adjusted</w:t>
      </w:r>
      <m:oMath>
        <m:sSub>
          <m:sSubPr>
            <m:ctrlPr>
              <w:rPr>
                <w:rFonts w:ascii="Cambria Math" w:hAnsi="Cambria Math"/>
                <w:i/>
              </w:rPr>
            </m:ctrlPr>
          </m:sSubPr>
          <m:e>
            <m:r>
              <w:rPr>
                <w:rFonts w:ascii="Cambria Math" w:hAnsi="Cambria Math"/>
              </w:rPr>
              <m:t>CF</m:t>
            </m:r>
          </m:e>
          <m:sub>
            <m:r>
              <w:rPr>
                <w:rFonts w:ascii="Cambria Math" w:hAnsi="Cambria Math"/>
              </w:rPr>
              <m:t>t</m:t>
            </m:r>
          </m:sub>
        </m:sSub>
      </m:oMath>
      <w:r w:rsidRPr="00CA6FAF">
        <w:t> =</w:t>
      </w:r>
      <w:r>
        <w:t xml:space="preserve"> </w:t>
      </w:r>
      <w:r w:rsidRPr="00CA6FAF">
        <w:t>(Operating </w:t>
      </w:r>
      <m:oMath>
        <m:sSub>
          <m:sSubPr>
            <m:ctrlPr>
              <w:rPr>
                <w:rFonts w:ascii="Cambria Math" w:hAnsi="Cambria Math"/>
                <w:i/>
              </w:rPr>
            </m:ctrlPr>
          </m:sSubPr>
          <m:e>
            <m:r>
              <w:rPr>
                <w:rFonts w:ascii="Cambria Math" w:hAnsi="Cambria Math"/>
              </w:rPr>
              <m:t>CF</m:t>
            </m:r>
          </m:e>
          <m:sub>
            <m:r>
              <w:rPr>
                <w:rFonts w:ascii="Cambria Math" w:hAnsi="Cambria Math"/>
              </w:rPr>
              <m:t>t</m:t>
            </m:r>
          </m:sub>
        </m:sSub>
      </m:oMath>
      <w:r w:rsidRPr="00CA6FAF">
        <w:t> ×</w:t>
      </w:r>
      <w:r>
        <w:t xml:space="preserve"> </w:t>
      </w:r>
      <w:r w:rsidRPr="00CA6FAF">
        <w:t>(1−Tax Rate))</w:t>
      </w:r>
      <w:r>
        <w:t xml:space="preserve"> </w:t>
      </w:r>
      <w:r w:rsidRPr="00CA6FAF">
        <w:t>+</w:t>
      </w:r>
      <w:r>
        <w:t xml:space="preserve"> </w:t>
      </w:r>
      <w:r w:rsidRPr="00CA6FAF">
        <w:t>(Capital Allowance</w:t>
      </w:r>
      <w:r>
        <w:t xml:space="preserve"> </w:t>
      </w:r>
      <w:r w:rsidRPr="00CA6FAF">
        <w:t>×</w:t>
      </w:r>
      <w:r>
        <w:t xml:space="preserve"> </w:t>
      </w:r>
      <w:r w:rsidRPr="00CA6FAF">
        <w:t>Tax Rate)</w:t>
      </w:r>
    </w:p>
    <w:p w14:paraId="5CB678B5" w14:textId="77777777" w:rsidR="007A604D" w:rsidRDefault="007A604D" w:rsidP="007A604D">
      <w:pPr>
        <w:rPr>
          <w:rFonts w:eastAsiaTheme="minorEastAsia"/>
        </w:rPr>
      </w:pPr>
      <w:r>
        <w:t xml:space="preserve">NPV= </w:t>
      </w:r>
      <m:oMath>
        <m:nary>
          <m:naryPr>
            <m:chr m:val="∑"/>
            <m:limLoc m:val="undOvr"/>
            <m:ctrlPr>
              <w:rPr>
                <w:rFonts w:ascii="Cambria Math" w:hAnsi="Cambria Math"/>
                <w:i/>
              </w:rPr>
            </m:ctrlPr>
          </m:naryPr>
          <m:sub>
            <m:r>
              <w:rPr>
                <w:rFonts w:ascii="Cambria Math" w:hAnsi="Cambria Math"/>
              </w:rPr>
              <m:t>t-1</m:t>
            </m:r>
          </m:sub>
          <m:sup>
            <m:r>
              <w:rPr>
                <w:rFonts w:ascii="Cambria Math" w:hAnsi="Cambria Math"/>
              </w:rPr>
              <m:t>4</m:t>
            </m:r>
          </m:sup>
          <m:e>
            <m:f>
              <m:fPr>
                <m:ctrlPr>
                  <w:rPr>
                    <w:rFonts w:ascii="Cambria Math" w:hAnsi="Cambria Math"/>
                    <w:i/>
                  </w:rPr>
                </m:ctrlPr>
              </m:fPr>
              <m:num>
                <m:r>
                  <w:rPr>
                    <w:rFonts w:ascii="Cambria Math" w:hAnsi="Cambria Math"/>
                  </w:rPr>
                  <m:t xml:space="preserve">Adusted </m:t>
                </m:r>
                <m:sSub>
                  <m:sSubPr>
                    <m:ctrlPr>
                      <w:rPr>
                        <w:rFonts w:ascii="Cambria Math" w:hAnsi="Cambria Math"/>
                        <w:i/>
                      </w:rPr>
                    </m:ctrlPr>
                  </m:sSubPr>
                  <m:e>
                    <m:r>
                      <w:rPr>
                        <w:rFonts w:ascii="Cambria Math" w:hAnsi="Cambria Math"/>
                      </w:rPr>
                      <m:t>CF</m:t>
                    </m:r>
                  </m:e>
                  <m:sub>
                    <m:r>
                      <w:rPr>
                        <w:rFonts w:ascii="Cambria Math" w:hAnsi="Cambria Math"/>
                      </w:rPr>
                      <m:t>t</m:t>
                    </m:r>
                  </m:sub>
                </m:sSub>
                <m:r>
                  <m:rPr>
                    <m:sty m:val="p"/>
                  </m:rPr>
                  <w:rPr>
                    <w:rFonts w:ascii="Cambria Math" w:hAnsi="Cambria Math"/>
                  </w:rPr>
                  <m:t> </m:t>
                </m:r>
                <m:r>
                  <w:rPr>
                    <w:rFonts w:ascii="Cambria Math" w:hAnsi="Cambria Math"/>
                  </w:rPr>
                  <m:t xml:space="preserve"> </m:t>
                </m:r>
              </m:num>
              <m:den>
                <m:sSup>
                  <m:sSupPr>
                    <m:ctrlPr>
                      <w:rPr>
                        <w:rFonts w:ascii="Cambria Math" w:hAnsi="Cambria Math"/>
                        <w:i/>
                      </w:rPr>
                    </m:ctrlPr>
                  </m:sSupPr>
                  <m:e>
                    <m:r>
                      <w:rPr>
                        <w:rFonts w:ascii="Cambria Math" w:hAnsi="Cambria Math"/>
                      </w:rPr>
                      <m:t>(1+0.06)</m:t>
                    </m:r>
                  </m:e>
                  <m:sup>
                    <m:r>
                      <w:rPr>
                        <w:rFonts w:ascii="Cambria Math" w:hAnsi="Cambria Math"/>
                      </w:rPr>
                      <m:t>t</m:t>
                    </m:r>
                  </m:sup>
                </m:sSup>
              </m:den>
            </m:f>
          </m:e>
        </m:nary>
      </m:oMath>
      <w:r>
        <w:rPr>
          <w:rFonts w:eastAsiaTheme="minorEastAsia"/>
        </w:rPr>
        <w:t xml:space="preserve"> – Initial Investment</w:t>
      </w:r>
    </w:p>
    <w:p w14:paraId="5F419437" w14:textId="77777777" w:rsidR="007A604D" w:rsidRDefault="007A604D" w:rsidP="007A604D">
      <w:pPr>
        <w:rPr>
          <w:rFonts w:eastAsiaTheme="minorEastAsia"/>
        </w:rPr>
      </w:pPr>
    </w:p>
    <w:p w14:paraId="71DFE15D" w14:textId="77777777" w:rsidR="007A604D" w:rsidRPr="00E6005A" w:rsidRDefault="007A604D" w:rsidP="007A604D">
      <w:pPr>
        <w:rPr>
          <w:b/>
          <w:bCs/>
          <w:sz w:val="28"/>
          <w:szCs w:val="28"/>
        </w:rPr>
      </w:pPr>
      <w:r w:rsidRPr="00E6005A">
        <w:rPr>
          <w:b/>
          <w:bCs/>
          <w:sz w:val="28"/>
          <w:szCs w:val="28"/>
        </w:rPr>
        <w:t>Option A: Initial £600,000</w:t>
      </w:r>
    </w:p>
    <w:p w14:paraId="34D58F64" w14:textId="77777777" w:rsidR="007A604D" w:rsidRDefault="007A604D" w:rsidP="007A604D">
      <w:r w:rsidRPr="00E6005A">
        <w:t>Cash flows: 200, 400, 500, 700</w:t>
      </w:r>
    </w:p>
    <w:p w14:paraId="7FEACAAA" w14:textId="77777777" w:rsidR="007A604D" w:rsidRDefault="007A604D" w:rsidP="007A604D">
      <w:r w:rsidRPr="00E6005A">
        <w:t xml:space="preserve">Capital allowance = £600,000 × 20% = £120,000/year </w:t>
      </w:r>
    </w:p>
    <w:p w14:paraId="6D6DC5B4" w14:textId="77777777" w:rsidR="007A604D" w:rsidRDefault="007A604D" w:rsidP="007A604D">
      <w:r w:rsidRPr="00E6005A">
        <w:t>Tax shield = £120,000 × 25% = £30,000/year</w:t>
      </w:r>
    </w:p>
    <w:tbl>
      <w:tblPr>
        <w:tblStyle w:val="TableGrid"/>
        <w:tblW w:w="0" w:type="auto"/>
        <w:tblLook w:val="04A0" w:firstRow="1" w:lastRow="0" w:firstColumn="1" w:lastColumn="0" w:noHBand="0" w:noVBand="1"/>
      </w:tblPr>
      <w:tblGrid>
        <w:gridCol w:w="960"/>
        <w:gridCol w:w="960"/>
        <w:gridCol w:w="960"/>
        <w:gridCol w:w="960"/>
        <w:gridCol w:w="1012"/>
        <w:gridCol w:w="960"/>
      </w:tblGrid>
      <w:tr w:rsidR="007A604D" w:rsidRPr="00E6005A" w14:paraId="453447A4" w14:textId="77777777" w:rsidTr="001C41E5">
        <w:trPr>
          <w:trHeight w:val="290"/>
        </w:trPr>
        <w:tc>
          <w:tcPr>
            <w:tcW w:w="960" w:type="dxa"/>
            <w:noWrap/>
            <w:hideMark/>
          </w:tcPr>
          <w:p w14:paraId="2746849A" w14:textId="77777777" w:rsidR="007A604D" w:rsidRPr="00E6005A" w:rsidRDefault="007A604D" w:rsidP="001C41E5">
            <w:r w:rsidRPr="00E6005A">
              <w:t>Year</w:t>
            </w:r>
          </w:p>
        </w:tc>
        <w:tc>
          <w:tcPr>
            <w:tcW w:w="960" w:type="dxa"/>
            <w:noWrap/>
            <w:hideMark/>
          </w:tcPr>
          <w:p w14:paraId="5759C54F" w14:textId="77777777" w:rsidR="007A604D" w:rsidRPr="00E6005A" w:rsidRDefault="007A604D" w:rsidP="001C41E5">
            <w:r w:rsidRPr="00E6005A">
              <w:t>Cash Flow</w:t>
            </w:r>
          </w:p>
        </w:tc>
        <w:tc>
          <w:tcPr>
            <w:tcW w:w="960" w:type="dxa"/>
            <w:noWrap/>
            <w:hideMark/>
          </w:tcPr>
          <w:p w14:paraId="29F35ED6" w14:textId="77777777" w:rsidR="007A604D" w:rsidRPr="00E6005A" w:rsidRDefault="007A604D" w:rsidP="001C41E5">
            <w:r w:rsidRPr="00E6005A">
              <w:t>After Tax CF</w:t>
            </w:r>
          </w:p>
        </w:tc>
        <w:tc>
          <w:tcPr>
            <w:tcW w:w="960" w:type="dxa"/>
            <w:noWrap/>
            <w:hideMark/>
          </w:tcPr>
          <w:p w14:paraId="788A0A3C" w14:textId="77777777" w:rsidR="007A604D" w:rsidRPr="00E6005A" w:rsidRDefault="007A604D" w:rsidP="001C41E5">
            <w:r w:rsidRPr="00E6005A">
              <w:t>Tax Shield</w:t>
            </w:r>
          </w:p>
        </w:tc>
        <w:tc>
          <w:tcPr>
            <w:tcW w:w="960" w:type="dxa"/>
            <w:noWrap/>
            <w:hideMark/>
          </w:tcPr>
          <w:p w14:paraId="62B79F79" w14:textId="77777777" w:rsidR="007A604D" w:rsidRPr="00E6005A" w:rsidRDefault="007A604D" w:rsidP="001C41E5">
            <w:r w:rsidRPr="00E6005A">
              <w:t>Adjusted CF</w:t>
            </w:r>
          </w:p>
        </w:tc>
        <w:tc>
          <w:tcPr>
            <w:tcW w:w="960" w:type="dxa"/>
            <w:noWrap/>
            <w:hideMark/>
          </w:tcPr>
          <w:p w14:paraId="396DD294" w14:textId="77777777" w:rsidR="007A604D" w:rsidRPr="00E6005A" w:rsidRDefault="007A604D" w:rsidP="001C41E5">
            <w:r w:rsidRPr="00E6005A">
              <w:t>PV</w:t>
            </w:r>
          </w:p>
        </w:tc>
      </w:tr>
      <w:tr w:rsidR="007A604D" w:rsidRPr="00E6005A" w14:paraId="42490B99" w14:textId="77777777" w:rsidTr="001C41E5">
        <w:trPr>
          <w:trHeight w:val="290"/>
        </w:trPr>
        <w:tc>
          <w:tcPr>
            <w:tcW w:w="960" w:type="dxa"/>
            <w:noWrap/>
            <w:hideMark/>
          </w:tcPr>
          <w:p w14:paraId="01AD2A2F" w14:textId="77777777" w:rsidR="007A604D" w:rsidRPr="00E6005A" w:rsidRDefault="007A604D" w:rsidP="001C41E5">
            <w:r w:rsidRPr="00E6005A">
              <w:t>1</w:t>
            </w:r>
          </w:p>
        </w:tc>
        <w:tc>
          <w:tcPr>
            <w:tcW w:w="960" w:type="dxa"/>
            <w:noWrap/>
            <w:hideMark/>
          </w:tcPr>
          <w:p w14:paraId="6B380B1D" w14:textId="77777777" w:rsidR="007A604D" w:rsidRPr="00E6005A" w:rsidRDefault="007A604D" w:rsidP="001C41E5">
            <w:r w:rsidRPr="00E6005A">
              <w:t>200</w:t>
            </w:r>
          </w:p>
        </w:tc>
        <w:tc>
          <w:tcPr>
            <w:tcW w:w="960" w:type="dxa"/>
            <w:noWrap/>
            <w:hideMark/>
          </w:tcPr>
          <w:p w14:paraId="600F40A9" w14:textId="77777777" w:rsidR="007A604D" w:rsidRPr="00E6005A" w:rsidRDefault="007A604D" w:rsidP="001C41E5">
            <w:r w:rsidRPr="00E6005A">
              <w:t>150</w:t>
            </w:r>
          </w:p>
        </w:tc>
        <w:tc>
          <w:tcPr>
            <w:tcW w:w="960" w:type="dxa"/>
            <w:noWrap/>
            <w:hideMark/>
          </w:tcPr>
          <w:p w14:paraId="44307E2B" w14:textId="77777777" w:rsidR="007A604D" w:rsidRPr="00E6005A" w:rsidRDefault="007A604D" w:rsidP="001C41E5">
            <w:r w:rsidRPr="00E6005A">
              <w:t>30</w:t>
            </w:r>
          </w:p>
        </w:tc>
        <w:tc>
          <w:tcPr>
            <w:tcW w:w="960" w:type="dxa"/>
            <w:noWrap/>
            <w:hideMark/>
          </w:tcPr>
          <w:p w14:paraId="13650B3E" w14:textId="77777777" w:rsidR="007A604D" w:rsidRPr="00E6005A" w:rsidRDefault="007A604D" w:rsidP="001C41E5">
            <w:r w:rsidRPr="00E6005A">
              <w:t>180</w:t>
            </w:r>
          </w:p>
        </w:tc>
        <w:tc>
          <w:tcPr>
            <w:tcW w:w="960" w:type="dxa"/>
            <w:noWrap/>
            <w:hideMark/>
          </w:tcPr>
          <w:p w14:paraId="266D1846" w14:textId="77777777" w:rsidR="007A604D" w:rsidRPr="00E6005A" w:rsidRDefault="007A604D" w:rsidP="001C41E5">
            <w:r w:rsidRPr="00E6005A">
              <w:t>169.7</w:t>
            </w:r>
          </w:p>
        </w:tc>
      </w:tr>
      <w:tr w:rsidR="007A604D" w:rsidRPr="00E6005A" w14:paraId="2A70F01D" w14:textId="77777777" w:rsidTr="001C41E5">
        <w:trPr>
          <w:trHeight w:val="290"/>
        </w:trPr>
        <w:tc>
          <w:tcPr>
            <w:tcW w:w="960" w:type="dxa"/>
            <w:noWrap/>
            <w:hideMark/>
          </w:tcPr>
          <w:p w14:paraId="074EC214" w14:textId="77777777" w:rsidR="007A604D" w:rsidRPr="00E6005A" w:rsidRDefault="007A604D" w:rsidP="001C41E5">
            <w:r w:rsidRPr="00E6005A">
              <w:t>2</w:t>
            </w:r>
          </w:p>
        </w:tc>
        <w:tc>
          <w:tcPr>
            <w:tcW w:w="960" w:type="dxa"/>
            <w:noWrap/>
            <w:hideMark/>
          </w:tcPr>
          <w:p w14:paraId="73783668" w14:textId="77777777" w:rsidR="007A604D" w:rsidRPr="00E6005A" w:rsidRDefault="007A604D" w:rsidP="001C41E5">
            <w:r w:rsidRPr="00E6005A">
              <w:t>400</w:t>
            </w:r>
          </w:p>
        </w:tc>
        <w:tc>
          <w:tcPr>
            <w:tcW w:w="960" w:type="dxa"/>
            <w:noWrap/>
            <w:hideMark/>
          </w:tcPr>
          <w:p w14:paraId="65CC1603" w14:textId="77777777" w:rsidR="007A604D" w:rsidRPr="00E6005A" w:rsidRDefault="007A604D" w:rsidP="001C41E5">
            <w:r w:rsidRPr="00E6005A">
              <w:t>300</w:t>
            </w:r>
          </w:p>
        </w:tc>
        <w:tc>
          <w:tcPr>
            <w:tcW w:w="960" w:type="dxa"/>
            <w:noWrap/>
            <w:hideMark/>
          </w:tcPr>
          <w:p w14:paraId="61755006" w14:textId="77777777" w:rsidR="007A604D" w:rsidRPr="00E6005A" w:rsidRDefault="007A604D" w:rsidP="001C41E5">
            <w:r w:rsidRPr="00E6005A">
              <w:t>30</w:t>
            </w:r>
          </w:p>
        </w:tc>
        <w:tc>
          <w:tcPr>
            <w:tcW w:w="960" w:type="dxa"/>
            <w:noWrap/>
            <w:hideMark/>
          </w:tcPr>
          <w:p w14:paraId="6C8BD556" w14:textId="77777777" w:rsidR="007A604D" w:rsidRPr="00E6005A" w:rsidRDefault="007A604D" w:rsidP="001C41E5">
            <w:r w:rsidRPr="00E6005A">
              <w:t>330</w:t>
            </w:r>
          </w:p>
        </w:tc>
        <w:tc>
          <w:tcPr>
            <w:tcW w:w="960" w:type="dxa"/>
            <w:noWrap/>
            <w:hideMark/>
          </w:tcPr>
          <w:p w14:paraId="4B84384E" w14:textId="77777777" w:rsidR="007A604D" w:rsidRPr="00E6005A" w:rsidRDefault="007A604D" w:rsidP="001C41E5">
            <w:r w:rsidRPr="00E6005A">
              <w:t>293.7</w:t>
            </w:r>
          </w:p>
        </w:tc>
      </w:tr>
      <w:tr w:rsidR="007A604D" w:rsidRPr="00E6005A" w14:paraId="7FE241CA" w14:textId="77777777" w:rsidTr="001C41E5">
        <w:trPr>
          <w:trHeight w:val="290"/>
        </w:trPr>
        <w:tc>
          <w:tcPr>
            <w:tcW w:w="960" w:type="dxa"/>
            <w:noWrap/>
            <w:hideMark/>
          </w:tcPr>
          <w:p w14:paraId="49B851F7" w14:textId="77777777" w:rsidR="007A604D" w:rsidRPr="00E6005A" w:rsidRDefault="007A604D" w:rsidP="001C41E5">
            <w:r w:rsidRPr="00E6005A">
              <w:t>3</w:t>
            </w:r>
          </w:p>
        </w:tc>
        <w:tc>
          <w:tcPr>
            <w:tcW w:w="960" w:type="dxa"/>
            <w:noWrap/>
            <w:hideMark/>
          </w:tcPr>
          <w:p w14:paraId="3F2D4ADF" w14:textId="77777777" w:rsidR="007A604D" w:rsidRPr="00E6005A" w:rsidRDefault="007A604D" w:rsidP="001C41E5">
            <w:r w:rsidRPr="00E6005A">
              <w:t>500</w:t>
            </w:r>
          </w:p>
        </w:tc>
        <w:tc>
          <w:tcPr>
            <w:tcW w:w="960" w:type="dxa"/>
            <w:noWrap/>
            <w:hideMark/>
          </w:tcPr>
          <w:p w14:paraId="479E1432" w14:textId="77777777" w:rsidR="007A604D" w:rsidRPr="00E6005A" w:rsidRDefault="007A604D" w:rsidP="001C41E5">
            <w:r w:rsidRPr="00E6005A">
              <w:t>375</w:t>
            </w:r>
          </w:p>
        </w:tc>
        <w:tc>
          <w:tcPr>
            <w:tcW w:w="960" w:type="dxa"/>
            <w:noWrap/>
            <w:hideMark/>
          </w:tcPr>
          <w:p w14:paraId="16798B12" w14:textId="77777777" w:rsidR="007A604D" w:rsidRPr="00E6005A" w:rsidRDefault="007A604D" w:rsidP="001C41E5">
            <w:r w:rsidRPr="00E6005A">
              <w:t>30</w:t>
            </w:r>
          </w:p>
        </w:tc>
        <w:tc>
          <w:tcPr>
            <w:tcW w:w="960" w:type="dxa"/>
            <w:noWrap/>
            <w:hideMark/>
          </w:tcPr>
          <w:p w14:paraId="4FD90143" w14:textId="77777777" w:rsidR="007A604D" w:rsidRPr="00E6005A" w:rsidRDefault="007A604D" w:rsidP="001C41E5">
            <w:r w:rsidRPr="00E6005A">
              <w:t>405</w:t>
            </w:r>
          </w:p>
        </w:tc>
        <w:tc>
          <w:tcPr>
            <w:tcW w:w="960" w:type="dxa"/>
            <w:noWrap/>
            <w:hideMark/>
          </w:tcPr>
          <w:p w14:paraId="53124B5E" w14:textId="77777777" w:rsidR="007A604D" w:rsidRPr="00E6005A" w:rsidRDefault="007A604D" w:rsidP="001C41E5">
            <w:r w:rsidRPr="00E6005A">
              <w:t>340.2</w:t>
            </w:r>
          </w:p>
        </w:tc>
      </w:tr>
      <w:tr w:rsidR="007A604D" w:rsidRPr="00E6005A" w14:paraId="0842E9C5" w14:textId="77777777" w:rsidTr="001C41E5">
        <w:trPr>
          <w:trHeight w:val="290"/>
        </w:trPr>
        <w:tc>
          <w:tcPr>
            <w:tcW w:w="960" w:type="dxa"/>
            <w:noWrap/>
            <w:hideMark/>
          </w:tcPr>
          <w:p w14:paraId="2602F120" w14:textId="77777777" w:rsidR="007A604D" w:rsidRPr="00E6005A" w:rsidRDefault="007A604D" w:rsidP="001C41E5">
            <w:r w:rsidRPr="00E6005A">
              <w:t>4</w:t>
            </w:r>
          </w:p>
        </w:tc>
        <w:tc>
          <w:tcPr>
            <w:tcW w:w="960" w:type="dxa"/>
            <w:noWrap/>
            <w:hideMark/>
          </w:tcPr>
          <w:p w14:paraId="59E90D26" w14:textId="77777777" w:rsidR="007A604D" w:rsidRPr="00E6005A" w:rsidRDefault="007A604D" w:rsidP="001C41E5">
            <w:r w:rsidRPr="00E6005A">
              <w:t>700</w:t>
            </w:r>
          </w:p>
        </w:tc>
        <w:tc>
          <w:tcPr>
            <w:tcW w:w="960" w:type="dxa"/>
            <w:noWrap/>
            <w:hideMark/>
          </w:tcPr>
          <w:p w14:paraId="5CAA514E" w14:textId="77777777" w:rsidR="007A604D" w:rsidRPr="00E6005A" w:rsidRDefault="007A604D" w:rsidP="001C41E5">
            <w:r w:rsidRPr="00E6005A">
              <w:t>525</w:t>
            </w:r>
          </w:p>
        </w:tc>
        <w:tc>
          <w:tcPr>
            <w:tcW w:w="960" w:type="dxa"/>
            <w:noWrap/>
            <w:hideMark/>
          </w:tcPr>
          <w:p w14:paraId="0CFE09C3" w14:textId="77777777" w:rsidR="007A604D" w:rsidRPr="00E6005A" w:rsidRDefault="007A604D" w:rsidP="001C41E5">
            <w:r w:rsidRPr="00E6005A">
              <w:t>30</w:t>
            </w:r>
          </w:p>
        </w:tc>
        <w:tc>
          <w:tcPr>
            <w:tcW w:w="960" w:type="dxa"/>
            <w:noWrap/>
            <w:hideMark/>
          </w:tcPr>
          <w:p w14:paraId="08C92AF3" w14:textId="77777777" w:rsidR="007A604D" w:rsidRPr="00E6005A" w:rsidRDefault="007A604D" w:rsidP="001C41E5">
            <w:r w:rsidRPr="00E6005A">
              <w:t>555</w:t>
            </w:r>
          </w:p>
        </w:tc>
        <w:tc>
          <w:tcPr>
            <w:tcW w:w="960" w:type="dxa"/>
            <w:noWrap/>
            <w:hideMark/>
          </w:tcPr>
          <w:p w14:paraId="28816D18" w14:textId="77777777" w:rsidR="007A604D" w:rsidRPr="00E6005A" w:rsidRDefault="007A604D" w:rsidP="001C41E5">
            <w:r w:rsidRPr="00E6005A">
              <w:t>439.7</w:t>
            </w:r>
          </w:p>
        </w:tc>
      </w:tr>
    </w:tbl>
    <w:p w14:paraId="0A0ED8F3" w14:textId="77777777" w:rsidR="007A604D" w:rsidRDefault="007A604D" w:rsidP="007A604D"/>
    <w:p w14:paraId="76A5A676" w14:textId="77777777" w:rsidR="007A604D" w:rsidRPr="00E6005A" w:rsidRDefault="007A604D" w:rsidP="007A604D">
      <w:r w:rsidRPr="00E6005A">
        <w:t xml:space="preserve">Total PV = £1,243.3 </w:t>
      </w:r>
    </w:p>
    <w:p w14:paraId="4BEFE1F2" w14:textId="77777777" w:rsidR="007A604D" w:rsidRDefault="007A604D" w:rsidP="007A604D">
      <w:r w:rsidRPr="00E6005A">
        <w:t>NPV = 1,243.3 - 600 = £643.3k</w:t>
      </w:r>
    </w:p>
    <w:p w14:paraId="4CBBDC1A" w14:textId="77777777" w:rsidR="007A604D" w:rsidRDefault="007A604D" w:rsidP="007A604D">
      <w:pPr>
        <w:rPr>
          <w:b/>
          <w:bCs/>
          <w:sz w:val="28"/>
          <w:szCs w:val="28"/>
        </w:rPr>
      </w:pPr>
      <w:r w:rsidRPr="00E6005A">
        <w:rPr>
          <w:b/>
          <w:bCs/>
          <w:sz w:val="28"/>
          <w:szCs w:val="28"/>
        </w:rPr>
        <w:t>Option B: Initial £1,000,000</w:t>
      </w:r>
    </w:p>
    <w:p w14:paraId="5DF7AD75" w14:textId="77777777" w:rsidR="007A604D" w:rsidRDefault="007A604D" w:rsidP="007A604D">
      <w:pPr>
        <w:rPr>
          <w:sz w:val="24"/>
          <w:szCs w:val="24"/>
        </w:rPr>
      </w:pPr>
      <w:r w:rsidRPr="00E6005A">
        <w:rPr>
          <w:sz w:val="24"/>
          <w:szCs w:val="24"/>
        </w:rPr>
        <w:t xml:space="preserve">Cash flows: 400, 450, 720, 980 </w:t>
      </w:r>
    </w:p>
    <w:p w14:paraId="01C63D72" w14:textId="77777777" w:rsidR="007A604D" w:rsidRDefault="007A604D" w:rsidP="007A604D">
      <w:pPr>
        <w:rPr>
          <w:sz w:val="24"/>
          <w:szCs w:val="24"/>
        </w:rPr>
      </w:pPr>
      <w:r w:rsidRPr="00E6005A">
        <w:rPr>
          <w:sz w:val="24"/>
          <w:szCs w:val="24"/>
        </w:rPr>
        <w:t xml:space="preserve">Capital allowance = £200,000/year </w:t>
      </w:r>
    </w:p>
    <w:p w14:paraId="2D2FED05" w14:textId="77777777" w:rsidR="007A604D" w:rsidRDefault="007A604D" w:rsidP="007A604D">
      <w:pPr>
        <w:rPr>
          <w:sz w:val="24"/>
          <w:szCs w:val="24"/>
        </w:rPr>
      </w:pPr>
      <w:r w:rsidRPr="00E6005A">
        <w:rPr>
          <w:sz w:val="24"/>
          <w:szCs w:val="24"/>
        </w:rPr>
        <w:t>Tax shield = £50,000/year</w:t>
      </w:r>
    </w:p>
    <w:tbl>
      <w:tblPr>
        <w:tblStyle w:val="TableGrid"/>
        <w:tblW w:w="0" w:type="auto"/>
        <w:tblLook w:val="04A0" w:firstRow="1" w:lastRow="0" w:firstColumn="1" w:lastColumn="0" w:noHBand="0" w:noVBand="1"/>
      </w:tblPr>
      <w:tblGrid>
        <w:gridCol w:w="960"/>
        <w:gridCol w:w="960"/>
        <w:gridCol w:w="960"/>
        <w:gridCol w:w="960"/>
        <w:gridCol w:w="1085"/>
        <w:gridCol w:w="960"/>
      </w:tblGrid>
      <w:tr w:rsidR="007A604D" w:rsidRPr="00E6005A" w14:paraId="142BB563" w14:textId="77777777" w:rsidTr="001C41E5">
        <w:trPr>
          <w:trHeight w:val="290"/>
        </w:trPr>
        <w:tc>
          <w:tcPr>
            <w:tcW w:w="960" w:type="dxa"/>
            <w:noWrap/>
            <w:hideMark/>
          </w:tcPr>
          <w:p w14:paraId="22A4B1E9" w14:textId="77777777" w:rsidR="007A604D" w:rsidRPr="00E6005A" w:rsidRDefault="007A604D" w:rsidP="001C41E5">
            <w:pPr>
              <w:rPr>
                <w:sz w:val="24"/>
                <w:szCs w:val="24"/>
              </w:rPr>
            </w:pPr>
            <w:r w:rsidRPr="00E6005A">
              <w:rPr>
                <w:sz w:val="24"/>
                <w:szCs w:val="24"/>
              </w:rPr>
              <w:lastRenderedPageBreak/>
              <w:t>Year</w:t>
            </w:r>
          </w:p>
        </w:tc>
        <w:tc>
          <w:tcPr>
            <w:tcW w:w="960" w:type="dxa"/>
            <w:noWrap/>
            <w:hideMark/>
          </w:tcPr>
          <w:p w14:paraId="234A0100" w14:textId="77777777" w:rsidR="007A604D" w:rsidRPr="00E6005A" w:rsidRDefault="007A604D" w:rsidP="001C41E5">
            <w:pPr>
              <w:rPr>
                <w:sz w:val="24"/>
                <w:szCs w:val="24"/>
              </w:rPr>
            </w:pPr>
            <w:r w:rsidRPr="00E6005A">
              <w:rPr>
                <w:sz w:val="24"/>
                <w:szCs w:val="24"/>
              </w:rPr>
              <w:t>Cash Flow</w:t>
            </w:r>
          </w:p>
        </w:tc>
        <w:tc>
          <w:tcPr>
            <w:tcW w:w="960" w:type="dxa"/>
            <w:noWrap/>
            <w:hideMark/>
          </w:tcPr>
          <w:p w14:paraId="6915302B" w14:textId="77777777" w:rsidR="007A604D" w:rsidRPr="00E6005A" w:rsidRDefault="007A604D" w:rsidP="001C41E5">
            <w:pPr>
              <w:rPr>
                <w:sz w:val="24"/>
                <w:szCs w:val="24"/>
              </w:rPr>
            </w:pPr>
            <w:r w:rsidRPr="00E6005A">
              <w:rPr>
                <w:sz w:val="24"/>
                <w:szCs w:val="24"/>
              </w:rPr>
              <w:t>After Tax CF</w:t>
            </w:r>
          </w:p>
        </w:tc>
        <w:tc>
          <w:tcPr>
            <w:tcW w:w="960" w:type="dxa"/>
            <w:noWrap/>
            <w:hideMark/>
          </w:tcPr>
          <w:p w14:paraId="6CE5D349" w14:textId="77777777" w:rsidR="007A604D" w:rsidRPr="00E6005A" w:rsidRDefault="007A604D" w:rsidP="001C41E5">
            <w:pPr>
              <w:rPr>
                <w:sz w:val="24"/>
                <w:szCs w:val="24"/>
              </w:rPr>
            </w:pPr>
            <w:r w:rsidRPr="00E6005A">
              <w:rPr>
                <w:sz w:val="24"/>
                <w:szCs w:val="24"/>
              </w:rPr>
              <w:t>Tax Shield</w:t>
            </w:r>
          </w:p>
        </w:tc>
        <w:tc>
          <w:tcPr>
            <w:tcW w:w="1085" w:type="dxa"/>
            <w:noWrap/>
            <w:hideMark/>
          </w:tcPr>
          <w:p w14:paraId="47E7866A" w14:textId="77777777" w:rsidR="007A604D" w:rsidRPr="00E6005A" w:rsidRDefault="007A604D" w:rsidP="001C41E5">
            <w:pPr>
              <w:rPr>
                <w:sz w:val="24"/>
                <w:szCs w:val="24"/>
              </w:rPr>
            </w:pPr>
            <w:r w:rsidRPr="00E6005A">
              <w:rPr>
                <w:sz w:val="24"/>
                <w:szCs w:val="24"/>
              </w:rPr>
              <w:t>Adjusted CF</w:t>
            </w:r>
          </w:p>
        </w:tc>
        <w:tc>
          <w:tcPr>
            <w:tcW w:w="960" w:type="dxa"/>
            <w:noWrap/>
            <w:hideMark/>
          </w:tcPr>
          <w:p w14:paraId="181C63C2" w14:textId="77777777" w:rsidR="007A604D" w:rsidRPr="00E6005A" w:rsidRDefault="007A604D" w:rsidP="001C41E5">
            <w:pPr>
              <w:rPr>
                <w:sz w:val="24"/>
                <w:szCs w:val="24"/>
              </w:rPr>
            </w:pPr>
            <w:r w:rsidRPr="00E6005A">
              <w:rPr>
                <w:sz w:val="24"/>
                <w:szCs w:val="24"/>
              </w:rPr>
              <w:t>PV</w:t>
            </w:r>
          </w:p>
        </w:tc>
      </w:tr>
      <w:tr w:rsidR="007A604D" w:rsidRPr="00E6005A" w14:paraId="71A6C02F" w14:textId="77777777" w:rsidTr="001C41E5">
        <w:trPr>
          <w:trHeight w:val="290"/>
        </w:trPr>
        <w:tc>
          <w:tcPr>
            <w:tcW w:w="960" w:type="dxa"/>
            <w:noWrap/>
            <w:hideMark/>
          </w:tcPr>
          <w:p w14:paraId="6BDA5B5F" w14:textId="77777777" w:rsidR="007A604D" w:rsidRPr="00E6005A" w:rsidRDefault="007A604D" w:rsidP="001C41E5">
            <w:pPr>
              <w:rPr>
                <w:sz w:val="24"/>
                <w:szCs w:val="24"/>
              </w:rPr>
            </w:pPr>
            <w:r w:rsidRPr="00E6005A">
              <w:rPr>
                <w:sz w:val="24"/>
                <w:szCs w:val="24"/>
              </w:rPr>
              <w:t>1</w:t>
            </w:r>
          </w:p>
        </w:tc>
        <w:tc>
          <w:tcPr>
            <w:tcW w:w="960" w:type="dxa"/>
            <w:noWrap/>
            <w:hideMark/>
          </w:tcPr>
          <w:p w14:paraId="32F0457F" w14:textId="77777777" w:rsidR="007A604D" w:rsidRPr="00E6005A" w:rsidRDefault="007A604D" w:rsidP="001C41E5">
            <w:pPr>
              <w:rPr>
                <w:sz w:val="24"/>
                <w:szCs w:val="24"/>
              </w:rPr>
            </w:pPr>
            <w:r w:rsidRPr="00E6005A">
              <w:rPr>
                <w:sz w:val="24"/>
                <w:szCs w:val="24"/>
              </w:rPr>
              <w:t>400</w:t>
            </w:r>
          </w:p>
        </w:tc>
        <w:tc>
          <w:tcPr>
            <w:tcW w:w="960" w:type="dxa"/>
            <w:noWrap/>
            <w:hideMark/>
          </w:tcPr>
          <w:p w14:paraId="46A6E7E3" w14:textId="77777777" w:rsidR="007A604D" w:rsidRPr="00E6005A" w:rsidRDefault="007A604D" w:rsidP="001C41E5">
            <w:pPr>
              <w:rPr>
                <w:sz w:val="24"/>
                <w:szCs w:val="24"/>
              </w:rPr>
            </w:pPr>
            <w:r w:rsidRPr="00E6005A">
              <w:rPr>
                <w:sz w:val="24"/>
                <w:szCs w:val="24"/>
              </w:rPr>
              <w:t>300</w:t>
            </w:r>
          </w:p>
        </w:tc>
        <w:tc>
          <w:tcPr>
            <w:tcW w:w="960" w:type="dxa"/>
            <w:noWrap/>
            <w:hideMark/>
          </w:tcPr>
          <w:p w14:paraId="0C1AC5A3" w14:textId="77777777" w:rsidR="007A604D" w:rsidRPr="00E6005A" w:rsidRDefault="007A604D" w:rsidP="001C41E5">
            <w:pPr>
              <w:rPr>
                <w:sz w:val="24"/>
                <w:szCs w:val="24"/>
              </w:rPr>
            </w:pPr>
            <w:r w:rsidRPr="00E6005A">
              <w:rPr>
                <w:sz w:val="24"/>
                <w:szCs w:val="24"/>
              </w:rPr>
              <w:t>50</w:t>
            </w:r>
          </w:p>
        </w:tc>
        <w:tc>
          <w:tcPr>
            <w:tcW w:w="1085" w:type="dxa"/>
            <w:noWrap/>
            <w:hideMark/>
          </w:tcPr>
          <w:p w14:paraId="7A1CAD57" w14:textId="77777777" w:rsidR="007A604D" w:rsidRPr="00E6005A" w:rsidRDefault="007A604D" w:rsidP="001C41E5">
            <w:pPr>
              <w:rPr>
                <w:sz w:val="24"/>
                <w:szCs w:val="24"/>
              </w:rPr>
            </w:pPr>
            <w:r w:rsidRPr="00E6005A">
              <w:rPr>
                <w:sz w:val="24"/>
                <w:szCs w:val="24"/>
              </w:rPr>
              <w:t>350</w:t>
            </w:r>
          </w:p>
        </w:tc>
        <w:tc>
          <w:tcPr>
            <w:tcW w:w="960" w:type="dxa"/>
            <w:noWrap/>
            <w:hideMark/>
          </w:tcPr>
          <w:p w14:paraId="3932EC79" w14:textId="77777777" w:rsidR="007A604D" w:rsidRPr="00E6005A" w:rsidRDefault="007A604D" w:rsidP="001C41E5">
            <w:pPr>
              <w:rPr>
                <w:sz w:val="24"/>
                <w:szCs w:val="24"/>
              </w:rPr>
            </w:pPr>
            <w:r w:rsidRPr="00E6005A">
              <w:rPr>
                <w:sz w:val="24"/>
                <w:szCs w:val="24"/>
              </w:rPr>
              <w:t>330.1</w:t>
            </w:r>
          </w:p>
        </w:tc>
      </w:tr>
      <w:tr w:rsidR="007A604D" w:rsidRPr="00E6005A" w14:paraId="18FD626B" w14:textId="77777777" w:rsidTr="001C41E5">
        <w:trPr>
          <w:trHeight w:val="290"/>
        </w:trPr>
        <w:tc>
          <w:tcPr>
            <w:tcW w:w="960" w:type="dxa"/>
            <w:noWrap/>
            <w:hideMark/>
          </w:tcPr>
          <w:p w14:paraId="2527D04C" w14:textId="77777777" w:rsidR="007A604D" w:rsidRPr="00E6005A" w:rsidRDefault="007A604D" w:rsidP="001C41E5">
            <w:pPr>
              <w:rPr>
                <w:sz w:val="24"/>
                <w:szCs w:val="24"/>
              </w:rPr>
            </w:pPr>
            <w:r w:rsidRPr="00E6005A">
              <w:rPr>
                <w:sz w:val="24"/>
                <w:szCs w:val="24"/>
              </w:rPr>
              <w:t>2</w:t>
            </w:r>
          </w:p>
        </w:tc>
        <w:tc>
          <w:tcPr>
            <w:tcW w:w="960" w:type="dxa"/>
            <w:noWrap/>
            <w:hideMark/>
          </w:tcPr>
          <w:p w14:paraId="036ECBF4" w14:textId="77777777" w:rsidR="007A604D" w:rsidRPr="00E6005A" w:rsidRDefault="007A604D" w:rsidP="001C41E5">
            <w:pPr>
              <w:rPr>
                <w:sz w:val="24"/>
                <w:szCs w:val="24"/>
              </w:rPr>
            </w:pPr>
            <w:r w:rsidRPr="00E6005A">
              <w:rPr>
                <w:sz w:val="24"/>
                <w:szCs w:val="24"/>
              </w:rPr>
              <w:t>450</w:t>
            </w:r>
          </w:p>
        </w:tc>
        <w:tc>
          <w:tcPr>
            <w:tcW w:w="960" w:type="dxa"/>
            <w:noWrap/>
            <w:hideMark/>
          </w:tcPr>
          <w:p w14:paraId="4C930909" w14:textId="77777777" w:rsidR="007A604D" w:rsidRPr="00E6005A" w:rsidRDefault="007A604D" w:rsidP="001C41E5">
            <w:pPr>
              <w:rPr>
                <w:sz w:val="24"/>
                <w:szCs w:val="24"/>
              </w:rPr>
            </w:pPr>
            <w:r w:rsidRPr="00E6005A">
              <w:rPr>
                <w:sz w:val="24"/>
                <w:szCs w:val="24"/>
              </w:rPr>
              <w:t>337.5</w:t>
            </w:r>
          </w:p>
        </w:tc>
        <w:tc>
          <w:tcPr>
            <w:tcW w:w="960" w:type="dxa"/>
            <w:noWrap/>
            <w:hideMark/>
          </w:tcPr>
          <w:p w14:paraId="3FCE7D5B" w14:textId="77777777" w:rsidR="007A604D" w:rsidRPr="00E6005A" w:rsidRDefault="007A604D" w:rsidP="001C41E5">
            <w:pPr>
              <w:rPr>
                <w:sz w:val="24"/>
                <w:szCs w:val="24"/>
              </w:rPr>
            </w:pPr>
            <w:r w:rsidRPr="00E6005A">
              <w:rPr>
                <w:sz w:val="24"/>
                <w:szCs w:val="24"/>
              </w:rPr>
              <w:t>50</w:t>
            </w:r>
          </w:p>
        </w:tc>
        <w:tc>
          <w:tcPr>
            <w:tcW w:w="1085" w:type="dxa"/>
            <w:noWrap/>
            <w:hideMark/>
          </w:tcPr>
          <w:p w14:paraId="6FABD2CA" w14:textId="77777777" w:rsidR="007A604D" w:rsidRPr="00E6005A" w:rsidRDefault="007A604D" w:rsidP="001C41E5">
            <w:pPr>
              <w:rPr>
                <w:sz w:val="24"/>
                <w:szCs w:val="24"/>
              </w:rPr>
            </w:pPr>
            <w:r w:rsidRPr="00E6005A">
              <w:rPr>
                <w:sz w:val="24"/>
                <w:szCs w:val="24"/>
              </w:rPr>
              <w:t>387.5</w:t>
            </w:r>
          </w:p>
        </w:tc>
        <w:tc>
          <w:tcPr>
            <w:tcW w:w="960" w:type="dxa"/>
            <w:noWrap/>
            <w:hideMark/>
          </w:tcPr>
          <w:p w14:paraId="2DC27B35" w14:textId="77777777" w:rsidR="007A604D" w:rsidRPr="00E6005A" w:rsidRDefault="007A604D" w:rsidP="001C41E5">
            <w:pPr>
              <w:rPr>
                <w:sz w:val="24"/>
                <w:szCs w:val="24"/>
              </w:rPr>
            </w:pPr>
            <w:r w:rsidRPr="00E6005A">
              <w:rPr>
                <w:sz w:val="24"/>
                <w:szCs w:val="24"/>
              </w:rPr>
              <w:t>344.9</w:t>
            </w:r>
          </w:p>
        </w:tc>
      </w:tr>
      <w:tr w:rsidR="007A604D" w:rsidRPr="00E6005A" w14:paraId="5C0F25AC" w14:textId="77777777" w:rsidTr="001C41E5">
        <w:trPr>
          <w:trHeight w:val="290"/>
        </w:trPr>
        <w:tc>
          <w:tcPr>
            <w:tcW w:w="960" w:type="dxa"/>
            <w:noWrap/>
            <w:hideMark/>
          </w:tcPr>
          <w:p w14:paraId="4BB56542" w14:textId="77777777" w:rsidR="007A604D" w:rsidRPr="00E6005A" w:rsidRDefault="007A604D" w:rsidP="001C41E5">
            <w:pPr>
              <w:rPr>
                <w:sz w:val="24"/>
                <w:szCs w:val="24"/>
              </w:rPr>
            </w:pPr>
            <w:r w:rsidRPr="00E6005A">
              <w:rPr>
                <w:sz w:val="24"/>
                <w:szCs w:val="24"/>
              </w:rPr>
              <w:t>3</w:t>
            </w:r>
          </w:p>
        </w:tc>
        <w:tc>
          <w:tcPr>
            <w:tcW w:w="960" w:type="dxa"/>
            <w:noWrap/>
            <w:hideMark/>
          </w:tcPr>
          <w:p w14:paraId="08FA6C46" w14:textId="77777777" w:rsidR="007A604D" w:rsidRPr="00E6005A" w:rsidRDefault="007A604D" w:rsidP="001C41E5">
            <w:pPr>
              <w:rPr>
                <w:sz w:val="24"/>
                <w:szCs w:val="24"/>
              </w:rPr>
            </w:pPr>
            <w:r w:rsidRPr="00E6005A">
              <w:rPr>
                <w:sz w:val="24"/>
                <w:szCs w:val="24"/>
              </w:rPr>
              <w:t>720</w:t>
            </w:r>
          </w:p>
        </w:tc>
        <w:tc>
          <w:tcPr>
            <w:tcW w:w="960" w:type="dxa"/>
            <w:noWrap/>
            <w:hideMark/>
          </w:tcPr>
          <w:p w14:paraId="0A185E00" w14:textId="77777777" w:rsidR="007A604D" w:rsidRPr="00E6005A" w:rsidRDefault="007A604D" w:rsidP="001C41E5">
            <w:pPr>
              <w:rPr>
                <w:sz w:val="24"/>
                <w:szCs w:val="24"/>
              </w:rPr>
            </w:pPr>
            <w:r w:rsidRPr="00E6005A">
              <w:rPr>
                <w:sz w:val="24"/>
                <w:szCs w:val="24"/>
              </w:rPr>
              <w:t>540</w:t>
            </w:r>
          </w:p>
        </w:tc>
        <w:tc>
          <w:tcPr>
            <w:tcW w:w="960" w:type="dxa"/>
            <w:noWrap/>
            <w:hideMark/>
          </w:tcPr>
          <w:p w14:paraId="63DACBB0" w14:textId="77777777" w:rsidR="007A604D" w:rsidRPr="00E6005A" w:rsidRDefault="007A604D" w:rsidP="001C41E5">
            <w:pPr>
              <w:rPr>
                <w:sz w:val="24"/>
                <w:szCs w:val="24"/>
              </w:rPr>
            </w:pPr>
            <w:r w:rsidRPr="00E6005A">
              <w:rPr>
                <w:sz w:val="24"/>
                <w:szCs w:val="24"/>
              </w:rPr>
              <w:t>50</w:t>
            </w:r>
          </w:p>
        </w:tc>
        <w:tc>
          <w:tcPr>
            <w:tcW w:w="1085" w:type="dxa"/>
            <w:noWrap/>
            <w:hideMark/>
          </w:tcPr>
          <w:p w14:paraId="5BC506C9" w14:textId="77777777" w:rsidR="007A604D" w:rsidRPr="00E6005A" w:rsidRDefault="007A604D" w:rsidP="001C41E5">
            <w:pPr>
              <w:rPr>
                <w:sz w:val="24"/>
                <w:szCs w:val="24"/>
              </w:rPr>
            </w:pPr>
            <w:r w:rsidRPr="00E6005A">
              <w:rPr>
                <w:sz w:val="24"/>
                <w:szCs w:val="24"/>
              </w:rPr>
              <w:t>590</w:t>
            </w:r>
          </w:p>
        </w:tc>
        <w:tc>
          <w:tcPr>
            <w:tcW w:w="960" w:type="dxa"/>
            <w:noWrap/>
            <w:hideMark/>
          </w:tcPr>
          <w:p w14:paraId="30A243C8" w14:textId="77777777" w:rsidR="007A604D" w:rsidRPr="00E6005A" w:rsidRDefault="007A604D" w:rsidP="001C41E5">
            <w:pPr>
              <w:rPr>
                <w:sz w:val="24"/>
                <w:szCs w:val="24"/>
              </w:rPr>
            </w:pPr>
            <w:r w:rsidRPr="00E6005A">
              <w:rPr>
                <w:sz w:val="24"/>
                <w:szCs w:val="24"/>
              </w:rPr>
              <w:t>495.6</w:t>
            </w:r>
          </w:p>
        </w:tc>
      </w:tr>
      <w:tr w:rsidR="007A604D" w:rsidRPr="00E6005A" w14:paraId="375D52BF" w14:textId="77777777" w:rsidTr="001C41E5">
        <w:trPr>
          <w:trHeight w:val="290"/>
        </w:trPr>
        <w:tc>
          <w:tcPr>
            <w:tcW w:w="960" w:type="dxa"/>
            <w:noWrap/>
            <w:hideMark/>
          </w:tcPr>
          <w:p w14:paraId="4C252567" w14:textId="77777777" w:rsidR="007A604D" w:rsidRPr="00E6005A" w:rsidRDefault="007A604D" w:rsidP="001C41E5">
            <w:pPr>
              <w:rPr>
                <w:sz w:val="24"/>
                <w:szCs w:val="24"/>
              </w:rPr>
            </w:pPr>
            <w:r w:rsidRPr="00E6005A">
              <w:rPr>
                <w:sz w:val="24"/>
                <w:szCs w:val="24"/>
              </w:rPr>
              <w:t>4</w:t>
            </w:r>
          </w:p>
        </w:tc>
        <w:tc>
          <w:tcPr>
            <w:tcW w:w="960" w:type="dxa"/>
            <w:noWrap/>
            <w:hideMark/>
          </w:tcPr>
          <w:p w14:paraId="4818CC2A" w14:textId="77777777" w:rsidR="007A604D" w:rsidRPr="00E6005A" w:rsidRDefault="007A604D" w:rsidP="001C41E5">
            <w:pPr>
              <w:rPr>
                <w:sz w:val="24"/>
                <w:szCs w:val="24"/>
              </w:rPr>
            </w:pPr>
            <w:r w:rsidRPr="00E6005A">
              <w:rPr>
                <w:sz w:val="24"/>
                <w:szCs w:val="24"/>
              </w:rPr>
              <w:t>980</w:t>
            </w:r>
          </w:p>
        </w:tc>
        <w:tc>
          <w:tcPr>
            <w:tcW w:w="960" w:type="dxa"/>
            <w:noWrap/>
            <w:hideMark/>
          </w:tcPr>
          <w:p w14:paraId="7A5D48BC" w14:textId="77777777" w:rsidR="007A604D" w:rsidRPr="00E6005A" w:rsidRDefault="007A604D" w:rsidP="001C41E5">
            <w:pPr>
              <w:rPr>
                <w:sz w:val="24"/>
                <w:szCs w:val="24"/>
              </w:rPr>
            </w:pPr>
            <w:r w:rsidRPr="00E6005A">
              <w:rPr>
                <w:sz w:val="24"/>
                <w:szCs w:val="24"/>
              </w:rPr>
              <w:t>735</w:t>
            </w:r>
          </w:p>
        </w:tc>
        <w:tc>
          <w:tcPr>
            <w:tcW w:w="960" w:type="dxa"/>
            <w:noWrap/>
            <w:hideMark/>
          </w:tcPr>
          <w:p w14:paraId="67BC608F" w14:textId="77777777" w:rsidR="007A604D" w:rsidRPr="00E6005A" w:rsidRDefault="007A604D" w:rsidP="001C41E5">
            <w:pPr>
              <w:rPr>
                <w:sz w:val="24"/>
                <w:szCs w:val="24"/>
              </w:rPr>
            </w:pPr>
            <w:r w:rsidRPr="00E6005A">
              <w:rPr>
                <w:sz w:val="24"/>
                <w:szCs w:val="24"/>
              </w:rPr>
              <w:t>50</w:t>
            </w:r>
          </w:p>
        </w:tc>
        <w:tc>
          <w:tcPr>
            <w:tcW w:w="1085" w:type="dxa"/>
            <w:noWrap/>
            <w:hideMark/>
          </w:tcPr>
          <w:p w14:paraId="40D14F5A" w14:textId="77777777" w:rsidR="007A604D" w:rsidRPr="00E6005A" w:rsidRDefault="007A604D" w:rsidP="001C41E5">
            <w:pPr>
              <w:rPr>
                <w:sz w:val="24"/>
                <w:szCs w:val="24"/>
              </w:rPr>
            </w:pPr>
            <w:r w:rsidRPr="00E6005A">
              <w:rPr>
                <w:sz w:val="24"/>
                <w:szCs w:val="24"/>
              </w:rPr>
              <w:t>785</w:t>
            </w:r>
          </w:p>
        </w:tc>
        <w:tc>
          <w:tcPr>
            <w:tcW w:w="960" w:type="dxa"/>
            <w:noWrap/>
            <w:hideMark/>
          </w:tcPr>
          <w:p w14:paraId="38DDFDC5" w14:textId="77777777" w:rsidR="007A604D" w:rsidRPr="00E6005A" w:rsidRDefault="007A604D" w:rsidP="001C41E5">
            <w:pPr>
              <w:rPr>
                <w:sz w:val="24"/>
                <w:szCs w:val="24"/>
              </w:rPr>
            </w:pPr>
            <w:r w:rsidRPr="00E6005A">
              <w:rPr>
                <w:sz w:val="24"/>
                <w:szCs w:val="24"/>
              </w:rPr>
              <w:t>621.7</w:t>
            </w:r>
          </w:p>
        </w:tc>
      </w:tr>
    </w:tbl>
    <w:p w14:paraId="123C3D9C" w14:textId="77777777" w:rsidR="007A604D" w:rsidRDefault="007A604D" w:rsidP="007A604D">
      <w:pPr>
        <w:rPr>
          <w:sz w:val="24"/>
          <w:szCs w:val="24"/>
        </w:rPr>
      </w:pPr>
    </w:p>
    <w:p w14:paraId="2C144371" w14:textId="77777777" w:rsidR="007A604D" w:rsidRPr="00E6005A" w:rsidRDefault="007A604D" w:rsidP="007A604D">
      <w:pPr>
        <w:rPr>
          <w:sz w:val="24"/>
          <w:szCs w:val="24"/>
        </w:rPr>
      </w:pPr>
      <w:r w:rsidRPr="00E6005A">
        <w:rPr>
          <w:sz w:val="24"/>
          <w:szCs w:val="24"/>
        </w:rPr>
        <w:t xml:space="preserve">Total PV = £1,792.3 </w:t>
      </w:r>
    </w:p>
    <w:p w14:paraId="206C219E" w14:textId="77777777" w:rsidR="007A604D" w:rsidRDefault="007A604D" w:rsidP="007A604D">
      <w:pPr>
        <w:rPr>
          <w:sz w:val="24"/>
          <w:szCs w:val="24"/>
        </w:rPr>
      </w:pPr>
      <w:r w:rsidRPr="00E6005A">
        <w:rPr>
          <w:sz w:val="24"/>
          <w:szCs w:val="24"/>
        </w:rPr>
        <w:t>NPV = 1,792.3 - 1,000 = £792.3k</w:t>
      </w:r>
    </w:p>
    <w:p w14:paraId="6F525C86" w14:textId="77777777" w:rsidR="007A604D" w:rsidRDefault="007A604D" w:rsidP="007A604D">
      <w:pPr>
        <w:rPr>
          <w:b/>
          <w:bCs/>
          <w:sz w:val="24"/>
          <w:szCs w:val="24"/>
        </w:rPr>
      </w:pPr>
    </w:p>
    <w:p w14:paraId="45B46E60" w14:textId="77777777" w:rsidR="007A604D" w:rsidRPr="00E6005A" w:rsidRDefault="007A604D" w:rsidP="007A604D">
      <w:pPr>
        <w:rPr>
          <w:b/>
          <w:bCs/>
          <w:sz w:val="28"/>
          <w:szCs w:val="28"/>
        </w:rPr>
      </w:pPr>
      <w:r w:rsidRPr="00E6005A">
        <w:rPr>
          <w:b/>
          <w:bCs/>
          <w:sz w:val="28"/>
          <w:szCs w:val="28"/>
        </w:rPr>
        <w:t>Option C: Initial £1,600,000</w:t>
      </w:r>
    </w:p>
    <w:p w14:paraId="35FB2FB8" w14:textId="77777777" w:rsidR="007A604D" w:rsidRDefault="007A604D" w:rsidP="007A604D">
      <w:pPr>
        <w:rPr>
          <w:sz w:val="24"/>
          <w:szCs w:val="24"/>
        </w:rPr>
      </w:pPr>
      <w:r w:rsidRPr="00E6005A">
        <w:rPr>
          <w:sz w:val="24"/>
          <w:szCs w:val="24"/>
        </w:rPr>
        <w:t>Cash flows: 450, 700, 900, 1200</w:t>
      </w:r>
    </w:p>
    <w:p w14:paraId="00626D54" w14:textId="77777777" w:rsidR="007A604D" w:rsidRDefault="007A604D" w:rsidP="007A604D">
      <w:pPr>
        <w:rPr>
          <w:sz w:val="24"/>
          <w:szCs w:val="24"/>
        </w:rPr>
      </w:pPr>
      <w:r w:rsidRPr="00E6005A">
        <w:rPr>
          <w:sz w:val="24"/>
          <w:szCs w:val="24"/>
        </w:rPr>
        <w:t xml:space="preserve">Capital allowance = £320,000/year </w:t>
      </w:r>
    </w:p>
    <w:p w14:paraId="5B08EDEE" w14:textId="77777777" w:rsidR="007A604D" w:rsidRPr="00E6005A" w:rsidRDefault="007A604D" w:rsidP="007A604D">
      <w:pPr>
        <w:rPr>
          <w:sz w:val="24"/>
          <w:szCs w:val="24"/>
        </w:rPr>
      </w:pPr>
      <w:r w:rsidRPr="00E6005A">
        <w:rPr>
          <w:sz w:val="24"/>
          <w:szCs w:val="24"/>
        </w:rPr>
        <w:t>Tax shield = £80,000/year</w:t>
      </w:r>
    </w:p>
    <w:tbl>
      <w:tblPr>
        <w:tblStyle w:val="TableGrid"/>
        <w:tblW w:w="0" w:type="auto"/>
        <w:tblLook w:val="04A0" w:firstRow="1" w:lastRow="0" w:firstColumn="1" w:lastColumn="0" w:noHBand="0" w:noVBand="1"/>
      </w:tblPr>
      <w:tblGrid>
        <w:gridCol w:w="960"/>
        <w:gridCol w:w="960"/>
        <w:gridCol w:w="960"/>
        <w:gridCol w:w="960"/>
        <w:gridCol w:w="1085"/>
        <w:gridCol w:w="960"/>
      </w:tblGrid>
      <w:tr w:rsidR="007A604D" w:rsidRPr="00E6005A" w14:paraId="3805B103" w14:textId="77777777" w:rsidTr="001C41E5">
        <w:trPr>
          <w:trHeight w:val="290"/>
        </w:trPr>
        <w:tc>
          <w:tcPr>
            <w:tcW w:w="960" w:type="dxa"/>
            <w:noWrap/>
            <w:hideMark/>
          </w:tcPr>
          <w:p w14:paraId="009CA912" w14:textId="77777777" w:rsidR="007A604D" w:rsidRPr="00E6005A" w:rsidRDefault="007A604D" w:rsidP="001C41E5">
            <w:pPr>
              <w:rPr>
                <w:sz w:val="24"/>
                <w:szCs w:val="24"/>
              </w:rPr>
            </w:pPr>
            <w:r w:rsidRPr="00E6005A">
              <w:rPr>
                <w:sz w:val="24"/>
                <w:szCs w:val="24"/>
              </w:rPr>
              <w:t>Year</w:t>
            </w:r>
          </w:p>
        </w:tc>
        <w:tc>
          <w:tcPr>
            <w:tcW w:w="960" w:type="dxa"/>
            <w:noWrap/>
            <w:hideMark/>
          </w:tcPr>
          <w:p w14:paraId="150EBEBB" w14:textId="77777777" w:rsidR="007A604D" w:rsidRPr="00E6005A" w:rsidRDefault="007A604D" w:rsidP="001C41E5">
            <w:pPr>
              <w:rPr>
                <w:sz w:val="24"/>
                <w:szCs w:val="24"/>
              </w:rPr>
            </w:pPr>
            <w:r w:rsidRPr="00E6005A">
              <w:rPr>
                <w:sz w:val="24"/>
                <w:szCs w:val="24"/>
              </w:rPr>
              <w:t>Cash Flow</w:t>
            </w:r>
          </w:p>
        </w:tc>
        <w:tc>
          <w:tcPr>
            <w:tcW w:w="960" w:type="dxa"/>
            <w:noWrap/>
            <w:hideMark/>
          </w:tcPr>
          <w:p w14:paraId="71B7BF55" w14:textId="77777777" w:rsidR="007A604D" w:rsidRPr="00E6005A" w:rsidRDefault="007A604D" w:rsidP="001C41E5">
            <w:pPr>
              <w:rPr>
                <w:sz w:val="24"/>
                <w:szCs w:val="24"/>
              </w:rPr>
            </w:pPr>
            <w:r w:rsidRPr="00E6005A">
              <w:rPr>
                <w:sz w:val="24"/>
                <w:szCs w:val="24"/>
              </w:rPr>
              <w:t>After Tax CF</w:t>
            </w:r>
          </w:p>
        </w:tc>
        <w:tc>
          <w:tcPr>
            <w:tcW w:w="960" w:type="dxa"/>
            <w:noWrap/>
            <w:hideMark/>
          </w:tcPr>
          <w:p w14:paraId="31341C73" w14:textId="77777777" w:rsidR="007A604D" w:rsidRPr="00E6005A" w:rsidRDefault="007A604D" w:rsidP="001C41E5">
            <w:pPr>
              <w:rPr>
                <w:sz w:val="24"/>
                <w:szCs w:val="24"/>
              </w:rPr>
            </w:pPr>
            <w:r w:rsidRPr="00E6005A">
              <w:rPr>
                <w:sz w:val="24"/>
                <w:szCs w:val="24"/>
              </w:rPr>
              <w:t>Tax Shield</w:t>
            </w:r>
          </w:p>
        </w:tc>
        <w:tc>
          <w:tcPr>
            <w:tcW w:w="960" w:type="dxa"/>
            <w:noWrap/>
            <w:hideMark/>
          </w:tcPr>
          <w:p w14:paraId="37342DB0" w14:textId="77777777" w:rsidR="007A604D" w:rsidRPr="00E6005A" w:rsidRDefault="007A604D" w:rsidP="001C41E5">
            <w:pPr>
              <w:rPr>
                <w:sz w:val="24"/>
                <w:szCs w:val="24"/>
              </w:rPr>
            </w:pPr>
            <w:r w:rsidRPr="00E6005A">
              <w:rPr>
                <w:sz w:val="24"/>
                <w:szCs w:val="24"/>
              </w:rPr>
              <w:t>Adjusted CF</w:t>
            </w:r>
          </w:p>
        </w:tc>
        <w:tc>
          <w:tcPr>
            <w:tcW w:w="960" w:type="dxa"/>
            <w:noWrap/>
            <w:hideMark/>
          </w:tcPr>
          <w:p w14:paraId="67C97E78" w14:textId="77777777" w:rsidR="007A604D" w:rsidRPr="00E6005A" w:rsidRDefault="007A604D" w:rsidP="001C41E5">
            <w:pPr>
              <w:rPr>
                <w:sz w:val="24"/>
                <w:szCs w:val="24"/>
              </w:rPr>
            </w:pPr>
            <w:r w:rsidRPr="00E6005A">
              <w:rPr>
                <w:sz w:val="24"/>
                <w:szCs w:val="24"/>
              </w:rPr>
              <w:t>PV</w:t>
            </w:r>
          </w:p>
        </w:tc>
      </w:tr>
      <w:tr w:rsidR="007A604D" w:rsidRPr="00E6005A" w14:paraId="1D7FB85E" w14:textId="77777777" w:rsidTr="001C41E5">
        <w:trPr>
          <w:trHeight w:val="290"/>
        </w:trPr>
        <w:tc>
          <w:tcPr>
            <w:tcW w:w="960" w:type="dxa"/>
            <w:noWrap/>
            <w:hideMark/>
          </w:tcPr>
          <w:p w14:paraId="4D649DC0" w14:textId="77777777" w:rsidR="007A604D" w:rsidRPr="00E6005A" w:rsidRDefault="007A604D" w:rsidP="001C41E5">
            <w:pPr>
              <w:rPr>
                <w:sz w:val="24"/>
                <w:szCs w:val="24"/>
              </w:rPr>
            </w:pPr>
            <w:r w:rsidRPr="00E6005A">
              <w:rPr>
                <w:sz w:val="24"/>
                <w:szCs w:val="24"/>
              </w:rPr>
              <w:t>1</w:t>
            </w:r>
          </w:p>
        </w:tc>
        <w:tc>
          <w:tcPr>
            <w:tcW w:w="960" w:type="dxa"/>
            <w:noWrap/>
            <w:hideMark/>
          </w:tcPr>
          <w:p w14:paraId="2804AA8A" w14:textId="77777777" w:rsidR="007A604D" w:rsidRPr="00E6005A" w:rsidRDefault="007A604D" w:rsidP="001C41E5">
            <w:pPr>
              <w:rPr>
                <w:sz w:val="24"/>
                <w:szCs w:val="24"/>
              </w:rPr>
            </w:pPr>
            <w:r w:rsidRPr="00E6005A">
              <w:rPr>
                <w:sz w:val="24"/>
                <w:szCs w:val="24"/>
              </w:rPr>
              <w:t>450</w:t>
            </w:r>
          </w:p>
        </w:tc>
        <w:tc>
          <w:tcPr>
            <w:tcW w:w="960" w:type="dxa"/>
            <w:noWrap/>
            <w:hideMark/>
          </w:tcPr>
          <w:p w14:paraId="560F372A" w14:textId="77777777" w:rsidR="007A604D" w:rsidRPr="00E6005A" w:rsidRDefault="007A604D" w:rsidP="001C41E5">
            <w:pPr>
              <w:rPr>
                <w:sz w:val="24"/>
                <w:szCs w:val="24"/>
              </w:rPr>
            </w:pPr>
            <w:r w:rsidRPr="00E6005A">
              <w:rPr>
                <w:sz w:val="24"/>
                <w:szCs w:val="24"/>
              </w:rPr>
              <w:t>337.5</w:t>
            </w:r>
          </w:p>
        </w:tc>
        <w:tc>
          <w:tcPr>
            <w:tcW w:w="960" w:type="dxa"/>
            <w:noWrap/>
            <w:hideMark/>
          </w:tcPr>
          <w:p w14:paraId="20C42798" w14:textId="77777777" w:rsidR="007A604D" w:rsidRPr="00E6005A" w:rsidRDefault="007A604D" w:rsidP="001C41E5">
            <w:pPr>
              <w:rPr>
                <w:sz w:val="24"/>
                <w:szCs w:val="24"/>
              </w:rPr>
            </w:pPr>
            <w:r w:rsidRPr="00E6005A">
              <w:rPr>
                <w:sz w:val="24"/>
                <w:szCs w:val="24"/>
              </w:rPr>
              <w:t>80</w:t>
            </w:r>
          </w:p>
        </w:tc>
        <w:tc>
          <w:tcPr>
            <w:tcW w:w="960" w:type="dxa"/>
            <w:noWrap/>
            <w:hideMark/>
          </w:tcPr>
          <w:p w14:paraId="202FA3D3" w14:textId="77777777" w:rsidR="007A604D" w:rsidRPr="00E6005A" w:rsidRDefault="007A604D" w:rsidP="001C41E5">
            <w:pPr>
              <w:rPr>
                <w:sz w:val="24"/>
                <w:szCs w:val="24"/>
              </w:rPr>
            </w:pPr>
            <w:r w:rsidRPr="00E6005A">
              <w:rPr>
                <w:sz w:val="24"/>
                <w:szCs w:val="24"/>
              </w:rPr>
              <w:t>417.5</w:t>
            </w:r>
          </w:p>
        </w:tc>
        <w:tc>
          <w:tcPr>
            <w:tcW w:w="960" w:type="dxa"/>
            <w:noWrap/>
            <w:hideMark/>
          </w:tcPr>
          <w:p w14:paraId="5EAC9291" w14:textId="77777777" w:rsidR="007A604D" w:rsidRPr="00E6005A" w:rsidRDefault="007A604D" w:rsidP="001C41E5">
            <w:pPr>
              <w:rPr>
                <w:sz w:val="24"/>
                <w:szCs w:val="24"/>
              </w:rPr>
            </w:pPr>
            <w:r w:rsidRPr="00E6005A">
              <w:rPr>
                <w:sz w:val="24"/>
                <w:szCs w:val="24"/>
              </w:rPr>
              <w:t>393.7</w:t>
            </w:r>
          </w:p>
        </w:tc>
      </w:tr>
      <w:tr w:rsidR="007A604D" w:rsidRPr="00E6005A" w14:paraId="3575D494" w14:textId="77777777" w:rsidTr="001C41E5">
        <w:trPr>
          <w:trHeight w:val="290"/>
        </w:trPr>
        <w:tc>
          <w:tcPr>
            <w:tcW w:w="960" w:type="dxa"/>
            <w:noWrap/>
            <w:hideMark/>
          </w:tcPr>
          <w:p w14:paraId="47D0B302" w14:textId="77777777" w:rsidR="007A604D" w:rsidRPr="00E6005A" w:rsidRDefault="007A604D" w:rsidP="001C41E5">
            <w:pPr>
              <w:rPr>
                <w:sz w:val="24"/>
                <w:szCs w:val="24"/>
              </w:rPr>
            </w:pPr>
            <w:r w:rsidRPr="00E6005A">
              <w:rPr>
                <w:sz w:val="24"/>
                <w:szCs w:val="24"/>
              </w:rPr>
              <w:t>2</w:t>
            </w:r>
          </w:p>
        </w:tc>
        <w:tc>
          <w:tcPr>
            <w:tcW w:w="960" w:type="dxa"/>
            <w:noWrap/>
            <w:hideMark/>
          </w:tcPr>
          <w:p w14:paraId="2C702ACB" w14:textId="77777777" w:rsidR="007A604D" w:rsidRPr="00E6005A" w:rsidRDefault="007A604D" w:rsidP="001C41E5">
            <w:pPr>
              <w:rPr>
                <w:sz w:val="24"/>
                <w:szCs w:val="24"/>
              </w:rPr>
            </w:pPr>
            <w:r w:rsidRPr="00E6005A">
              <w:rPr>
                <w:sz w:val="24"/>
                <w:szCs w:val="24"/>
              </w:rPr>
              <w:t>700</w:t>
            </w:r>
          </w:p>
        </w:tc>
        <w:tc>
          <w:tcPr>
            <w:tcW w:w="960" w:type="dxa"/>
            <w:noWrap/>
            <w:hideMark/>
          </w:tcPr>
          <w:p w14:paraId="66268A21" w14:textId="77777777" w:rsidR="007A604D" w:rsidRPr="00E6005A" w:rsidRDefault="007A604D" w:rsidP="001C41E5">
            <w:pPr>
              <w:rPr>
                <w:sz w:val="24"/>
                <w:szCs w:val="24"/>
              </w:rPr>
            </w:pPr>
            <w:r w:rsidRPr="00E6005A">
              <w:rPr>
                <w:sz w:val="24"/>
                <w:szCs w:val="24"/>
              </w:rPr>
              <w:t>525</w:t>
            </w:r>
          </w:p>
        </w:tc>
        <w:tc>
          <w:tcPr>
            <w:tcW w:w="960" w:type="dxa"/>
            <w:noWrap/>
            <w:hideMark/>
          </w:tcPr>
          <w:p w14:paraId="6F8E12C4" w14:textId="77777777" w:rsidR="007A604D" w:rsidRPr="00E6005A" w:rsidRDefault="007A604D" w:rsidP="001C41E5">
            <w:pPr>
              <w:rPr>
                <w:sz w:val="24"/>
                <w:szCs w:val="24"/>
              </w:rPr>
            </w:pPr>
            <w:r w:rsidRPr="00E6005A">
              <w:rPr>
                <w:sz w:val="24"/>
                <w:szCs w:val="24"/>
              </w:rPr>
              <w:t>80</w:t>
            </w:r>
          </w:p>
        </w:tc>
        <w:tc>
          <w:tcPr>
            <w:tcW w:w="960" w:type="dxa"/>
            <w:noWrap/>
            <w:hideMark/>
          </w:tcPr>
          <w:p w14:paraId="3872CFEE" w14:textId="77777777" w:rsidR="007A604D" w:rsidRPr="00E6005A" w:rsidRDefault="007A604D" w:rsidP="001C41E5">
            <w:pPr>
              <w:rPr>
                <w:sz w:val="24"/>
                <w:szCs w:val="24"/>
              </w:rPr>
            </w:pPr>
            <w:r w:rsidRPr="00E6005A">
              <w:rPr>
                <w:sz w:val="24"/>
                <w:szCs w:val="24"/>
              </w:rPr>
              <w:t>605</w:t>
            </w:r>
          </w:p>
        </w:tc>
        <w:tc>
          <w:tcPr>
            <w:tcW w:w="960" w:type="dxa"/>
            <w:noWrap/>
            <w:hideMark/>
          </w:tcPr>
          <w:p w14:paraId="279FB880" w14:textId="77777777" w:rsidR="007A604D" w:rsidRPr="00E6005A" w:rsidRDefault="007A604D" w:rsidP="001C41E5">
            <w:pPr>
              <w:rPr>
                <w:sz w:val="24"/>
                <w:szCs w:val="24"/>
              </w:rPr>
            </w:pPr>
            <w:r w:rsidRPr="00E6005A">
              <w:rPr>
                <w:sz w:val="24"/>
                <w:szCs w:val="24"/>
              </w:rPr>
              <w:t>539.5</w:t>
            </w:r>
          </w:p>
        </w:tc>
      </w:tr>
      <w:tr w:rsidR="007A604D" w:rsidRPr="00E6005A" w14:paraId="0B463FE7" w14:textId="77777777" w:rsidTr="001C41E5">
        <w:trPr>
          <w:trHeight w:val="290"/>
        </w:trPr>
        <w:tc>
          <w:tcPr>
            <w:tcW w:w="960" w:type="dxa"/>
            <w:noWrap/>
            <w:hideMark/>
          </w:tcPr>
          <w:p w14:paraId="0468EF96" w14:textId="77777777" w:rsidR="007A604D" w:rsidRPr="00E6005A" w:rsidRDefault="007A604D" w:rsidP="001C41E5">
            <w:pPr>
              <w:rPr>
                <w:sz w:val="24"/>
                <w:szCs w:val="24"/>
              </w:rPr>
            </w:pPr>
            <w:r w:rsidRPr="00E6005A">
              <w:rPr>
                <w:sz w:val="24"/>
                <w:szCs w:val="24"/>
              </w:rPr>
              <w:t>3</w:t>
            </w:r>
          </w:p>
        </w:tc>
        <w:tc>
          <w:tcPr>
            <w:tcW w:w="960" w:type="dxa"/>
            <w:noWrap/>
            <w:hideMark/>
          </w:tcPr>
          <w:p w14:paraId="48BBFB59" w14:textId="77777777" w:rsidR="007A604D" w:rsidRPr="00E6005A" w:rsidRDefault="007A604D" w:rsidP="001C41E5">
            <w:pPr>
              <w:rPr>
                <w:sz w:val="24"/>
                <w:szCs w:val="24"/>
              </w:rPr>
            </w:pPr>
            <w:r w:rsidRPr="00E6005A">
              <w:rPr>
                <w:sz w:val="24"/>
                <w:szCs w:val="24"/>
              </w:rPr>
              <w:t>900</w:t>
            </w:r>
          </w:p>
        </w:tc>
        <w:tc>
          <w:tcPr>
            <w:tcW w:w="960" w:type="dxa"/>
            <w:noWrap/>
            <w:hideMark/>
          </w:tcPr>
          <w:p w14:paraId="6EA66576" w14:textId="77777777" w:rsidR="007A604D" w:rsidRPr="00E6005A" w:rsidRDefault="007A604D" w:rsidP="001C41E5">
            <w:pPr>
              <w:rPr>
                <w:sz w:val="24"/>
                <w:szCs w:val="24"/>
              </w:rPr>
            </w:pPr>
            <w:r w:rsidRPr="00E6005A">
              <w:rPr>
                <w:sz w:val="24"/>
                <w:szCs w:val="24"/>
              </w:rPr>
              <w:t>675</w:t>
            </w:r>
          </w:p>
        </w:tc>
        <w:tc>
          <w:tcPr>
            <w:tcW w:w="960" w:type="dxa"/>
            <w:noWrap/>
            <w:hideMark/>
          </w:tcPr>
          <w:p w14:paraId="008F61CC" w14:textId="77777777" w:rsidR="007A604D" w:rsidRPr="00E6005A" w:rsidRDefault="007A604D" w:rsidP="001C41E5">
            <w:pPr>
              <w:rPr>
                <w:sz w:val="24"/>
                <w:szCs w:val="24"/>
              </w:rPr>
            </w:pPr>
            <w:r w:rsidRPr="00E6005A">
              <w:rPr>
                <w:sz w:val="24"/>
                <w:szCs w:val="24"/>
              </w:rPr>
              <w:t>80</w:t>
            </w:r>
          </w:p>
        </w:tc>
        <w:tc>
          <w:tcPr>
            <w:tcW w:w="960" w:type="dxa"/>
            <w:noWrap/>
            <w:hideMark/>
          </w:tcPr>
          <w:p w14:paraId="17A78164" w14:textId="77777777" w:rsidR="007A604D" w:rsidRPr="00E6005A" w:rsidRDefault="007A604D" w:rsidP="001C41E5">
            <w:pPr>
              <w:rPr>
                <w:sz w:val="24"/>
                <w:szCs w:val="24"/>
              </w:rPr>
            </w:pPr>
            <w:r w:rsidRPr="00E6005A">
              <w:rPr>
                <w:sz w:val="24"/>
                <w:szCs w:val="24"/>
              </w:rPr>
              <w:t>755</w:t>
            </w:r>
          </w:p>
        </w:tc>
        <w:tc>
          <w:tcPr>
            <w:tcW w:w="960" w:type="dxa"/>
            <w:noWrap/>
            <w:hideMark/>
          </w:tcPr>
          <w:p w14:paraId="101B883D" w14:textId="77777777" w:rsidR="007A604D" w:rsidRPr="00E6005A" w:rsidRDefault="007A604D" w:rsidP="001C41E5">
            <w:pPr>
              <w:rPr>
                <w:sz w:val="24"/>
                <w:szCs w:val="24"/>
              </w:rPr>
            </w:pPr>
            <w:r w:rsidRPr="00E6005A">
              <w:rPr>
                <w:sz w:val="24"/>
                <w:szCs w:val="24"/>
              </w:rPr>
              <w:t>634.2</w:t>
            </w:r>
          </w:p>
        </w:tc>
      </w:tr>
      <w:tr w:rsidR="007A604D" w:rsidRPr="00E6005A" w14:paraId="65E767E8" w14:textId="77777777" w:rsidTr="001C41E5">
        <w:trPr>
          <w:trHeight w:val="290"/>
        </w:trPr>
        <w:tc>
          <w:tcPr>
            <w:tcW w:w="960" w:type="dxa"/>
            <w:noWrap/>
            <w:hideMark/>
          </w:tcPr>
          <w:p w14:paraId="210E3170" w14:textId="77777777" w:rsidR="007A604D" w:rsidRPr="00E6005A" w:rsidRDefault="007A604D" w:rsidP="001C41E5">
            <w:pPr>
              <w:rPr>
                <w:sz w:val="24"/>
                <w:szCs w:val="24"/>
              </w:rPr>
            </w:pPr>
            <w:r w:rsidRPr="00E6005A">
              <w:rPr>
                <w:sz w:val="24"/>
                <w:szCs w:val="24"/>
              </w:rPr>
              <w:t>4</w:t>
            </w:r>
          </w:p>
        </w:tc>
        <w:tc>
          <w:tcPr>
            <w:tcW w:w="960" w:type="dxa"/>
            <w:noWrap/>
            <w:hideMark/>
          </w:tcPr>
          <w:p w14:paraId="388B4D79" w14:textId="77777777" w:rsidR="007A604D" w:rsidRPr="00E6005A" w:rsidRDefault="007A604D" w:rsidP="001C41E5">
            <w:pPr>
              <w:rPr>
                <w:sz w:val="24"/>
                <w:szCs w:val="24"/>
              </w:rPr>
            </w:pPr>
            <w:r w:rsidRPr="00E6005A">
              <w:rPr>
                <w:sz w:val="24"/>
                <w:szCs w:val="24"/>
              </w:rPr>
              <w:t>1200</w:t>
            </w:r>
          </w:p>
        </w:tc>
        <w:tc>
          <w:tcPr>
            <w:tcW w:w="960" w:type="dxa"/>
            <w:noWrap/>
            <w:hideMark/>
          </w:tcPr>
          <w:p w14:paraId="5327EA7E" w14:textId="77777777" w:rsidR="007A604D" w:rsidRPr="00E6005A" w:rsidRDefault="007A604D" w:rsidP="001C41E5">
            <w:pPr>
              <w:rPr>
                <w:sz w:val="24"/>
                <w:szCs w:val="24"/>
              </w:rPr>
            </w:pPr>
            <w:r w:rsidRPr="00E6005A">
              <w:rPr>
                <w:sz w:val="24"/>
                <w:szCs w:val="24"/>
              </w:rPr>
              <w:t>900</w:t>
            </w:r>
          </w:p>
        </w:tc>
        <w:tc>
          <w:tcPr>
            <w:tcW w:w="960" w:type="dxa"/>
            <w:noWrap/>
            <w:hideMark/>
          </w:tcPr>
          <w:p w14:paraId="3D5BC987" w14:textId="77777777" w:rsidR="007A604D" w:rsidRPr="00E6005A" w:rsidRDefault="007A604D" w:rsidP="001C41E5">
            <w:pPr>
              <w:rPr>
                <w:sz w:val="24"/>
                <w:szCs w:val="24"/>
              </w:rPr>
            </w:pPr>
            <w:r w:rsidRPr="00E6005A">
              <w:rPr>
                <w:sz w:val="24"/>
                <w:szCs w:val="24"/>
              </w:rPr>
              <w:t>80</w:t>
            </w:r>
          </w:p>
        </w:tc>
        <w:tc>
          <w:tcPr>
            <w:tcW w:w="960" w:type="dxa"/>
            <w:noWrap/>
            <w:hideMark/>
          </w:tcPr>
          <w:p w14:paraId="054F0D26" w14:textId="77777777" w:rsidR="007A604D" w:rsidRPr="00E6005A" w:rsidRDefault="007A604D" w:rsidP="001C41E5">
            <w:pPr>
              <w:rPr>
                <w:sz w:val="24"/>
                <w:szCs w:val="24"/>
              </w:rPr>
            </w:pPr>
            <w:r w:rsidRPr="00E6005A">
              <w:rPr>
                <w:sz w:val="24"/>
                <w:szCs w:val="24"/>
              </w:rPr>
              <w:t>980</w:t>
            </w:r>
          </w:p>
        </w:tc>
        <w:tc>
          <w:tcPr>
            <w:tcW w:w="960" w:type="dxa"/>
            <w:noWrap/>
            <w:hideMark/>
          </w:tcPr>
          <w:p w14:paraId="44B81AC2" w14:textId="77777777" w:rsidR="007A604D" w:rsidRPr="00E6005A" w:rsidRDefault="007A604D" w:rsidP="001C41E5">
            <w:pPr>
              <w:rPr>
                <w:sz w:val="24"/>
                <w:szCs w:val="24"/>
              </w:rPr>
            </w:pPr>
            <w:r w:rsidRPr="00E6005A">
              <w:rPr>
                <w:sz w:val="24"/>
                <w:szCs w:val="24"/>
              </w:rPr>
              <w:t>776.2</w:t>
            </w:r>
          </w:p>
        </w:tc>
      </w:tr>
    </w:tbl>
    <w:p w14:paraId="798A0A8A" w14:textId="77777777" w:rsidR="007A604D" w:rsidRDefault="007A604D" w:rsidP="007A604D">
      <w:pPr>
        <w:rPr>
          <w:b/>
          <w:bCs/>
          <w:sz w:val="24"/>
          <w:szCs w:val="24"/>
        </w:rPr>
      </w:pPr>
    </w:p>
    <w:p w14:paraId="3FC3597A" w14:textId="77777777" w:rsidR="007A604D" w:rsidRPr="00E6005A" w:rsidRDefault="007A604D" w:rsidP="007A604D">
      <w:pPr>
        <w:rPr>
          <w:sz w:val="24"/>
          <w:szCs w:val="24"/>
        </w:rPr>
      </w:pPr>
      <w:r w:rsidRPr="00E6005A">
        <w:rPr>
          <w:sz w:val="24"/>
          <w:szCs w:val="24"/>
        </w:rPr>
        <w:t xml:space="preserve">Total PV = £2,343.6 </w:t>
      </w:r>
    </w:p>
    <w:p w14:paraId="444C7536" w14:textId="77777777" w:rsidR="007A604D" w:rsidRPr="00E6005A" w:rsidRDefault="007A604D" w:rsidP="007A604D">
      <w:pPr>
        <w:rPr>
          <w:sz w:val="24"/>
          <w:szCs w:val="24"/>
        </w:rPr>
      </w:pPr>
      <w:r w:rsidRPr="00E6005A">
        <w:rPr>
          <w:sz w:val="24"/>
          <w:szCs w:val="24"/>
        </w:rPr>
        <w:t>NPV = 2,343.6 - 1,600 = £743.6k</w:t>
      </w:r>
    </w:p>
    <w:p w14:paraId="56704533" w14:textId="77777777" w:rsidR="007A604D" w:rsidRPr="007A604D" w:rsidRDefault="007A604D" w:rsidP="007A604D"/>
    <w:p w14:paraId="3009979D" w14:textId="1C65AD9E" w:rsidR="007A604D" w:rsidRPr="008617BD" w:rsidRDefault="008617BD" w:rsidP="008617BD">
      <w:pPr>
        <w:pStyle w:val="Heading2"/>
        <w:rPr>
          <w:rFonts w:ascii="Times New Roman" w:hAnsi="Times New Roman" w:cs="Times New Roman"/>
          <w:b/>
          <w:bCs/>
          <w:color w:val="auto"/>
          <w:sz w:val="24"/>
          <w:szCs w:val="24"/>
        </w:rPr>
      </w:pPr>
      <w:bookmarkStart w:id="22" w:name="_Toc218616267"/>
      <w:r w:rsidRPr="008617BD">
        <w:rPr>
          <w:rFonts w:ascii="Times New Roman" w:hAnsi="Times New Roman" w:cs="Times New Roman"/>
          <w:b/>
          <w:bCs/>
          <w:color w:val="auto"/>
          <w:sz w:val="24"/>
          <w:szCs w:val="24"/>
        </w:rPr>
        <w:t xml:space="preserve">6.7 </w:t>
      </w:r>
      <w:r w:rsidR="007A604D" w:rsidRPr="008617BD">
        <w:rPr>
          <w:rFonts w:ascii="Times New Roman" w:hAnsi="Times New Roman" w:cs="Times New Roman"/>
          <w:b/>
          <w:bCs/>
          <w:color w:val="auto"/>
          <w:sz w:val="24"/>
          <w:szCs w:val="24"/>
        </w:rPr>
        <w:t>IRR for Option B</w:t>
      </w:r>
      <w:bookmarkEnd w:id="22"/>
    </w:p>
    <w:p w14:paraId="7B0A1EB9" w14:textId="77777777" w:rsidR="007A604D" w:rsidRPr="007A604D" w:rsidRDefault="007A604D" w:rsidP="007A604D">
      <w:pPr>
        <w:rPr>
          <w:sz w:val="24"/>
          <w:szCs w:val="24"/>
        </w:rPr>
      </w:pPr>
      <w:r w:rsidRPr="007A604D">
        <w:rPr>
          <w:sz w:val="24"/>
          <w:szCs w:val="24"/>
        </w:rPr>
        <w:t>IRR=</w:t>
      </w:r>
      <m:oMath>
        <m:nary>
          <m:naryPr>
            <m:chr m:val="∑"/>
            <m:limLoc m:val="subSup"/>
            <m:ctrlPr>
              <w:rPr>
                <w:rFonts w:ascii="Cambria Math" w:hAnsi="Cambria Math"/>
                <w:i/>
                <w:sz w:val="24"/>
                <w:szCs w:val="24"/>
              </w:rPr>
            </m:ctrlPr>
          </m:naryPr>
          <m:sub>
            <m:r>
              <w:rPr>
                <w:rFonts w:ascii="Cambria Math" w:hAnsi="Cambria Math"/>
                <w:sz w:val="24"/>
                <w:szCs w:val="24"/>
              </w:rPr>
              <m:t>t=1</m:t>
            </m:r>
          </m:sub>
          <m:sup>
            <m:r>
              <w:rPr>
                <w:rFonts w:ascii="Cambria Math" w:hAnsi="Cambria Math"/>
                <w:sz w:val="24"/>
                <w:szCs w:val="24"/>
              </w:rPr>
              <m:t>4</m:t>
            </m:r>
          </m:sup>
          <m:e>
            <m:f>
              <m:fPr>
                <m:ctrlPr>
                  <w:rPr>
                    <w:rFonts w:ascii="Cambria Math" w:hAnsi="Cambria Math"/>
                    <w:i/>
                    <w:sz w:val="24"/>
                    <w:szCs w:val="24"/>
                  </w:rPr>
                </m:ctrlPr>
              </m:fPr>
              <m:num>
                <m:sSup>
                  <m:sSupPr>
                    <m:ctrlPr>
                      <w:rPr>
                        <w:rFonts w:ascii="Cambria Math" w:hAnsi="Cambria Math"/>
                        <w:i/>
                        <w:sz w:val="24"/>
                        <w:szCs w:val="24"/>
                      </w:rPr>
                    </m:ctrlPr>
                  </m:sSupPr>
                  <m:e>
                    <m:r>
                      <w:rPr>
                        <w:rFonts w:ascii="Cambria Math" w:hAnsi="Cambria Math"/>
                        <w:sz w:val="24"/>
                        <w:szCs w:val="24"/>
                      </w:rPr>
                      <m:t>CF</m:t>
                    </m:r>
                  </m:e>
                  <m:sup>
                    <m:r>
                      <w:rPr>
                        <w:rFonts w:ascii="Cambria Math" w:hAnsi="Cambria Math"/>
                        <w:sz w:val="24"/>
                        <w:szCs w:val="24"/>
                      </w:rPr>
                      <m:t>adj</m:t>
                    </m:r>
                  </m:sup>
                </m:sSup>
              </m:num>
              <m:den>
                <m:sSup>
                  <m:sSupPr>
                    <m:ctrlPr>
                      <w:rPr>
                        <w:rFonts w:ascii="Cambria Math" w:hAnsi="Cambria Math"/>
                        <w:i/>
                        <w:sz w:val="24"/>
                        <w:szCs w:val="24"/>
                      </w:rPr>
                    </m:ctrlPr>
                  </m:sSupPr>
                  <m:e>
                    <m:r>
                      <w:rPr>
                        <w:rFonts w:ascii="Cambria Math" w:hAnsi="Cambria Math"/>
                        <w:sz w:val="24"/>
                        <w:szCs w:val="24"/>
                      </w:rPr>
                      <m:t>(1+IRR)</m:t>
                    </m:r>
                  </m:e>
                  <m:sup>
                    <m:r>
                      <w:rPr>
                        <w:rFonts w:ascii="Cambria Math" w:hAnsi="Cambria Math"/>
                        <w:sz w:val="24"/>
                        <w:szCs w:val="24"/>
                      </w:rPr>
                      <m:t>t</m:t>
                    </m:r>
                  </m:sup>
                </m:sSup>
              </m:den>
            </m:f>
          </m:e>
        </m:nary>
      </m:oMath>
      <w:r w:rsidRPr="007A604D">
        <w:rPr>
          <w:rFonts w:eastAsiaTheme="minorEastAsia"/>
          <w:sz w:val="24"/>
          <w:szCs w:val="24"/>
        </w:rPr>
        <w:t>- 1000= 0</w:t>
      </w:r>
    </w:p>
    <w:p w14:paraId="4E49A45B" w14:textId="77777777" w:rsidR="007A604D" w:rsidRPr="00C670CA" w:rsidRDefault="007A604D" w:rsidP="007A604D">
      <w:pPr>
        <w:rPr>
          <w:sz w:val="24"/>
          <w:szCs w:val="24"/>
        </w:rPr>
      </w:pPr>
      <w:r w:rsidRPr="00C670CA">
        <w:rPr>
          <w:sz w:val="24"/>
          <w:szCs w:val="24"/>
        </w:rPr>
        <w:t>Adjusted CFs used: 350, 387.5, 590, 785</w:t>
      </w:r>
    </w:p>
    <w:p w14:paraId="7A33085A" w14:textId="77777777" w:rsidR="007A604D" w:rsidRPr="00C670CA" w:rsidRDefault="007A604D" w:rsidP="007A604D">
      <w:pPr>
        <w:numPr>
          <w:ilvl w:val="0"/>
          <w:numId w:val="1"/>
        </w:numPr>
        <w:rPr>
          <w:sz w:val="24"/>
          <w:szCs w:val="24"/>
        </w:rPr>
      </w:pPr>
      <w:r w:rsidRPr="00C670CA">
        <w:rPr>
          <w:b/>
          <w:bCs/>
          <w:sz w:val="24"/>
          <w:szCs w:val="24"/>
        </w:rPr>
        <w:t>Trial at 30%:</w:t>
      </w:r>
    </w:p>
    <w:p w14:paraId="12D467F9" w14:textId="77777777" w:rsidR="007A604D" w:rsidRPr="00C670CA" w:rsidRDefault="007A604D" w:rsidP="007A604D">
      <w:pPr>
        <w:rPr>
          <w:sz w:val="24"/>
          <w:szCs w:val="24"/>
        </w:rPr>
      </w:pPr>
      <w:r w:rsidRPr="00C670CA">
        <w:rPr>
          <w:sz w:val="24"/>
          <w:szCs w:val="24"/>
        </w:rPr>
        <w:t>DF:0.769, 0.592, 0.455, 0.350</w:t>
      </w:r>
    </w:p>
    <w:p w14:paraId="79A577EC" w14:textId="77777777" w:rsidR="007A604D" w:rsidRPr="00C670CA" w:rsidRDefault="007A604D" w:rsidP="007A604D">
      <w:pPr>
        <w:rPr>
          <w:sz w:val="24"/>
          <w:szCs w:val="24"/>
        </w:rPr>
      </w:pPr>
      <w:r w:rsidRPr="00C670CA">
        <w:rPr>
          <w:sz w:val="24"/>
          <w:szCs w:val="24"/>
        </w:rPr>
        <w:t>PV=269.2+229.5+268.5+274.8=1,041.9</w:t>
      </w:r>
      <w:r w:rsidRPr="00C670CA">
        <w:rPr>
          <w:rFonts w:ascii="Cambria Math" w:hAnsi="Cambria Math" w:cs="Cambria Math"/>
          <w:sz w:val="24"/>
          <w:szCs w:val="24"/>
        </w:rPr>
        <w:t>⇒</w:t>
      </w:r>
      <w:r w:rsidRPr="00C670CA">
        <w:rPr>
          <w:sz w:val="24"/>
          <w:szCs w:val="24"/>
        </w:rPr>
        <w:t>NPV=+41.9</w:t>
      </w:r>
    </w:p>
    <w:p w14:paraId="5BF688FA" w14:textId="77777777" w:rsidR="007A604D" w:rsidRPr="00C670CA" w:rsidRDefault="007A604D" w:rsidP="007A604D">
      <w:pPr>
        <w:numPr>
          <w:ilvl w:val="0"/>
          <w:numId w:val="2"/>
        </w:numPr>
        <w:rPr>
          <w:sz w:val="24"/>
          <w:szCs w:val="24"/>
        </w:rPr>
      </w:pPr>
      <w:r w:rsidRPr="00C670CA">
        <w:rPr>
          <w:b/>
          <w:bCs/>
          <w:sz w:val="24"/>
          <w:szCs w:val="24"/>
        </w:rPr>
        <w:t>Trial at 35%:</w:t>
      </w:r>
    </w:p>
    <w:p w14:paraId="1BF1BC8F" w14:textId="77777777" w:rsidR="007A604D" w:rsidRPr="00C670CA" w:rsidRDefault="007A604D" w:rsidP="007A604D">
      <w:pPr>
        <w:rPr>
          <w:sz w:val="24"/>
          <w:szCs w:val="24"/>
        </w:rPr>
      </w:pPr>
      <w:r w:rsidRPr="00C670CA">
        <w:rPr>
          <w:sz w:val="24"/>
          <w:szCs w:val="24"/>
        </w:rPr>
        <w:t>DF:0.741, 0.549, 0.406, 0.301</w:t>
      </w:r>
    </w:p>
    <w:p w14:paraId="23DB7658" w14:textId="77777777" w:rsidR="007A604D" w:rsidRPr="00C670CA" w:rsidRDefault="007A604D" w:rsidP="007A604D">
      <w:pPr>
        <w:rPr>
          <w:sz w:val="24"/>
          <w:szCs w:val="24"/>
        </w:rPr>
      </w:pPr>
      <w:r w:rsidRPr="00C670CA">
        <w:rPr>
          <w:sz w:val="24"/>
          <w:szCs w:val="24"/>
        </w:rPr>
        <w:t>PV=259.4+212.7+239.5+236.4=948.0</w:t>
      </w:r>
      <w:r w:rsidRPr="00C670CA">
        <w:rPr>
          <w:rFonts w:ascii="Cambria Math" w:hAnsi="Cambria Math" w:cs="Cambria Math"/>
          <w:sz w:val="24"/>
          <w:szCs w:val="24"/>
        </w:rPr>
        <w:t>⇒</w:t>
      </w:r>
      <w:r w:rsidRPr="00C670CA">
        <w:rPr>
          <w:sz w:val="24"/>
          <w:szCs w:val="24"/>
        </w:rPr>
        <w:t>NPV=</w:t>
      </w:r>
      <w:r w:rsidRPr="00C670CA">
        <w:rPr>
          <w:rFonts w:ascii="Calibri" w:hAnsi="Calibri" w:cs="Calibri"/>
          <w:sz w:val="24"/>
          <w:szCs w:val="24"/>
        </w:rPr>
        <w:t>−</w:t>
      </w:r>
      <w:r w:rsidRPr="00C670CA">
        <w:rPr>
          <w:sz w:val="24"/>
          <w:szCs w:val="24"/>
        </w:rPr>
        <w:t>52.0</w:t>
      </w:r>
    </w:p>
    <w:p w14:paraId="3557D0E1" w14:textId="77777777" w:rsidR="007A604D" w:rsidRPr="00C670CA" w:rsidRDefault="007A604D" w:rsidP="007A604D">
      <w:pPr>
        <w:numPr>
          <w:ilvl w:val="0"/>
          <w:numId w:val="3"/>
        </w:numPr>
        <w:rPr>
          <w:sz w:val="24"/>
          <w:szCs w:val="24"/>
        </w:rPr>
      </w:pPr>
      <w:r w:rsidRPr="00C670CA">
        <w:rPr>
          <w:b/>
          <w:bCs/>
          <w:sz w:val="24"/>
          <w:szCs w:val="24"/>
        </w:rPr>
        <w:lastRenderedPageBreak/>
        <w:t>Linear interpolation:</w:t>
      </w:r>
    </w:p>
    <w:p w14:paraId="04F52973" w14:textId="77777777" w:rsidR="007A604D" w:rsidRPr="007A604D" w:rsidRDefault="007A604D" w:rsidP="007A604D">
      <w:pPr>
        <w:rPr>
          <w:sz w:val="24"/>
          <w:szCs w:val="24"/>
        </w:rPr>
      </w:pPr>
      <w:r w:rsidRPr="007A604D">
        <w:rPr>
          <w:sz w:val="24"/>
          <w:szCs w:val="24"/>
        </w:rPr>
        <w:t>IRR= 30% +</w:t>
      </w:r>
      <m:oMath>
        <m:f>
          <m:fPr>
            <m:ctrlPr>
              <w:rPr>
                <w:rFonts w:ascii="Cambria Math" w:hAnsi="Cambria Math"/>
                <w:i/>
                <w:sz w:val="24"/>
                <w:szCs w:val="24"/>
              </w:rPr>
            </m:ctrlPr>
          </m:fPr>
          <m:num>
            <m:r>
              <w:rPr>
                <w:rFonts w:ascii="Cambria Math" w:hAnsi="Cambria Math"/>
                <w:sz w:val="24"/>
                <w:szCs w:val="24"/>
              </w:rPr>
              <m:t>41.9</m:t>
            </m:r>
          </m:num>
          <m:den>
            <m:r>
              <w:rPr>
                <w:rFonts w:ascii="Cambria Math" w:hAnsi="Cambria Math"/>
                <w:sz w:val="24"/>
                <w:szCs w:val="24"/>
              </w:rPr>
              <m:t>41.9-(-52.0)</m:t>
            </m:r>
          </m:den>
        </m:f>
      </m:oMath>
      <w:r w:rsidRPr="007A604D">
        <w:rPr>
          <w:rFonts w:eastAsiaTheme="minorEastAsia" w:cstheme="minorHAnsi"/>
          <w:sz w:val="24"/>
          <w:szCs w:val="24"/>
        </w:rPr>
        <w:t>× 5% = 30% + 2.23% = 32.2 %</w:t>
      </w:r>
    </w:p>
    <w:p w14:paraId="4CDC071C" w14:textId="77777777" w:rsidR="007A604D" w:rsidRPr="007A604D" w:rsidRDefault="007A604D" w:rsidP="007A604D"/>
    <w:sectPr w:rsidR="007A604D" w:rsidRPr="007A604D" w:rsidSect="007D1947">
      <w:footerReference w:type="default" r:id="rId5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BF479D" w14:textId="77777777" w:rsidR="00003335" w:rsidRDefault="00003335" w:rsidP="00F33B24">
      <w:pPr>
        <w:spacing w:after="0" w:line="240" w:lineRule="auto"/>
      </w:pPr>
      <w:r>
        <w:separator/>
      </w:r>
    </w:p>
  </w:endnote>
  <w:endnote w:type="continuationSeparator" w:id="0">
    <w:p w14:paraId="1F98CC14" w14:textId="77777777" w:rsidR="00003335" w:rsidRDefault="00003335" w:rsidP="00F33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862168315"/>
      <w:docPartObj>
        <w:docPartGallery w:val="Page Numbers (Bottom of Page)"/>
        <w:docPartUnique/>
      </w:docPartObj>
    </w:sdtPr>
    <w:sdtEndPr>
      <w:rPr>
        <w:noProof/>
      </w:rPr>
    </w:sdtEndPr>
    <w:sdtContent>
      <w:p w14:paraId="5897C69D" w14:textId="0F50614F" w:rsidR="006672DD" w:rsidRPr="006672DD" w:rsidRDefault="006672DD">
        <w:pPr>
          <w:pStyle w:val="Footer"/>
          <w:jc w:val="center"/>
          <w:rPr>
            <w:rFonts w:ascii="Times New Roman" w:hAnsi="Times New Roman" w:cs="Times New Roman"/>
            <w:sz w:val="24"/>
            <w:szCs w:val="24"/>
          </w:rPr>
        </w:pPr>
        <w:r w:rsidRPr="006672DD">
          <w:rPr>
            <w:rFonts w:ascii="Times New Roman" w:hAnsi="Times New Roman" w:cs="Times New Roman"/>
            <w:sz w:val="24"/>
            <w:szCs w:val="24"/>
          </w:rPr>
          <w:fldChar w:fldCharType="begin"/>
        </w:r>
        <w:r w:rsidRPr="006672DD">
          <w:rPr>
            <w:rFonts w:ascii="Times New Roman" w:hAnsi="Times New Roman" w:cs="Times New Roman"/>
            <w:sz w:val="24"/>
            <w:szCs w:val="24"/>
          </w:rPr>
          <w:instrText xml:space="preserve"> PAGE   \* MERGEFORMAT </w:instrText>
        </w:r>
        <w:r w:rsidRPr="006672DD">
          <w:rPr>
            <w:rFonts w:ascii="Times New Roman" w:hAnsi="Times New Roman" w:cs="Times New Roman"/>
            <w:sz w:val="24"/>
            <w:szCs w:val="24"/>
          </w:rPr>
          <w:fldChar w:fldCharType="separate"/>
        </w:r>
        <w:r w:rsidRPr="006672DD">
          <w:rPr>
            <w:rFonts w:ascii="Times New Roman" w:hAnsi="Times New Roman" w:cs="Times New Roman"/>
            <w:noProof/>
            <w:sz w:val="24"/>
            <w:szCs w:val="24"/>
          </w:rPr>
          <w:t>2</w:t>
        </w:r>
        <w:r w:rsidRPr="006672DD">
          <w:rPr>
            <w:rFonts w:ascii="Times New Roman" w:hAnsi="Times New Roman" w:cs="Times New Roman"/>
            <w:noProof/>
            <w:sz w:val="24"/>
            <w:szCs w:val="24"/>
          </w:rPr>
          <w:fldChar w:fldCharType="end"/>
        </w:r>
      </w:p>
    </w:sdtContent>
  </w:sdt>
  <w:p w14:paraId="767ED3F4" w14:textId="77777777" w:rsidR="00F33B24" w:rsidRPr="006672DD" w:rsidRDefault="00F33B24">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B2C697" w14:textId="77777777" w:rsidR="00003335" w:rsidRDefault="00003335" w:rsidP="00F33B24">
      <w:pPr>
        <w:spacing w:after="0" w:line="240" w:lineRule="auto"/>
      </w:pPr>
      <w:r>
        <w:separator/>
      </w:r>
    </w:p>
  </w:footnote>
  <w:footnote w:type="continuationSeparator" w:id="0">
    <w:p w14:paraId="2C2E8ED1" w14:textId="77777777" w:rsidR="00003335" w:rsidRDefault="00003335" w:rsidP="00F33B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7430E5"/>
    <w:multiLevelType w:val="hybridMultilevel"/>
    <w:tmpl w:val="FAB49308"/>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1" w15:restartNumberingAfterBreak="0">
    <w:nsid w:val="18674EB8"/>
    <w:multiLevelType w:val="hybridMultilevel"/>
    <w:tmpl w:val="4C584A50"/>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2" w15:restartNumberingAfterBreak="0">
    <w:nsid w:val="20202CB3"/>
    <w:multiLevelType w:val="hybridMultilevel"/>
    <w:tmpl w:val="F2148708"/>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3" w15:restartNumberingAfterBreak="0">
    <w:nsid w:val="23BA410D"/>
    <w:multiLevelType w:val="hybridMultilevel"/>
    <w:tmpl w:val="A9AC9484"/>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4" w15:restartNumberingAfterBreak="0">
    <w:nsid w:val="3676025F"/>
    <w:multiLevelType w:val="multilevel"/>
    <w:tmpl w:val="47028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E21CCD"/>
    <w:multiLevelType w:val="hybridMultilevel"/>
    <w:tmpl w:val="09D8FDBE"/>
    <w:lvl w:ilvl="0" w:tplc="0C00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4FA2375D"/>
    <w:multiLevelType w:val="multilevel"/>
    <w:tmpl w:val="65C0E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C13E2D"/>
    <w:multiLevelType w:val="hybridMultilevel"/>
    <w:tmpl w:val="457E4DAC"/>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8" w15:restartNumberingAfterBreak="0">
    <w:nsid w:val="55130862"/>
    <w:multiLevelType w:val="hybridMultilevel"/>
    <w:tmpl w:val="B2F04D34"/>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9" w15:restartNumberingAfterBreak="0">
    <w:nsid w:val="55AE2D17"/>
    <w:multiLevelType w:val="hybridMultilevel"/>
    <w:tmpl w:val="282C8B94"/>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10" w15:restartNumberingAfterBreak="0">
    <w:nsid w:val="57076695"/>
    <w:multiLevelType w:val="hybridMultilevel"/>
    <w:tmpl w:val="F70E90B4"/>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11" w15:restartNumberingAfterBreak="0">
    <w:nsid w:val="57396B91"/>
    <w:multiLevelType w:val="hybridMultilevel"/>
    <w:tmpl w:val="DB500E68"/>
    <w:lvl w:ilvl="0" w:tplc="0C000001">
      <w:start w:val="1"/>
      <w:numFmt w:val="bullet"/>
      <w:lvlText w:val=""/>
      <w:lvlJc w:val="left"/>
      <w:pPr>
        <w:ind w:left="360" w:hanging="360"/>
      </w:pPr>
      <w:rPr>
        <w:rFonts w:ascii="Symbol" w:hAnsi="Symbol" w:hint="default"/>
      </w:rPr>
    </w:lvl>
    <w:lvl w:ilvl="1" w:tplc="0C000003" w:tentative="1">
      <w:start w:val="1"/>
      <w:numFmt w:val="bullet"/>
      <w:lvlText w:val="o"/>
      <w:lvlJc w:val="left"/>
      <w:pPr>
        <w:ind w:left="1080" w:hanging="360"/>
      </w:pPr>
      <w:rPr>
        <w:rFonts w:ascii="Courier New" w:hAnsi="Courier New" w:cs="Courier New" w:hint="default"/>
      </w:rPr>
    </w:lvl>
    <w:lvl w:ilvl="2" w:tplc="0C000005" w:tentative="1">
      <w:start w:val="1"/>
      <w:numFmt w:val="bullet"/>
      <w:lvlText w:val=""/>
      <w:lvlJc w:val="left"/>
      <w:pPr>
        <w:ind w:left="1800" w:hanging="360"/>
      </w:pPr>
      <w:rPr>
        <w:rFonts w:ascii="Wingdings" w:hAnsi="Wingdings" w:hint="default"/>
      </w:rPr>
    </w:lvl>
    <w:lvl w:ilvl="3" w:tplc="0C000001" w:tentative="1">
      <w:start w:val="1"/>
      <w:numFmt w:val="bullet"/>
      <w:lvlText w:val=""/>
      <w:lvlJc w:val="left"/>
      <w:pPr>
        <w:ind w:left="2520" w:hanging="360"/>
      </w:pPr>
      <w:rPr>
        <w:rFonts w:ascii="Symbol" w:hAnsi="Symbol" w:hint="default"/>
      </w:rPr>
    </w:lvl>
    <w:lvl w:ilvl="4" w:tplc="0C000003" w:tentative="1">
      <w:start w:val="1"/>
      <w:numFmt w:val="bullet"/>
      <w:lvlText w:val="o"/>
      <w:lvlJc w:val="left"/>
      <w:pPr>
        <w:ind w:left="3240" w:hanging="360"/>
      </w:pPr>
      <w:rPr>
        <w:rFonts w:ascii="Courier New" w:hAnsi="Courier New" w:cs="Courier New" w:hint="default"/>
      </w:rPr>
    </w:lvl>
    <w:lvl w:ilvl="5" w:tplc="0C000005" w:tentative="1">
      <w:start w:val="1"/>
      <w:numFmt w:val="bullet"/>
      <w:lvlText w:val=""/>
      <w:lvlJc w:val="left"/>
      <w:pPr>
        <w:ind w:left="3960" w:hanging="360"/>
      </w:pPr>
      <w:rPr>
        <w:rFonts w:ascii="Wingdings" w:hAnsi="Wingdings" w:hint="default"/>
      </w:rPr>
    </w:lvl>
    <w:lvl w:ilvl="6" w:tplc="0C000001" w:tentative="1">
      <w:start w:val="1"/>
      <w:numFmt w:val="bullet"/>
      <w:lvlText w:val=""/>
      <w:lvlJc w:val="left"/>
      <w:pPr>
        <w:ind w:left="4680" w:hanging="360"/>
      </w:pPr>
      <w:rPr>
        <w:rFonts w:ascii="Symbol" w:hAnsi="Symbol" w:hint="default"/>
      </w:rPr>
    </w:lvl>
    <w:lvl w:ilvl="7" w:tplc="0C000003" w:tentative="1">
      <w:start w:val="1"/>
      <w:numFmt w:val="bullet"/>
      <w:lvlText w:val="o"/>
      <w:lvlJc w:val="left"/>
      <w:pPr>
        <w:ind w:left="5400" w:hanging="360"/>
      </w:pPr>
      <w:rPr>
        <w:rFonts w:ascii="Courier New" w:hAnsi="Courier New" w:cs="Courier New" w:hint="default"/>
      </w:rPr>
    </w:lvl>
    <w:lvl w:ilvl="8" w:tplc="0C000005" w:tentative="1">
      <w:start w:val="1"/>
      <w:numFmt w:val="bullet"/>
      <w:lvlText w:val=""/>
      <w:lvlJc w:val="left"/>
      <w:pPr>
        <w:ind w:left="6120" w:hanging="360"/>
      </w:pPr>
      <w:rPr>
        <w:rFonts w:ascii="Wingdings" w:hAnsi="Wingdings" w:hint="default"/>
      </w:rPr>
    </w:lvl>
  </w:abstractNum>
  <w:abstractNum w:abstractNumId="12" w15:restartNumberingAfterBreak="0">
    <w:nsid w:val="5A4D7F41"/>
    <w:multiLevelType w:val="hybridMultilevel"/>
    <w:tmpl w:val="DB502584"/>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13" w15:restartNumberingAfterBreak="0">
    <w:nsid w:val="5D1F2FBB"/>
    <w:multiLevelType w:val="hybridMultilevel"/>
    <w:tmpl w:val="C37AB9EC"/>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14" w15:restartNumberingAfterBreak="0">
    <w:nsid w:val="6B2F3045"/>
    <w:multiLevelType w:val="multilevel"/>
    <w:tmpl w:val="EE2C9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0088596">
    <w:abstractNumId w:val="6"/>
  </w:num>
  <w:num w:numId="2" w16cid:durableId="1709336146">
    <w:abstractNumId w:val="14"/>
  </w:num>
  <w:num w:numId="3" w16cid:durableId="2082094265">
    <w:abstractNumId w:val="4"/>
  </w:num>
  <w:num w:numId="4" w16cid:durableId="2126925295">
    <w:abstractNumId w:val="1"/>
  </w:num>
  <w:num w:numId="5" w16cid:durableId="2022581272">
    <w:abstractNumId w:val="10"/>
  </w:num>
  <w:num w:numId="6" w16cid:durableId="38016109">
    <w:abstractNumId w:val="7"/>
  </w:num>
  <w:num w:numId="7" w16cid:durableId="1557203533">
    <w:abstractNumId w:val="11"/>
  </w:num>
  <w:num w:numId="8" w16cid:durableId="1118373027">
    <w:abstractNumId w:val="2"/>
  </w:num>
  <w:num w:numId="9" w16cid:durableId="308940413">
    <w:abstractNumId w:val="5"/>
  </w:num>
  <w:num w:numId="10" w16cid:durableId="976909019">
    <w:abstractNumId w:val="0"/>
  </w:num>
  <w:num w:numId="11" w16cid:durableId="1850173208">
    <w:abstractNumId w:val="8"/>
  </w:num>
  <w:num w:numId="12" w16cid:durableId="1793982662">
    <w:abstractNumId w:val="13"/>
  </w:num>
  <w:num w:numId="13" w16cid:durableId="1735852824">
    <w:abstractNumId w:val="9"/>
  </w:num>
  <w:num w:numId="14" w16cid:durableId="61105154">
    <w:abstractNumId w:val="12"/>
  </w:num>
  <w:num w:numId="15" w16cid:durableId="16977792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3335"/>
    <w:rsid w:val="0006177D"/>
    <w:rsid w:val="00084E65"/>
    <w:rsid w:val="0008607E"/>
    <w:rsid w:val="00094D9A"/>
    <w:rsid w:val="000D3F41"/>
    <w:rsid w:val="001014AA"/>
    <w:rsid w:val="001077AC"/>
    <w:rsid w:val="00107936"/>
    <w:rsid w:val="00115B96"/>
    <w:rsid w:val="00142408"/>
    <w:rsid w:val="001426AB"/>
    <w:rsid w:val="001768EB"/>
    <w:rsid w:val="002B7ED3"/>
    <w:rsid w:val="00324CCD"/>
    <w:rsid w:val="003C11E7"/>
    <w:rsid w:val="003D6ADB"/>
    <w:rsid w:val="003E3FF6"/>
    <w:rsid w:val="00480872"/>
    <w:rsid w:val="00495D24"/>
    <w:rsid w:val="00495E40"/>
    <w:rsid w:val="004A11F6"/>
    <w:rsid w:val="004D519C"/>
    <w:rsid w:val="004F0DF6"/>
    <w:rsid w:val="00600DD6"/>
    <w:rsid w:val="00642E10"/>
    <w:rsid w:val="006672DD"/>
    <w:rsid w:val="00687044"/>
    <w:rsid w:val="006941FF"/>
    <w:rsid w:val="006B7654"/>
    <w:rsid w:val="00713B30"/>
    <w:rsid w:val="007A604D"/>
    <w:rsid w:val="007D1947"/>
    <w:rsid w:val="008364BD"/>
    <w:rsid w:val="008617BD"/>
    <w:rsid w:val="00931CAA"/>
    <w:rsid w:val="0099025E"/>
    <w:rsid w:val="00A11633"/>
    <w:rsid w:val="00A12B58"/>
    <w:rsid w:val="00A72188"/>
    <w:rsid w:val="00A72F77"/>
    <w:rsid w:val="00AA2A91"/>
    <w:rsid w:val="00AB49E7"/>
    <w:rsid w:val="00B24F43"/>
    <w:rsid w:val="00B4386C"/>
    <w:rsid w:val="00B507EC"/>
    <w:rsid w:val="00C06376"/>
    <w:rsid w:val="00C35804"/>
    <w:rsid w:val="00C623DB"/>
    <w:rsid w:val="00CA09F3"/>
    <w:rsid w:val="00CD126C"/>
    <w:rsid w:val="00CF0E48"/>
    <w:rsid w:val="00D854A5"/>
    <w:rsid w:val="00DE5CE7"/>
    <w:rsid w:val="00DF267F"/>
    <w:rsid w:val="00E1091D"/>
    <w:rsid w:val="00E966E7"/>
    <w:rsid w:val="00EC2C83"/>
    <w:rsid w:val="00F33B24"/>
    <w:rsid w:val="00F34190"/>
    <w:rsid w:val="00F34FEC"/>
    <w:rsid w:val="00FD2C5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3580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table" w:styleId="TableGrid">
    <w:name w:val="Table Grid"/>
    <w:basedOn w:val="TableNormal"/>
    <w:uiPriority w:val="39"/>
    <w:rsid w:val="007A60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8607E"/>
    <w:pPr>
      <w:ind w:left="720"/>
      <w:contextualSpacing/>
    </w:pPr>
  </w:style>
  <w:style w:type="character" w:customStyle="1" w:styleId="Heading3Char">
    <w:name w:val="Heading 3 Char"/>
    <w:basedOn w:val="DefaultParagraphFont"/>
    <w:link w:val="Heading3"/>
    <w:uiPriority w:val="9"/>
    <w:rsid w:val="00C35804"/>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semiHidden/>
    <w:unhideWhenUsed/>
    <w:qFormat/>
    <w:rsid w:val="001768EB"/>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1014AA"/>
    <w:rPr>
      <w:color w:val="605E5C"/>
      <w:shd w:val="clear" w:color="auto" w:fill="E1DFDD"/>
    </w:rPr>
  </w:style>
  <w:style w:type="paragraph" w:styleId="TOC3">
    <w:name w:val="toc 3"/>
    <w:basedOn w:val="Normal"/>
    <w:next w:val="Normal"/>
    <w:autoRedefine/>
    <w:uiPriority w:val="39"/>
    <w:unhideWhenUsed/>
    <w:rsid w:val="00AB49E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4453/aabfj.v16i6.03" TargetMode="External"/><Relationship Id="rId18" Type="http://schemas.openxmlformats.org/officeDocument/2006/relationships/hyperlink" Target="https://doi.org/10.54951/ijtar.v6i2.1190" TargetMode="External"/><Relationship Id="rId26" Type="http://schemas.openxmlformats.org/officeDocument/2006/relationships/hyperlink" Target="https://www.investing.com/" TargetMode="External"/><Relationship Id="rId39" Type="http://schemas.openxmlformats.org/officeDocument/2006/relationships/hyperlink" Target="https://doi.org/10.2139/ssrn.5386366" TargetMode="External"/><Relationship Id="rId21" Type="http://schemas.openxmlformats.org/officeDocument/2006/relationships/hyperlink" Target="https://doi.org/10.1007/978-3-030-56433-9_145" TargetMode="External"/><Relationship Id="rId34" Type="http://schemas.openxmlformats.org/officeDocument/2006/relationships/hyperlink" Target="https://doi.org/10.1007/978-3-662-45777-1_3" TargetMode="External"/><Relationship Id="rId42" Type="http://schemas.openxmlformats.org/officeDocument/2006/relationships/hyperlink" Target="https://doi.org/10.1080/21693277.2020.1742234" TargetMode="External"/><Relationship Id="rId47" Type="http://schemas.openxmlformats.org/officeDocument/2006/relationships/hyperlink" Target="https://doi.org/10.4236/ajibm.2025.152015" TargetMode="External"/><Relationship Id="rId50" Type="http://schemas.openxmlformats.org/officeDocument/2006/relationships/hyperlink" Target="https://doi.org/10.29040/ijebar.v6i3.6584" TargetMode="External"/><Relationship Id="rId55" Type="http://schemas.openxmlformats.org/officeDocument/2006/relationships/image" Target="media/image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515/rput-2016-0008" TargetMode="External"/><Relationship Id="rId29" Type="http://schemas.openxmlformats.org/officeDocument/2006/relationships/hyperlink" Target="https://doi.org/10.2991/aebmr.k.220603.133" TargetMode="External"/><Relationship Id="rId11" Type="http://schemas.openxmlformats.org/officeDocument/2006/relationships/hyperlink" Target="https://doi.org/10.7777/jiemar.v1i3.77" TargetMode="External"/><Relationship Id="rId24" Type="http://schemas.openxmlformats.org/officeDocument/2006/relationships/hyperlink" Target="https://www.lseg.com/en/ftse-russell/indices/ftse100" TargetMode="External"/><Relationship Id="rId32" Type="http://schemas.openxmlformats.org/officeDocument/2006/relationships/hyperlink" Target="https://www.marketscreener.com/quote/stock/UNILEVER-PLC-9590186/news/Unilever-Annual-Report-and-Accounts-49328270/" TargetMode="External"/><Relationship Id="rId37" Type="http://schemas.openxmlformats.org/officeDocument/2006/relationships/hyperlink" Target="https://www.scribd.com/doc/315570974/Penman-Financial-Statement-Analysis-and-Secur" TargetMode="External"/><Relationship Id="rId40" Type="http://schemas.openxmlformats.org/officeDocument/2006/relationships/hyperlink" Target="https://www.pwc.co.uk/annualreport/assets/2024/pwc-uk-financial-statements-2024.pdf" TargetMode="External"/><Relationship Id="rId45" Type="http://schemas.openxmlformats.org/officeDocument/2006/relationships/hyperlink" Target="https://books.google.com/books?hl=en&amp;lr=&amp;id=RyibEQAAQBAJ&amp;oi=fnd&amp;pg=PT8&amp;dq=Enhance+Investor+Communication+to+Build+Confidence+in+the+Growth+Trajectory&amp;ots=PHII3-iNY7&amp;sig=oEEXHwRo56nC6cTWPkjIEzRKN90" TargetMode="External"/><Relationship Id="rId53" Type="http://schemas.openxmlformats.org/officeDocument/2006/relationships/image" Target="media/image4.jpeg"/><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doi.org/10.3390/jrfm1806029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ooks.google.com/books?hl=en&amp;lr=&amp;id=LvSMDwAAQBAJ&amp;oi=fnd&amp;pg=PT23&amp;dq=Corporate+Financial+Management&amp;ots=56iAODee1l&amp;sig=Reufq798n3f6HTVcHZcBDkHzXaE" TargetMode="External"/><Relationship Id="rId22" Type="http://schemas.openxmlformats.org/officeDocument/2006/relationships/hyperlink" Target="https://doi.org/10.1007/s11142-021-09626-4" TargetMode="External"/><Relationship Id="rId27" Type="http://schemas.openxmlformats.org/officeDocument/2006/relationships/hyperlink" Target="https://doi.org/10.3390/su15010694" TargetMode="External"/><Relationship Id="rId30" Type="http://schemas.openxmlformats.org/officeDocument/2006/relationships/hyperlink" Target="https://cyberleninka.ru/article/n/use-of-an-investment-payback-period-in-order-to-analyze-project-effectiveness" TargetMode="External"/><Relationship Id="rId35" Type="http://schemas.openxmlformats.org/officeDocument/2006/relationships/hyperlink" Target="https://www.dj.univ-danubius.ro/index.php/JAM/article/view/2388" TargetMode="External"/><Relationship Id="rId43" Type="http://schemas.openxmlformats.org/officeDocument/2006/relationships/hyperlink" Target="https://www.managejournal.com/assets/archives/2020/vol6issue2/6-1-39-950.pdf" TargetMode="External"/><Relationship Id="rId48" Type="http://schemas.openxmlformats.org/officeDocument/2006/relationships/hyperlink" Target="https://www.unilever.com/investors/annual-report-and-accounts/" TargetMode="External"/><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doi.org/10.1088/1757-899x/407/1/012087" TargetMode="External"/><Relationship Id="rId3" Type="http://schemas.openxmlformats.org/officeDocument/2006/relationships/styles" Target="styles.xml"/><Relationship Id="rId12" Type="http://schemas.openxmlformats.org/officeDocument/2006/relationships/hyperlink" Target="https://papers.ssrn.com/sol3/papers.cfm?abstract_id=3505058" TargetMode="External"/><Relationship Id="rId17" Type="http://schemas.openxmlformats.org/officeDocument/2006/relationships/hyperlink" Target="https://www.mheducation.com/highered/product/Principles-of-Corporate-Finance-Brealey.html" TargetMode="External"/><Relationship Id="rId25" Type="http://schemas.openxmlformats.org/officeDocument/2006/relationships/hyperlink" Target="https://doi.org/10.4324/9781315248172" TargetMode="External"/><Relationship Id="rId33" Type="http://schemas.openxmlformats.org/officeDocument/2006/relationships/hyperlink" Target="https://doi.org/10.1007/s11846-022-00604-x" TargetMode="External"/><Relationship Id="rId38" Type="http://schemas.openxmlformats.org/officeDocument/2006/relationships/hyperlink" Target="https://webthesis.biblio.polito.it/secure/32044/1/tesi.pdf" TargetMode="External"/><Relationship Id="rId46" Type="http://schemas.openxmlformats.org/officeDocument/2006/relationships/hyperlink" Target="https://doi.org/10.1109/access.2023.3346789" TargetMode="External"/><Relationship Id="rId20" Type="http://schemas.openxmlformats.org/officeDocument/2006/relationships/hyperlink" Target="https://www.scribd.com/document/903158770/Management-and-Cost-Accounting-11th-Edition-Colin-Drury-pdf-version" TargetMode="External"/><Relationship Id="rId41" Type="http://schemas.openxmlformats.org/officeDocument/2006/relationships/hyperlink" Target="https://us.pg.com/annualreport2024/financial-highlights/" TargetMode="External"/><Relationship Id="rId54"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papers.ssrn.com/sol3/papers.cfm?abstract_id=2908158" TargetMode="External"/><Relationship Id="rId23" Type="http://schemas.openxmlformats.org/officeDocument/2006/relationships/hyperlink" Target="https://www.academia.edu/download/76968968/finaldissertation.pdf" TargetMode="External"/><Relationship Id="rId28" Type="http://schemas.openxmlformats.org/officeDocument/2006/relationships/hyperlink" Target="https://www.academia.edu/download/44968170/A_better_way_to_understand_internal_rate_of_return.pdf" TargetMode="External"/><Relationship Id="rId36" Type="http://schemas.openxmlformats.org/officeDocument/2006/relationships/hyperlink" Target="https://doi.org/10.1108/jpif-07-2016-0059" TargetMode="External"/><Relationship Id="rId49" Type="http://schemas.openxmlformats.org/officeDocument/2006/relationships/hyperlink" Target="https://www.unilever.com/news/press-and-media/press-releases/2024/implementing-growth-action-plan-at-pace/" TargetMode="External"/><Relationship Id="rId57" Type="http://schemas.openxmlformats.org/officeDocument/2006/relationships/fontTable" Target="fontTable.xml"/><Relationship Id="rId10" Type="http://schemas.openxmlformats.org/officeDocument/2006/relationships/hyperlink" Target="https://doi.org/10.3390/jrfm17080360" TargetMode="External"/><Relationship Id="rId31" Type="http://schemas.openxmlformats.org/officeDocument/2006/relationships/hyperlink" Target="https://doi.org/10.1007/978-3-030-27662-1_5" TargetMode="External"/><Relationship Id="rId44" Type="http://schemas.openxmlformats.org/officeDocument/2006/relationships/hyperlink" Target="https://www.deloitte.com/global/en/Industries/consumer/analysis/global-retail-outlook.html" TargetMode="External"/><Relationship Id="rId52"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33</Pages>
  <Words>7708</Words>
  <Characters>43938</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2026-01-06T15:27:00Z</dcterms:created>
  <dcterms:modified xsi:type="dcterms:W3CDTF">2026-01-12T13:01:00Z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4fd97cb9-1152-423d-aa46-e7ac636811d2</vt:lpwstr>
  </property>
</Properties>
</file>